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1FB34">
      <w:pPr>
        <w:pStyle w:val="17"/>
        <w:widowControl/>
        <w:spacing w:before="75" w:beforeAutospacing="0" w:after="75" w:afterAutospacing="0"/>
        <w:jc w:val="center"/>
        <w:rPr>
          <w:rStyle w:val="23"/>
          <w:rFonts w:ascii="宋体" w:hAnsi="宋体" w:cs="宋体"/>
          <w:bCs/>
          <w:color w:val="auto"/>
          <w:sz w:val="84"/>
          <w:szCs w:val="84"/>
          <w:highlight w:val="none"/>
          <w:shd w:val="clear" w:color="auto" w:fill="FFFFFF"/>
        </w:rPr>
      </w:pPr>
    </w:p>
    <w:p w14:paraId="090AD6F4">
      <w:pPr>
        <w:pStyle w:val="17"/>
        <w:widowControl/>
        <w:spacing w:before="75" w:beforeAutospacing="0" w:after="75" w:afterAutospacing="0"/>
        <w:jc w:val="center"/>
        <w:rPr>
          <w:rStyle w:val="23"/>
          <w:rFonts w:ascii="宋体" w:hAnsi="宋体" w:cs="宋体"/>
          <w:bCs/>
          <w:color w:val="auto"/>
          <w:sz w:val="72"/>
          <w:szCs w:val="72"/>
          <w:highlight w:val="none"/>
          <w:shd w:val="clear" w:color="auto" w:fill="FFFFFF"/>
        </w:rPr>
      </w:pPr>
      <w:r>
        <w:rPr>
          <w:rStyle w:val="23"/>
          <w:rFonts w:hint="eastAsia" w:ascii="宋体" w:hAnsi="宋体" w:cs="宋体"/>
          <w:bCs/>
          <w:color w:val="auto"/>
          <w:sz w:val="72"/>
          <w:szCs w:val="72"/>
          <w:highlight w:val="none"/>
          <w:shd w:val="clear" w:color="auto" w:fill="FFFFFF"/>
        </w:rPr>
        <w:t>中华人民共和国福州机场出入境边防检查站</w:t>
      </w:r>
    </w:p>
    <w:p w14:paraId="22A4DDD6">
      <w:pPr>
        <w:pStyle w:val="17"/>
        <w:widowControl/>
        <w:spacing w:before="75" w:beforeAutospacing="0" w:after="75" w:afterAutospacing="0"/>
        <w:jc w:val="center"/>
        <w:rPr>
          <w:rFonts w:ascii="微软雅黑" w:hAnsi="微软雅黑" w:eastAsia="微软雅黑" w:cs="微软雅黑"/>
          <w:color w:val="auto"/>
          <w:sz w:val="72"/>
          <w:szCs w:val="72"/>
          <w:highlight w:val="none"/>
        </w:rPr>
      </w:pPr>
      <w:r>
        <w:rPr>
          <w:rStyle w:val="23"/>
          <w:rFonts w:hint="eastAsia" w:ascii="宋体" w:hAnsi="宋体" w:cs="宋体"/>
          <w:bCs/>
          <w:color w:val="auto"/>
          <w:sz w:val="72"/>
          <w:szCs w:val="72"/>
          <w:highlight w:val="none"/>
          <w:shd w:val="clear" w:color="auto" w:fill="FFFFFF"/>
        </w:rPr>
        <w:t>竞争性磋商文件</w:t>
      </w:r>
    </w:p>
    <w:p w14:paraId="6AE032DF">
      <w:pPr>
        <w:pStyle w:val="17"/>
        <w:widowControl/>
        <w:spacing w:before="75" w:beforeAutospacing="0" w:after="75" w:afterAutospacing="0"/>
        <w:jc w:val="center"/>
        <w:rPr>
          <w:rFonts w:ascii="微软雅黑" w:hAnsi="微软雅黑" w:eastAsia="微软雅黑" w:cs="微软雅黑"/>
          <w:color w:val="auto"/>
          <w:sz w:val="19"/>
          <w:szCs w:val="19"/>
          <w:highlight w:val="none"/>
        </w:rPr>
      </w:pPr>
      <w:r>
        <w:rPr>
          <w:rFonts w:hint="eastAsia" w:ascii="微软雅黑" w:hAnsi="微软雅黑" w:eastAsia="微软雅黑" w:cs="微软雅黑"/>
          <w:color w:val="auto"/>
          <w:highlight w:val="none"/>
          <w:shd w:val="clear" w:color="auto" w:fill="FFFFFF"/>
          <w:lang w:eastAsia="zh-CN"/>
        </w:rPr>
        <w:t>（</w:t>
      </w:r>
      <w:r>
        <w:rPr>
          <w:rFonts w:hint="eastAsia" w:ascii="微软雅黑" w:hAnsi="微软雅黑" w:eastAsia="微软雅黑" w:cs="微软雅黑"/>
          <w:color w:val="auto"/>
          <w:highlight w:val="none"/>
          <w:shd w:val="clear" w:color="auto" w:fill="FFFFFF"/>
          <w:lang w:val="en-US" w:eastAsia="zh-CN"/>
        </w:rPr>
        <w:t>预公告稿</w:t>
      </w:r>
      <w:r>
        <w:rPr>
          <w:rFonts w:hint="eastAsia" w:ascii="微软雅黑" w:hAnsi="微软雅黑" w:eastAsia="微软雅黑" w:cs="微软雅黑"/>
          <w:color w:val="auto"/>
          <w:highlight w:val="none"/>
          <w:shd w:val="clear" w:color="auto" w:fill="FFFFFF"/>
          <w:lang w:eastAsia="zh-CN"/>
        </w:rPr>
        <w:t>）</w:t>
      </w:r>
      <w:r>
        <w:rPr>
          <w:rFonts w:hint="eastAsia" w:ascii="微软雅黑" w:hAnsi="微软雅黑" w:eastAsia="微软雅黑" w:cs="微软雅黑"/>
          <w:color w:val="auto"/>
          <w:highlight w:val="none"/>
          <w:shd w:val="clear" w:color="auto" w:fill="FFFFFF"/>
        </w:rPr>
        <w:t> </w:t>
      </w:r>
    </w:p>
    <w:p w14:paraId="677418E1">
      <w:pPr>
        <w:pStyle w:val="17"/>
        <w:widowControl/>
        <w:spacing w:before="75" w:beforeAutospacing="0" w:after="75" w:afterAutospacing="0"/>
        <w:rPr>
          <w:rStyle w:val="23"/>
          <w:rFonts w:ascii="宋体" w:hAnsi="宋体" w:cs="宋体"/>
          <w:bCs/>
          <w:color w:val="auto"/>
          <w:sz w:val="72"/>
          <w:szCs w:val="72"/>
          <w:highlight w:val="none"/>
          <w:shd w:val="clear" w:color="auto" w:fill="FFFFFF"/>
        </w:rPr>
      </w:pPr>
      <w:r>
        <w:rPr>
          <w:rStyle w:val="23"/>
          <w:rFonts w:hint="eastAsia" w:ascii="宋体" w:hAnsi="宋体" w:cs="宋体"/>
          <w:bCs/>
          <w:color w:val="auto"/>
          <w:sz w:val="72"/>
          <w:szCs w:val="72"/>
          <w:highlight w:val="none"/>
          <w:shd w:val="clear" w:color="auto" w:fill="FFFFFF"/>
        </w:rPr>
        <w:t> </w:t>
      </w:r>
    </w:p>
    <w:p w14:paraId="06DFED2E">
      <w:pPr>
        <w:pStyle w:val="17"/>
        <w:widowControl/>
        <w:spacing w:before="75" w:beforeAutospacing="0" w:after="75" w:afterAutospacing="0"/>
        <w:rPr>
          <w:rStyle w:val="23"/>
          <w:rFonts w:ascii="宋体" w:hAnsi="宋体" w:cs="宋体"/>
          <w:bCs/>
          <w:color w:val="auto"/>
          <w:sz w:val="72"/>
          <w:szCs w:val="72"/>
          <w:highlight w:val="none"/>
          <w:shd w:val="clear" w:color="auto" w:fill="FFFFFF"/>
        </w:rPr>
      </w:pPr>
    </w:p>
    <w:p w14:paraId="2FF6D24C">
      <w:pPr>
        <w:pStyle w:val="17"/>
        <w:widowControl/>
        <w:spacing w:before="75" w:beforeAutospacing="0" w:after="75" w:afterAutospacing="0"/>
        <w:ind w:left="4482" w:leftChars="1216" w:hanging="1928" w:hangingChars="600"/>
        <w:jc w:val="both"/>
        <w:rPr>
          <w:rFonts w:hint="eastAsia" w:ascii="微软雅黑" w:hAnsi="微软雅黑" w:eastAsia="宋体" w:cs="微软雅黑"/>
          <w:color w:val="auto"/>
          <w:sz w:val="32"/>
          <w:szCs w:val="32"/>
          <w:highlight w:val="none"/>
          <w:lang w:eastAsia="zh-CN"/>
        </w:rPr>
      </w:pPr>
      <w:r>
        <w:rPr>
          <w:rStyle w:val="23"/>
          <w:rFonts w:hint="eastAsia" w:ascii="宋体" w:hAnsi="宋体" w:cs="宋体"/>
          <w:bCs/>
          <w:color w:val="auto"/>
          <w:sz w:val="32"/>
          <w:szCs w:val="32"/>
          <w:highlight w:val="none"/>
          <w:shd w:val="clear" w:color="auto" w:fill="FFFFFF"/>
        </w:rPr>
        <w:t>项目名称：</w:t>
      </w:r>
      <w:r>
        <w:rPr>
          <w:rFonts w:hint="eastAsia" w:ascii="宋体" w:hAnsi="宋体" w:cs="宋体"/>
          <w:b/>
          <w:bCs/>
          <w:color w:val="auto"/>
          <w:sz w:val="32"/>
          <w:szCs w:val="32"/>
          <w:highlight w:val="none"/>
          <w:u w:val="single"/>
          <w:shd w:val="clear" w:color="auto" w:fill="FFFFFF"/>
          <w:lang w:eastAsia="zh-CN"/>
        </w:rPr>
        <w:t>福州机场出入境边防检查站执法办案管理中心改造工程</w:t>
      </w:r>
    </w:p>
    <w:p w14:paraId="5F77371A">
      <w:pPr>
        <w:pStyle w:val="17"/>
        <w:widowControl/>
        <w:spacing w:before="75" w:beforeAutospacing="0" w:after="75" w:afterAutospacing="0"/>
        <w:ind w:firstLine="2570" w:firstLineChars="800"/>
        <w:jc w:val="both"/>
        <w:rPr>
          <w:rFonts w:ascii="微软雅黑" w:hAnsi="微软雅黑" w:cs="微软雅黑"/>
          <w:color w:val="auto"/>
          <w:sz w:val="32"/>
          <w:szCs w:val="32"/>
          <w:highlight w:val="none"/>
        </w:rPr>
      </w:pPr>
      <w:r>
        <w:rPr>
          <w:rStyle w:val="23"/>
          <w:rFonts w:hint="eastAsia" w:ascii="宋体" w:hAnsi="宋体" w:cs="宋体"/>
          <w:bCs/>
          <w:color w:val="auto"/>
          <w:sz w:val="32"/>
          <w:szCs w:val="32"/>
          <w:highlight w:val="none"/>
          <w:shd w:val="clear" w:color="auto" w:fill="FFFFFF"/>
        </w:rPr>
        <w:t>项目编号：</w:t>
      </w:r>
      <w:r>
        <w:rPr>
          <w:rFonts w:hint="eastAsia" w:ascii="宋体" w:hAnsi="宋体" w:cs="宋体"/>
          <w:b/>
          <w:bCs/>
          <w:color w:val="auto"/>
          <w:sz w:val="32"/>
          <w:szCs w:val="32"/>
          <w:highlight w:val="none"/>
          <w:u w:val="single"/>
          <w:shd w:val="clear" w:color="auto" w:fill="FFFFFF"/>
        </w:rPr>
        <w:t>XFZB-2025-FZ62</w:t>
      </w:r>
    </w:p>
    <w:p w14:paraId="5AB990F4">
      <w:pPr>
        <w:pStyle w:val="17"/>
        <w:widowControl/>
        <w:spacing w:before="75" w:beforeAutospacing="0" w:after="75" w:afterAutospacing="0"/>
        <w:rPr>
          <w:rFonts w:ascii="微软雅黑" w:hAnsi="微软雅黑" w:eastAsia="微软雅黑" w:cs="微软雅黑"/>
          <w:color w:val="auto"/>
          <w:highlight w:val="none"/>
          <w:shd w:val="clear" w:color="auto" w:fill="FFFFFF"/>
        </w:rPr>
      </w:pPr>
      <w:r>
        <w:rPr>
          <w:rFonts w:hint="eastAsia" w:ascii="微软雅黑" w:hAnsi="微软雅黑" w:eastAsia="微软雅黑" w:cs="微软雅黑"/>
          <w:color w:val="auto"/>
          <w:highlight w:val="none"/>
          <w:shd w:val="clear" w:color="auto" w:fill="FFFFFF"/>
        </w:rPr>
        <w:t>  </w:t>
      </w:r>
    </w:p>
    <w:p w14:paraId="0E1CCAA9">
      <w:pPr>
        <w:pStyle w:val="17"/>
        <w:widowControl/>
        <w:spacing w:before="75" w:beforeAutospacing="0" w:after="75" w:afterAutospacing="0"/>
        <w:rPr>
          <w:rFonts w:ascii="微软雅黑" w:hAnsi="微软雅黑" w:eastAsia="微软雅黑" w:cs="微软雅黑"/>
          <w:color w:val="auto"/>
          <w:highlight w:val="none"/>
          <w:shd w:val="clear" w:color="auto" w:fill="FFFFFF"/>
        </w:rPr>
      </w:pPr>
    </w:p>
    <w:p w14:paraId="7B5E8DDB">
      <w:pPr>
        <w:pStyle w:val="17"/>
        <w:widowControl/>
        <w:spacing w:before="75" w:beforeAutospacing="0" w:after="75" w:afterAutospacing="0"/>
        <w:rPr>
          <w:rFonts w:ascii="微软雅黑" w:hAnsi="微软雅黑" w:eastAsia="微软雅黑" w:cs="微软雅黑"/>
          <w:color w:val="auto"/>
          <w:highlight w:val="none"/>
          <w:shd w:val="clear" w:color="auto" w:fill="FFFFFF"/>
        </w:rPr>
      </w:pPr>
    </w:p>
    <w:p w14:paraId="5DD22949">
      <w:pPr>
        <w:pStyle w:val="17"/>
        <w:widowControl/>
        <w:spacing w:before="75" w:beforeAutospacing="0" w:after="75" w:afterAutospacing="0"/>
        <w:jc w:val="center"/>
        <w:rPr>
          <w:rFonts w:ascii="宋体" w:hAnsi="宋体" w:cs="宋体"/>
          <w:b/>
          <w:bCs/>
          <w:color w:val="auto"/>
          <w:sz w:val="28"/>
          <w:szCs w:val="28"/>
          <w:highlight w:val="none"/>
          <w:shd w:val="clear" w:color="auto" w:fill="FFFFFF"/>
        </w:rPr>
      </w:pPr>
      <w:r>
        <w:rPr>
          <w:rFonts w:hint="eastAsia" w:ascii="微软雅黑" w:hAnsi="微软雅黑" w:eastAsia="微软雅黑" w:cs="微软雅黑"/>
          <w:color w:val="auto"/>
          <w:sz w:val="19"/>
          <w:szCs w:val="19"/>
          <w:highlight w:val="none"/>
          <w:shd w:val="clear" w:color="auto" w:fill="FFFFFF"/>
        </w:rPr>
        <w:t> </w:t>
      </w:r>
      <w:r>
        <w:rPr>
          <w:rFonts w:hint="eastAsia" w:ascii="宋体" w:hAnsi="宋体" w:cs="宋体"/>
          <w:b/>
          <w:bCs/>
          <w:color w:val="auto"/>
          <w:sz w:val="28"/>
          <w:szCs w:val="28"/>
          <w:highlight w:val="none"/>
          <w:shd w:val="clear" w:color="auto" w:fill="FFFFFF"/>
        </w:rPr>
        <w:t>采购人：中华人民共和国福州机场出入境边防检查站</w:t>
      </w:r>
    </w:p>
    <w:p w14:paraId="46317511">
      <w:pPr>
        <w:pStyle w:val="17"/>
        <w:widowControl/>
        <w:spacing w:before="75" w:beforeAutospacing="0" w:after="75" w:afterAutospacing="0"/>
        <w:jc w:val="center"/>
        <w:rPr>
          <w:rFonts w:ascii="宋体" w:hAnsi="宋体" w:cs="宋体"/>
          <w:b/>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采购代理机构: 福建信发招标代理有限公司 </w:t>
      </w:r>
    </w:p>
    <w:p w14:paraId="3A6EDD41">
      <w:pPr>
        <w:pStyle w:val="17"/>
        <w:widowControl/>
        <w:spacing w:before="75" w:beforeAutospacing="0" w:after="75" w:afterAutospacing="0" w:line="435" w:lineRule="atLeast"/>
        <w:jc w:val="center"/>
        <w:rPr>
          <w:rStyle w:val="23"/>
          <w:rFonts w:ascii="宋体" w:hAnsi="宋体" w:cs="宋体"/>
          <w:bCs/>
          <w:color w:val="auto"/>
          <w:sz w:val="28"/>
          <w:szCs w:val="28"/>
          <w:highlight w:val="none"/>
        </w:rPr>
      </w:pPr>
      <w:r>
        <w:rPr>
          <w:rStyle w:val="23"/>
          <w:rFonts w:hint="eastAsia" w:ascii="宋体" w:hAnsi="宋体" w:cs="宋体"/>
          <w:bCs/>
          <w:color w:val="auto"/>
          <w:sz w:val="28"/>
          <w:szCs w:val="28"/>
          <w:highlight w:val="none"/>
        </w:rPr>
        <w:t>2025年7月</w:t>
      </w:r>
    </w:p>
    <w:p w14:paraId="5212CC09">
      <w:pPr>
        <w:rPr>
          <w:rFonts w:ascii="宋体" w:hAnsi="宋体"/>
          <w:b/>
          <w:bCs/>
          <w:color w:val="auto"/>
          <w:sz w:val="28"/>
          <w:szCs w:val="28"/>
          <w:highlight w:val="none"/>
          <w:shd w:val="clear" w:color="auto" w:fill="FFFFFF"/>
        </w:rPr>
      </w:pPr>
      <w:r>
        <w:rPr>
          <w:rFonts w:hint="eastAsia" w:ascii="宋体" w:hAnsi="宋体"/>
          <w:b/>
          <w:bCs/>
          <w:color w:val="auto"/>
          <w:sz w:val="28"/>
          <w:szCs w:val="28"/>
          <w:highlight w:val="none"/>
          <w:shd w:val="clear" w:color="auto" w:fill="FFFFFF"/>
        </w:rPr>
        <w:br w:type="page"/>
      </w:r>
    </w:p>
    <w:p w14:paraId="10B4EBFC">
      <w:pPr>
        <w:jc w:val="center"/>
        <w:rPr>
          <w:rStyle w:val="29"/>
          <w:rFonts w:ascii="宋体" w:hAnsi="宋体"/>
          <w:color w:val="auto"/>
          <w:highlight w:val="none"/>
        </w:rPr>
      </w:pPr>
      <w:r>
        <w:rPr>
          <w:rStyle w:val="29"/>
          <w:rFonts w:hint="eastAsia" w:ascii="宋体" w:hAnsi="宋体"/>
          <w:b/>
          <w:color w:val="auto"/>
          <w:sz w:val="44"/>
          <w:szCs w:val="44"/>
          <w:highlight w:val="none"/>
        </w:rPr>
        <w:t>目   录</w:t>
      </w:r>
    </w:p>
    <w:p w14:paraId="75788ECF">
      <w:pPr>
        <w:pStyle w:val="30"/>
        <w:snapToGrid w:val="0"/>
        <w:spacing w:line="480" w:lineRule="exact"/>
        <w:ind w:firstLine="480" w:firstLineChars="200"/>
        <w:jc w:val="left"/>
        <w:rPr>
          <w:rStyle w:val="29"/>
          <w:rFonts w:ascii="宋体" w:hAnsi="宋体"/>
          <w:color w:val="auto"/>
          <w:highlight w:val="none"/>
        </w:rPr>
      </w:pPr>
      <w:r>
        <w:rPr>
          <w:rStyle w:val="29"/>
          <w:rFonts w:hint="eastAsia" w:ascii="宋体" w:hAnsi="宋体"/>
          <w:color w:val="auto"/>
          <w:highlight w:val="none"/>
        </w:rPr>
        <w:t>第一章 采购邀请书 ·····························3</w:t>
      </w:r>
    </w:p>
    <w:p w14:paraId="71E24550">
      <w:pPr>
        <w:pStyle w:val="30"/>
        <w:snapToGrid w:val="0"/>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 xml:space="preserve"> 竞争性磋商采购公告····························3</w:t>
      </w:r>
    </w:p>
    <w:p w14:paraId="04656EFA">
      <w:pPr>
        <w:pStyle w:val="30"/>
        <w:snapToGrid w:val="0"/>
        <w:spacing w:line="480" w:lineRule="exact"/>
        <w:ind w:firstLine="480" w:firstLineChars="200"/>
        <w:jc w:val="left"/>
        <w:rPr>
          <w:rStyle w:val="29"/>
          <w:rFonts w:ascii="宋体" w:hAnsi="宋体"/>
          <w:color w:val="auto"/>
          <w:highlight w:val="none"/>
        </w:rPr>
      </w:pPr>
      <w:r>
        <w:rPr>
          <w:rStyle w:val="29"/>
          <w:rFonts w:hint="eastAsia" w:ascii="宋体" w:hAnsi="宋体"/>
          <w:color w:val="auto"/>
          <w:highlight w:val="none"/>
        </w:rPr>
        <w:t>第二章 竞争性磋商须知···························6</w:t>
      </w:r>
    </w:p>
    <w:p w14:paraId="5B88581F">
      <w:pPr>
        <w:pStyle w:val="30"/>
        <w:snapToGrid w:val="0"/>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第1节  竞争性磋商须知前附表·························6</w:t>
      </w:r>
    </w:p>
    <w:p w14:paraId="7FAE21E3">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 xml:space="preserve">一、 </w:t>
      </w:r>
      <w:r>
        <w:rPr>
          <w:rStyle w:val="23"/>
          <w:rFonts w:hint="eastAsia" w:ascii="宋体" w:hAnsi="宋体"/>
          <w:b w:val="0"/>
          <w:color w:val="auto"/>
          <w:sz w:val="24"/>
          <w:highlight w:val="none"/>
        </w:rPr>
        <w:t>磋商小组</w:t>
      </w:r>
      <w:r>
        <w:rPr>
          <w:rStyle w:val="29"/>
          <w:rFonts w:hint="eastAsia" w:ascii="宋体" w:hAnsi="宋体"/>
          <w:color w:val="auto"/>
          <w:highlight w:val="none"/>
        </w:rPr>
        <w:t>·······························10</w:t>
      </w:r>
    </w:p>
    <w:p w14:paraId="7959FA97">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二、 磋商程序·······························10</w:t>
      </w:r>
    </w:p>
    <w:p w14:paraId="1CF9CBD9">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三、综合评分的标准和方法·······························11</w:t>
      </w:r>
    </w:p>
    <w:p w14:paraId="173BCB09">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四、评审报告·······························16</w:t>
      </w:r>
    </w:p>
    <w:p w14:paraId="4271F5CE">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五、其他规定·······························17</w:t>
      </w:r>
    </w:p>
    <w:p w14:paraId="110BDDC5">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第2节 竞争性磋商须知·······························18</w:t>
      </w:r>
    </w:p>
    <w:p w14:paraId="63BBA5F2">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一、总则·································18</w:t>
      </w:r>
    </w:p>
    <w:p w14:paraId="7A50A0DF">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二、竞争性磋商文件····························19</w:t>
      </w:r>
    </w:p>
    <w:p w14:paraId="7AEF2B3B">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三、响应文件编制·····························20</w:t>
      </w:r>
    </w:p>
    <w:p w14:paraId="512E04DE">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四、竞争性磋商······························24</w:t>
      </w:r>
    </w:p>
    <w:p w14:paraId="1F828994">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五、合同授予·······························27</w:t>
      </w:r>
    </w:p>
    <w:p w14:paraId="07358053">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六、询问、质疑与投诉···························28</w:t>
      </w:r>
    </w:p>
    <w:p w14:paraId="70E8F340">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七、有关信息公告和监督部门·····························30</w:t>
      </w:r>
    </w:p>
    <w:p w14:paraId="64E4BAE1">
      <w:pPr>
        <w:spacing w:line="480" w:lineRule="exact"/>
        <w:ind w:firstLine="720" w:firstLineChars="300"/>
        <w:jc w:val="left"/>
        <w:rPr>
          <w:rStyle w:val="29"/>
          <w:rFonts w:ascii="宋体" w:hAnsi="宋体"/>
          <w:color w:val="auto"/>
          <w:highlight w:val="none"/>
        </w:rPr>
      </w:pPr>
      <w:r>
        <w:rPr>
          <w:rStyle w:val="29"/>
          <w:rFonts w:hint="eastAsia" w:ascii="宋体" w:hAnsi="宋体"/>
          <w:color w:val="auto"/>
          <w:highlight w:val="none"/>
        </w:rPr>
        <w:t>八、根据采购项目特点或政策需要补充的其他内容·················30</w:t>
      </w:r>
    </w:p>
    <w:p w14:paraId="3A58FA5C">
      <w:pPr>
        <w:spacing w:line="480" w:lineRule="exact"/>
        <w:ind w:firstLine="480" w:firstLineChars="200"/>
        <w:jc w:val="left"/>
        <w:rPr>
          <w:rStyle w:val="29"/>
          <w:rFonts w:ascii="宋体" w:hAnsi="宋体"/>
          <w:color w:val="auto"/>
          <w:highlight w:val="none"/>
        </w:rPr>
      </w:pPr>
      <w:r>
        <w:rPr>
          <w:rStyle w:val="29"/>
          <w:rFonts w:hint="eastAsia" w:ascii="宋体" w:hAnsi="宋体"/>
          <w:color w:val="auto"/>
          <w:highlight w:val="none"/>
        </w:rPr>
        <w:t>第三章 采购内容及要求···························31</w:t>
      </w:r>
    </w:p>
    <w:p w14:paraId="297EFAEB">
      <w:pPr>
        <w:spacing w:line="480" w:lineRule="exact"/>
        <w:ind w:firstLine="480" w:firstLineChars="200"/>
        <w:jc w:val="left"/>
        <w:rPr>
          <w:rStyle w:val="29"/>
          <w:rFonts w:ascii="宋体" w:hAnsi="宋体"/>
          <w:color w:val="auto"/>
          <w:highlight w:val="none"/>
        </w:rPr>
      </w:pPr>
      <w:r>
        <w:rPr>
          <w:rStyle w:val="29"/>
          <w:rFonts w:hint="eastAsia" w:ascii="宋体" w:hAnsi="宋体"/>
          <w:color w:val="auto"/>
          <w:highlight w:val="none"/>
        </w:rPr>
        <w:t>第四章 合同主要条款及格式·························34</w:t>
      </w:r>
    </w:p>
    <w:p w14:paraId="57C20911">
      <w:pPr>
        <w:spacing w:line="480" w:lineRule="exact"/>
        <w:ind w:firstLine="480" w:firstLineChars="200"/>
        <w:jc w:val="left"/>
        <w:rPr>
          <w:rStyle w:val="29"/>
          <w:rFonts w:ascii="宋体" w:hAnsi="宋体"/>
          <w:color w:val="auto"/>
          <w:highlight w:val="none"/>
        </w:rPr>
      </w:pPr>
      <w:r>
        <w:rPr>
          <w:rStyle w:val="29"/>
          <w:rFonts w:hint="eastAsia" w:ascii="宋体" w:hAnsi="宋体"/>
          <w:color w:val="auto"/>
          <w:highlight w:val="none"/>
        </w:rPr>
        <w:t>第五章 首次响应文件格式···························37</w:t>
      </w:r>
    </w:p>
    <w:p w14:paraId="65C1524A">
      <w:pPr>
        <w:spacing w:line="480" w:lineRule="exact"/>
        <w:jc w:val="left"/>
        <w:rPr>
          <w:rStyle w:val="29"/>
          <w:rFonts w:ascii="宋体" w:hAnsi="宋体"/>
          <w:color w:val="auto"/>
          <w:highlight w:val="none"/>
        </w:rPr>
      </w:pPr>
    </w:p>
    <w:p w14:paraId="0737FC4C">
      <w:pPr>
        <w:spacing w:line="480" w:lineRule="exact"/>
        <w:ind w:firstLine="566" w:firstLineChars="236"/>
        <w:jc w:val="left"/>
        <w:rPr>
          <w:rStyle w:val="29"/>
          <w:rFonts w:ascii="宋体" w:hAnsi="宋体"/>
          <w:color w:val="auto"/>
          <w:highlight w:val="none"/>
        </w:rPr>
      </w:pPr>
      <w:r>
        <w:rPr>
          <w:rStyle w:val="29"/>
          <w:rFonts w:hint="eastAsia" w:ascii="宋体" w:hAnsi="宋体"/>
          <w:color w:val="auto"/>
          <w:highlight w:val="none"/>
        </w:rPr>
        <w:t>注：本竞争性磋商文件共8</w:t>
      </w:r>
      <w:r>
        <w:rPr>
          <w:rStyle w:val="29"/>
          <w:rFonts w:hint="eastAsia" w:ascii="宋体" w:hAnsi="宋体"/>
          <w:color w:val="auto"/>
          <w:highlight w:val="none"/>
          <w:lang w:val="en-US" w:eastAsia="zh-CN"/>
        </w:rPr>
        <w:t>7</w:t>
      </w:r>
      <w:r>
        <w:rPr>
          <w:rStyle w:val="29"/>
          <w:rFonts w:hint="eastAsia" w:ascii="宋体" w:hAnsi="宋体"/>
          <w:color w:val="auto"/>
          <w:highlight w:val="none"/>
        </w:rPr>
        <w:t>页（包含封面及目录），请供应商领取竞争性磋商文件时自行核对，如发现缺、损等情况，及时向福建信发招标代理有限公司提出，否则，由此造成的一切后果由供应商自负。</w:t>
      </w:r>
    </w:p>
    <w:p w14:paraId="2519EC67">
      <w:pPr>
        <w:pStyle w:val="17"/>
        <w:widowControl/>
        <w:spacing w:before="75" w:beforeAutospacing="0" w:after="75" w:afterAutospacing="0"/>
        <w:jc w:val="center"/>
        <w:rPr>
          <w:color w:val="auto"/>
          <w:highlight w:val="none"/>
        </w:rPr>
      </w:pPr>
      <w:r>
        <w:rPr>
          <w:rStyle w:val="23"/>
          <w:rFonts w:hint="eastAsia" w:ascii="宋体" w:hAnsi="宋体" w:cs="宋体"/>
          <w:color w:val="auto"/>
          <w:sz w:val="31"/>
          <w:szCs w:val="31"/>
          <w:highlight w:val="none"/>
        </w:rPr>
        <w:br w:type="page"/>
      </w:r>
    </w:p>
    <w:p w14:paraId="4C1641D3">
      <w:pPr>
        <w:pStyle w:val="17"/>
        <w:widowControl/>
        <w:spacing w:before="75" w:beforeAutospacing="0" w:after="75" w:afterAutospacing="0"/>
        <w:jc w:val="center"/>
        <w:rPr>
          <w:color w:val="auto"/>
          <w:highlight w:val="none"/>
        </w:rPr>
      </w:pPr>
      <w:r>
        <w:rPr>
          <w:rStyle w:val="23"/>
          <w:rFonts w:hint="eastAsia" w:ascii="宋体" w:hAnsi="宋体" w:cs="宋体"/>
          <w:bCs/>
          <w:color w:val="auto"/>
          <w:sz w:val="43"/>
          <w:szCs w:val="43"/>
          <w:highlight w:val="none"/>
        </w:rPr>
        <w:t>第一章  采购邀请书</w:t>
      </w:r>
      <w:r>
        <w:rPr>
          <w:color w:val="auto"/>
          <w:highlight w:val="none"/>
        </w:rPr>
        <w:t> </w:t>
      </w:r>
    </w:p>
    <w:p w14:paraId="010ADF28">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竞争性磋商采购公告</w:t>
      </w:r>
    </w:p>
    <w:p w14:paraId="76B83F2C">
      <w:pPr>
        <w:pStyle w:val="17"/>
        <w:widowControl/>
        <w:spacing w:before="75" w:beforeAutospacing="0" w:after="75" w:afterAutospacing="0"/>
        <w:jc w:val="center"/>
        <w:rPr>
          <w:color w:val="auto"/>
          <w:highlight w:val="none"/>
        </w:rPr>
      </w:pPr>
      <w:r>
        <w:rPr>
          <w:color w:val="auto"/>
          <w:highlight w:val="none"/>
        </w:rPr>
        <w:t> </w:t>
      </w:r>
    </w:p>
    <w:p w14:paraId="297772A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r>
        <w:rPr>
          <w:rFonts w:hint="eastAsia" w:ascii="宋体" w:hAnsi="宋体" w:cs="宋体"/>
          <w:color w:val="auto"/>
          <w:highlight w:val="none"/>
          <w:u w:val="single"/>
        </w:rPr>
        <w:t>中华人民共和国福州机场出入境边防检查站</w:t>
      </w:r>
      <w:r>
        <w:rPr>
          <w:rFonts w:hint="eastAsia" w:ascii="宋体" w:hAnsi="宋体" w:cs="宋体"/>
          <w:color w:val="auto"/>
          <w:highlight w:val="none"/>
        </w:rPr>
        <w:t>已根据政府采购相关法律法规，经相应程序确定采用</w:t>
      </w:r>
      <w:r>
        <w:rPr>
          <w:rFonts w:hint="eastAsia" w:ascii="宋体" w:hAnsi="宋体" w:cs="宋体"/>
          <w:color w:val="auto"/>
          <w:highlight w:val="none"/>
          <w:u w:val="single"/>
        </w:rPr>
        <w:t>竞争性磋商</w:t>
      </w:r>
      <w:r>
        <w:rPr>
          <w:rFonts w:hint="eastAsia" w:ascii="宋体" w:hAnsi="宋体" w:cs="宋体"/>
          <w:color w:val="auto"/>
          <w:highlight w:val="none"/>
        </w:rPr>
        <w:t>方式组织</w:t>
      </w:r>
      <w:r>
        <w:rPr>
          <w:rFonts w:hint="eastAsia" w:ascii="宋体" w:hAnsi="宋体" w:cs="宋体"/>
          <w:color w:val="auto"/>
          <w:highlight w:val="none"/>
          <w:u w:val="single"/>
          <w:lang w:eastAsia="zh-CN"/>
        </w:rPr>
        <w:t>福州机场出入境边防检查站执法办案管理中心改造工程</w:t>
      </w:r>
      <w:r>
        <w:rPr>
          <w:rFonts w:hint="eastAsia" w:ascii="宋体" w:hAnsi="宋体" w:cs="宋体"/>
          <w:color w:val="auto"/>
          <w:highlight w:val="none"/>
        </w:rPr>
        <w:t>（以下简称：“本项目”）的政府采购活动，现欢迎国内合格的供应商前来参加。本项目由采购人委托</w:t>
      </w:r>
      <w:r>
        <w:rPr>
          <w:rFonts w:hint="eastAsia" w:ascii="宋体" w:hAnsi="宋体" w:cs="宋体"/>
          <w:color w:val="auto"/>
          <w:highlight w:val="none"/>
          <w:u w:val="single"/>
        </w:rPr>
        <w:t>福建信发招标代理有限公司</w:t>
      </w:r>
      <w:r>
        <w:rPr>
          <w:rFonts w:hint="eastAsia" w:ascii="宋体" w:hAnsi="宋体" w:cs="宋体"/>
          <w:color w:val="auto"/>
          <w:highlight w:val="none"/>
        </w:rPr>
        <w:t>开展竞争性磋商活动。</w:t>
      </w:r>
    </w:p>
    <w:p w14:paraId="3978E80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1.项目名称：</w:t>
      </w:r>
      <w:r>
        <w:rPr>
          <w:rFonts w:hint="eastAsia" w:ascii="宋体" w:hAnsi="宋体" w:cs="宋体"/>
          <w:color w:val="auto"/>
          <w:highlight w:val="none"/>
          <w:lang w:eastAsia="zh-CN"/>
        </w:rPr>
        <w:t>福州机场出入境边防检查站执法办案管理中心改造工程</w:t>
      </w:r>
      <w:r>
        <w:rPr>
          <w:rFonts w:hint="eastAsia" w:ascii="宋体" w:hAnsi="宋体" w:cs="宋体"/>
          <w:color w:val="auto"/>
          <w:highlight w:val="none"/>
        </w:rPr>
        <w:t>。</w:t>
      </w:r>
    </w:p>
    <w:p w14:paraId="380616A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2.项目编号：XFZB-2025-FZ62。</w:t>
      </w:r>
    </w:p>
    <w:p w14:paraId="2D45C43E">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3.采购内容及要求：</w:t>
      </w:r>
    </w:p>
    <w:p w14:paraId="02ABBBEE">
      <w:pPr>
        <w:pStyle w:val="17"/>
        <w:widowControl/>
        <w:spacing w:beforeAutospacing="0" w:afterAutospacing="0" w:line="360" w:lineRule="exact"/>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shd w:val="clear" w:color="auto" w:fill="FFFFFF"/>
        </w:rPr>
        <w:t>采购包预算金额（元）:</w:t>
      </w:r>
      <w:r>
        <w:rPr>
          <w:rFonts w:hint="eastAsia" w:ascii="宋体" w:hAnsi="宋体" w:eastAsia="宋体" w:cs="宋体"/>
          <w:color w:val="auto"/>
          <w:sz w:val="24"/>
          <w:szCs w:val="24"/>
          <w:highlight w:val="none"/>
          <w:u w:val="none"/>
          <w:lang w:val="en-US" w:eastAsia="zh-CN"/>
        </w:rPr>
        <w:t>30482</w:t>
      </w:r>
      <w:r>
        <w:rPr>
          <w:rFonts w:hint="eastAsia" w:ascii="宋体" w:hAnsi="宋体" w:cs="宋体"/>
          <w:color w:val="auto"/>
          <w:sz w:val="24"/>
          <w:szCs w:val="24"/>
          <w:highlight w:val="none"/>
          <w:u w:val="none"/>
          <w:lang w:val="en-US" w:eastAsia="zh-CN"/>
        </w:rPr>
        <w:t>21</w:t>
      </w:r>
    </w:p>
    <w:p w14:paraId="60A63E92">
      <w:pPr>
        <w:pStyle w:val="17"/>
        <w:widowControl/>
        <w:spacing w:beforeAutospacing="0" w:afterAutospacing="0" w:line="36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采购包最高限价（元）: 2968318</w:t>
      </w:r>
    </w:p>
    <w:p w14:paraId="0B6CC78D">
      <w:pPr>
        <w:pStyle w:val="17"/>
        <w:widowControl/>
        <w:spacing w:beforeAutospacing="0" w:afterAutospacing="0" w:line="36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shd w:val="clear" w:color="auto" w:fill="FFFFFF"/>
        </w:rPr>
        <w:t>采购包保证金金额（元）:</w:t>
      </w:r>
      <w:r>
        <w:rPr>
          <w:rFonts w:hint="eastAsia" w:ascii="宋体" w:hAnsi="宋体" w:eastAsia="宋体" w:cs="宋体"/>
          <w:color w:val="auto"/>
          <w:kern w:val="0"/>
          <w:sz w:val="24"/>
          <w:szCs w:val="24"/>
          <w:highlight w:val="none"/>
          <w:u w:val="none"/>
          <w:lang w:val="en-US" w:eastAsia="zh-CN" w:bidi="ar-SA"/>
        </w:rPr>
        <w:t>29683</w:t>
      </w:r>
    </w:p>
    <w:p w14:paraId="2B3CB5E3">
      <w:pPr>
        <w:pStyle w:val="17"/>
        <w:widowControl/>
        <w:spacing w:beforeAutospacing="0" w:after="150" w:afterAutospacing="0"/>
        <w:jc w:val="center"/>
        <w:rPr>
          <w:color w:val="auto"/>
          <w:highlight w:val="none"/>
        </w:rPr>
      </w:pPr>
      <w:r>
        <w:rPr>
          <w:rFonts w:hint="eastAsia" w:ascii="宋体" w:hAnsi="宋体" w:cs="宋体"/>
          <w:color w:val="auto"/>
          <w:highlight w:val="none"/>
        </w:rPr>
        <w:t xml:space="preserve">                                                        金额单位：人民币元</w:t>
      </w:r>
    </w:p>
    <w:tbl>
      <w:tblPr>
        <w:tblStyle w:val="20"/>
        <w:tblW w:w="504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9"/>
        <w:gridCol w:w="763"/>
        <w:gridCol w:w="3380"/>
        <w:gridCol w:w="1292"/>
        <w:gridCol w:w="929"/>
        <w:gridCol w:w="1522"/>
        <w:gridCol w:w="1207"/>
      </w:tblGrid>
      <w:tr w14:paraId="1E1E7D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2" w:hRule="atLeast"/>
          <w:tblHeader/>
        </w:trPr>
        <w:tc>
          <w:tcPr>
            <w:tcW w:w="385" w:type="pct"/>
            <w:tcBorders>
              <w:top w:val="outset" w:color="auto" w:sz="6" w:space="0"/>
              <w:left w:val="outset" w:color="auto" w:sz="6" w:space="0"/>
              <w:bottom w:val="outset" w:color="auto" w:sz="6" w:space="0"/>
              <w:right w:val="outset" w:color="auto" w:sz="6" w:space="0"/>
            </w:tcBorders>
            <w:shd w:val="clear" w:color="auto" w:fill="auto"/>
            <w:vAlign w:val="center"/>
          </w:tcPr>
          <w:p w14:paraId="11FD6367">
            <w:pPr>
              <w:widowControl/>
              <w:jc w:val="center"/>
              <w:rPr>
                <w:color w:val="auto"/>
                <w:highlight w:val="none"/>
              </w:rPr>
            </w:pPr>
            <w:r>
              <w:rPr>
                <w:rFonts w:ascii="宋体" w:hAnsi="宋体"/>
                <w:color w:val="auto"/>
                <w:kern w:val="0"/>
                <w:sz w:val="24"/>
                <w:highlight w:val="none"/>
              </w:rPr>
              <w:t>合同包</w:t>
            </w:r>
          </w:p>
        </w:tc>
        <w:tc>
          <w:tcPr>
            <w:tcW w:w="387" w:type="pct"/>
            <w:tcBorders>
              <w:top w:val="outset" w:color="auto" w:sz="6" w:space="0"/>
              <w:left w:val="outset" w:color="auto" w:sz="6" w:space="0"/>
              <w:bottom w:val="outset" w:color="auto" w:sz="6" w:space="0"/>
              <w:right w:val="outset" w:color="auto" w:sz="6" w:space="0"/>
            </w:tcBorders>
            <w:shd w:val="clear" w:color="auto" w:fill="auto"/>
            <w:vAlign w:val="center"/>
          </w:tcPr>
          <w:p w14:paraId="22481547">
            <w:pPr>
              <w:widowControl/>
              <w:jc w:val="center"/>
              <w:rPr>
                <w:color w:val="auto"/>
                <w:highlight w:val="none"/>
              </w:rPr>
            </w:pPr>
            <w:r>
              <w:rPr>
                <w:rFonts w:ascii="宋体" w:hAnsi="宋体"/>
                <w:color w:val="auto"/>
                <w:kern w:val="0"/>
                <w:sz w:val="24"/>
                <w:highlight w:val="none"/>
              </w:rPr>
              <w:t>品目号</w:t>
            </w:r>
          </w:p>
        </w:tc>
        <w:tc>
          <w:tcPr>
            <w:tcW w:w="1714" w:type="pct"/>
            <w:tcBorders>
              <w:top w:val="outset" w:color="auto" w:sz="6" w:space="0"/>
              <w:left w:val="outset" w:color="auto" w:sz="6" w:space="0"/>
              <w:bottom w:val="outset" w:color="auto" w:sz="6" w:space="0"/>
              <w:right w:val="outset" w:color="auto" w:sz="6" w:space="0"/>
            </w:tcBorders>
            <w:shd w:val="clear" w:color="auto" w:fill="auto"/>
            <w:vAlign w:val="center"/>
          </w:tcPr>
          <w:p w14:paraId="2DE968A6">
            <w:pPr>
              <w:widowControl/>
              <w:jc w:val="center"/>
              <w:rPr>
                <w:rFonts w:ascii="宋体" w:hAnsi="宋体"/>
                <w:color w:val="auto"/>
                <w:kern w:val="0"/>
                <w:sz w:val="24"/>
                <w:highlight w:val="none"/>
              </w:rPr>
            </w:pPr>
            <w:r>
              <w:rPr>
                <w:rFonts w:ascii="宋体" w:hAnsi="宋体"/>
                <w:color w:val="auto"/>
                <w:kern w:val="0"/>
                <w:sz w:val="24"/>
                <w:highlight w:val="none"/>
              </w:rPr>
              <w:t>采购标的</w:t>
            </w:r>
          </w:p>
        </w:tc>
        <w:tc>
          <w:tcPr>
            <w:tcW w:w="655" w:type="pct"/>
            <w:tcBorders>
              <w:top w:val="outset" w:color="auto" w:sz="6" w:space="0"/>
              <w:left w:val="outset" w:color="auto" w:sz="6" w:space="0"/>
              <w:bottom w:val="outset" w:color="auto" w:sz="6" w:space="0"/>
              <w:right w:val="outset" w:color="auto" w:sz="6" w:space="0"/>
            </w:tcBorders>
            <w:shd w:val="clear" w:color="auto" w:fill="auto"/>
            <w:vAlign w:val="center"/>
          </w:tcPr>
          <w:p w14:paraId="7C2474A1">
            <w:pPr>
              <w:widowControl/>
              <w:jc w:val="center"/>
              <w:rPr>
                <w:rFonts w:ascii="宋体" w:hAnsi="宋体"/>
                <w:color w:val="auto"/>
                <w:kern w:val="0"/>
                <w:sz w:val="24"/>
                <w:highlight w:val="none"/>
              </w:rPr>
            </w:pPr>
            <w:r>
              <w:rPr>
                <w:rFonts w:hint="eastAsia" w:ascii="宋体" w:hAnsi="宋体"/>
                <w:color w:val="auto"/>
                <w:kern w:val="0"/>
                <w:sz w:val="24"/>
                <w:highlight w:val="none"/>
              </w:rPr>
              <w:t>标的金额 （元）</w:t>
            </w:r>
          </w:p>
        </w:tc>
        <w:tc>
          <w:tcPr>
            <w:tcW w:w="471" w:type="pct"/>
            <w:tcBorders>
              <w:top w:val="outset" w:color="auto" w:sz="6" w:space="0"/>
              <w:left w:val="outset" w:color="auto" w:sz="6" w:space="0"/>
              <w:bottom w:val="outset" w:color="auto" w:sz="6" w:space="0"/>
              <w:right w:val="outset" w:color="auto" w:sz="6" w:space="0"/>
            </w:tcBorders>
            <w:shd w:val="clear" w:color="auto" w:fill="auto"/>
            <w:vAlign w:val="center"/>
          </w:tcPr>
          <w:p w14:paraId="1FF4AD98">
            <w:pPr>
              <w:widowControl/>
              <w:jc w:val="center"/>
              <w:rPr>
                <w:rFonts w:ascii="宋体" w:hAnsi="宋体"/>
                <w:color w:val="auto"/>
                <w:kern w:val="0"/>
                <w:sz w:val="24"/>
                <w:highlight w:val="none"/>
              </w:rPr>
            </w:pPr>
            <w:r>
              <w:rPr>
                <w:rFonts w:hint="eastAsia" w:ascii="宋体" w:hAnsi="宋体"/>
                <w:color w:val="auto"/>
                <w:kern w:val="0"/>
                <w:sz w:val="24"/>
                <w:highlight w:val="none"/>
              </w:rPr>
              <w:t>数量</w:t>
            </w:r>
          </w:p>
        </w:tc>
        <w:tc>
          <w:tcPr>
            <w:tcW w:w="772" w:type="pct"/>
            <w:tcBorders>
              <w:top w:val="outset" w:color="auto" w:sz="6" w:space="0"/>
              <w:left w:val="outset" w:color="auto" w:sz="6" w:space="0"/>
              <w:bottom w:val="outset" w:color="auto" w:sz="6" w:space="0"/>
              <w:right w:val="outset" w:color="auto" w:sz="6" w:space="0"/>
            </w:tcBorders>
            <w:shd w:val="clear" w:color="auto" w:fill="auto"/>
            <w:vAlign w:val="center"/>
          </w:tcPr>
          <w:p w14:paraId="52C385DA">
            <w:pPr>
              <w:pStyle w:val="34"/>
              <w:widowControl w:val="0"/>
              <w:wordWrap w:val="0"/>
              <w:spacing w:line="440" w:lineRule="exact"/>
              <w:jc w:val="center"/>
              <w:rPr>
                <w:rFonts w:hint="default" w:ascii="宋体" w:hAnsi="宋体"/>
                <w:color w:val="auto"/>
                <w:sz w:val="24"/>
                <w:highlight w:val="none"/>
              </w:rPr>
            </w:pPr>
            <w:r>
              <w:rPr>
                <w:rFonts w:ascii="宋体" w:hAnsi="宋体"/>
                <w:color w:val="auto"/>
                <w:sz w:val="24"/>
                <w:szCs w:val="24"/>
                <w:highlight w:val="none"/>
              </w:rPr>
              <w:t>所属行业</w:t>
            </w:r>
          </w:p>
        </w:tc>
        <w:tc>
          <w:tcPr>
            <w:tcW w:w="612" w:type="pct"/>
            <w:tcBorders>
              <w:top w:val="outset" w:color="auto" w:sz="6" w:space="0"/>
              <w:left w:val="outset" w:color="auto" w:sz="6" w:space="0"/>
              <w:bottom w:val="outset" w:color="auto" w:sz="6" w:space="0"/>
              <w:right w:val="outset" w:color="auto" w:sz="6" w:space="0"/>
            </w:tcBorders>
            <w:shd w:val="clear" w:color="auto" w:fill="auto"/>
            <w:vAlign w:val="center"/>
          </w:tcPr>
          <w:p w14:paraId="3E35D018">
            <w:pPr>
              <w:widowControl/>
              <w:jc w:val="center"/>
              <w:rPr>
                <w:color w:val="auto"/>
                <w:highlight w:val="none"/>
              </w:rPr>
            </w:pPr>
            <w:r>
              <w:rPr>
                <w:rFonts w:ascii="宋体" w:hAnsi="宋体"/>
                <w:color w:val="auto"/>
                <w:kern w:val="0"/>
                <w:sz w:val="24"/>
                <w:highlight w:val="none"/>
              </w:rPr>
              <w:t>磋商保证金</w:t>
            </w:r>
            <w:r>
              <w:rPr>
                <w:rFonts w:hint="eastAsia" w:ascii="宋体" w:hAnsi="宋体"/>
                <w:color w:val="auto"/>
                <w:kern w:val="0"/>
                <w:sz w:val="24"/>
                <w:highlight w:val="none"/>
              </w:rPr>
              <w:t>（元）</w:t>
            </w:r>
          </w:p>
        </w:tc>
      </w:tr>
      <w:tr w14:paraId="19D5A1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2" w:hRule="atLeast"/>
          <w:tblHeader/>
        </w:trPr>
        <w:tc>
          <w:tcPr>
            <w:tcW w:w="385" w:type="pct"/>
            <w:tcBorders>
              <w:top w:val="outset" w:color="auto" w:sz="6" w:space="0"/>
              <w:left w:val="outset" w:color="auto" w:sz="6" w:space="0"/>
              <w:bottom w:val="outset" w:color="auto" w:sz="6" w:space="0"/>
              <w:right w:val="outset" w:color="auto" w:sz="6" w:space="0"/>
            </w:tcBorders>
            <w:shd w:val="clear" w:color="auto" w:fill="auto"/>
            <w:vAlign w:val="center"/>
          </w:tcPr>
          <w:p w14:paraId="7D518E3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387" w:type="pct"/>
            <w:tcBorders>
              <w:top w:val="outset" w:color="auto" w:sz="6" w:space="0"/>
              <w:left w:val="outset" w:color="auto" w:sz="6" w:space="0"/>
              <w:bottom w:val="outset" w:color="auto" w:sz="6" w:space="0"/>
              <w:right w:val="outset" w:color="auto" w:sz="6" w:space="0"/>
            </w:tcBorders>
            <w:shd w:val="clear" w:color="auto" w:fill="auto"/>
            <w:vAlign w:val="center"/>
          </w:tcPr>
          <w:p w14:paraId="4A66EA3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w:t>
            </w:r>
          </w:p>
        </w:tc>
        <w:tc>
          <w:tcPr>
            <w:tcW w:w="1714" w:type="pct"/>
            <w:tcBorders>
              <w:top w:val="outset" w:color="auto" w:sz="6" w:space="0"/>
              <w:left w:val="outset" w:color="auto" w:sz="6" w:space="0"/>
              <w:bottom w:val="outset" w:color="auto" w:sz="6" w:space="0"/>
              <w:right w:val="outset" w:color="auto" w:sz="6" w:space="0"/>
            </w:tcBorders>
            <w:shd w:val="clear" w:color="auto" w:fill="auto"/>
            <w:vAlign w:val="center"/>
          </w:tcPr>
          <w:p w14:paraId="0D7E1884">
            <w:pPr>
              <w:widowControl/>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福州机场出入境边防检查站执法办案管理中心改造工程</w:t>
            </w:r>
          </w:p>
        </w:tc>
        <w:tc>
          <w:tcPr>
            <w:tcW w:w="655" w:type="pct"/>
            <w:tcBorders>
              <w:top w:val="outset" w:color="auto" w:sz="6" w:space="0"/>
              <w:left w:val="outset" w:color="auto" w:sz="6" w:space="0"/>
              <w:bottom w:val="outset" w:color="auto" w:sz="6" w:space="0"/>
              <w:right w:val="outset" w:color="auto" w:sz="6" w:space="0"/>
            </w:tcBorders>
            <w:shd w:val="clear" w:color="auto" w:fill="auto"/>
            <w:vAlign w:val="center"/>
          </w:tcPr>
          <w:p w14:paraId="57E412F2">
            <w:pPr>
              <w:widowControl/>
              <w:jc w:val="center"/>
              <w:rPr>
                <w:rFonts w:hint="eastAsia" w:ascii="宋体" w:hAnsi="宋体" w:eastAsia="宋体" w:cs="宋体"/>
                <w:color w:val="auto"/>
                <w:kern w:val="0"/>
                <w:sz w:val="24"/>
                <w:highlight w:val="none"/>
                <w:lang w:val="en-US"/>
              </w:rPr>
            </w:pPr>
            <w:r>
              <w:rPr>
                <w:rFonts w:hint="eastAsia" w:ascii="宋体" w:hAnsi="宋体" w:eastAsia="宋体" w:cs="宋体"/>
                <w:color w:val="auto"/>
                <w:kern w:val="0"/>
                <w:sz w:val="24"/>
                <w:szCs w:val="24"/>
                <w:highlight w:val="none"/>
                <w:u w:val="none"/>
                <w:lang w:val="en-US" w:eastAsia="zh-CN" w:bidi="ar-SA"/>
              </w:rPr>
              <w:t>2968318</w:t>
            </w:r>
          </w:p>
        </w:tc>
        <w:tc>
          <w:tcPr>
            <w:tcW w:w="471" w:type="pct"/>
            <w:tcBorders>
              <w:top w:val="outset" w:color="auto" w:sz="6" w:space="0"/>
              <w:left w:val="outset" w:color="auto" w:sz="6" w:space="0"/>
              <w:bottom w:val="outset" w:color="auto" w:sz="6" w:space="0"/>
              <w:right w:val="outset" w:color="auto" w:sz="6" w:space="0"/>
            </w:tcBorders>
            <w:shd w:val="clear" w:color="auto" w:fill="auto"/>
            <w:vAlign w:val="center"/>
          </w:tcPr>
          <w:p w14:paraId="546F73EA">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1项</w:t>
            </w:r>
          </w:p>
        </w:tc>
        <w:tc>
          <w:tcPr>
            <w:tcW w:w="772" w:type="pct"/>
            <w:tcBorders>
              <w:top w:val="outset" w:color="auto" w:sz="6" w:space="0"/>
              <w:left w:val="outset" w:color="auto" w:sz="6" w:space="0"/>
              <w:bottom w:val="outset" w:color="auto" w:sz="6" w:space="0"/>
              <w:right w:val="outset" w:color="auto" w:sz="6" w:space="0"/>
            </w:tcBorders>
            <w:shd w:val="clear" w:color="auto" w:fill="auto"/>
            <w:vAlign w:val="center"/>
          </w:tcPr>
          <w:p w14:paraId="0337D3C2">
            <w:pPr>
              <w:pStyle w:val="34"/>
              <w:widowControl w:val="0"/>
              <w:wordWrap w:val="0"/>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建筑业</w:t>
            </w:r>
          </w:p>
        </w:tc>
        <w:tc>
          <w:tcPr>
            <w:tcW w:w="612" w:type="pct"/>
            <w:tcBorders>
              <w:top w:val="outset" w:color="auto" w:sz="6" w:space="0"/>
              <w:left w:val="outset" w:color="auto" w:sz="6" w:space="0"/>
              <w:bottom w:val="outset" w:color="auto" w:sz="6" w:space="0"/>
              <w:right w:val="outset" w:color="auto" w:sz="6" w:space="0"/>
            </w:tcBorders>
            <w:shd w:val="clear" w:color="auto" w:fill="auto"/>
            <w:vAlign w:val="center"/>
          </w:tcPr>
          <w:p w14:paraId="2D091320">
            <w:pPr>
              <w:widowControl/>
              <w:jc w:val="center"/>
              <w:rPr>
                <w:rFonts w:hint="eastAsia" w:ascii="宋体" w:hAnsi="宋体" w:eastAsia="宋体" w:cs="宋体"/>
                <w:color w:val="auto"/>
                <w:kern w:val="0"/>
                <w:sz w:val="24"/>
                <w:highlight w:val="none"/>
                <w:lang w:val="en-US"/>
              </w:rPr>
            </w:pPr>
            <w:r>
              <w:rPr>
                <w:rFonts w:hint="eastAsia" w:ascii="宋体" w:hAnsi="宋体" w:eastAsia="宋体" w:cs="宋体"/>
                <w:color w:val="auto"/>
                <w:kern w:val="0"/>
                <w:sz w:val="24"/>
                <w:szCs w:val="24"/>
                <w:highlight w:val="none"/>
                <w:u w:val="none"/>
                <w:lang w:val="en-US" w:eastAsia="zh-CN" w:bidi="ar-SA"/>
              </w:rPr>
              <w:t>29683</w:t>
            </w:r>
          </w:p>
        </w:tc>
      </w:tr>
    </w:tbl>
    <w:p w14:paraId="55E95B8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采购项目需要落实的政府采购政策：进口产品，不适用于项目。节能产品，不适用于项目。环境标志产品，不适用于项目。信息安全产品，不适用于项目。小型、微型企业，适用于项目。监狱企业，适用于项目。促进残疾人就业，适用于项目。信用记录，适用于项目，按照下列规定执行：（1）供应商针对“信用信息查询结果”可自主提供证明材料，未提供该证明材料的不视为响应无效。（2）查询结果的审查：①由磋商小组通过“信用中国”网站（www.creditchina.gov.cn）、中国政府采购网（www.ccgp.gov.cn）查询并打印供应商信用记录（以下简称：“由磋商小组的查询结果”）。②因上述网站原因导致由磋商小组无法查询供应商人信用记录的（由磋商小组应将通过上述网站查询供应商信用记录时的原始页面打印后随采购文件一并存档），视为查询结果未存在供应商应被拒绝参与政府采购活动相关的信息。③若此项规定与竞争性磋商文件其他部分有矛盾的，以此项规定为准。④查询结果存在供应商应被拒绝参与政府采购活动相关信息的，其资格审查不合格。其他政策：详见竞争性磋商文件。</w:t>
      </w:r>
    </w:p>
    <w:p w14:paraId="68165755">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5.供应商的资格要求：</w:t>
      </w:r>
    </w:p>
    <w:p w14:paraId="1B9E7E7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5.1法定条件：符合《中华人民共和国政府采购法》第二十二条第一款规定的条件。</w:t>
      </w:r>
    </w:p>
    <w:p w14:paraId="340598D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5.2特定条件：</w:t>
      </w:r>
    </w:p>
    <w:p w14:paraId="79EDB060">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包1：</w:t>
      </w:r>
    </w:p>
    <w:tbl>
      <w:tblPr>
        <w:tblStyle w:val="20"/>
        <w:tblW w:w="9776" w:type="dxa"/>
        <w:tblCellSpacing w:w="0" w:type="dxa"/>
        <w:tblInd w:w="1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808"/>
        <w:gridCol w:w="5968"/>
      </w:tblGrid>
      <w:tr w14:paraId="5F3B4E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2" w:hRule="atLeast"/>
          <w:tblCellSpacing w:w="0" w:type="dxa"/>
        </w:trPr>
        <w:tc>
          <w:tcPr>
            <w:tcW w:w="3808" w:type="dxa"/>
            <w:vAlign w:val="center"/>
          </w:tcPr>
          <w:p w14:paraId="3DEF1928">
            <w:pPr>
              <w:widowControl/>
              <w:jc w:val="center"/>
              <w:rPr>
                <w:rFonts w:ascii="宋体" w:hAnsi="宋体"/>
                <w:b/>
                <w:color w:val="auto"/>
                <w:highlight w:val="none"/>
              </w:rPr>
            </w:pPr>
            <w:bookmarkStart w:id="0" w:name="OLE_LINK2" w:colFirst="0" w:colLast="1"/>
            <w:r>
              <w:rPr>
                <w:rFonts w:hint="eastAsia" w:ascii="宋体" w:hAnsi="宋体"/>
                <w:b/>
                <w:color w:val="auto"/>
                <w:kern w:val="0"/>
                <w:sz w:val="24"/>
                <w:highlight w:val="none"/>
              </w:rPr>
              <w:t>明细</w:t>
            </w:r>
          </w:p>
        </w:tc>
        <w:tc>
          <w:tcPr>
            <w:tcW w:w="5968" w:type="dxa"/>
            <w:vAlign w:val="center"/>
          </w:tcPr>
          <w:p w14:paraId="5ECD34A6">
            <w:pPr>
              <w:widowControl/>
              <w:jc w:val="center"/>
              <w:rPr>
                <w:rFonts w:ascii="宋体" w:hAnsi="宋体"/>
                <w:b/>
                <w:color w:val="auto"/>
                <w:highlight w:val="none"/>
              </w:rPr>
            </w:pPr>
            <w:r>
              <w:rPr>
                <w:rFonts w:hint="eastAsia" w:ascii="宋体" w:hAnsi="宋体"/>
                <w:b/>
                <w:color w:val="auto"/>
                <w:kern w:val="0"/>
                <w:sz w:val="24"/>
                <w:highlight w:val="none"/>
              </w:rPr>
              <w:t>描述</w:t>
            </w:r>
          </w:p>
        </w:tc>
      </w:tr>
      <w:tr w14:paraId="0FA299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4" w:hRule="atLeast"/>
          <w:tblCellSpacing w:w="0" w:type="dxa"/>
        </w:trPr>
        <w:tc>
          <w:tcPr>
            <w:tcW w:w="3808" w:type="dxa"/>
            <w:vAlign w:val="center"/>
          </w:tcPr>
          <w:p w14:paraId="6E9D5ADF">
            <w:pPr>
              <w:pStyle w:val="34"/>
              <w:jc w:val="center"/>
              <w:rPr>
                <w:rFonts w:hint="default" w:ascii="宋体" w:hAnsi="宋体"/>
                <w:b/>
                <w:color w:val="auto"/>
                <w:sz w:val="24"/>
                <w:highlight w:val="none"/>
              </w:rPr>
            </w:pPr>
            <w:r>
              <w:rPr>
                <w:rFonts w:ascii="宋体" w:hAnsi="宋体"/>
                <w:color w:val="auto"/>
                <w:sz w:val="24"/>
                <w:szCs w:val="24"/>
                <w:highlight w:val="none"/>
              </w:rPr>
              <w:t>其他资格要求1</w:t>
            </w:r>
          </w:p>
        </w:tc>
        <w:tc>
          <w:tcPr>
            <w:tcW w:w="5968" w:type="dxa"/>
            <w:vAlign w:val="center"/>
          </w:tcPr>
          <w:p w14:paraId="4D6E6D02">
            <w:pPr>
              <w:pStyle w:val="34"/>
              <w:jc w:val="both"/>
              <w:rPr>
                <w:rFonts w:hint="default" w:ascii="宋体" w:hAnsi="宋体"/>
                <w:color w:val="auto"/>
                <w:sz w:val="24"/>
                <w:szCs w:val="24"/>
                <w:highlight w:val="none"/>
              </w:rPr>
            </w:pPr>
            <w:r>
              <w:rPr>
                <w:rFonts w:ascii="宋体" w:hAnsi="宋体"/>
                <w:color w:val="auto"/>
                <w:sz w:val="24"/>
                <w:szCs w:val="24"/>
                <w:highlight w:val="none"/>
              </w:rPr>
              <w:t>供应商具备建筑装修装饰工程专业承包二级及以上资质和《施工企业安全生产许可证》复印件。</w:t>
            </w:r>
          </w:p>
        </w:tc>
      </w:tr>
      <w:tr w14:paraId="22AF93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39D04B68">
            <w:pPr>
              <w:pStyle w:val="34"/>
              <w:jc w:val="center"/>
              <w:rPr>
                <w:rFonts w:hint="default" w:ascii="宋体" w:hAnsi="宋体"/>
                <w:b/>
                <w:color w:val="auto"/>
                <w:sz w:val="24"/>
                <w:highlight w:val="none"/>
              </w:rPr>
            </w:pPr>
            <w:r>
              <w:rPr>
                <w:rFonts w:ascii="宋体" w:hAnsi="宋体"/>
                <w:color w:val="auto"/>
                <w:sz w:val="24"/>
                <w:szCs w:val="24"/>
                <w:highlight w:val="none"/>
              </w:rPr>
              <w:t>其他资格要求2</w:t>
            </w:r>
          </w:p>
        </w:tc>
        <w:tc>
          <w:tcPr>
            <w:tcW w:w="5968" w:type="dxa"/>
            <w:vAlign w:val="center"/>
          </w:tcPr>
          <w:p w14:paraId="6AA2C6ED">
            <w:pPr>
              <w:pStyle w:val="34"/>
              <w:jc w:val="both"/>
              <w:rPr>
                <w:rFonts w:hint="default" w:ascii="宋体" w:hAnsi="宋体"/>
                <w:b/>
                <w:color w:val="auto"/>
                <w:sz w:val="24"/>
                <w:highlight w:val="none"/>
              </w:rPr>
            </w:pPr>
            <w:r>
              <w:rPr>
                <w:rFonts w:ascii="宋体" w:hAnsi="宋体"/>
                <w:color w:val="auto"/>
                <w:sz w:val="24"/>
                <w:szCs w:val="24"/>
                <w:highlight w:val="none"/>
              </w:rPr>
              <w:t>供应商拟担任本项目的项目负责人（即项目经理）须具备有效的不低于二级建筑工程专业注册建造师执业资格，并具备有效的安全生产考核合格证书（B证）。拟派出项目负责人必须为供应商本企业在岗人员，以注册建造师证书上的注册单位为准。须提供注册建造师执业资格证书、安全生产考核合格证书B证及</w:t>
            </w:r>
            <w:r>
              <w:rPr>
                <w:rFonts w:ascii="宋体" w:hAnsi="宋体"/>
                <w:color w:val="auto"/>
                <w:sz w:val="22"/>
                <w:szCs w:val="22"/>
                <w:highlight w:val="none"/>
              </w:rPr>
              <w:t>提交响应文件前六个月（不含响应截止时间当月）内任一个月由供应商为其缴纳的社会保险凭据复印件</w:t>
            </w:r>
            <w:r>
              <w:rPr>
                <w:rFonts w:ascii="宋体" w:hAnsi="宋体"/>
                <w:color w:val="auto"/>
                <w:sz w:val="24"/>
                <w:szCs w:val="24"/>
                <w:highlight w:val="none"/>
              </w:rPr>
              <w:t>。</w:t>
            </w:r>
          </w:p>
        </w:tc>
      </w:tr>
      <w:tr w14:paraId="72316C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5EB9FB5E">
            <w:pPr>
              <w:widowControl/>
              <w:jc w:val="left"/>
              <w:rPr>
                <w:rFonts w:ascii="宋体" w:hAnsi="宋体"/>
                <w:color w:val="auto"/>
                <w:sz w:val="24"/>
                <w:highlight w:val="none"/>
              </w:rPr>
            </w:pPr>
            <w:r>
              <w:rPr>
                <w:rFonts w:ascii="宋体" w:hAnsi="宋体"/>
                <w:color w:val="auto"/>
                <w:kern w:val="0"/>
                <w:sz w:val="24"/>
                <w:highlight w:val="none"/>
              </w:rPr>
              <w:t>落实政府采购政策的证明材料（专门面向中小企业采购）</w:t>
            </w:r>
          </w:p>
        </w:tc>
        <w:tc>
          <w:tcPr>
            <w:tcW w:w="5968" w:type="dxa"/>
            <w:vAlign w:val="center"/>
          </w:tcPr>
          <w:p w14:paraId="4B399F1E">
            <w:pPr>
              <w:widowControl/>
              <w:jc w:val="left"/>
              <w:rPr>
                <w:rFonts w:ascii="宋体" w:hAnsi="宋体"/>
                <w:color w:val="auto"/>
                <w:sz w:val="24"/>
                <w:highlight w:val="none"/>
              </w:rPr>
            </w:pPr>
            <w:r>
              <w:rPr>
                <w:rFonts w:ascii="宋体" w:hAnsi="宋体"/>
                <w:color w:val="auto"/>
                <w:kern w:val="0"/>
                <w:sz w:val="24"/>
                <w:highlight w:val="none"/>
              </w:rPr>
              <w:t>①本项目专门面向符合财政部、工信部文件（财库〔2020〕46号）规定的中、小、微企业。</w:t>
            </w:r>
            <w:r>
              <w:rPr>
                <w:rFonts w:hint="eastAsia" w:ascii="宋体" w:hAnsi="宋体"/>
                <w:color w:val="auto"/>
                <w:kern w:val="0"/>
                <w:sz w:val="24"/>
                <w:highlight w:val="none"/>
              </w:rPr>
              <w:t>供应商</w:t>
            </w:r>
            <w:r>
              <w:rPr>
                <w:rFonts w:ascii="宋体" w:hAnsi="宋体"/>
                <w:color w:val="auto"/>
                <w:kern w:val="0"/>
                <w:sz w:val="24"/>
                <w:highlight w:val="none"/>
              </w:rPr>
              <w:t>须提供《中小企业声明函》。</w:t>
            </w:r>
            <w:r>
              <w:rPr>
                <w:rFonts w:hint="eastAsia" w:ascii="宋体" w:hAnsi="宋体"/>
                <w:color w:val="auto"/>
                <w:kern w:val="0"/>
                <w:sz w:val="24"/>
                <w:highlight w:val="none"/>
              </w:rPr>
              <w:t>供应商</w:t>
            </w:r>
            <w:r>
              <w:rPr>
                <w:rFonts w:ascii="宋体" w:hAnsi="宋体"/>
                <w:color w:val="auto"/>
                <w:kern w:val="0"/>
                <w:sz w:val="24"/>
                <w:highlight w:val="none"/>
              </w:rPr>
              <w:t>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w:t>
            </w:r>
            <w:r>
              <w:rPr>
                <w:rFonts w:hint="eastAsia" w:ascii="宋体" w:hAnsi="宋体"/>
                <w:color w:val="auto"/>
                <w:kern w:val="0"/>
                <w:sz w:val="24"/>
                <w:highlight w:val="none"/>
              </w:rPr>
              <w:t>供应商</w:t>
            </w:r>
            <w:r>
              <w:rPr>
                <w:rFonts w:ascii="宋体" w:hAnsi="宋体"/>
                <w:color w:val="auto"/>
                <w:kern w:val="0"/>
                <w:sz w:val="24"/>
                <w:highlight w:val="none"/>
              </w:rPr>
              <w:t>为监狱企业的，可不提供中小企业声明函，但须提供由省级以上监狱管理局、戒毒管理局（含新疆生产建设兵团）出具的属于监狱企业的证明文件。③残疾人福利性单位视同小型、微型企业，</w:t>
            </w:r>
            <w:r>
              <w:rPr>
                <w:rFonts w:hint="eastAsia" w:ascii="宋体" w:hAnsi="宋体"/>
                <w:color w:val="auto"/>
                <w:kern w:val="0"/>
                <w:sz w:val="24"/>
                <w:highlight w:val="none"/>
              </w:rPr>
              <w:t>供应商</w:t>
            </w:r>
            <w:r>
              <w:rPr>
                <w:rFonts w:ascii="宋体" w:hAnsi="宋体"/>
                <w:color w:val="auto"/>
                <w:kern w:val="0"/>
                <w:sz w:val="24"/>
                <w:highlight w:val="none"/>
              </w:rPr>
              <w:t>为残疾人福利性单位的，可不提供中小企业声明函，但须提供的《残疾人福利性单位声明函》。注：本项目为</w:t>
            </w:r>
            <w:r>
              <w:rPr>
                <w:rFonts w:hint="eastAsia" w:ascii="宋体" w:hAnsi="宋体"/>
                <w:color w:val="auto"/>
                <w:kern w:val="0"/>
                <w:sz w:val="24"/>
                <w:highlight w:val="none"/>
              </w:rPr>
              <w:t>工程</w:t>
            </w:r>
            <w:r>
              <w:rPr>
                <w:rFonts w:ascii="宋体" w:hAnsi="宋体"/>
                <w:color w:val="auto"/>
                <w:kern w:val="0"/>
                <w:sz w:val="24"/>
                <w:highlight w:val="none"/>
              </w:rPr>
              <w:t>类采购项目，采购标的对应的中小企业划分标准所属行业为</w:t>
            </w:r>
            <w:r>
              <w:rPr>
                <w:rStyle w:val="23"/>
                <w:rFonts w:hint="eastAsia" w:ascii="宋体" w:hAnsi="宋体"/>
                <w:bCs/>
                <w:color w:val="auto"/>
                <w:kern w:val="0"/>
                <w:sz w:val="24"/>
                <w:highlight w:val="none"/>
              </w:rPr>
              <w:t>建筑业</w:t>
            </w:r>
            <w:r>
              <w:rPr>
                <w:rFonts w:ascii="宋体" w:hAnsi="宋体"/>
                <w:color w:val="auto"/>
                <w:kern w:val="0"/>
                <w:sz w:val="24"/>
                <w:highlight w:val="none"/>
              </w:rPr>
              <w:t>。</w:t>
            </w:r>
          </w:p>
        </w:tc>
      </w:tr>
      <w:tr w14:paraId="2DB656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0C46BC19">
            <w:pPr>
              <w:widowControl/>
              <w:wordWrap w:val="0"/>
              <w:spacing w:line="400" w:lineRule="exact"/>
              <w:jc w:val="center"/>
              <w:rPr>
                <w:rFonts w:ascii="宋体" w:hAnsi="宋体"/>
                <w:color w:val="auto"/>
                <w:kern w:val="0"/>
                <w:sz w:val="24"/>
                <w:highlight w:val="none"/>
              </w:rPr>
            </w:pPr>
            <w:r>
              <w:rPr>
                <w:rFonts w:hint="eastAsia" w:ascii="宋体" w:hAnsi="宋体"/>
                <w:color w:val="auto"/>
                <w:kern w:val="0"/>
                <w:sz w:val="24"/>
                <w:highlight w:val="none"/>
              </w:rPr>
              <w:t>资格承诺函</w:t>
            </w:r>
          </w:p>
        </w:tc>
        <w:tc>
          <w:tcPr>
            <w:tcW w:w="5968" w:type="dxa"/>
            <w:vAlign w:val="center"/>
          </w:tcPr>
          <w:p w14:paraId="30685C0D">
            <w:pPr>
              <w:snapToGrid w:val="0"/>
              <w:spacing w:line="360" w:lineRule="exact"/>
              <w:rPr>
                <w:rFonts w:ascii="宋体" w:hAnsi="宋体"/>
                <w:color w:val="auto"/>
                <w:kern w:val="0"/>
                <w:sz w:val="24"/>
                <w:highlight w:val="none"/>
              </w:rPr>
            </w:pPr>
            <w:r>
              <w:rPr>
                <w:rFonts w:hint="eastAsia" w:ascii="宋体" w:hAnsi="宋体"/>
                <w:color w:val="auto"/>
                <w:kern w:val="0"/>
                <w:sz w:val="24"/>
                <w:highlight w:val="none"/>
              </w:rPr>
              <w:t>根据《福建省财政厅关于印发推行政府采购供应商资格承诺制指导意见的通知》（闽财购(2024)6号）的规定，依法在福建省参与政府采购活动的供应商，鼓励提供《政府采购供应商资格承诺函》(格式见“</w:t>
            </w:r>
            <w:r>
              <w:rPr>
                <w:rFonts w:hint="eastAsia" w:ascii="宋体" w:hAnsi="宋体"/>
                <w:color w:val="auto"/>
                <w:sz w:val="24"/>
                <w:highlight w:val="none"/>
              </w:rPr>
              <w:t>第五章响应文件格式”</w:t>
            </w:r>
            <w:r>
              <w:rPr>
                <w:rFonts w:hint="eastAsia" w:ascii="宋体" w:hAnsi="宋体"/>
                <w:color w:val="auto"/>
                <w:kern w:val="0"/>
                <w:sz w:val="24"/>
                <w:highlight w:val="none"/>
              </w:rPr>
              <w:t>的“福建省政府采购供应商资格承诺函”)，在投标(响应)文件中可不提供《中华人民共和国政府采购法实施条例》第十七条第一款规定的资格条件证明材料（</w:t>
            </w:r>
            <w:r>
              <w:rPr>
                <w:rFonts w:hint="eastAsia" w:ascii="宋体" w:hAnsi="宋体"/>
                <w:color w:val="auto"/>
                <w:spacing w:val="-3"/>
                <w:sz w:val="24"/>
                <w:highlight w:val="none"/>
              </w:rPr>
              <w:t>证明材料指法人或者其他组织的营业执照等证明文件、财务状况报告证明文件、依法缴纳税收和社会保障资金的证明文件、</w:t>
            </w:r>
            <w:r>
              <w:rPr>
                <w:rFonts w:hint="eastAsia" w:ascii="宋体" w:hAnsi="宋体"/>
                <w:color w:val="auto"/>
                <w:kern w:val="0"/>
                <w:sz w:val="24"/>
                <w:highlight w:val="none"/>
              </w:rPr>
              <w:t>具备履行合同所必需设备和专业技术能力的声明函、参加政府采购活动前三</w:t>
            </w:r>
            <w:r>
              <w:rPr>
                <w:rFonts w:hint="eastAsia" w:ascii="宋体" w:hAnsi="宋体"/>
                <w:color w:val="auto"/>
                <w:spacing w:val="-5"/>
                <w:sz w:val="24"/>
                <w:highlight w:val="none"/>
              </w:rPr>
              <w:t>年内在经营活动中没有重大违法记录的书面声明</w:t>
            </w:r>
            <w:r>
              <w:rPr>
                <w:rFonts w:hint="eastAsia" w:ascii="宋体" w:hAnsi="宋体"/>
                <w:color w:val="auto"/>
                <w:spacing w:val="20"/>
                <w:sz w:val="24"/>
                <w:highlight w:val="none"/>
              </w:rPr>
              <w:t>）</w:t>
            </w:r>
            <w:r>
              <w:rPr>
                <w:rFonts w:hint="eastAsia" w:ascii="宋体" w:hAnsi="宋体"/>
                <w:color w:val="auto"/>
                <w:kern w:val="0"/>
                <w:sz w:val="24"/>
                <w:highlight w:val="none"/>
              </w:rPr>
              <w:t>。供应商应对其承诺内容的真实性、合法性、有效性负责。</w:t>
            </w:r>
          </w:p>
          <w:bookmarkEnd w:id="0"/>
        </w:tc>
      </w:tr>
    </w:tbl>
    <w:p w14:paraId="49C7EFD1">
      <w:pPr>
        <w:pStyle w:val="17"/>
        <w:widowControl/>
        <w:spacing w:beforeAutospacing="0" w:afterAutospacing="0" w:line="400" w:lineRule="exact"/>
        <w:rPr>
          <w:rFonts w:ascii="宋体" w:hAnsi="宋体" w:cs="宋体"/>
          <w:color w:val="auto"/>
          <w:highlight w:val="none"/>
        </w:rPr>
      </w:pPr>
    </w:p>
    <w:p w14:paraId="62B1CD7B">
      <w:pPr>
        <w:pStyle w:val="17"/>
        <w:widowControl/>
        <w:spacing w:beforeAutospacing="0" w:afterAutospacing="0" w:line="400" w:lineRule="exact"/>
        <w:ind w:firstLine="480"/>
        <w:rPr>
          <w:color w:val="auto"/>
          <w:highlight w:val="none"/>
        </w:rPr>
      </w:pPr>
      <w:r>
        <w:rPr>
          <w:rFonts w:hint="eastAsia" w:ascii="宋体" w:hAnsi="宋体" w:cs="宋体"/>
          <w:color w:val="auto"/>
          <w:highlight w:val="none"/>
        </w:rPr>
        <w:t>5.3是否接受联合体形式的响应磋商：不接受</w:t>
      </w:r>
    </w:p>
    <w:p w14:paraId="46EE917E">
      <w:pPr>
        <w:pStyle w:val="17"/>
        <w:widowControl/>
        <w:spacing w:beforeAutospacing="0" w:afterAutospacing="0" w:line="400" w:lineRule="exact"/>
        <w:ind w:firstLine="480"/>
        <w:rPr>
          <w:color w:val="auto"/>
          <w:highlight w:val="none"/>
        </w:rPr>
      </w:pPr>
      <w:r>
        <w:rPr>
          <w:rStyle w:val="23"/>
          <w:rFonts w:hint="eastAsia" w:ascii="宋体" w:hAnsi="宋体" w:cs="宋体"/>
          <w:bCs/>
          <w:color w:val="auto"/>
          <w:highlight w:val="none"/>
        </w:rPr>
        <w:t>※根据上述资格要求，供应商响应文件中应提交的“资格证明文件”相关规定和资料要求，详见竞争性磋商须知前附表和磋商文件第五章。</w:t>
      </w:r>
    </w:p>
    <w:p w14:paraId="30742229">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6、报名</w:t>
      </w:r>
    </w:p>
    <w:p w14:paraId="6F13B2D7">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6.1报名期限：详见磋商公告或更正公告（若有），若不一致，以更正公告（若有）为准。</w:t>
      </w:r>
    </w:p>
    <w:p w14:paraId="4FB479BF">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6.2竞争性磋商文件售价100元人民币，售后不退。如需邮寄，另加50元人民币特快专递费；采购代理机构不对邮寄过程中的遗失负责。参加本项目投标的供应商必须购买本竞争性磋商文件。购买方式可通过直接到采购代理机构购买或通过传真和电子邮件购买，未购买竞争性磋商文件的供应商投标将被拒绝。</w:t>
      </w:r>
    </w:p>
    <w:p w14:paraId="265103BB">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通过传真和电子邮件购买的，潜在供应商须将购买标书费用通过电汇或转帐形式汇入磋商公告中注明的采购代理机构银行账户，同时将电汇或转账底单及参加投标的项目名称、项目编号、合同包号、单位名称、联系人、联系电话、手机、传真、电子邮箱和单位地址填写清楚并加盖供应商公章发送至采购代理机构。</w:t>
      </w:r>
    </w:p>
    <w:p w14:paraId="2FA267A2">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7、竞争性磋商文件的获取</w:t>
      </w:r>
    </w:p>
    <w:p w14:paraId="57156106">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7.1竞争性磋商文件提供期限：详见磋商公告或更正公告（若有），若不一致，以更正公告（若有）为准。</w:t>
      </w:r>
    </w:p>
    <w:p w14:paraId="73D42B06">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7.2获取地点及方式：福建信发招标代理有限公司（</w:t>
      </w:r>
      <w:r>
        <w:rPr>
          <w:rFonts w:hint="eastAsia" w:ascii="宋体" w:hAnsi="宋体" w:cs="宋体"/>
          <w:color w:val="auto"/>
          <w:highlight w:val="none"/>
          <w:lang w:eastAsia="zh-CN"/>
        </w:rPr>
        <w:t>福州市晋安区华林路257号福侨大厦14层（斗门地铁站C出口步行150米</w:t>
      </w:r>
      <w:r>
        <w:rPr>
          <w:rFonts w:hint="eastAsia" w:ascii="宋体" w:hAnsi="宋体" w:cs="宋体"/>
          <w:color w:val="auto"/>
          <w:highlight w:val="none"/>
        </w:rPr>
        <w:t>）。</w:t>
      </w:r>
    </w:p>
    <w:p w14:paraId="12F03DC7">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8、投标截止</w:t>
      </w:r>
    </w:p>
    <w:p w14:paraId="425AD258">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8.1磋商截止时间：详见磋商公告或更正公告（若有），若不一致，以更正公告（若有）为准。</w:t>
      </w:r>
    </w:p>
    <w:p w14:paraId="2C8D8E2E">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8.2供应商应在首次响应文件递交截止时间将密封的纸质响应文件送达竞争性磋商文件第一章第9条载明的地点，否则投标将被拒绝。</w:t>
      </w:r>
    </w:p>
    <w:p w14:paraId="198B0FB7">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9、磋商时间及地点：详见磋商公告或更正公告（若有），若不一致，以更正公告（若有）为准。 </w:t>
      </w:r>
    </w:p>
    <w:p w14:paraId="2093B034">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10、竞争性磋商公告期限：自财政部和福建省财政厅指定的政府采购信息发布媒体最先发布公告之日起3个工作日。</w:t>
      </w:r>
    </w:p>
    <w:p w14:paraId="6B8255CC">
      <w:pPr>
        <w:pStyle w:val="17"/>
        <w:widowControl/>
        <w:spacing w:beforeAutospacing="0" w:afterAutospacing="0" w:line="400" w:lineRule="exact"/>
        <w:ind w:firstLine="480" w:firstLineChars="200"/>
        <w:rPr>
          <w:rFonts w:ascii="宋体" w:hAnsi="宋体" w:cs="宋体"/>
          <w:color w:val="auto"/>
          <w:highlight w:val="none"/>
        </w:rPr>
      </w:pPr>
      <w:r>
        <w:rPr>
          <w:rFonts w:hint="eastAsia" w:ascii="宋体" w:hAnsi="宋体" w:cs="宋体"/>
          <w:color w:val="auto"/>
          <w:highlight w:val="none"/>
        </w:rPr>
        <w:t>11、采购人：中华人民共和国福州机场出入境边防检查站</w:t>
      </w:r>
    </w:p>
    <w:p w14:paraId="69555AEC">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联系人：</w:t>
      </w:r>
      <w:r>
        <w:rPr>
          <w:rFonts w:hint="eastAsia" w:ascii="宋体" w:hAnsi="宋体" w:cs="宋体"/>
          <w:color w:val="auto"/>
          <w:sz w:val="24"/>
          <w:szCs w:val="24"/>
          <w:highlight w:val="none"/>
        </w:rPr>
        <w:t>孙警官</w:t>
      </w:r>
      <w:r>
        <w:rPr>
          <w:rFonts w:ascii="宋体" w:hAnsi="宋体" w:cs="宋体"/>
          <w:color w:val="auto"/>
          <w:sz w:val="24"/>
          <w:szCs w:val="24"/>
          <w:highlight w:val="none"/>
          <w:lang w:eastAsia="zh-CN"/>
        </w:rPr>
        <w:t xml:space="preserve"> </w:t>
      </w:r>
    </w:p>
    <w:p w14:paraId="4B6BFFA7">
      <w:pPr>
        <w:tabs>
          <w:tab w:val="left" w:pos="2775"/>
        </w:tabs>
        <w:spacing w:line="440" w:lineRule="exact"/>
        <w:ind w:firstLine="480"/>
        <w:rPr>
          <w:rFonts w:ascii="宋体" w:hAnsi="宋体"/>
          <w:color w:val="auto"/>
          <w:sz w:val="24"/>
          <w:highlight w:val="none"/>
        </w:rPr>
      </w:pPr>
      <w:r>
        <w:rPr>
          <w:rFonts w:hint="eastAsia" w:ascii="宋体" w:hAnsi="宋体"/>
          <w:color w:val="auto"/>
          <w:sz w:val="24"/>
          <w:szCs w:val="22"/>
          <w:highlight w:val="none"/>
        </w:rPr>
        <w:t>联系电话：</w:t>
      </w:r>
      <w:bookmarkStart w:id="26" w:name="_GoBack"/>
      <w:bookmarkEnd w:id="26"/>
      <w:r>
        <w:rPr>
          <w:rFonts w:hint="eastAsia" w:ascii="宋体" w:hAnsi="宋体" w:cs="宋体"/>
          <w:color w:val="auto"/>
          <w:sz w:val="24"/>
          <w:szCs w:val="24"/>
          <w:highlight w:val="none"/>
          <w:lang w:eastAsia="zh-CN"/>
        </w:rPr>
        <w:t>0591-28615768</w:t>
      </w:r>
    </w:p>
    <w:p w14:paraId="0CFC81E8">
      <w:pPr>
        <w:spacing w:line="440" w:lineRule="exact"/>
        <w:ind w:firstLine="480" w:firstLineChars="200"/>
        <w:textAlignment w:val="baseline"/>
        <w:rPr>
          <w:rFonts w:ascii="宋体" w:hAnsi="宋体"/>
          <w:color w:val="auto"/>
          <w:sz w:val="24"/>
          <w:highlight w:val="none"/>
        </w:rPr>
      </w:pPr>
      <w:r>
        <w:rPr>
          <w:rFonts w:hint="eastAsia" w:ascii="宋体" w:hAnsi="宋体"/>
          <w:color w:val="auto"/>
          <w:sz w:val="24"/>
          <w:highlight w:val="none"/>
        </w:rPr>
        <w:t>采购人地点：福州市长乐区漳港街道翔通一路7号</w:t>
      </w:r>
    </w:p>
    <w:p w14:paraId="3F07B4E5">
      <w:pPr>
        <w:pStyle w:val="17"/>
        <w:widowControl/>
        <w:spacing w:beforeAutospacing="0" w:afterAutospacing="0" w:line="400" w:lineRule="exact"/>
        <w:ind w:firstLine="480"/>
        <w:rPr>
          <w:rFonts w:ascii="宋体" w:hAnsi="宋体" w:cs="宋体"/>
          <w:color w:val="auto"/>
          <w:highlight w:val="none"/>
        </w:rPr>
      </w:pPr>
      <w:r>
        <w:rPr>
          <w:rFonts w:hint="eastAsia" w:ascii="宋体" w:hAnsi="宋体" w:cs="宋体"/>
          <w:color w:val="auto"/>
          <w:highlight w:val="none"/>
        </w:rPr>
        <w:t>代理机构：福建信发招标代理有限公司</w:t>
      </w:r>
    </w:p>
    <w:p w14:paraId="7F3796EB">
      <w:pPr>
        <w:pStyle w:val="17"/>
        <w:widowControl/>
        <w:spacing w:beforeAutospacing="0" w:afterAutospacing="0" w:line="400" w:lineRule="exact"/>
        <w:ind w:firstLine="480"/>
        <w:rPr>
          <w:rFonts w:hint="eastAsia" w:eastAsia="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福州市晋安区华林路257号福侨大厦14层（斗门地铁站C出口步行150米）</w:t>
      </w:r>
    </w:p>
    <w:p w14:paraId="30A2844E">
      <w:pPr>
        <w:pStyle w:val="17"/>
        <w:widowControl/>
        <w:spacing w:beforeAutospacing="0" w:afterAutospacing="0" w:line="400" w:lineRule="exact"/>
        <w:ind w:firstLine="480"/>
        <w:rPr>
          <w:color w:val="auto"/>
          <w:highlight w:val="none"/>
        </w:rPr>
      </w:pPr>
      <w:r>
        <w:rPr>
          <w:rFonts w:hint="eastAsia" w:ascii="宋体" w:hAnsi="宋体" w:cs="宋体"/>
          <w:color w:val="auto"/>
          <w:highlight w:val="none"/>
        </w:rPr>
        <w:t>联系人：陈爱光</w:t>
      </w:r>
    </w:p>
    <w:p w14:paraId="1E8ADFDD">
      <w:pPr>
        <w:pStyle w:val="17"/>
        <w:widowControl/>
        <w:spacing w:beforeAutospacing="0" w:afterAutospacing="0" w:line="400" w:lineRule="exact"/>
        <w:ind w:firstLine="480"/>
        <w:rPr>
          <w:color w:val="auto"/>
          <w:highlight w:val="none"/>
        </w:rPr>
      </w:pPr>
      <w:r>
        <w:rPr>
          <w:rFonts w:hint="eastAsia" w:ascii="宋体" w:hAnsi="宋体" w:cs="宋体"/>
          <w:color w:val="auto"/>
          <w:highlight w:val="none"/>
        </w:rPr>
        <w:t>联系方法：0591-88002309</w:t>
      </w:r>
    </w:p>
    <w:p w14:paraId="63EC3DE2">
      <w:pPr>
        <w:pStyle w:val="17"/>
        <w:widowControl/>
        <w:spacing w:beforeAutospacing="0" w:afterAutospacing="0" w:line="400" w:lineRule="exact"/>
        <w:rPr>
          <w:color w:val="auto"/>
          <w:highlight w:val="none"/>
        </w:rPr>
      </w:pPr>
      <w:r>
        <w:rPr>
          <w:rFonts w:hint="eastAsia" w:ascii="宋体" w:hAnsi="宋体" w:cs="宋体"/>
          <w:color w:val="auto"/>
          <w:highlight w:val="none"/>
        </w:rPr>
        <w:t>附1：购买采购文件和提交磋商保证金的银行账户信息</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956"/>
      </w:tblGrid>
      <w:tr w14:paraId="1A51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vAlign w:val="center"/>
          </w:tcPr>
          <w:p w14:paraId="774CF0A7">
            <w:pPr>
              <w:pStyle w:val="17"/>
              <w:widowControl/>
              <w:spacing w:beforeAutospacing="0" w:afterAutospacing="0"/>
              <w:jc w:val="center"/>
              <w:rPr>
                <w:color w:val="auto"/>
                <w:highlight w:val="none"/>
              </w:rPr>
            </w:pPr>
            <w:r>
              <w:rPr>
                <w:rStyle w:val="23"/>
                <w:rFonts w:hint="eastAsia" w:ascii="宋体" w:hAnsi="宋体" w:cs="宋体"/>
                <w:color w:val="auto"/>
                <w:highlight w:val="none"/>
              </w:rPr>
              <w:t>磋商保证金账户</w:t>
            </w:r>
          </w:p>
        </w:tc>
      </w:tr>
      <w:tr w14:paraId="26B9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64D2EC50">
            <w:pPr>
              <w:pStyle w:val="17"/>
              <w:widowControl/>
              <w:spacing w:beforeAutospacing="0" w:afterAutospacing="0"/>
              <w:rPr>
                <w:color w:val="auto"/>
                <w:highlight w:val="none"/>
              </w:rPr>
            </w:pPr>
            <w:r>
              <w:rPr>
                <w:rFonts w:hint="eastAsia" w:ascii="宋体" w:hAnsi="宋体" w:cs="宋体"/>
                <w:color w:val="auto"/>
                <w:highlight w:val="none"/>
              </w:rPr>
              <w:t>开户名称：</w:t>
            </w:r>
            <w:r>
              <w:rPr>
                <w:rFonts w:hint="eastAsia" w:ascii="宋体" w:hAnsi="宋体" w:cs="宋体"/>
                <w:color w:val="auto"/>
                <w:highlight w:val="none"/>
                <w:u w:val="single"/>
                <w:shd w:val="clear" w:color="auto" w:fill="FFFFFF"/>
              </w:rPr>
              <w:t>福建信发招标代理有限公司</w:t>
            </w:r>
          </w:p>
        </w:tc>
      </w:tr>
      <w:tr w14:paraId="75D5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61033BBD">
            <w:pPr>
              <w:pStyle w:val="17"/>
              <w:widowControl/>
              <w:spacing w:beforeAutospacing="0" w:afterAutospacing="0"/>
              <w:rPr>
                <w:color w:val="auto"/>
                <w:highlight w:val="none"/>
              </w:rPr>
            </w:pPr>
            <w:r>
              <w:rPr>
                <w:rFonts w:hint="eastAsia" w:ascii="宋体" w:hAnsi="宋体" w:cs="宋体"/>
                <w:color w:val="auto"/>
                <w:highlight w:val="none"/>
              </w:rPr>
              <w:t>开户银行：福建海峡银行福州鼓楼支行</w:t>
            </w:r>
          </w:p>
        </w:tc>
      </w:tr>
      <w:tr w14:paraId="33861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274BE961">
            <w:pPr>
              <w:pStyle w:val="17"/>
              <w:widowControl/>
              <w:spacing w:beforeAutospacing="0" w:afterAutospacing="0"/>
              <w:rPr>
                <w:color w:val="auto"/>
                <w:highlight w:val="none"/>
              </w:rPr>
            </w:pPr>
            <w:r>
              <w:rPr>
                <w:rFonts w:hint="eastAsia" w:ascii="宋体" w:hAnsi="宋体" w:cs="宋体"/>
                <w:color w:val="auto"/>
                <w:highlight w:val="none"/>
              </w:rPr>
              <w:t>银行账号：100026211970010002。</w:t>
            </w:r>
          </w:p>
        </w:tc>
      </w:tr>
      <w:tr w14:paraId="2127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vAlign w:val="center"/>
          </w:tcPr>
          <w:p w14:paraId="6A48FC6D">
            <w:pPr>
              <w:pStyle w:val="17"/>
              <w:widowControl/>
              <w:spacing w:beforeAutospacing="0" w:afterAutospacing="0"/>
              <w:jc w:val="center"/>
              <w:rPr>
                <w:color w:val="auto"/>
                <w:highlight w:val="none"/>
              </w:rPr>
            </w:pPr>
            <w:r>
              <w:rPr>
                <w:rStyle w:val="23"/>
                <w:rFonts w:hint="eastAsia" w:ascii="宋体" w:hAnsi="宋体" w:cs="宋体"/>
                <w:color w:val="auto"/>
                <w:highlight w:val="none"/>
              </w:rPr>
              <w:t>特别提示</w:t>
            </w:r>
          </w:p>
        </w:tc>
      </w:tr>
      <w:tr w14:paraId="1ACA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64B81946">
            <w:pPr>
              <w:pStyle w:val="17"/>
              <w:widowControl/>
              <w:spacing w:beforeAutospacing="0" w:afterAutospacing="0"/>
              <w:rPr>
                <w:rFonts w:ascii="宋体" w:hAnsi="宋体" w:cs="宋体"/>
                <w:color w:val="auto"/>
                <w:highlight w:val="none"/>
              </w:rPr>
            </w:pPr>
            <w:r>
              <w:rPr>
                <w:rFonts w:hint="eastAsia" w:ascii="宋体" w:hAnsi="宋体" w:cs="宋体"/>
                <w:color w:val="auto"/>
                <w:highlight w:val="none"/>
              </w:rPr>
              <w:t>1、供应商应认真核对账户信息，将磋商保证金汇入以上账户，并自行承担因汇错磋商保证金而产生的一切后果。</w:t>
            </w:r>
          </w:p>
          <w:p w14:paraId="10534497">
            <w:pPr>
              <w:pStyle w:val="17"/>
              <w:widowControl/>
              <w:spacing w:beforeAutospacing="0" w:afterAutospacing="0"/>
              <w:rPr>
                <w:color w:val="auto"/>
                <w:highlight w:val="none"/>
              </w:rPr>
            </w:pPr>
            <w:r>
              <w:rPr>
                <w:rFonts w:hint="eastAsia" w:ascii="宋体" w:hAnsi="宋体" w:cs="宋体"/>
                <w:color w:val="auto"/>
                <w:highlight w:val="none"/>
              </w:rPr>
              <w:t>2、供应商在转账或电汇的凭证上应按照以下格式注明，以便核对：“（项目编号：***、合同包：***）的磋商保证金”。</w:t>
            </w:r>
          </w:p>
        </w:tc>
      </w:tr>
    </w:tbl>
    <w:p w14:paraId="5EF0E48B">
      <w:pPr>
        <w:rPr>
          <w:rFonts w:ascii="宋体" w:hAnsi="宋体"/>
          <w:color w:val="auto"/>
          <w:highlight w:val="none"/>
          <w:shd w:val="clear" w:color="auto" w:fill="FFFFFF"/>
        </w:rPr>
      </w:pPr>
    </w:p>
    <w:p w14:paraId="277D373F">
      <w:pPr>
        <w:rPr>
          <w:rStyle w:val="23"/>
          <w:rFonts w:ascii="宋体" w:hAnsi="宋体"/>
          <w:bCs/>
          <w:color w:val="auto"/>
          <w:sz w:val="43"/>
          <w:szCs w:val="43"/>
          <w:highlight w:val="none"/>
        </w:rPr>
      </w:pPr>
      <w:r>
        <w:rPr>
          <w:rStyle w:val="23"/>
          <w:rFonts w:hint="eastAsia" w:ascii="宋体" w:hAnsi="宋体"/>
          <w:bCs/>
          <w:color w:val="auto"/>
          <w:sz w:val="43"/>
          <w:szCs w:val="43"/>
          <w:highlight w:val="none"/>
        </w:rPr>
        <w:br w:type="page"/>
      </w:r>
    </w:p>
    <w:p w14:paraId="0BAE4162">
      <w:pPr>
        <w:pStyle w:val="17"/>
        <w:widowControl/>
        <w:spacing w:before="75" w:beforeAutospacing="0" w:after="75" w:afterAutospacing="0"/>
        <w:jc w:val="center"/>
        <w:rPr>
          <w:rStyle w:val="23"/>
          <w:rFonts w:ascii="宋体" w:hAnsi="宋体" w:cs="宋体"/>
          <w:bCs/>
          <w:color w:val="auto"/>
          <w:sz w:val="43"/>
          <w:szCs w:val="43"/>
          <w:highlight w:val="none"/>
        </w:rPr>
      </w:pPr>
      <w:r>
        <w:rPr>
          <w:rStyle w:val="23"/>
          <w:rFonts w:hint="eastAsia" w:ascii="宋体" w:hAnsi="宋体" w:cs="宋体"/>
          <w:bCs/>
          <w:color w:val="auto"/>
          <w:sz w:val="43"/>
          <w:szCs w:val="43"/>
          <w:highlight w:val="none"/>
        </w:rPr>
        <w:t>第二章  竞争性磋商须知</w:t>
      </w:r>
    </w:p>
    <w:p w14:paraId="343B49CE">
      <w:pPr>
        <w:pStyle w:val="17"/>
        <w:widowControl/>
        <w:spacing w:before="75" w:beforeAutospacing="0" w:after="75" w:afterAutospacing="0"/>
        <w:jc w:val="center"/>
        <w:rPr>
          <w:color w:val="auto"/>
          <w:highlight w:val="none"/>
        </w:rPr>
      </w:pPr>
      <w:r>
        <w:rPr>
          <w:rStyle w:val="23"/>
          <w:rFonts w:hint="eastAsia" w:ascii="宋体" w:hAnsi="宋体" w:cs="宋体"/>
          <w:bCs/>
          <w:color w:val="auto"/>
          <w:sz w:val="31"/>
          <w:szCs w:val="31"/>
          <w:highlight w:val="none"/>
        </w:rPr>
        <w:t>第1节  竞争性磋商须知前附表</w:t>
      </w:r>
    </w:p>
    <w:p w14:paraId="77A92FC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竞争性磋商须知前附表是对竞争性磋商须知的补充和细化，二者如有矛盾，以前附表中的要求和规定为准</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89"/>
        <w:gridCol w:w="930"/>
        <w:gridCol w:w="8537"/>
      </w:tblGrid>
      <w:tr w14:paraId="1DAC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 w:hRule="atLeast"/>
        </w:trPr>
        <w:tc>
          <w:tcPr>
            <w:tcW w:w="0" w:type="auto"/>
            <w:shd w:val="clear" w:color="auto" w:fill="auto"/>
            <w:tcMar>
              <w:top w:w="0" w:type="dxa"/>
              <w:left w:w="105" w:type="dxa"/>
              <w:bottom w:w="0" w:type="dxa"/>
              <w:right w:w="105" w:type="dxa"/>
            </w:tcMar>
          </w:tcPr>
          <w:p w14:paraId="5FEE7AF5">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项号</w:t>
            </w:r>
          </w:p>
        </w:tc>
        <w:tc>
          <w:tcPr>
            <w:tcW w:w="0" w:type="auto"/>
            <w:shd w:val="clear" w:color="auto" w:fill="auto"/>
            <w:tcMar>
              <w:top w:w="0" w:type="dxa"/>
              <w:left w:w="105" w:type="dxa"/>
              <w:bottom w:w="0" w:type="dxa"/>
              <w:right w:w="105" w:type="dxa"/>
            </w:tcMar>
          </w:tcPr>
          <w:p w14:paraId="619701D5">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条款号</w:t>
            </w:r>
          </w:p>
        </w:tc>
        <w:tc>
          <w:tcPr>
            <w:tcW w:w="0" w:type="auto"/>
            <w:shd w:val="clear" w:color="auto" w:fill="auto"/>
            <w:tcMar>
              <w:top w:w="0" w:type="dxa"/>
              <w:left w:w="105" w:type="dxa"/>
              <w:bottom w:w="0" w:type="dxa"/>
              <w:right w:w="105" w:type="dxa"/>
            </w:tcMar>
          </w:tcPr>
          <w:p w14:paraId="07962DC8">
            <w:pPr>
              <w:pStyle w:val="17"/>
              <w:widowControl/>
              <w:spacing w:beforeAutospacing="0" w:afterAutospacing="0" w:line="435" w:lineRule="atLeast"/>
              <w:jc w:val="center"/>
              <w:rPr>
                <w:color w:val="auto"/>
                <w:highlight w:val="none"/>
              </w:rPr>
            </w:pPr>
            <w:r>
              <w:rPr>
                <w:rStyle w:val="23"/>
                <w:rFonts w:hint="eastAsia" w:ascii="宋体" w:hAnsi="宋体" w:cs="宋体"/>
                <w:bCs/>
                <w:color w:val="auto"/>
                <w:highlight w:val="none"/>
              </w:rPr>
              <w:t>编列内容</w:t>
            </w:r>
          </w:p>
        </w:tc>
      </w:tr>
      <w:tr w14:paraId="4E7C1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28C8DF3C">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1</w:t>
            </w:r>
          </w:p>
        </w:tc>
        <w:tc>
          <w:tcPr>
            <w:tcW w:w="0" w:type="auto"/>
            <w:shd w:val="clear" w:color="auto" w:fill="auto"/>
            <w:tcMar>
              <w:top w:w="0" w:type="dxa"/>
              <w:left w:w="105" w:type="dxa"/>
              <w:bottom w:w="0" w:type="dxa"/>
              <w:right w:w="105" w:type="dxa"/>
            </w:tcMar>
            <w:vAlign w:val="center"/>
          </w:tcPr>
          <w:p w14:paraId="698294B2">
            <w:pPr>
              <w:pStyle w:val="17"/>
              <w:widowControl/>
              <w:spacing w:beforeAutospacing="0" w:afterAutospacing="0" w:line="435" w:lineRule="atLeast"/>
              <w:rPr>
                <w:color w:val="auto"/>
                <w:highlight w:val="none"/>
              </w:rPr>
            </w:pPr>
            <w:r>
              <w:rPr>
                <w:rFonts w:hint="eastAsia" w:ascii="宋体" w:hAnsi="宋体" w:cs="宋体"/>
                <w:color w:val="auto"/>
                <w:highlight w:val="none"/>
              </w:rPr>
              <w:t>3.2.1</w:t>
            </w:r>
          </w:p>
        </w:tc>
        <w:tc>
          <w:tcPr>
            <w:tcW w:w="0" w:type="auto"/>
            <w:shd w:val="clear" w:color="auto" w:fill="auto"/>
            <w:tcMar>
              <w:top w:w="0" w:type="dxa"/>
              <w:left w:w="105" w:type="dxa"/>
              <w:bottom w:w="0" w:type="dxa"/>
              <w:right w:w="105" w:type="dxa"/>
            </w:tcMar>
            <w:vAlign w:val="center"/>
          </w:tcPr>
          <w:p w14:paraId="3BE775FD">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供应商的资格要求</w:t>
            </w:r>
            <w:r>
              <w:rPr>
                <w:rFonts w:hint="eastAsia" w:ascii="宋体" w:hAnsi="宋体" w:cs="宋体"/>
                <w:color w:val="auto"/>
                <w:highlight w:val="none"/>
              </w:rPr>
              <w:t>：见磋商文件第一章“采购公告/采购邀请书”</w:t>
            </w:r>
          </w:p>
          <w:p w14:paraId="1309F13E">
            <w:pPr>
              <w:pStyle w:val="17"/>
              <w:widowControl/>
              <w:spacing w:beforeAutospacing="0" w:afterAutospacing="0" w:line="435" w:lineRule="atLeast"/>
              <w:rPr>
                <w:rFonts w:ascii="宋体" w:hAnsi="宋体" w:cs="宋体"/>
                <w:color w:val="auto"/>
                <w:highlight w:val="none"/>
              </w:rPr>
            </w:pPr>
            <w:r>
              <w:rPr>
                <w:rFonts w:hint="eastAsia" w:ascii="宋体" w:hAnsi="宋体" w:cs="宋体"/>
                <w:color w:val="auto"/>
                <w:highlight w:val="none"/>
              </w:rPr>
              <w:t>资格证明文件资料要求：</w:t>
            </w:r>
          </w:p>
          <w:p w14:paraId="49E65704">
            <w:pPr>
              <w:pStyle w:val="17"/>
              <w:widowControl/>
              <w:spacing w:beforeAutospacing="0" w:afterAutospacing="0" w:line="435" w:lineRule="atLeast"/>
              <w:rPr>
                <w:rFonts w:ascii="宋体" w:hAnsi="宋体" w:cs="宋体"/>
                <w:b/>
                <w:bCs/>
                <w:color w:val="auto"/>
                <w:highlight w:val="none"/>
              </w:rPr>
            </w:pPr>
            <w:r>
              <w:rPr>
                <w:rFonts w:hint="eastAsia" w:ascii="宋体" w:hAnsi="宋体" w:cs="宋体"/>
                <w:b/>
                <w:bCs/>
                <w:color w:val="auto"/>
                <w:highlight w:val="none"/>
              </w:rPr>
              <w:t>包1：</w:t>
            </w:r>
          </w:p>
          <w:tbl>
            <w:tblPr>
              <w:tblStyle w:val="20"/>
              <w:tblW w:w="4996" w:type="pct"/>
              <w:tblInd w:w="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462"/>
              <w:gridCol w:w="5843"/>
            </w:tblGrid>
            <w:tr w14:paraId="594FB6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0B29B8AF">
                  <w:pPr>
                    <w:widowControl/>
                    <w:jc w:val="left"/>
                    <w:rPr>
                      <w:b/>
                      <w:bCs/>
                      <w:color w:val="auto"/>
                      <w:highlight w:val="none"/>
                    </w:rPr>
                  </w:pPr>
                  <w:r>
                    <w:rPr>
                      <w:rFonts w:ascii="宋体" w:hAnsi="宋体"/>
                      <w:b/>
                      <w:bCs/>
                      <w:color w:val="auto"/>
                      <w:kern w:val="0"/>
                      <w:sz w:val="24"/>
                      <w:highlight w:val="none"/>
                    </w:rPr>
                    <w:t>明细</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5D183DAD">
                  <w:pPr>
                    <w:widowControl/>
                    <w:jc w:val="left"/>
                    <w:rPr>
                      <w:b/>
                      <w:bCs/>
                      <w:color w:val="auto"/>
                      <w:highlight w:val="none"/>
                    </w:rPr>
                  </w:pPr>
                  <w:r>
                    <w:rPr>
                      <w:rFonts w:ascii="宋体" w:hAnsi="宋体"/>
                      <w:b/>
                      <w:bCs/>
                      <w:color w:val="auto"/>
                      <w:kern w:val="0"/>
                      <w:sz w:val="24"/>
                      <w:highlight w:val="none"/>
                    </w:rPr>
                    <w:t>描述</w:t>
                  </w:r>
                </w:p>
              </w:tc>
            </w:tr>
            <w:tr w14:paraId="22272F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43670D6">
                  <w:pPr>
                    <w:widowControl/>
                    <w:jc w:val="left"/>
                    <w:rPr>
                      <w:color w:val="auto"/>
                      <w:highlight w:val="none"/>
                    </w:rPr>
                  </w:pPr>
                  <w:r>
                    <w:rPr>
                      <w:rFonts w:ascii="宋体" w:hAnsi="宋体"/>
                      <w:color w:val="auto"/>
                      <w:kern w:val="0"/>
                      <w:sz w:val="24"/>
                      <w:highlight w:val="none"/>
                    </w:rPr>
                    <w:t>a1</w:t>
                  </w:r>
                  <w:r>
                    <w:rPr>
                      <w:rFonts w:hint="eastAsia" w:ascii="宋体" w:hAnsi="宋体"/>
                      <w:color w:val="auto"/>
                      <w:sz w:val="24"/>
                      <w:highlight w:val="none"/>
                    </w:rPr>
                    <w:t>磋商响应声明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1A3A0A0">
                  <w:pPr>
                    <w:rPr>
                      <w:rFonts w:ascii="宋体"/>
                      <w:color w:val="auto"/>
                      <w:sz w:val="24"/>
                      <w:highlight w:val="none"/>
                    </w:rPr>
                  </w:pPr>
                  <w:r>
                    <w:rPr>
                      <w:rFonts w:hint="eastAsia" w:ascii="宋体" w:hAnsi="宋体"/>
                      <w:color w:val="auto"/>
                      <w:sz w:val="24"/>
                      <w:highlight w:val="none"/>
                    </w:rPr>
                    <w:t>详见声明函</w:t>
                  </w:r>
                </w:p>
              </w:tc>
            </w:tr>
            <w:tr w14:paraId="7F994E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3A5AD5B2">
                  <w:pPr>
                    <w:widowControl/>
                    <w:jc w:val="left"/>
                    <w:rPr>
                      <w:color w:val="auto"/>
                      <w:highlight w:val="none"/>
                    </w:rPr>
                  </w:pPr>
                  <w:r>
                    <w:rPr>
                      <w:rFonts w:ascii="宋体" w:hAnsi="宋体"/>
                      <w:color w:val="auto"/>
                      <w:kern w:val="0"/>
                      <w:sz w:val="24"/>
                      <w:highlight w:val="none"/>
                    </w:rPr>
                    <w:t>a2单位负责人授权书</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6304F0B9">
                  <w:pPr>
                    <w:widowControl/>
                    <w:jc w:val="left"/>
                    <w:rPr>
                      <w:color w:val="auto"/>
                      <w:highlight w:val="none"/>
                    </w:rPr>
                  </w:pPr>
                  <w:r>
                    <w:rPr>
                      <w:rFonts w:hint="eastAsia" w:ascii="宋体" w:hAnsi="宋体"/>
                      <w:color w:val="auto"/>
                      <w:sz w:val="24"/>
                      <w:highlight w:val="none"/>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52449E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717D58A4">
                  <w:pPr>
                    <w:widowControl/>
                    <w:jc w:val="left"/>
                    <w:rPr>
                      <w:color w:val="auto"/>
                      <w:highlight w:val="none"/>
                    </w:rPr>
                  </w:pPr>
                  <w:r>
                    <w:rPr>
                      <w:rFonts w:ascii="宋体" w:hAnsi="宋体"/>
                      <w:color w:val="auto"/>
                      <w:kern w:val="0"/>
                      <w:sz w:val="24"/>
                      <w:highlight w:val="none"/>
                    </w:rPr>
                    <w:t>a3法人或者其他组织的营业执照等证明文件，自然人的身份证明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C89E1C6">
                  <w:pPr>
                    <w:widowControl/>
                    <w:jc w:val="left"/>
                    <w:rPr>
                      <w:color w:val="auto"/>
                      <w:highlight w:val="none"/>
                    </w:rPr>
                  </w:pPr>
                  <w:r>
                    <w:rPr>
                      <w:rFonts w:hint="eastAsia" w:ascii="宋体" w:hAnsi="宋体"/>
                      <w:color w:val="auto"/>
                      <w:sz w:val="24"/>
                      <w:highlight w:val="none"/>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28F53A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0E9ED30E">
                  <w:pPr>
                    <w:widowControl/>
                    <w:jc w:val="left"/>
                    <w:rPr>
                      <w:color w:val="auto"/>
                      <w:highlight w:val="none"/>
                    </w:rPr>
                  </w:pPr>
                  <w:r>
                    <w:rPr>
                      <w:rFonts w:ascii="宋体" w:hAnsi="宋体"/>
                      <w:color w:val="auto"/>
                      <w:kern w:val="0"/>
                      <w:sz w:val="24"/>
                      <w:highlight w:val="none"/>
                    </w:rPr>
                    <w:t>a4财务状况报告</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587C62A5">
                  <w:pPr>
                    <w:widowControl/>
                    <w:jc w:val="left"/>
                    <w:rPr>
                      <w:color w:val="auto"/>
                      <w:highlight w:val="none"/>
                    </w:rPr>
                  </w:pPr>
                  <w:r>
                    <w:rPr>
                      <w:rFonts w:hint="eastAsia" w:ascii="宋体" w:hAnsi="宋体"/>
                      <w:color w:val="auto"/>
                      <w:kern w:val="0"/>
                      <w:sz w:val="24"/>
                      <w:highlight w:val="none"/>
                    </w:rPr>
                    <w:t xml:space="preserve">供应商提供的财务报告复印件（成立年限按照提交响应文件截止时间推算）应符合下列规定：a.成立年限满1年及以上的供应商，提供经审计的2024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 </w:t>
                  </w:r>
                </w:p>
              </w:tc>
            </w:tr>
            <w:tr w14:paraId="5CAF70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2ECA9FC">
                  <w:pPr>
                    <w:widowControl/>
                    <w:jc w:val="left"/>
                    <w:rPr>
                      <w:color w:val="auto"/>
                      <w:highlight w:val="none"/>
                    </w:rPr>
                  </w:pPr>
                  <w:r>
                    <w:rPr>
                      <w:rFonts w:ascii="宋体" w:hAnsi="宋体"/>
                      <w:color w:val="auto"/>
                      <w:kern w:val="0"/>
                      <w:sz w:val="24"/>
                      <w:highlight w:val="none"/>
                    </w:rPr>
                    <w:t>a5依法缴纳税收的相关材料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E3C6BF7">
                  <w:pPr>
                    <w:widowControl/>
                    <w:jc w:val="left"/>
                    <w:rPr>
                      <w:color w:val="auto"/>
                      <w:highlight w:val="none"/>
                    </w:rPr>
                  </w:pPr>
                  <w:r>
                    <w:rPr>
                      <w:rFonts w:hint="eastAsia" w:ascii="宋体" w:hAnsi="宋体"/>
                      <w:color w:val="auto"/>
                      <w:sz w:val="24"/>
                      <w:highlight w:val="none"/>
                    </w:rPr>
                    <w:t>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538176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0D3C0A78">
                  <w:pPr>
                    <w:widowControl/>
                    <w:jc w:val="left"/>
                    <w:rPr>
                      <w:color w:val="auto"/>
                      <w:highlight w:val="none"/>
                    </w:rPr>
                  </w:pPr>
                  <w:r>
                    <w:rPr>
                      <w:rFonts w:ascii="宋体" w:hAnsi="宋体"/>
                      <w:color w:val="auto"/>
                      <w:kern w:val="0"/>
                      <w:sz w:val="24"/>
                      <w:highlight w:val="none"/>
                    </w:rPr>
                    <w:t>a6依法缴纳社会保障资金的相关材料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CE493A5">
                  <w:pPr>
                    <w:widowControl/>
                    <w:jc w:val="left"/>
                    <w:rPr>
                      <w:color w:val="auto"/>
                      <w:highlight w:val="none"/>
                    </w:rPr>
                  </w:pPr>
                  <w:r>
                    <w:rPr>
                      <w:rFonts w:hint="eastAsia" w:ascii="宋体" w:hAnsi="宋体"/>
                      <w:color w:val="auto"/>
                      <w:sz w:val="24"/>
                      <w:highlight w:val="none"/>
                    </w:rPr>
                    <w:t>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0C1330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63595B26">
                  <w:pPr>
                    <w:widowControl/>
                    <w:jc w:val="left"/>
                    <w:rPr>
                      <w:color w:val="auto"/>
                      <w:highlight w:val="none"/>
                    </w:rPr>
                  </w:pPr>
                  <w:r>
                    <w:rPr>
                      <w:rFonts w:ascii="宋体" w:hAnsi="宋体"/>
                      <w:color w:val="auto"/>
                      <w:kern w:val="0"/>
                      <w:sz w:val="24"/>
                      <w:highlight w:val="none"/>
                    </w:rPr>
                    <w:t>a7</w:t>
                  </w:r>
                  <w:r>
                    <w:rPr>
                      <w:rFonts w:hint="eastAsia" w:ascii="宋体" w:hAnsi="宋体"/>
                      <w:color w:val="auto"/>
                      <w:sz w:val="24"/>
                      <w:highlight w:val="none"/>
                    </w:rPr>
                    <w:t>具备履行合同所必需设备和专业技术能力的声明函(若有)</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2D90D86E">
                  <w:pPr>
                    <w:widowControl/>
                    <w:jc w:val="left"/>
                    <w:rPr>
                      <w:color w:val="auto"/>
                      <w:highlight w:val="none"/>
                    </w:rPr>
                  </w:pPr>
                  <w:r>
                    <w:rPr>
                      <w:rFonts w:hint="eastAsia" w:ascii="宋体" w:hAnsi="宋体"/>
                      <w:color w:val="auto"/>
                      <w:sz w:val="24"/>
                      <w:highlight w:val="none"/>
                    </w:rPr>
                    <w:t>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41043A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0F185E01">
                  <w:pPr>
                    <w:widowControl/>
                    <w:jc w:val="left"/>
                    <w:rPr>
                      <w:color w:val="auto"/>
                      <w:highlight w:val="none"/>
                    </w:rPr>
                  </w:pPr>
                  <w:r>
                    <w:rPr>
                      <w:rFonts w:ascii="宋体" w:hAnsi="宋体"/>
                      <w:color w:val="auto"/>
                      <w:kern w:val="0"/>
                      <w:sz w:val="24"/>
                      <w:highlight w:val="none"/>
                    </w:rPr>
                    <w:t>a8</w:t>
                  </w:r>
                  <w:r>
                    <w:rPr>
                      <w:rFonts w:hint="eastAsia" w:ascii="宋体" w:hAnsi="宋体"/>
                      <w:color w:val="auto"/>
                      <w:sz w:val="24"/>
                      <w:highlight w:val="none"/>
                    </w:rPr>
                    <w:t>参加采购活动前三年内在经营活动中没有重大违法记录的声明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6E5E7A0C">
                  <w:pPr>
                    <w:widowControl/>
                    <w:jc w:val="left"/>
                    <w:rPr>
                      <w:color w:val="auto"/>
                      <w:highlight w:val="none"/>
                    </w:rPr>
                  </w:pPr>
                  <w:r>
                    <w:rPr>
                      <w:rFonts w:hint="eastAsia" w:ascii="宋体" w:hAnsi="宋体"/>
                      <w:color w:val="auto"/>
                      <w:sz w:val="24"/>
                      <w:highlight w:val="none"/>
                    </w:rPr>
                    <w:t>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6DD486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081347AF">
                  <w:pPr>
                    <w:widowControl/>
                    <w:jc w:val="left"/>
                    <w:rPr>
                      <w:color w:val="auto"/>
                      <w:highlight w:val="none"/>
                    </w:rPr>
                  </w:pPr>
                  <w:r>
                    <w:rPr>
                      <w:rFonts w:ascii="宋体" w:hAnsi="宋体"/>
                      <w:color w:val="auto"/>
                      <w:kern w:val="0"/>
                      <w:sz w:val="24"/>
                      <w:highlight w:val="none"/>
                    </w:rPr>
                    <w:t>a9</w:t>
                  </w:r>
                  <w:r>
                    <w:rPr>
                      <w:rFonts w:hint="eastAsia" w:ascii="宋体" w:hAnsi="宋体"/>
                      <w:color w:val="auto"/>
                      <w:sz w:val="24"/>
                      <w:highlight w:val="none"/>
                    </w:rPr>
                    <w:t>中小企业声明函（以资格条件落实中小企业扶持政策时适用 ）</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A98C9B5">
                  <w:pPr>
                    <w:widowControl/>
                    <w:jc w:val="left"/>
                    <w:rPr>
                      <w:color w:val="auto"/>
                      <w:highlight w:val="none"/>
                    </w:rPr>
                  </w:pPr>
                  <w:r>
                    <w:rPr>
                      <w:rFonts w:hint="eastAsia" w:ascii="宋体" w:hAnsi="宋体"/>
                      <w:color w:val="auto"/>
                      <w:sz w:val="24"/>
                      <w:highlight w:val="none"/>
                    </w:rPr>
                    <w:t>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4C3E17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133F848D">
                  <w:pPr>
                    <w:widowControl/>
                    <w:jc w:val="left"/>
                    <w:rPr>
                      <w:color w:val="auto"/>
                      <w:highlight w:val="none"/>
                    </w:rPr>
                  </w:pPr>
                  <w:r>
                    <w:rPr>
                      <w:rFonts w:ascii="宋体" w:hAnsi="宋体"/>
                      <w:color w:val="auto"/>
                      <w:kern w:val="0"/>
                      <w:sz w:val="24"/>
                      <w:highlight w:val="none"/>
                    </w:rPr>
                    <w:t>a10信用信息查询结果</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D32F010">
                  <w:pPr>
                    <w:rPr>
                      <w:rFonts w:ascii="宋体"/>
                      <w:color w:val="auto"/>
                      <w:sz w:val="24"/>
                      <w:highlight w:val="none"/>
                    </w:rPr>
                  </w:pPr>
                  <w:r>
                    <w:rPr>
                      <w:rFonts w:hint="eastAsia" w:ascii="宋体" w:hAnsi="宋体"/>
                      <w:color w:val="auto"/>
                      <w:sz w:val="24"/>
                      <w:highlight w:val="none"/>
                    </w:rPr>
                    <w:t>信用记录查询的截止时点：信用记录查询的截止时点为本项目提交响应文件截止当日。②信用记录查询渠道：信用中国（www.creditchina.gov.cn）、中国政府采购网（www.ccgp.gov.cn）。③信用记录的查询：由磋商小组通过上述网站查询并打印供应商的信用记录。④经查询，供应商参加本项目采购活动(响应截止时间)前三年内被列入失信被执行人名单、重大税收违法案件当事人名单、政府采购严重违法失信行为记录名单及其他重大违法记录且相关信用惩戒期限未满的，其资格审查不合格。</w:t>
                  </w:r>
                </w:p>
              </w:tc>
            </w:tr>
            <w:tr w14:paraId="1B7CB8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7B51B39A">
                  <w:pPr>
                    <w:widowControl/>
                    <w:jc w:val="left"/>
                    <w:rPr>
                      <w:color w:val="auto"/>
                      <w:highlight w:val="none"/>
                    </w:rPr>
                  </w:pPr>
                  <w:r>
                    <w:rPr>
                      <w:rFonts w:ascii="宋体" w:hAnsi="宋体"/>
                      <w:color w:val="auto"/>
                      <w:kern w:val="0"/>
                      <w:sz w:val="24"/>
                      <w:highlight w:val="none"/>
                    </w:rPr>
                    <w:t>a11</w:t>
                  </w:r>
                  <w:r>
                    <w:rPr>
                      <w:rFonts w:hint="eastAsia" w:ascii="宋体" w:hAnsi="宋体"/>
                      <w:color w:val="auto"/>
                      <w:kern w:val="0"/>
                      <w:sz w:val="24"/>
                      <w:highlight w:val="none"/>
                    </w:rPr>
                    <w:t>磋商保证金</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CDC2A58">
                  <w:pPr>
                    <w:rPr>
                      <w:rFonts w:ascii="宋体"/>
                      <w:color w:val="auto"/>
                      <w:sz w:val="24"/>
                      <w:highlight w:val="none"/>
                    </w:rPr>
                  </w:pPr>
                </w:p>
              </w:tc>
            </w:tr>
          </w:tbl>
          <w:p w14:paraId="4D943E30">
            <w:pPr>
              <w:pStyle w:val="17"/>
              <w:widowControl/>
              <w:spacing w:beforeAutospacing="0" w:afterAutospacing="0" w:line="435" w:lineRule="atLeast"/>
              <w:rPr>
                <w:rFonts w:ascii="宋体" w:hAnsi="宋体" w:cs="宋体"/>
                <w:color w:val="auto"/>
                <w:highlight w:val="none"/>
              </w:rPr>
            </w:pPr>
          </w:p>
          <w:p w14:paraId="4FF4BB8A">
            <w:pPr>
              <w:pStyle w:val="17"/>
              <w:widowControl/>
              <w:spacing w:beforeAutospacing="0" w:afterAutospacing="0" w:line="435" w:lineRule="atLeast"/>
              <w:rPr>
                <w:color w:val="auto"/>
                <w:highlight w:val="none"/>
              </w:rPr>
            </w:pPr>
            <w:r>
              <w:rPr>
                <w:rFonts w:hint="eastAsia" w:ascii="宋体" w:hAnsi="宋体" w:cs="宋体"/>
                <w:color w:val="auto"/>
                <w:highlight w:val="none"/>
              </w:rPr>
              <w:t>特定资格条件：</w:t>
            </w:r>
          </w:p>
          <w:p w14:paraId="7AF61401">
            <w:pPr>
              <w:pStyle w:val="17"/>
              <w:widowControl/>
              <w:spacing w:beforeAutospacing="0" w:afterAutospacing="0"/>
              <w:rPr>
                <w:color w:val="auto"/>
                <w:highlight w:val="none"/>
              </w:rPr>
            </w:pPr>
            <w:r>
              <w:rPr>
                <w:rStyle w:val="23"/>
                <w:rFonts w:hint="eastAsia" w:ascii="宋体" w:hAnsi="宋体" w:cs="宋体"/>
                <w:bCs/>
                <w:color w:val="auto"/>
                <w:sz w:val="21"/>
                <w:szCs w:val="21"/>
                <w:highlight w:val="none"/>
                <w:shd w:val="clear" w:color="auto" w:fill="FFFFFF"/>
              </w:rPr>
              <w:t>包1：</w:t>
            </w:r>
          </w:p>
          <w:tbl>
            <w:tblPr>
              <w:tblStyle w:val="20"/>
              <w:tblW w:w="4999"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236"/>
              <w:gridCol w:w="5074"/>
            </w:tblGrid>
            <w:tr w14:paraId="75964C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2" w:hRule="atLeast"/>
                <w:tblCellSpacing w:w="0" w:type="dxa"/>
              </w:trPr>
              <w:tc>
                <w:tcPr>
                  <w:tcW w:w="1947" w:type="pct"/>
                  <w:vAlign w:val="center"/>
                </w:tcPr>
                <w:p w14:paraId="6BE7ED37">
                  <w:pPr>
                    <w:widowControl/>
                    <w:jc w:val="center"/>
                    <w:rPr>
                      <w:rFonts w:ascii="宋体" w:hAnsi="宋体"/>
                      <w:b/>
                      <w:color w:val="auto"/>
                      <w:highlight w:val="none"/>
                    </w:rPr>
                  </w:pPr>
                  <w:r>
                    <w:rPr>
                      <w:rFonts w:hint="eastAsia" w:ascii="宋体" w:hAnsi="宋体"/>
                      <w:b/>
                      <w:color w:val="auto"/>
                      <w:kern w:val="0"/>
                      <w:sz w:val="24"/>
                      <w:highlight w:val="none"/>
                    </w:rPr>
                    <w:t>明细</w:t>
                  </w:r>
                </w:p>
              </w:tc>
              <w:tc>
                <w:tcPr>
                  <w:tcW w:w="3052" w:type="pct"/>
                  <w:vAlign w:val="center"/>
                </w:tcPr>
                <w:p w14:paraId="06B39472">
                  <w:pPr>
                    <w:widowControl/>
                    <w:jc w:val="center"/>
                    <w:rPr>
                      <w:rFonts w:ascii="宋体" w:hAnsi="宋体"/>
                      <w:b/>
                      <w:color w:val="auto"/>
                      <w:highlight w:val="none"/>
                    </w:rPr>
                  </w:pPr>
                  <w:r>
                    <w:rPr>
                      <w:rFonts w:hint="eastAsia" w:ascii="宋体" w:hAnsi="宋体"/>
                      <w:b/>
                      <w:color w:val="auto"/>
                      <w:kern w:val="0"/>
                      <w:sz w:val="24"/>
                      <w:highlight w:val="none"/>
                    </w:rPr>
                    <w:t>描述</w:t>
                  </w:r>
                </w:p>
              </w:tc>
            </w:tr>
            <w:tr w14:paraId="6C5A1C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4" w:hRule="atLeast"/>
                <w:tblCellSpacing w:w="0" w:type="dxa"/>
              </w:trPr>
              <w:tc>
                <w:tcPr>
                  <w:tcW w:w="1947" w:type="pct"/>
                  <w:vAlign w:val="center"/>
                </w:tcPr>
                <w:p w14:paraId="35A33D7B">
                  <w:pPr>
                    <w:pStyle w:val="34"/>
                    <w:jc w:val="center"/>
                    <w:rPr>
                      <w:rFonts w:hint="default" w:ascii="宋体" w:hAnsi="宋体"/>
                      <w:b/>
                      <w:color w:val="auto"/>
                      <w:sz w:val="24"/>
                      <w:highlight w:val="none"/>
                    </w:rPr>
                  </w:pPr>
                  <w:r>
                    <w:rPr>
                      <w:rFonts w:ascii="宋体" w:hAnsi="宋体"/>
                      <w:color w:val="auto"/>
                      <w:sz w:val="24"/>
                      <w:szCs w:val="24"/>
                      <w:highlight w:val="none"/>
                    </w:rPr>
                    <w:t>其他资格要求1</w:t>
                  </w:r>
                </w:p>
              </w:tc>
              <w:tc>
                <w:tcPr>
                  <w:tcW w:w="3052" w:type="pct"/>
                  <w:vAlign w:val="center"/>
                </w:tcPr>
                <w:p w14:paraId="51EB53C9">
                  <w:pPr>
                    <w:pStyle w:val="34"/>
                    <w:jc w:val="both"/>
                    <w:rPr>
                      <w:rFonts w:hint="default" w:ascii="宋体" w:hAnsi="宋体"/>
                      <w:b/>
                      <w:color w:val="auto"/>
                      <w:sz w:val="24"/>
                      <w:highlight w:val="none"/>
                    </w:rPr>
                  </w:pPr>
                  <w:r>
                    <w:rPr>
                      <w:rFonts w:ascii="宋体" w:hAnsi="宋体"/>
                      <w:color w:val="auto"/>
                      <w:sz w:val="24"/>
                      <w:szCs w:val="24"/>
                      <w:highlight w:val="none"/>
                    </w:rPr>
                    <w:t>供应商具备建筑装修装饰工程专业承包二级及以上资质和《施工企业安全生产许可证》复印件。</w:t>
                  </w:r>
                </w:p>
              </w:tc>
            </w:tr>
            <w:tr w14:paraId="612194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947" w:type="pct"/>
                  <w:vAlign w:val="center"/>
                </w:tcPr>
                <w:p w14:paraId="42E02571">
                  <w:pPr>
                    <w:pStyle w:val="34"/>
                    <w:jc w:val="center"/>
                    <w:rPr>
                      <w:rFonts w:hint="default" w:ascii="宋体" w:hAnsi="宋体"/>
                      <w:b/>
                      <w:color w:val="auto"/>
                      <w:sz w:val="24"/>
                      <w:highlight w:val="none"/>
                    </w:rPr>
                  </w:pPr>
                  <w:r>
                    <w:rPr>
                      <w:rFonts w:ascii="宋体" w:hAnsi="宋体"/>
                      <w:color w:val="auto"/>
                      <w:sz w:val="24"/>
                      <w:szCs w:val="24"/>
                      <w:highlight w:val="none"/>
                    </w:rPr>
                    <w:t>其他资格要求2</w:t>
                  </w:r>
                </w:p>
              </w:tc>
              <w:tc>
                <w:tcPr>
                  <w:tcW w:w="3052" w:type="pct"/>
                  <w:vAlign w:val="center"/>
                </w:tcPr>
                <w:p w14:paraId="29404D05">
                  <w:pPr>
                    <w:pStyle w:val="34"/>
                    <w:jc w:val="both"/>
                    <w:rPr>
                      <w:rFonts w:hint="default" w:ascii="宋体" w:hAnsi="宋体"/>
                      <w:b/>
                      <w:color w:val="auto"/>
                      <w:sz w:val="24"/>
                      <w:highlight w:val="none"/>
                    </w:rPr>
                  </w:pPr>
                  <w:r>
                    <w:rPr>
                      <w:rFonts w:ascii="宋体" w:hAnsi="宋体"/>
                      <w:color w:val="auto"/>
                      <w:sz w:val="24"/>
                      <w:szCs w:val="24"/>
                      <w:highlight w:val="none"/>
                    </w:rPr>
                    <w:t>供应商拟担任本项目的项目负责人（即项目经理）须具备有效的不低于二级建筑工程专业注册建造师执业资格，并具备有效的安全生产考核合格证书（B证）。拟派出项目负责人必须为供应商本企业在岗人员，以注册建造师证书上的注册单位为准。须提供注册建造师执业资格证书、安全生产考核合格证书B证及</w:t>
                  </w:r>
                  <w:r>
                    <w:rPr>
                      <w:rFonts w:ascii="宋体" w:hAnsi="宋体"/>
                      <w:color w:val="auto"/>
                      <w:sz w:val="22"/>
                      <w:szCs w:val="22"/>
                      <w:highlight w:val="none"/>
                    </w:rPr>
                    <w:t>提交响应文件前六个月（不含响应截止时间当月）内任一个月由供应商为其缴纳的社会保险凭据复印件</w:t>
                  </w:r>
                  <w:r>
                    <w:rPr>
                      <w:rFonts w:ascii="宋体" w:hAnsi="宋体"/>
                      <w:color w:val="auto"/>
                      <w:sz w:val="24"/>
                      <w:szCs w:val="24"/>
                      <w:highlight w:val="none"/>
                    </w:rPr>
                    <w:t>。</w:t>
                  </w:r>
                </w:p>
              </w:tc>
            </w:tr>
            <w:tr w14:paraId="4FBAE2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947" w:type="pct"/>
                  <w:vAlign w:val="center"/>
                </w:tcPr>
                <w:p w14:paraId="5ACE022F">
                  <w:pPr>
                    <w:widowControl/>
                    <w:jc w:val="left"/>
                    <w:rPr>
                      <w:rFonts w:ascii="宋体" w:hAnsi="宋体"/>
                      <w:color w:val="auto"/>
                      <w:sz w:val="24"/>
                      <w:highlight w:val="none"/>
                    </w:rPr>
                  </w:pPr>
                  <w:r>
                    <w:rPr>
                      <w:rFonts w:ascii="宋体" w:hAnsi="宋体"/>
                      <w:color w:val="auto"/>
                      <w:kern w:val="0"/>
                      <w:sz w:val="24"/>
                      <w:highlight w:val="none"/>
                    </w:rPr>
                    <w:t>落实政府采购政策的证明材料（专门面向中小企业采购）</w:t>
                  </w:r>
                </w:p>
              </w:tc>
              <w:tc>
                <w:tcPr>
                  <w:tcW w:w="3052" w:type="pct"/>
                  <w:vAlign w:val="center"/>
                </w:tcPr>
                <w:p w14:paraId="1CC21DF2">
                  <w:pPr>
                    <w:widowControl/>
                    <w:jc w:val="left"/>
                    <w:rPr>
                      <w:rFonts w:ascii="宋体" w:hAnsi="宋体"/>
                      <w:color w:val="auto"/>
                      <w:sz w:val="24"/>
                      <w:highlight w:val="none"/>
                    </w:rPr>
                  </w:pPr>
                  <w:r>
                    <w:rPr>
                      <w:rFonts w:ascii="宋体" w:hAnsi="宋体"/>
                      <w:color w:val="auto"/>
                      <w:kern w:val="0"/>
                      <w:sz w:val="24"/>
                      <w:highlight w:val="none"/>
                    </w:rPr>
                    <w:t>①本项目专门面向符合财政部、工信部文件（财库〔2020〕46号）规定的中、小、微企业。</w:t>
                  </w:r>
                  <w:r>
                    <w:rPr>
                      <w:rFonts w:hint="eastAsia" w:ascii="宋体" w:hAnsi="宋体"/>
                      <w:color w:val="auto"/>
                      <w:kern w:val="0"/>
                      <w:sz w:val="24"/>
                      <w:highlight w:val="none"/>
                    </w:rPr>
                    <w:t>供应商</w:t>
                  </w:r>
                  <w:r>
                    <w:rPr>
                      <w:rFonts w:ascii="宋体" w:hAnsi="宋体"/>
                      <w:color w:val="auto"/>
                      <w:kern w:val="0"/>
                      <w:sz w:val="24"/>
                      <w:highlight w:val="none"/>
                    </w:rPr>
                    <w:t>须提供《中小企业声明函》。</w:t>
                  </w:r>
                  <w:r>
                    <w:rPr>
                      <w:rFonts w:hint="eastAsia" w:ascii="宋体" w:hAnsi="宋体"/>
                      <w:color w:val="auto"/>
                      <w:kern w:val="0"/>
                      <w:sz w:val="24"/>
                      <w:highlight w:val="none"/>
                    </w:rPr>
                    <w:t>供应商</w:t>
                  </w:r>
                  <w:r>
                    <w:rPr>
                      <w:rFonts w:ascii="宋体" w:hAnsi="宋体"/>
                      <w:color w:val="auto"/>
                      <w:kern w:val="0"/>
                      <w:sz w:val="24"/>
                      <w:highlight w:val="none"/>
                    </w:rPr>
                    <w:t>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w:t>
                  </w:r>
                  <w:r>
                    <w:rPr>
                      <w:rFonts w:hint="eastAsia" w:ascii="宋体" w:hAnsi="宋体"/>
                      <w:color w:val="auto"/>
                      <w:kern w:val="0"/>
                      <w:sz w:val="24"/>
                      <w:highlight w:val="none"/>
                    </w:rPr>
                    <w:t>供应商</w:t>
                  </w:r>
                  <w:r>
                    <w:rPr>
                      <w:rFonts w:ascii="宋体" w:hAnsi="宋体"/>
                      <w:color w:val="auto"/>
                      <w:kern w:val="0"/>
                      <w:sz w:val="24"/>
                      <w:highlight w:val="none"/>
                    </w:rPr>
                    <w:t>为监狱企业的，可不提供中小企业声明函，但须提供由省级以上监狱管理局、戒毒管理局（含新疆生产建设兵团）出具的属于监狱企业的证明文件。③残疾人福利性单位视同小型、微型企业，</w:t>
                  </w:r>
                  <w:r>
                    <w:rPr>
                      <w:rFonts w:hint="eastAsia" w:ascii="宋体" w:hAnsi="宋体"/>
                      <w:color w:val="auto"/>
                      <w:kern w:val="0"/>
                      <w:sz w:val="24"/>
                      <w:highlight w:val="none"/>
                    </w:rPr>
                    <w:t>供应商</w:t>
                  </w:r>
                  <w:r>
                    <w:rPr>
                      <w:rFonts w:ascii="宋体" w:hAnsi="宋体"/>
                      <w:color w:val="auto"/>
                      <w:kern w:val="0"/>
                      <w:sz w:val="24"/>
                      <w:highlight w:val="none"/>
                    </w:rPr>
                    <w:t>为残疾人福利性单位的，可不提供中小企业声明函，但须提供的《残疾人福利性单位声明函》。注：本项目为</w:t>
                  </w:r>
                  <w:r>
                    <w:rPr>
                      <w:rFonts w:hint="eastAsia" w:ascii="宋体" w:hAnsi="宋体"/>
                      <w:color w:val="auto"/>
                      <w:kern w:val="0"/>
                      <w:sz w:val="24"/>
                      <w:highlight w:val="none"/>
                    </w:rPr>
                    <w:t>工程</w:t>
                  </w:r>
                  <w:r>
                    <w:rPr>
                      <w:rFonts w:ascii="宋体" w:hAnsi="宋体"/>
                      <w:color w:val="auto"/>
                      <w:kern w:val="0"/>
                      <w:sz w:val="24"/>
                      <w:highlight w:val="none"/>
                    </w:rPr>
                    <w:t>类采购项目，采购标的对应的中小企业划分标准所属行业为</w:t>
                  </w:r>
                  <w:r>
                    <w:rPr>
                      <w:rStyle w:val="23"/>
                      <w:rFonts w:hint="eastAsia" w:ascii="宋体" w:hAnsi="宋体"/>
                      <w:bCs/>
                      <w:color w:val="auto"/>
                      <w:kern w:val="0"/>
                      <w:sz w:val="24"/>
                      <w:highlight w:val="none"/>
                    </w:rPr>
                    <w:t>建筑业</w:t>
                  </w:r>
                  <w:r>
                    <w:rPr>
                      <w:rFonts w:ascii="宋体" w:hAnsi="宋体"/>
                      <w:color w:val="auto"/>
                      <w:kern w:val="0"/>
                      <w:sz w:val="24"/>
                      <w:highlight w:val="none"/>
                    </w:rPr>
                    <w:t>。</w:t>
                  </w:r>
                </w:p>
              </w:tc>
            </w:tr>
            <w:tr w14:paraId="1ADD45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947" w:type="pct"/>
                  <w:vAlign w:val="center"/>
                </w:tcPr>
                <w:p w14:paraId="68D6394E">
                  <w:pPr>
                    <w:widowControl/>
                    <w:wordWrap w:val="0"/>
                    <w:spacing w:line="400" w:lineRule="exact"/>
                    <w:jc w:val="center"/>
                    <w:rPr>
                      <w:rFonts w:ascii="宋体" w:hAnsi="宋体"/>
                      <w:color w:val="auto"/>
                      <w:kern w:val="0"/>
                      <w:sz w:val="24"/>
                      <w:highlight w:val="none"/>
                    </w:rPr>
                  </w:pPr>
                  <w:r>
                    <w:rPr>
                      <w:rFonts w:hint="eastAsia" w:ascii="宋体" w:hAnsi="宋体"/>
                      <w:color w:val="auto"/>
                      <w:kern w:val="0"/>
                      <w:sz w:val="24"/>
                      <w:highlight w:val="none"/>
                    </w:rPr>
                    <w:t>资格承诺函</w:t>
                  </w:r>
                </w:p>
              </w:tc>
              <w:tc>
                <w:tcPr>
                  <w:tcW w:w="3052" w:type="pct"/>
                  <w:vAlign w:val="center"/>
                </w:tcPr>
                <w:p w14:paraId="406CD146">
                  <w:pPr>
                    <w:snapToGrid w:val="0"/>
                    <w:spacing w:line="360" w:lineRule="exact"/>
                    <w:rPr>
                      <w:rFonts w:ascii="宋体" w:hAnsi="宋体"/>
                      <w:color w:val="auto"/>
                      <w:kern w:val="0"/>
                      <w:sz w:val="24"/>
                      <w:highlight w:val="none"/>
                    </w:rPr>
                  </w:pPr>
                  <w:r>
                    <w:rPr>
                      <w:rFonts w:hint="eastAsia" w:ascii="宋体" w:hAnsi="宋体"/>
                      <w:color w:val="auto"/>
                      <w:kern w:val="0"/>
                      <w:sz w:val="24"/>
                      <w:highlight w:val="none"/>
                    </w:rPr>
                    <w:t>根据《福建省财政厅关于印发推行政府采购供应商资格承诺制指导意见的通知》（闽财购(2024)6号）的规定，依法在福建省参与政府采购活动的供应商，鼓励提供《政府采购供应商资格承诺函》(格式见“</w:t>
                  </w:r>
                  <w:r>
                    <w:rPr>
                      <w:rFonts w:hint="eastAsia" w:ascii="宋体" w:hAnsi="宋体"/>
                      <w:color w:val="auto"/>
                      <w:sz w:val="24"/>
                      <w:highlight w:val="none"/>
                    </w:rPr>
                    <w:t>第五章响应文件格式”</w:t>
                  </w:r>
                  <w:r>
                    <w:rPr>
                      <w:rFonts w:hint="eastAsia" w:ascii="宋体" w:hAnsi="宋体"/>
                      <w:color w:val="auto"/>
                      <w:kern w:val="0"/>
                      <w:sz w:val="24"/>
                      <w:highlight w:val="none"/>
                    </w:rPr>
                    <w:t>的“福建省政府采购供应商资格承诺函”)，在投标(响应)文件中可不提供《中华人民共和国政府采购法实施条例》第十七条第一款规定的资格条件证明材料（</w:t>
                  </w:r>
                  <w:r>
                    <w:rPr>
                      <w:rFonts w:hint="eastAsia" w:ascii="宋体" w:hAnsi="宋体"/>
                      <w:color w:val="auto"/>
                      <w:spacing w:val="-3"/>
                      <w:sz w:val="24"/>
                      <w:highlight w:val="none"/>
                    </w:rPr>
                    <w:t>证明材料指法人或者其他组织的营业执照等证明文件、财务状况报告证明文件、依法缴纳税收和社会保障资金的证明文件、</w:t>
                  </w:r>
                  <w:r>
                    <w:rPr>
                      <w:rFonts w:hint="eastAsia" w:ascii="宋体" w:hAnsi="宋体"/>
                      <w:color w:val="auto"/>
                      <w:kern w:val="0"/>
                      <w:sz w:val="24"/>
                      <w:highlight w:val="none"/>
                    </w:rPr>
                    <w:t>具备履行合同所必需设备和专业技术能力的声明函、参加政府采购活动前三</w:t>
                  </w:r>
                  <w:r>
                    <w:rPr>
                      <w:rFonts w:hint="eastAsia" w:ascii="宋体" w:hAnsi="宋体"/>
                      <w:color w:val="auto"/>
                      <w:spacing w:val="-5"/>
                      <w:sz w:val="24"/>
                      <w:highlight w:val="none"/>
                    </w:rPr>
                    <w:t>年内在经营活动中没有重大违法记录的书面声明</w:t>
                  </w:r>
                  <w:r>
                    <w:rPr>
                      <w:rFonts w:hint="eastAsia" w:ascii="宋体" w:hAnsi="宋体"/>
                      <w:color w:val="auto"/>
                      <w:spacing w:val="20"/>
                      <w:sz w:val="24"/>
                      <w:highlight w:val="none"/>
                    </w:rPr>
                    <w:t>）</w:t>
                  </w:r>
                  <w:r>
                    <w:rPr>
                      <w:rFonts w:hint="eastAsia" w:ascii="宋体" w:hAnsi="宋体"/>
                      <w:color w:val="auto"/>
                      <w:kern w:val="0"/>
                      <w:sz w:val="24"/>
                      <w:highlight w:val="none"/>
                    </w:rPr>
                    <w:t>。供应商应对其承诺内容的真实性、合法性、有效性负责。</w:t>
                  </w:r>
                </w:p>
              </w:tc>
            </w:tr>
          </w:tbl>
          <w:p w14:paraId="468A4B76">
            <w:pPr>
              <w:rPr>
                <w:color w:val="auto"/>
                <w:highlight w:val="none"/>
              </w:rPr>
            </w:pPr>
          </w:p>
        </w:tc>
      </w:tr>
      <w:tr w14:paraId="5072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01F6CF0C">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2</w:t>
            </w:r>
          </w:p>
        </w:tc>
        <w:tc>
          <w:tcPr>
            <w:tcW w:w="0" w:type="auto"/>
            <w:shd w:val="clear" w:color="auto" w:fill="auto"/>
            <w:tcMar>
              <w:top w:w="0" w:type="dxa"/>
              <w:left w:w="105" w:type="dxa"/>
              <w:bottom w:w="0" w:type="dxa"/>
              <w:right w:w="105" w:type="dxa"/>
            </w:tcMar>
            <w:vAlign w:val="center"/>
          </w:tcPr>
          <w:p w14:paraId="09A0FFF5">
            <w:pPr>
              <w:pStyle w:val="17"/>
              <w:widowControl/>
              <w:spacing w:beforeAutospacing="0" w:afterAutospacing="0" w:line="435" w:lineRule="atLeast"/>
              <w:rPr>
                <w:color w:val="auto"/>
                <w:highlight w:val="none"/>
              </w:rPr>
            </w:pPr>
            <w:r>
              <w:rPr>
                <w:rFonts w:hint="eastAsia" w:ascii="宋体" w:hAnsi="宋体" w:cs="宋体"/>
                <w:color w:val="auto"/>
                <w:highlight w:val="none"/>
              </w:rPr>
              <w:t>3.2.2</w:t>
            </w:r>
          </w:p>
        </w:tc>
        <w:tc>
          <w:tcPr>
            <w:tcW w:w="0" w:type="auto"/>
            <w:shd w:val="clear" w:color="auto" w:fill="auto"/>
            <w:tcMar>
              <w:top w:w="0" w:type="dxa"/>
              <w:left w:w="105" w:type="dxa"/>
              <w:bottom w:w="0" w:type="dxa"/>
              <w:right w:w="105" w:type="dxa"/>
            </w:tcMar>
            <w:vAlign w:val="center"/>
          </w:tcPr>
          <w:p w14:paraId="1079882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是否接受联合体形式的响应磋商：包1：</w:t>
            </w:r>
            <w:bookmarkStart w:id="1" w:name="OLE_LINK3"/>
            <w:r>
              <w:rPr>
                <w:rFonts w:hint="eastAsia" w:ascii="宋体" w:hAnsi="宋体" w:cs="宋体"/>
                <w:color w:val="auto"/>
                <w:highlight w:val="none"/>
              </w:rPr>
              <w:t>不接受</w:t>
            </w:r>
            <w:bookmarkEnd w:id="1"/>
            <w:r>
              <w:rPr>
                <w:rFonts w:hint="eastAsia" w:ascii="宋体" w:hAnsi="宋体" w:cs="宋体"/>
                <w:color w:val="auto"/>
                <w:highlight w:val="none"/>
              </w:rPr>
              <w:t>；</w:t>
            </w:r>
          </w:p>
        </w:tc>
      </w:tr>
      <w:tr w14:paraId="324D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6093B7C4">
            <w:pPr>
              <w:pStyle w:val="17"/>
              <w:widowControl/>
              <w:spacing w:beforeAutospacing="0" w:afterAutospacing="0"/>
              <w:jc w:val="center"/>
              <w:rPr>
                <w:rFonts w:ascii="宋体" w:hAnsi="宋体" w:cs="宋体"/>
                <w:color w:val="auto"/>
                <w:highlight w:val="none"/>
              </w:rPr>
            </w:pPr>
            <w:r>
              <w:rPr>
                <w:rFonts w:hint="eastAsia" w:ascii="宋体" w:hAnsi="宋体" w:cs="宋体"/>
                <w:color w:val="auto"/>
                <w:highlight w:val="none"/>
              </w:rPr>
              <w:t>3</w:t>
            </w:r>
          </w:p>
        </w:tc>
        <w:tc>
          <w:tcPr>
            <w:tcW w:w="0" w:type="auto"/>
            <w:shd w:val="clear" w:color="auto" w:fill="auto"/>
            <w:tcMar>
              <w:top w:w="0" w:type="dxa"/>
              <w:left w:w="105" w:type="dxa"/>
              <w:bottom w:w="0" w:type="dxa"/>
              <w:right w:w="105" w:type="dxa"/>
            </w:tcMar>
            <w:vAlign w:val="center"/>
          </w:tcPr>
          <w:p w14:paraId="2E45937B">
            <w:pPr>
              <w:pStyle w:val="17"/>
              <w:widowControl/>
              <w:spacing w:beforeAutospacing="0" w:afterAutospacing="0"/>
              <w:rPr>
                <w:rFonts w:ascii="宋体" w:hAnsi="宋体" w:cs="宋体"/>
                <w:color w:val="auto"/>
                <w:highlight w:val="none"/>
              </w:rPr>
            </w:pPr>
            <w:r>
              <w:rPr>
                <w:rFonts w:hint="eastAsia" w:ascii="宋体" w:hAnsi="宋体" w:cs="宋体"/>
                <w:color w:val="auto"/>
                <w:highlight w:val="none"/>
              </w:rPr>
              <w:t>6.3</w:t>
            </w:r>
          </w:p>
        </w:tc>
        <w:tc>
          <w:tcPr>
            <w:tcW w:w="0" w:type="auto"/>
            <w:shd w:val="clear" w:color="auto" w:fill="auto"/>
            <w:tcMar>
              <w:top w:w="0" w:type="dxa"/>
              <w:left w:w="105" w:type="dxa"/>
              <w:bottom w:w="0" w:type="dxa"/>
              <w:right w:w="105" w:type="dxa"/>
            </w:tcMar>
            <w:vAlign w:val="center"/>
          </w:tcPr>
          <w:p w14:paraId="3F96E0E2">
            <w:pPr>
              <w:pStyle w:val="17"/>
              <w:widowControl/>
              <w:spacing w:beforeAutospacing="0" w:afterAutospacing="0" w:line="400" w:lineRule="exact"/>
              <w:rPr>
                <w:rFonts w:ascii="宋体" w:hAnsi="宋体" w:cs="宋体"/>
                <w:color w:val="auto"/>
                <w:highlight w:val="none"/>
              </w:rPr>
            </w:pPr>
            <w:r>
              <w:rPr>
                <w:rFonts w:hint="eastAsia" w:ascii="宋体" w:hAnsi="宋体" w:cs="宋体"/>
                <w:color w:val="auto"/>
                <w:highlight w:val="none"/>
              </w:rPr>
              <w:t>是否组织现场考察或召开磋商前答疑会：</w:t>
            </w:r>
          </w:p>
          <w:p w14:paraId="4F5704AB">
            <w:pPr>
              <w:pStyle w:val="17"/>
              <w:widowControl/>
              <w:spacing w:beforeAutospacing="0" w:afterAutospacing="0" w:line="400" w:lineRule="exact"/>
              <w:ind w:firstLine="480" w:firstLineChars="200"/>
              <w:rPr>
                <w:rFonts w:ascii="宋体" w:hAnsi="宋体" w:cs="宋体"/>
                <w:color w:val="auto"/>
                <w:highlight w:val="none"/>
              </w:rPr>
            </w:pPr>
            <w:r>
              <w:rPr>
                <w:rFonts w:hint="eastAsia" w:ascii="宋体" w:hAnsi="宋体" w:cs="宋体"/>
                <w:color w:val="auto"/>
                <w:highlight w:val="none"/>
              </w:rPr>
              <w:t>不组织</w:t>
            </w:r>
            <w:r>
              <w:rPr>
                <w:rFonts w:hint="eastAsia"/>
                <w:color w:val="auto"/>
                <w:highlight w:val="none"/>
              </w:rPr>
              <w:t>，自行安排，开</w:t>
            </w:r>
            <w:r>
              <w:rPr>
                <w:rFonts w:hint="eastAsia"/>
                <w:color w:val="auto"/>
                <w:highlight w:val="none"/>
                <w:lang w:val="en-US" w:eastAsia="zh-CN"/>
              </w:rPr>
              <w:t>放</w:t>
            </w:r>
            <w:r>
              <w:rPr>
                <w:rFonts w:hint="eastAsia"/>
                <w:color w:val="auto"/>
                <w:highlight w:val="none"/>
              </w:rPr>
              <w:t>日为本项目报名截止时间后第1个工作日</w:t>
            </w:r>
          </w:p>
          <w:p w14:paraId="3AB6EBEB">
            <w:pPr>
              <w:pStyle w:val="17"/>
              <w:widowControl/>
              <w:spacing w:beforeAutospacing="0" w:afterAutospacing="0" w:line="400" w:lineRule="exact"/>
              <w:ind w:firstLine="482" w:firstLineChars="200"/>
              <w:rPr>
                <w:rFonts w:ascii="宋体" w:hAnsi="宋体" w:cs="宋体"/>
                <w:color w:val="auto"/>
                <w:highlight w:val="none"/>
              </w:rPr>
            </w:pPr>
            <w:r>
              <w:rPr>
                <w:rFonts w:hint="eastAsia" w:ascii="宋体" w:hAnsi="宋体" w:cs="宋体"/>
                <w:b/>
                <w:color w:val="auto"/>
                <w:highlight w:val="none"/>
              </w:rPr>
              <w:t>基于本次采购项目的特点，为了确保各供应商真正了解本次项目的实际需求，潜在供应商可对本项目进行实地踏勘，各供应商应综合考虑在投标报价内。采购人对供应商实地勘察后做出的任何推论、理解和结论均不负责任，踏勘现场所发生的费用及发生的意外均由在供应商自行承担。供应商可自行决定是否前往勘察，因供应商未进行现场勘察造成的不利后果由供应商自行承担。①供应商现场踏勘时应随带的资料：本单位介绍信原件。②勘察时间为本项目报名截止时间后第1个工作日上午9:30-11:30（节假日除外，如遇节假日，时间往后推算）④勘查联系人：</w:t>
            </w:r>
            <w:r>
              <w:rPr>
                <w:rFonts w:ascii="宋体" w:hAnsi="宋体" w:cs="宋体"/>
                <w:color w:val="auto"/>
                <w:sz w:val="24"/>
                <w:szCs w:val="24"/>
                <w:highlight w:val="none"/>
              </w:rPr>
              <w:t>林警官</w:t>
            </w:r>
            <w:r>
              <w:rPr>
                <w:rFonts w:ascii="宋体" w:hAnsi="宋体" w:cs="宋体"/>
                <w:color w:val="auto"/>
                <w:sz w:val="24"/>
                <w:szCs w:val="24"/>
                <w:highlight w:val="none"/>
                <w:lang w:eastAsia="zh-CN"/>
              </w:rPr>
              <w:t xml:space="preserve">   </w:t>
            </w:r>
            <w:r>
              <w:rPr>
                <w:rFonts w:hint="eastAsia" w:ascii="宋体" w:hAnsi="宋体" w:cs="宋体"/>
                <w:b/>
                <w:color w:val="auto"/>
                <w:highlight w:val="none"/>
              </w:rPr>
              <w:t>；联系电话：</w:t>
            </w:r>
            <w:r>
              <w:rPr>
                <w:rFonts w:ascii="宋体" w:hAnsi="宋体" w:cs="宋体"/>
                <w:color w:val="auto"/>
                <w:sz w:val="24"/>
                <w:szCs w:val="24"/>
                <w:highlight w:val="none"/>
                <w:lang w:eastAsia="zh-CN"/>
              </w:rPr>
              <w:t>0591-28620101/18759132948</w:t>
            </w:r>
            <w:r>
              <w:rPr>
                <w:rFonts w:hint="eastAsia" w:ascii="宋体" w:hAnsi="宋体" w:cs="宋体"/>
                <w:b/>
                <w:color w:val="auto"/>
                <w:highlight w:val="none"/>
              </w:rPr>
              <w:t>。</w:t>
            </w:r>
          </w:p>
        </w:tc>
      </w:tr>
      <w:tr w14:paraId="69A0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90" w:hRule="atLeast"/>
        </w:trPr>
        <w:tc>
          <w:tcPr>
            <w:tcW w:w="0" w:type="auto"/>
            <w:shd w:val="clear" w:color="auto" w:fill="auto"/>
            <w:tcMar>
              <w:top w:w="0" w:type="dxa"/>
              <w:left w:w="105" w:type="dxa"/>
              <w:bottom w:w="0" w:type="dxa"/>
              <w:right w:w="105" w:type="dxa"/>
            </w:tcMar>
            <w:vAlign w:val="center"/>
          </w:tcPr>
          <w:p w14:paraId="56BA5366">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4</w:t>
            </w:r>
          </w:p>
        </w:tc>
        <w:tc>
          <w:tcPr>
            <w:tcW w:w="0" w:type="auto"/>
            <w:shd w:val="clear" w:color="auto" w:fill="auto"/>
            <w:tcMar>
              <w:top w:w="0" w:type="dxa"/>
              <w:left w:w="105" w:type="dxa"/>
              <w:bottom w:w="0" w:type="dxa"/>
              <w:right w:w="105" w:type="dxa"/>
            </w:tcMar>
            <w:vAlign w:val="center"/>
          </w:tcPr>
          <w:p w14:paraId="587134B8">
            <w:pPr>
              <w:pStyle w:val="17"/>
              <w:widowControl/>
              <w:spacing w:beforeAutospacing="0" w:afterAutospacing="0" w:line="435" w:lineRule="atLeast"/>
              <w:rPr>
                <w:color w:val="auto"/>
                <w:highlight w:val="none"/>
              </w:rPr>
            </w:pPr>
            <w:r>
              <w:rPr>
                <w:rFonts w:hint="eastAsia" w:ascii="宋体" w:hAnsi="宋体" w:cs="宋体"/>
                <w:color w:val="auto"/>
                <w:highlight w:val="none"/>
              </w:rPr>
              <w:t>9.1</w:t>
            </w:r>
          </w:p>
        </w:tc>
        <w:tc>
          <w:tcPr>
            <w:tcW w:w="0" w:type="auto"/>
            <w:shd w:val="clear" w:color="auto" w:fill="auto"/>
            <w:tcMar>
              <w:top w:w="0" w:type="dxa"/>
              <w:left w:w="105" w:type="dxa"/>
              <w:bottom w:w="0" w:type="dxa"/>
              <w:right w:w="105" w:type="dxa"/>
            </w:tcMar>
            <w:vAlign w:val="center"/>
          </w:tcPr>
          <w:p w14:paraId="48C84F42">
            <w:pPr>
              <w:pStyle w:val="17"/>
              <w:widowControl/>
              <w:spacing w:beforeAutospacing="0" w:afterAutospacing="0"/>
              <w:rPr>
                <w:color w:val="auto"/>
                <w:highlight w:val="none"/>
              </w:rPr>
            </w:pPr>
            <w:r>
              <w:rPr>
                <w:rStyle w:val="23"/>
                <w:rFonts w:hint="eastAsia" w:ascii="宋体" w:hAnsi="宋体" w:cs="宋体"/>
                <w:bCs/>
                <w:color w:val="auto"/>
                <w:highlight w:val="none"/>
              </w:rPr>
              <w:t>响应文件有效期：</w:t>
            </w:r>
            <w:r>
              <w:rPr>
                <w:rFonts w:hint="eastAsia" w:ascii="宋体" w:hAnsi="宋体" w:cs="宋体"/>
                <w:color w:val="auto"/>
                <w:highlight w:val="none"/>
              </w:rPr>
              <w:t>首次响应文件提交截止时间起90个日历日。</w:t>
            </w:r>
          </w:p>
        </w:tc>
      </w:tr>
      <w:tr w14:paraId="550E9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6B5433EF">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5</w:t>
            </w:r>
          </w:p>
        </w:tc>
        <w:tc>
          <w:tcPr>
            <w:tcW w:w="0" w:type="auto"/>
            <w:shd w:val="clear" w:color="auto" w:fill="auto"/>
            <w:tcMar>
              <w:top w:w="0" w:type="dxa"/>
              <w:left w:w="105" w:type="dxa"/>
              <w:bottom w:w="0" w:type="dxa"/>
              <w:right w:w="105" w:type="dxa"/>
            </w:tcMar>
            <w:vAlign w:val="center"/>
          </w:tcPr>
          <w:p w14:paraId="75EB73AC">
            <w:pPr>
              <w:pStyle w:val="17"/>
              <w:widowControl/>
              <w:spacing w:beforeAutospacing="0" w:afterAutospacing="0" w:line="435" w:lineRule="atLeast"/>
              <w:rPr>
                <w:color w:val="auto"/>
                <w:highlight w:val="none"/>
              </w:rPr>
            </w:pPr>
            <w:r>
              <w:rPr>
                <w:rFonts w:hint="eastAsia" w:ascii="宋体" w:hAnsi="宋体" w:cs="宋体"/>
                <w:color w:val="auto"/>
                <w:highlight w:val="none"/>
              </w:rPr>
              <w:t>10.1</w:t>
            </w:r>
          </w:p>
        </w:tc>
        <w:tc>
          <w:tcPr>
            <w:tcW w:w="0" w:type="auto"/>
            <w:shd w:val="clear" w:color="auto" w:fill="auto"/>
            <w:tcMar>
              <w:top w:w="0" w:type="dxa"/>
              <w:left w:w="105" w:type="dxa"/>
              <w:bottom w:w="0" w:type="dxa"/>
              <w:right w:w="105" w:type="dxa"/>
            </w:tcMar>
          </w:tcPr>
          <w:p w14:paraId="6FDDAD3D">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提交磋商保证金：</w:t>
            </w:r>
          </w:p>
          <w:p w14:paraId="6A5B054B">
            <w:pPr>
              <w:pStyle w:val="17"/>
              <w:widowControl/>
              <w:spacing w:beforeAutospacing="0" w:afterAutospacing="0" w:line="435" w:lineRule="atLeast"/>
              <w:rPr>
                <w:color w:val="auto"/>
                <w:highlight w:val="none"/>
              </w:rPr>
            </w:pPr>
            <w:r>
              <w:rPr>
                <w:color w:val="auto"/>
                <w:highlight w:val="none"/>
              </w:rPr>
              <w:t>本项目的磋商保证金详见《采购标的一览表》</w:t>
            </w:r>
            <w:r>
              <w:rPr>
                <w:rFonts w:hint="eastAsia"/>
                <w:color w:val="auto"/>
                <w:highlight w:val="none"/>
              </w:rPr>
              <w:t>，</w:t>
            </w:r>
            <w:r>
              <w:rPr>
                <w:color w:val="auto"/>
                <w:highlight w:val="none"/>
              </w:rPr>
              <w:t>须于提交响应文件截止时间前到达指定账户为准；</w:t>
            </w:r>
          </w:p>
          <w:p w14:paraId="40030F78">
            <w:pPr>
              <w:pStyle w:val="17"/>
              <w:widowControl/>
              <w:spacing w:beforeAutospacing="0" w:afterAutospacing="0" w:line="435" w:lineRule="atLeast"/>
              <w:rPr>
                <w:color w:val="auto"/>
                <w:highlight w:val="none"/>
              </w:rPr>
            </w:pPr>
            <w:r>
              <w:rPr>
                <w:color w:val="auto"/>
                <w:highlight w:val="none"/>
              </w:rPr>
              <w:t>其他：无。</w:t>
            </w:r>
          </w:p>
        </w:tc>
      </w:tr>
      <w:tr w14:paraId="11684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1BE61FA6">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6</w:t>
            </w:r>
          </w:p>
        </w:tc>
        <w:tc>
          <w:tcPr>
            <w:tcW w:w="0" w:type="auto"/>
            <w:shd w:val="clear" w:color="auto" w:fill="auto"/>
            <w:tcMar>
              <w:top w:w="0" w:type="dxa"/>
              <w:left w:w="105" w:type="dxa"/>
              <w:bottom w:w="0" w:type="dxa"/>
              <w:right w:w="105" w:type="dxa"/>
            </w:tcMar>
            <w:vAlign w:val="center"/>
          </w:tcPr>
          <w:p w14:paraId="401B5065">
            <w:pPr>
              <w:pStyle w:val="17"/>
              <w:widowControl/>
              <w:spacing w:beforeAutospacing="0" w:afterAutospacing="0" w:line="435" w:lineRule="atLeast"/>
              <w:rPr>
                <w:color w:val="auto"/>
                <w:highlight w:val="none"/>
              </w:rPr>
            </w:pPr>
            <w:r>
              <w:rPr>
                <w:rFonts w:hint="eastAsia" w:ascii="宋体" w:hAnsi="宋体" w:cs="宋体"/>
                <w:color w:val="auto"/>
                <w:highlight w:val="none"/>
              </w:rPr>
              <w:t>10.3.1</w:t>
            </w:r>
          </w:p>
        </w:tc>
        <w:tc>
          <w:tcPr>
            <w:tcW w:w="0" w:type="auto"/>
            <w:shd w:val="clear" w:color="auto" w:fill="auto"/>
            <w:tcMar>
              <w:top w:w="0" w:type="dxa"/>
              <w:left w:w="105" w:type="dxa"/>
              <w:bottom w:w="0" w:type="dxa"/>
              <w:right w:w="105" w:type="dxa"/>
            </w:tcMar>
            <w:vAlign w:val="center"/>
          </w:tcPr>
          <w:p w14:paraId="150483D4">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磋商保证金退还的其它要求：</w:t>
            </w:r>
          </w:p>
          <w:p w14:paraId="740774F1">
            <w:pPr>
              <w:pStyle w:val="17"/>
              <w:widowControl/>
              <w:spacing w:beforeAutospacing="0" w:afterAutospacing="0" w:line="435" w:lineRule="atLeast"/>
              <w:rPr>
                <w:color w:val="auto"/>
                <w:highlight w:val="none"/>
              </w:rPr>
            </w:pPr>
            <w:r>
              <w:rPr>
                <w:color w:val="auto"/>
                <w:highlight w:val="none"/>
              </w:rPr>
              <w:t>无。</w:t>
            </w:r>
          </w:p>
        </w:tc>
      </w:tr>
      <w:tr w14:paraId="3957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6DBCEE2B">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7</w:t>
            </w:r>
          </w:p>
        </w:tc>
        <w:tc>
          <w:tcPr>
            <w:tcW w:w="0" w:type="auto"/>
            <w:shd w:val="clear" w:color="auto" w:fill="auto"/>
            <w:tcMar>
              <w:top w:w="0" w:type="dxa"/>
              <w:left w:w="105" w:type="dxa"/>
              <w:bottom w:w="0" w:type="dxa"/>
              <w:right w:w="105" w:type="dxa"/>
            </w:tcMar>
            <w:vAlign w:val="center"/>
          </w:tcPr>
          <w:p w14:paraId="55A8BC59">
            <w:pPr>
              <w:pStyle w:val="17"/>
              <w:widowControl/>
              <w:spacing w:beforeAutospacing="0" w:afterAutospacing="0" w:line="435" w:lineRule="atLeast"/>
              <w:rPr>
                <w:color w:val="auto"/>
                <w:highlight w:val="none"/>
              </w:rPr>
            </w:pPr>
            <w:r>
              <w:rPr>
                <w:rFonts w:hint="eastAsia" w:ascii="宋体" w:hAnsi="宋体" w:cs="宋体"/>
                <w:color w:val="auto"/>
                <w:highlight w:val="none"/>
              </w:rPr>
              <w:t>11.1</w:t>
            </w:r>
          </w:p>
        </w:tc>
        <w:tc>
          <w:tcPr>
            <w:tcW w:w="0" w:type="auto"/>
            <w:shd w:val="clear" w:color="auto" w:fill="auto"/>
            <w:tcMar>
              <w:top w:w="0" w:type="dxa"/>
              <w:left w:w="105" w:type="dxa"/>
              <w:bottom w:w="0" w:type="dxa"/>
              <w:right w:w="105" w:type="dxa"/>
            </w:tcMar>
            <w:vAlign w:val="center"/>
          </w:tcPr>
          <w:p w14:paraId="776BE02E">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响应文件的份数</w:t>
            </w:r>
          </w:p>
          <w:p w14:paraId="2D1AB50E">
            <w:pPr>
              <w:pStyle w:val="17"/>
              <w:widowControl/>
              <w:spacing w:beforeAutospacing="0" w:afterAutospacing="0" w:line="435" w:lineRule="atLeast"/>
              <w:rPr>
                <w:color w:val="auto"/>
                <w:highlight w:val="none"/>
              </w:rPr>
            </w:pPr>
            <w:r>
              <w:rPr>
                <w:rFonts w:hint="eastAsia" w:ascii="宋体" w:hAnsi="宋体" w:cs="宋体"/>
                <w:color w:val="auto"/>
                <w:highlight w:val="none"/>
              </w:rPr>
              <w:t>（1）纸质响应文件 </w:t>
            </w:r>
          </w:p>
          <w:p w14:paraId="79836E00">
            <w:pPr>
              <w:pStyle w:val="17"/>
              <w:widowControl/>
              <w:spacing w:beforeAutospacing="0" w:afterAutospacing="0" w:line="435" w:lineRule="atLeast"/>
              <w:ind w:firstLine="480"/>
              <w:rPr>
                <w:color w:val="auto"/>
                <w:highlight w:val="none"/>
              </w:rPr>
            </w:pPr>
            <w:r>
              <w:rPr>
                <w:rFonts w:hint="eastAsia" w:ascii="宋体" w:hAnsi="宋体" w:cs="宋体"/>
                <w:color w:val="auto"/>
                <w:highlight w:val="none"/>
              </w:rPr>
              <w:t>①响应文件正本</w:t>
            </w:r>
            <w:r>
              <w:rPr>
                <w:rFonts w:hint="eastAsia" w:ascii="宋体" w:hAnsi="宋体" w:cs="宋体"/>
                <w:color w:val="auto"/>
                <w:highlight w:val="none"/>
                <w:u w:val="single"/>
              </w:rPr>
              <w:t>1</w:t>
            </w:r>
            <w:r>
              <w:rPr>
                <w:rFonts w:hint="eastAsia" w:ascii="宋体" w:hAnsi="宋体" w:cs="宋体"/>
                <w:color w:val="auto"/>
                <w:highlight w:val="none"/>
              </w:rPr>
              <w:t>份、副本</w:t>
            </w:r>
            <w:r>
              <w:rPr>
                <w:rFonts w:hint="eastAsia"/>
                <w:color w:val="auto"/>
                <w:highlight w:val="none"/>
                <w:u w:val="single"/>
                <w:lang w:val="en-US" w:eastAsia="zh-CN"/>
              </w:rPr>
              <w:t>3</w:t>
            </w:r>
            <w:r>
              <w:rPr>
                <w:rFonts w:hint="eastAsia" w:ascii="宋体" w:hAnsi="宋体" w:cs="宋体"/>
                <w:color w:val="auto"/>
                <w:highlight w:val="none"/>
              </w:rPr>
              <w:t>份。</w:t>
            </w:r>
          </w:p>
          <w:p w14:paraId="191035C1">
            <w:pPr>
              <w:pStyle w:val="17"/>
              <w:widowControl/>
              <w:spacing w:beforeAutospacing="0" w:afterAutospacing="0" w:line="435" w:lineRule="atLeast"/>
              <w:ind w:firstLine="480"/>
              <w:rPr>
                <w:color w:val="auto"/>
                <w:highlight w:val="none"/>
              </w:rPr>
            </w:pPr>
            <w:r>
              <w:rPr>
                <w:rFonts w:hint="eastAsia" w:ascii="宋体" w:hAnsi="宋体" w:cs="宋体"/>
                <w:color w:val="auto"/>
                <w:highlight w:val="none"/>
              </w:rPr>
              <w:t>②可读介质（光盘或U盘）</w:t>
            </w:r>
            <w:r>
              <w:rPr>
                <w:rFonts w:hint="eastAsia" w:ascii="宋体" w:hAnsi="宋体" w:cs="宋体"/>
                <w:color w:val="auto"/>
                <w:highlight w:val="none"/>
                <w:u w:val="single"/>
              </w:rPr>
              <w:t>1</w:t>
            </w:r>
            <w:r>
              <w:rPr>
                <w:rFonts w:hint="eastAsia" w:ascii="宋体" w:hAnsi="宋体" w:cs="宋体"/>
                <w:color w:val="auto"/>
                <w:highlight w:val="none"/>
              </w:rPr>
              <w:t>份。</w:t>
            </w:r>
            <w:r>
              <w:rPr>
                <w:rFonts w:cs="Calibri"/>
                <w:color w:val="auto"/>
                <w:highlight w:val="none"/>
              </w:rPr>
              <w:t> </w:t>
            </w:r>
          </w:p>
        </w:tc>
      </w:tr>
      <w:tr w14:paraId="51D3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shd w:val="clear" w:color="auto" w:fill="auto"/>
            <w:tcMar>
              <w:top w:w="0" w:type="dxa"/>
              <w:left w:w="105" w:type="dxa"/>
              <w:bottom w:w="0" w:type="dxa"/>
              <w:right w:w="105" w:type="dxa"/>
            </w:tcMar>
            <w:vAlign w:val="center"/>
          </w:tcPr>
          <w:p w14:paraId="578E2297">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8</w:t>
            </w:r>
          </w:p>
        </w:tc>
        <w:tc>
          <w:tcPr>
            <w:tcW w:w="0" w:type="auto"/>
            <w:shd w:val="clear" w:color="auto" w:fill="auto"/>
            <w:tcMar>
              <w:top w:w="0" w:type="dxa"/>
              <w:left w:w="105" w:type="dxa"/>
              <w:bottom w:w="0" w:type="dxa"/>
              <w:right w:w="105" w:type="dxa"/>
            </w:tcMar>
            <w:vAlign w:val="center"/>
          </w:tcPr>
          <w:p w14:paraId="4A11A458">
            <w:pPr>
              <w:pStyle w:val="17"/>
              <w:widowControl/>
              <w:spacing w:beforeAutospacing="0" w:afterAutospacing="0" w:line="435" w:lineRule="atLeast"/>
              <w:rPr>
                <w:color w:val="auto"/>
                <w:highlight w:val="none"/>
              </w:rPr>
            </w:pPr>
            <w:r>
              <w:rPr>
                <w:rFonts w:hint="eastAsia" w:ascii="宋体" w:hAnsi="宋体" w:cs="宋体"/>
                <w:color w:val="auto"/>
                <w:highlight w:val="none"/>
              </w:rPr>
              <w:t>14.4</w:t>
            </w:r>
          </w:p>
        </w:tc>
        <w:tc>
          <w:tcPr>
            <w:tcW w:w="0" w:type="auto"/>
            <w:shd w:val="clear" w:color="auto" w:fill="auto"/>
            <w:tcMar>
              <w:top w:w="0" w:type="dxa"/>
              <w:left w:w="105" w:type="dxa"/>
              <w:bottom w:w="0" w:type="dxa"/>
              <w:right w:w="105" w:type="dxa"/>
            </w:tcMar>
          </w:tcPr>
          <w:p w14:paraId="2CD8755A">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磋商过程中可能发生实质性变动的内容：</w:t>
            </w:r>
          </w:p>
          <w:p w14:paraId="7E40DDE8">
            <w:pPr>
              <w:pStyle w:val="17"/>
              <w:widowControl/>
              <w:spacing w:beforeAutospacing="0" w:afterAutospacing="0" w:line="435" w:lineRule="atLeast"/>
              <w:rPr>
                <w:color w:val="auto"/>
                <w:highlight w:val="none"/>
              </w:rPr>
            </w:pPr>
            <w:r>
              <w:rPr>
                <w:rFonts w:hint="eastAsia" w:ascii="宋体" w:hAnsi="宋体" w:cs="宋体"/>
                <w:color w:val="auto"/>
                <w:highlight w:val="none"/>
              </w:rPr>
              <w:t>无。</w:t>
            </w:r>
          </w:p>
        </w:tc>
      </w:tr>
      <w:tr w14:paraId="13C6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276EE532">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9</w:t>
            </w:r>
          </w:p>
        </w:tc>
        <w:tc>
          <w:tcPr>
            <w:tcW w:w="0" w:type="auto"/>
            <w:shd w:val="clear" w:color="auto" w:fill="auto"/>
            <w:tcMar>
              <w:top w:w="0" w:type="dxa"/>
              <w:left w:w="105" w:type="dxa"/>
              <w:bottom w:w="0" w:type="dxa"/>
              <w:right w:w="105" w:type="dxa"/>
            </w:tcMar>
            <w:vAlign w:val="center"/>
          </w:tcPr>
          <w:p w14:paraId="0250FEF1">
            <w:pPr>
              <w:pStyle w:val="17"/>
              <w:widowControl/>
              <w:wordWrap w:val="0"/>
              <w:spacing w:beforeAutospacing="0" w:afterAutospacing="0" w:line="435" w:lineRule="atLeast"/>
              <w:rPr>
                <w:color w:val="auto"/>
                <w:highlight w:val="none"/>
              </w:rPr>
            </w:pPr>
            <w:r>
              <w:rPr>
                <w:rFonts w:hint="eastAsia" w:ascii="宋体" w:hAnsi="宋体" w:cs="宋体"/>
                <w:color w:val="auto"/>
                <w:highlight w:val="none"/>
              </w:rPr>
              <w:t>14.9</w:t>
            </w:r>
          </w:p>
        </w:tc>
        <w:tc>
          <w:tcPr>
            <w:tcW w:w="0" w:type="auto"/>
            <w:shd w:val="clear" w:color="auto" w:fill="auto"/>
            <w:tcMar>
              <w:top w:w="0" w:type="dxa"/>
              <w:left w:w="105" w:type="dxa"/>
              <w:bottom w:w="0" w:type="dxa"/>
              <w:right w:w="105" w:type="dxa"/>
            </w:tcMar>
            <w:vAlign w:val="center"/>
          </w:tcPr>
          <w:p w14:paraId="04267E55">
            <w:pPr>
              <w:pStyle w:val="17"/>
              <w:widowControl/>
              <w:spacing w:beforeAutospacing="0" w:afterAutospacing="0" w:line="435" w:lineRule="atLeast"/>
              <w:rPr>
                <w:color w:val="auto"/>
                <w:highlight w:val="none"/>
              </w:rPr>
            </w:pPr>
            <w:r>
              <w:rPr>
                <w:rFonts w:hint="eastAsia" w:ascii="宋体" w:hAnsi="宋体" w:cs="宋体"/>
                <w:color w:val="auto"/>
                <w:highlight w:val="none"/>
              </w:rPr>
              <w:t>评审的标准和方法：具体内容详见竞争性磋商须知前附表专项附件“评审的标准和方法”。</w:t>
            </w:r>
          </w:p>
        </w:tc>
      </w:tr>
      <w:tr w14:paraId="10BA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2BF009BD">
            <w:pPr>
              <w:pStyle w:val="17"/>
              <w:widowControl/>
              <w:wordWrap w:val="0"/>
              <w:spacing w:beforeAutospacing="0" w:afterAutospacing="0" w:line="435" w:lineRule="atLeast"/>
              <w:jc w:val="center"/>
              <w:rPr>
                <w:color w:val="auto"/>
                <w:highlight w:val="none"/>
              </w:rPr>
            </w:pPr>
            <w:r>
              <w:rPr>
                <w:rFonts w:hint="eastAsia" w:ascii="宋体" w:hAnsi="宋体" w:cs="宋体"/>
                <w:color w:val="auto"/>
                <w:highlight w:val="none"/>
              </w:rPr>
              <w:t>10</w:t>
            </w:r>
          </w:p>
        </w:tc>
        <w:tc>
          <w:tcPr>
            <w:tcW w:w="0" w:type="auto"/>
            <w:shd w:val="clear" w:color="auto" w:fill="auto"/>
            <w:tcMar>
              <w:top w:w="0" w:type="dxa"/>
              <w:left w:w="105" w:type="dxa"/>
              <w:bottom w:w="0" w:type="dxa"/>
              <w:right w:w="105" w:type="dxa"/>
            </w:tcMar>
            <w:vAlign w:val="center"/>
          </w:tcPr>
          <w:p w14:paraId="32B7F256">
            <w:pPr>
              <w:pStyle w:val="17"/>
              <w:widowControl/>
              <w:wordWrap w:val="0"/>
              <w:spacing w:beforeAutospacing="0" w:afterAutospacing="0" w:line="435" w:lineRule="atLeast"/>
              <w:rPr>
                <w:color w:val="auto"/>
                <w:highlight w:val="none"/>
              </w:rPr>
            </w:pPr>
          </w:p>
        </w:tc>
        <w:tc>
          <w:tcPr>
            <w:tcW w:w="0" w:type="auto"/>
            <w:shd w:val="clear" w:color="auto" w:fill="auto"/>
            <w:tcMar>
              <w:top w:w="0" w:type="dxa"/>
              <w:left w:w="105" w:type="dxa"/>
              <w:bottom w:w="0" w:type="dxa"/>
              <w:right w:w="105" w:type="dxa"/>
            </w:tcMar>
            <w:vAlign w:val="center"/>
          </w:tcPr>
          <w:p w14:paraId="61C26197">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根据采购项目的特点和需要，需要加以详细说明的其他磋商程序规定、要求等内容</w:t>
            </w:r>
            <w:r>
              <w:rPr>
                <w:rFonts w:hint="eastAsia" w:ascii="宋体" w:hAnsi="宋体" w:cs="宋体"/>
                <w:color w:val="auto"/>
                <w:highlight w:val="none"/>
              </w:rPr>
              <w:t>：</w:t>
            </w:r>
          </w:p>
          <w:p w14:paraId="2FB64AA5">
            <w:pPr>
              <w:pStyle w:val="17"/>
              <w:widowControl/>
              <w:spacing w:beforeAutospacing="0" w:afterAutospacing="0" w:line="435" w:lineRule="atLeast"/>
              <w:rPr>
                <w:color w:val="auto"/>
                <w:highlight w:val="none"/>
              </w:rPr>
            </w:pPr>
            <w:r>
              <w:rPr>
                <w:rFonts w:hint="eastAsia" w:ascii="宋体" w:hAnsi="宋体" w:cs="宋体"/>
                <w:color w:val="auto"/>
                <w:highlight w:val="none"/>
              </w:rPr>
              <w:t>参加磋商活动的供应商代表应当在规定的磋商地点等待，并根据磋商小组的要求和安排配合相应磋商工作直至结束。提交最后报价程序结束前，如果在场的合格供应商委派的“供应商代表”不是其响应文件中约定的供应商（为法人或其他组织的）的单位负责人或由其授权的委托代理人或者供应商代表无故中途退场或者自身通讯中断无法联系或者其他原因离场等造成不能按照磋商小组要求参加磋商的，均视同为该供应商自动放弃相应权利并完全认可磋商小组在磋商活动中公布的各项数据、意见和结论，且该供应商将被退出本项目磋商，其提交的响应文件和报价将被否决。供应商的上述行为后果由供应商自行承担且不影响磋商小组依法开展后续相应竞争性磋商活动</w:t>
            </w:r>
            <w:r>
              <w:rPr>
                <w:color w:val="auto"/>
                <w:highlight w:val="none"/>
              </w:rPr>
              <w:t>。</w:t>
            </w:r>
          </w:p>
        </w:tc>
      </w:tr>
      <w:tr w14:paraId="7134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14:paraId="19B5617F">
            <w:pPr>
              <w:widowControl/>
              <w:wordWrap w:val="0"/>
              <w:jc w:val="left"/>
              <w:rPr>
                <w:color w:val="auto"/>
                <w:highlight w:val="none"/>
              </w:rPr>
            </w:pPr>
            <w:r>
              <w:rPr>
                <w:rFonts w:hint="eastAsia" w:ascii="宋体" w:hAnsi="宋体"/>
                <w:color w:val="auto"/>
                <w:kern w:val="0"/>
                <w:sz w:val="24"/>
                <w:highlight w:val="none"/>
              </w:rPr>
              <w:t>11</w:t>
            </w:r>
          </w:p>
        </w:tc>
        <w:tc>
          <w:tcPr>
            <w:tcW w:w="0" w:type="auto"/>
            <w:shd w:val="clear" w:color="auto" w:fill="auto"/>
            <w:tcMar>
              <w:top w:w="0" w:type="dxa"/>
              <w:left w:w="0" w:type="dxa"/>
              <w:bottom w:w="0" w:type="dxa"/>
              <w:right w:w="0" w:type="dxa"/>
            </w:tcMar>
            <w:vAlign w:val="center"/>
          </w:tcPr>
          <w:p w14:paraId="39667F0C">
            <w:pPr>
              <w:widowControl/>
              <w:wordWrap w:val="0"/>
              <w:jc w:val="left"/>
              <w:rPr>
                <w:color w:val="auto"/>
                <w:highlight w:val="none"/>
              </w:rPr>
            </w:pPr>
            <w:r>
              <w:rPr>
                <w:rFonts w:hint="eastAsia" w:ascii="宋体" w:hAnsi="宋体"/>
                <w:color w:val="auto"/>
                <w:kern w:val="0"/>
                <w:sz w:val="24"/>
                <w:highlight w:val="none"/>
              </w:rPr>
              <w:t>18.1</w:t>
            </w:r>
          </w:p>
        </w:tc>
        <w:tc>
          <w:tcPr>
            <w:tcW w:w="0" w:type="auto"/>
            <w:shd w:val="clear" w:color="auto" w:fill="auto"/>
            <w:tcMar>
              <w:top w:w="0" w:type="dxa"/>
              <w:left w:w="0" w:type="dxa"/>
              <w:bottom w:w="0" w:type="dxa"/>
              <w:right w:w="0" w:type="dxa"/>
            </w:tcMar>
            <w:vAlign w:val="center"/>
          </w:tcPr>
          <w:p w14:paraId="40FA1EF1">
            <w:pPr>
              <w:widowControl/>
              <w:wordWrap w:val="0"/>
              <w:jc w:val="left"/>
              <w:rPr>
                <w:color w:val="auto"/>
                <w:highlight w:val="none"/>
              </w:rPr>
            </w:pPr>
            <w:r>
              <w:rPr>
                <w:rStyle w:val="23"/>
                <w:rFonts w:hint="eastAsia" w:ascii="宋体" w:hAnsi="宋体"/>
                <w:bCs/>
                <w:color w:val="auto"/>
                <w:kern w:val="0"/>
                <w:sz w:val="24"/>
                <w:highlight w:val="none"/>
              </w:rPr>
              <w:t>合同签订时限：自成交通知书发出之日起30个日历日内。</w:t>
            </w:r>
          </w:p>
        </w:tc>
      </w:tr>
      <w:tr w14:paraId="0FFB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7964BD7E">
            <w:pPr>
              <w:pStyle w:val="17"/>
              <w:widowControl/>
              <w:wordWrap w:val="0"/>
              <w:spacing w:beforeAutospacing="0" w:afterAutospacing="0" w:line="435" w:lineRule="atLeast"/>
              <w:jc w:val="center"/>
              <w:rPr>
                <w:color w:val="auto"/>
                <w:highlight w:val="none"/>
              </w:rPr>
            </w:pPr>
            <w:r>
              <w:rPr>
                <w:rFonts w:hint="eastAsia" w:ascii="宋体" w:hAnsi="宋体" w:cs="宋体"/>
                <w:color w:val="auto"/>
                <w:highlight w:val="none"/>
              </w:rPr>
              <w:t>12</w:t>
            </w:r>
          </w:p>
        </w:tc>
        <w:tc>
          <w:tcPr>
            <w:tcW w:w="0" w:type="auto"/>
            <w:shd w:val="clear" w:color="auto" w:fill="auto"/>
            <w:tcMar>
              <w:top w:w="0" w:type="dxa"/>
              <w:left w:w="105" w:type="dxa"/>
              <w:bottom w:w="0" w:type="dxa"/>
              <w:right w:w="105" w:type="dxa"/>
            </w:tcMar>
            <w:vAlign w:val="center"/>
          </w:tcPr>
          <w:p w14:paraId="0E9A6E15">
            <w:pPr>
              <w:pStyle w:val="17"/>
              <w:widowControl/>
              <w:spacing w:beforeAutospacing="0" w:afterAutospacing="0" w:line="435" w:lineRule="atLeast"/>
              <w:rPr>
                <w:color w:val="auto"/>
                <w:highlight w:val="none"/>
              </w:rPr>
            </w:pPr>
            <w:r>
              <w:rPr>
                <w:rFonts w:hint="eastAsia" w:ascii="宋体" w:hAnsi="宋体" w:cs="宋体"/>
                <w:color w:val="auto"/>
                <w:highlight w:val="none"/>
              </w:rPr>
              <w:t>22.2</w:t>
            </w:r>
          </w:p>
        </w:tc>
        <w:tc>
          <w:tcPr>
            <w:tcW w:w="0" w:type="auto"/>
            <w:shd w:val="clear" w:color="auto" w:fill="auto"/>
            <w:tcMar>
              <w:top w:w="0" w:type="dxa"/>
              <w:left w:w="105" w:type="dxa"/>
              <w:bottom w:w="0" w:type="dxa"/>
              <w:right w:w="105" w:type="dxa"/>
            </w:tcMar>
          </w:tcPr>
          <w:p w14:paraId="1C78E27D">
            <w:pPr>
              <w:pStyle w:val="17"/>
              <w:widowControl/>
              <w:wordWrap w:val="0"/>
              <w:spacing w:beforeAutospacing="0" w:afterAutospacing="0" w:line="435" w:lineRule="atLeast"/>
              <w:rPr>
                <w:color w:val="auto"/>
                <w:highlight w:val="none"/>
              </w:rPr>
            </w:pPr>
            <w:r>
              <w:rPr>
                <w:rStyle w:val="23"/>
                <w:rFonts w:hint="eastAsia" w:ascii="宋体" w:hAnsi="宋体" w:cs="宋体"/>
                <w:bCs/>
                <w:color w:val="auto"/>
                <w:highlight w:val="none"/>
              </w:rPr>
              <w:t>信息公告指定媒体（以下简称：“指定媒体”）：</w:t>
            </w:r>
          </w:p>
          <w:p w14:paraId="31B0A805">
            <w:pPr>
              <w:pStyle w:val="17"/>
              <w:widowControl/>
              <w:wordWrap w:val="0"/>
              <w:spacing w:beforeAutospacing="0" w:afterAutospacing="0" w:line="435" w:lineRule="atLeast"/>
              <w:rPr>
                <w:color w:val="auto"/>
                <w:highlight w:val="none"/>
              </w:rPr>
            </w:pPr>
            <w:r>
              <w:rPr>
                <w:rFonts w:hint="eastAsia" w:ascii="宋体" w:hAnsi="宋体" w:cs="宋体"/>
                <w:color w:val="auto"/>
                <w:highlight w:val="none"/>
              </w:rPr>
              <w:t>中国政府采购网，网址www.ccgp.gov.cn</w:t>
            </w:r>
            <w:r>
              <w:rPr>
                <w:color w:val="auto"/>
                <w:highlight w:val="none"/>
              </w:rPr>
              <w:t>。</w:t>
            </w:r>
          </w:p>
        </w:tc>
      </w:tr>
      <w:tr w14:paraId="3DC8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2A736A7E">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13</w:t>
            </w:r>
          </w:p>
        </w:tc>
        <w:tc>
          <w:tcPr>
            <w:tcW w:w="0" w:type="auto"/>
            <w:shd w:val="clear" w:color="auto" w:fill="auto"/>
            <w:tcMar>
              <w:top w:w="0" w:type="dxa"/>
              <w:left w:w="105" w:type="dxa"/>
              <w:bottom w:w="0" w:type="dxa"/>
              <w:right w:w="105" w:type="dxa"/>
            </w:tcMar>
            <w:vAlign w:val="center"/>
          </w:tcPr>
          <w:p w14:paraId="30878812">
            <w:pPr>
              <w:pStyle w:val="17"/>
              <w:widowControl/>
              <w:spacing w:beforeAutospacing="0" w:afterAutospacing="0" w:line="435" w:lineRule="atLeast"/>
              <w:rPr>
                <w:color w:val="auto"/>
                <w:highlight w:val="none"/>
              </w:rPr>
            </w:pPr>
            <w:r>
              <w:rPr>
                <w:rFonts w:hint="eastAsia" w:ascii="宋体" w:hAnsi="宋体" w:cs="宋体"/>
                <w:color w:val="auto"/>
                <w:highlight w:val="none"/>
              </w:rPr>
              <w:t>23.1</w:t>
            </w:r>
          </w:p>
        </w:tc>
        <w:tc>
          <w:tcPr>
            <w:tcW w:w="0" w:type="auto"/>
            <w:shd w:val="clear" w:color="auto" w:fill="auto"/>
            <w:tcMar>
              <w:top w:w="0" w:type="dxa"/>
              <w:left w:w="105" w:type="dxa"/>
              <w:bottom w:w="0" w:type="dxa"/>
              <w:right w:w="105" w:type="dxa"/>
            </w:tcMar>
            <w:vAlign w:val="center"/>
          </w:tcPr>
          <w:p w14:paraId="1EF1D9B8">
            <w:pPr>
              <w:pStyle w:val="17"/>
              <w:widowControl/>
              <w:spacing w:beforeAutospacing="0" w:afterAutospacing="0" w:line="435" w:lineRule="atLeast"/>
              <w:rPr>
                <w:color w:val="auto"/>
                <w:highlight w:val="none"/>
              </w:rPr>
            </w:pPr>
            <w:r>
              <w:rPr>
                <w:rStyle w:val="23"/>
                <w:rFonts w:hint="eastAsia" w:ascii="宋体" w:hAnsi="宋体" w:cs="宋体"/>
                <w:bCs/>
                <w:color w:val="auto"/>
                <w:highlight w:val="none"/>
              </w:rPr>
              <w:t>本项目监督管理部门：</w:t>
            </w:r>
            <w:r>
              <w:rPr>
                <w:rFonts w:hint="eastAsia" w:ascii="宋体" w:hAnsi="宋体" w:cs="宋体"/>
                <w:color w:val="auto"/>
                <w:highlight w:val="none"/>
              </w:rPr>
              <w:t>中华人民共和国福州机场出入境边防检查站采购监督部门。</w:t>
            </w:r>
          </w:p>
        </w:tc>
      </w:tr>
      <w:tr w14:paraId="1276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 w:hRule="atLeast"/>
        </w:trPr>
        <w:tc>
          <w:tcPr>
            <w:tcW w:w="0" w:type="auto"/>
            <w:shd w:val="clear" w:color="auto" w:fill="auto"/>
            <w:tcMar>
              <w:top w:w="0" w:type="dxa"/>
              <w:left w:w="105" w:type="dxa"/>
              <w:bottom w:w="0" w:type="dxa"/>
              <w:right w:w="105" w:type="dxa"/>
            </w:tcMar>
            <w:vAlign w:val="center"/>
          </w:tcPr>
          <w:p w14:paraId="06364366">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14</w:t>
            </w:r>
          </w:p>
        </w:tc>
        <w:tc>
          <w:tcPr>
            <w:tcW w:w="0" w:type="auto"/>
            <w:shd w:val="clear" w:color="auto" w:fill="auto"/>
            <w:tcMar>
              <w:top w:w="0" w:type="dxa"/>
              <w:left w:w="105" w:type="dxa"/>
              <w:bottom w:w="0" w:type="dxa"/>
              <w:right w:w="105" w:type="dxa"/>
            </w:tcMar>
            <w:vAlign w:val="center"/>
          </w:tcPr>
          <w:p w14:paraId="04B2C50F">
            <w:pPr>
              <w:pStyle w:val="17"/>
              <w:widowControl/>
              <w:spacing w:beforeAutospacing="0" w:afterAutospacing="0" w:line="435" w:lineRule="atLeast"/>
              <w:rPr>
                <w:color w:val="auto"/>
                <w:highlight w:val="none"/>
              </w:rPr>
            </w:pPr>
            <w:r>
              <w:rPr>
                <w:rFonts w:hint="eastAsia" w:ascii="宋体" w:hAnsi="宋体" w:cs="宋体"/>
                <w:color w:val="auto"/>
                <w:highlight w:val="none"/>
              </w:rPr>
              <w:t>24.1</w:t>
            </w:r>
          </w:p>
        </w:tc>
        <w:tc>
          <w:tcPr>
            <w:tcW w:w="0" w:type="auto"/>
            <w:shd w:val="clear" w:color="auto" w:fill="auto"/>
            <w:tcMar>
              <w:top w:w="0" w:type="dxa"/>
              <w:left w:w="105" w:type="dxa"/>
              <w:bottom w:w="0" w:type="dxa"/>
              <w:right w:w="105" w:type="dxa"/>
            </w:tcMar>
            <w:vAlign w:val="center"/>
          </w:tcPr>
          <w:p w14:paraId="6D1100DA">
            <w:pPr>
              <w:pStyle w:val="17"/>
              <w:widowControl/>
              <w:spacing w:beforeAutospacing="0" w:afterAutospacing="0" w:line="435" w:lineRule="atLeast"/>
              <w:rPr>
                <w:rFonts w:hint="default" w:eastAsia="宋体"/>
                <w:color w:val="auto"/>
                <w:highlight w:val="none"/>
                <w:lang w:val="en-US" w:eastAsia="zh-CN"/>
              </w:rPr>
            </w:pPr>
            <w:r>
              <w:rPr>
                <w:rStyle w:val="23"/>
                <w:rFonts w:hint="eastAsia" w:ascii="宋体" w:hAnsi="宋体" w:cs="宋体"/>
                <w:bCs/>
                <w:color w:val="auto"/>
                <w:highlight w:val="none"/>
              </w:rPr>
              <w:t>履约保证金：</w:t>
            </w:r>
            <w:r>
              <w:rPr>
                <w:rStyle w:val="23"/>
                <w:rFonts w:hint="eastAsia" w:ascii="宋体" w:hAnsi="宋体" w:cs="宋体"/>
                <w:bCs/>
                <w:color w:val="auto"/>
                <w:highlight w:val="none"/>
                <w:lang w:val="en-US" w:eastAsia="zh-CN"/>
              </w:rPr>
              <w:t>具体详见第三章“</w:t>
            </w:r>
            <w:r>
              <w:rPr>
                <w:rFonts w:hint="eastAsia" w:ascii="宋体" w:hAnsi="宋体"/>
                <w:color w:val="auto"/>
                <w:kern w:val="0"/>
                <w:sz w:val="24"/>
                <w:highlight w:val="none"/>
                <w:shd w:val="clear" w:color="auto" w:fill="FFFFFF"/>
                <w:lang w:val="en-GB"/>
              </w:rPr>
              <w:t>4、是否收取履约保证金</w:t>
            </w:r>
            <w:r>
              <w:rPr>
                <w:rStyle w:val="23"/>
                <w:rFonts w:hint="eastAsia" w:ascii="宋体" w:hAnsi="宋体" w:cs="宋体"/>
                <w:bCs/>
                <w:color w:val="auto"/>
                <w:highlight w:val="none"/>
                <w:lang w:val="en-US" w:eastAsia="zh-CN"/>
              </w:rPr>
              <w:t>”要求</w:t>
            </w:r>
          </w:p>
        </w:tc>
      </w:tr>
      <w:tr w14:paraId="6C0F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 w:hRule="atLeast"/>
        </w:trPr>
        <w:tc>
          <w:tcPr>
            <w:tcW w:w="0" w:type="auto"/>
            <w:shd w:val="clear" w:color="auto" w:fill="auto"/>
            <w:tcMar>
              <w:top w:w="0" w:type="dxa"/>
              <w:left w:w="105" w:type="dxa"/>
              <w:bottom w:w="0" w:type="dxa"/>
              <w:right w:w="105" w:type="dxa"/>
            </w:tcMar>
            <w:vAlign w:val="center"/>
          </w:tcPr>
          <w:p w14:paraId="0D19CCB6">
            <w:pPr>
              <w:pStyle w:val="17"/>
              <w:widowControl/>
              <w:spacing w:beforeAutospacing="0" w:afterAutospacing="0" w:line="435" w:lineRule="atLeast"/>
              <w:jc w:val="center"/>
              <w:rPr>
                <w:color w:val="auto"/>
                <w:highlight w:val="none"/>
              </w:rPr>
            </w:pPr>
            <w:r>
              <w:rPr>
                <w:rFonts w:hint="eastAsia" w:ascii="宋体" w:hAnsi="宋体" w:cs="宋体"/>
                <w:color w:val="auto"/>
                <w:highlight w:val="none"/>
              </w:rPr>
              <w:t>15</w:t>
            </w:r>
          </w:p>
        </w:tc>
        <w:tc>
          <w:tcPr>
            <w:tcW w:w="0" w:type="auto"/>
            <w:shd w:val="clear" w:color="auto" w:fill="auto"/>
            <w:tcMar>
              <w:top w:w="0" w:type="dxa"/>
              <w:left w:w="105" w:type="dxa"/>
              <w:bottom w:w="0" w:type="dxa"/>
              <w:right w:w="105" w:type="dxa"/>
            </w:tcMar>
            <w:vAlign w:val="center"/>
          </w:tcPr>
          <w:p w14:paraId="7F0121C7">
            <w:pPr>
              <w:pStyle w:val="17"/>
              <w:widowControl/>
              <w:spacing w:beforeAutospacing="0" w:afterAutospacing="0" w:line="435" w:lineRule="atLeast"/>
              <w:rPr>
                <w:color w:val="auto"/>
                <w:highlight w:val="none"/>
              </w:rPr>
            </w:pPr>
            <w:r>
              <w:rPr>
                <w:rFonts w:hint="eastAsia" w:ascii="宋体" w:hAnsi="宋体" w:cs="宋体"/>
                <w:color w:val="auto"/>
                <w:highlight w:val="none"/>
              </w:rPr>
              <w:t>25</w:t>
            </w:r>
          </w:p>
        </w:tc>
        <w:tc>
          <w:tcPr>
            <w:tcW w:w="0" w:type="auto"/>
            <w:shd w:val="clear" w:color="auto" w:fill="auto"/>
            <w:tcMar>
              <w:top w:w="0" w:type="dxa"/>
              <w:left w:w="105" w:type="dxa"/>
              <w:bottom w:w="0" w:type="dxa"/>
              <w:right w:w="105" w:type="dxa"/>
            </w:tcMar>
            <w:vAlign w:val="center"/>
          </w:tcPr>
          <w:p w14:paraId="7C2A0E27">
            <w:pPr>
              <w:pStyle w:val="17"/>
              <w:widowControl/>
              <w:wordWrap w:val="0"/>
              <w:spacing w:beforeAutospacing="0" w:afterAutospacing="0" w:line="435" w:lineRule="atLeast"/>
              <w:rPr>
                <w:color w:val="auto"/>
                <w:highlight w:val="none"/>
              </w:rPr>
            </w:pPr>
            <w:r>
              <w:rPr>
                <w:rStyle w:val="23"/>
                <w:rFonts w:hint="eastAsia" w:ascii="宋体" w:hAnsi="宋体" w:cs="宋体"/>
                <w:bCs/>
                <w:color w:val="auto"/>
                <w:highlight w:val="none"/>
              </w:rPr>
              <w:t>根据采购项目特点或政策需要补充的其他新增内容：</w:t>
            </w:r>
          </w:p>
          <w:p w14:paraId="0EA5F318">
            <w:pPr>
              <w:pStyle w:val="17"/>
              <w:widowControl/>
              <w:wordWrap w:val="0"/>
              <w:spacing w:beforeAutospacing="0" w:afterAutospacing="0" w:line="435" w:lineRule="atLeast"/>
              <w:rPr>
                <w:color w:val="auto"/>
                <w:highlight w:val="none"/>
              </w:rPr>
            </w:pPr>
            <w:r>
              <w:rPr>
                <w:rFonts w:hint="eastAsia" w:ascii="宋体" w:hAnsi="宋体" w:cs="宋体"/>
                <w:color w:val="auto"/>
                <w:highlight w:val="none"/>
              </w:rPr>
              <w:t>1、本项目由成交人支付代理服务费。</w:t>
            </w:r>
          </w:p>
          <w:p w14:paraId="089C7CBE">
            <w:pPr>
              <w:pStyle w:val="17"/>
              <w:widowControl/>
              <w:wordWrap w:val="0"/>
              <w:spacing w:beforeAutospacing="0" w:afterAutospacing="0" w:line="435" w:lineRule="atLeast"/>
              <w:rPr>
                <w:rFonts w:ascii="宋体" w:hAnsi="宋体" w:cs="宋体"/>
                <w:color w:val="auto"/>
                <w:highlight w:val="none"/>
              </w:rPr>
            </w:pPr>
            <w:r>
              <w:rPr>
                <w:rFonts w:hint="eastAsia" w:ascii="宋体" w:hAnsi="宋体" w:cs="宋体"/>
                <w:color w:val="auto"/>
                <w:highlight w:val="none"/>
              </w:rPr>
              <w:t>2、其他：</w:t>
            </w:r>
          </w:p>
          <w:p w14:paraId="0EB2F53D">
            <w:pPr>
              <w:pStyle w:val="17"/>
              <w:widowControl/>
              <w:wordWrap w:val="0"/>
              <w:spacing w:beforeAutospacing="0" w:afterAutospacing="0" w:line="435" w:lineRule="atLeast"/>
              <w:rPr>
                <w:color w:val="auto"/>
                <w:highlight w:val="none"/>
              </w:rPr>
            </w:pPr>
            <w:r>
              <w:rPr>
                <w:rFonts w:hint="eastAsia" w:ascii="宋体" w:hAnsi="宋体" w:cs="宋体"/>
                <w:color w:val="auto"/>
                <w:highlight w:val="none"/>
              </w:rPr>
              <w:t>1）代理服务费收费标准：</w:t>
            </w:r>
            <w:r>
              <w:rPr>
                <w:rFonts w:ascii="宋体" w:hAnsi="宋体" w:cs="宋体"/>
                <w:b/>
                <w:color w:val="auto"/>
                <w:highlight w:val="none"/>
              </w:rPr>
              <w:t>①收费标准以成交金额为基准，按差额定率累进法计算</w:t>
            </w:r>
            <w:r>
              <w:rPr>
                <w:rFonts w:hint="eastAsia" w:ascii="宋体" w:hAnsi="宋体" w:cs="宋体"/>
                <w:b/>
                <w:color w:val="auto"/>
                <w:highlight w:val="none"/>
              </w:rPr>
              <w:t>的8折计取</w:t>
            </w:r>
            <w:r>
              <w:rPr>
                <w:rFonts w:ascii="宋体" w:hAnsi="宋体" w:cs="宋体"/>
                <w:b/>
                <w:color w:val="auto"/>
                <w:highlight w:val="none"/>
              </w:rPr>
              <w:t>服务费，具体参考以下收费标准：</w:t>
            </w:r>
            <w:r>
              <w:rPr>
                <w:rFonts w:hint="eastAsia" w:ascii="宋体" w:hAnsi="宋体" w:cs="宋体"/>
                <w:color w:val="auto"/>
                <w:highlight w:val="none"/>
              </w:rPr>
              <w:t xml:space="preserve"> 100(万元)以下：1.0%；100-500（万元）:0.7%。</w:t>
            </w:r>
            <w:r>
              <w:rPr>
                <w:rFonts w:ascii="宋体" w:hAnsi="宋体" w:cs="宋体"/>
                <w:b/>
                <w:color w:val="auto"/>
                <w:highlight w:val="none"/>
              </w:rPr>
              <w:t>；</w:t>
            </w:r>
            <w:r>
              <w:rPr>
                <w:rFonts w:hint="eastAsia" w:ascii="宋体" w:hAnsi="宋体" w:cs="宋体"/>
                <w:color w:val="auto"/>
                <w:highlight w:val="none"/>
              </w:rPr>
              <w:t>②代理服务费缴交账号： 开户名：福建信发招标代理有限公司 开户行：福建海峡银行福州鼓楼支行， 账 号：100026211970010002。2)供应商必须对其响应文件中提供各种资料、说明的真实性负责。在评审过程中，如有发现供应商有为谋取成交而提供虚假资料欺骗采购人和磋商小组的行为，将取消其成交资格，其磋商保证金将不予退还。若在成交后和执行合同过程中发现其提供虚假资料的将取消其成交资格，给采购人造成损失的，还必须进行赔偿并负相关责任。评审过程中无论是否有对原件进行核实，供应商都必须对其提供各种资料、说明的真实性负责。 3） 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4）信用记录查询及使用：4.1、信用记录查询渠道及截止时点：磋商小组将在提交响应文件截止时间截止后，通过“信用中国”网站(www.creditchina.gov.cn)、中国政府采购网(www.ccgp.gov.cn)查询供应商的信用记录。4.2信用信息查询记录和证据留存的具体方式：磋商小组将记录、打印各供应商的信用信息查询结果，与其他采购文件一并保存。4.3信用信息的使用规则：依据《财政部关于在政府采购活动中查询及使用信用记录有关问题的通知》财库〔2016〕125号规定，对被列入失信被执行人、重大税收违法案件当事人名单、政府采购严重违法失信行为记录名单的供应商，其在资格性检查中将不合格。5）接收质疑函的方式、联系部门、联系电话和通讯地址：5.1接收质疑函原件的方式：现场方式；5.2接收质疑函的联系部门：办公室；5.3接收质疑函的联系电话：0591-88002309；5.4接收质疑函的通讯地址：</w:t>
            </w:r>
            <w:r>
              <w:rPr>
                <w:rFonts w:hint="eastAsia" w:ascii="宋体" w:hAnsi="宋体" w:cs="宋体"/>
                <w:color w:val="auto"/>
                <w:highlight w:val="none"/>
                <w:lang w:eastAsia="zh-CN"/>
              </w:rPr>
              <w:t>福州市晋安区华林路257号福侨大厦14层（斗门地铁站C出口步行150米</w:t>
            </w:r>
            <w:r>
              <w:rPr>
                <w:rFonts w:hint="eastAsia" w:ascii="宋体" w:hAnsi="宋体" w:cs="宋体"/>
                <w:color w:val="auto"/>
                <w:highlight w:val="none"/>
              </w:rPr>
              <w:t>福建信发招标代理有限公司。6）关于“成立年限满1年及以上的供应商，提供经审计的上一年度的年度财务报告”补充说明：经审计的上一年度的年度财务报告是指经审计的2024年度的财务报告复印件。7）供应商针对竞争性磋商文件中资格证明文件“财务状况报告”若选择提供资信证明复印件的，无需提供其开户（基本存款账户）许可证复印件，若此项规定与竞争性磋商文件其他部分有矛盾的，以此项规定为准。8）供应商最后报价不能高于首次报价，若高于首次报价应以其首次报价为准。9）经磋商小组评审，在提交的响应文件全部满足竞争性磋商文件实质性要求的供应商不少于三家的前提下，按各合格供应商评审得分由高到低顺序推荐三名成交候选人。</w:t>
            </w:r>
          </w:p>
        </w:tc>
      </w:tr>
    </w:tbl>
    <w:p w14:paraId="5D27BDDC">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w:t>
      </w:r>
    </w:p>
    <w:p w14:paraId="2485E338">
      <w:pPr>
        <w:rPr>
          <w:rFonts w:ascii="宋体" w:hAnsi="宋体"/>
          <w:color w:val="auto"/>
          <w:highlight w:val="none"/>
        </w:rPr>
      </w:pPr>
    </w:p>
    <w:p w14:paraId="3A10DCA3">
      <w:pPr>
        <w:rPr>
          <w:rStyle w:val="23"/>
          <w:rFonts w:hint="eastAsia" w:ascii="宋体" w:hAnsi="宋体" w:cs="宋体"/>
          <w:bCs/>
          <w:color w:val="auto"/>
          <w:highlight w:val="none"/>
        </w:rPr>
      </w:pPr>
      <w:r>
        <w:rPr>
          <w:rStyle w:val="23"/>
          <w:rFonts w:hint="eastAsia" w:ascii="宋体" w:hAnsi="宋体" w:cs="宋体"/>
          <w:bCs/>
          <w:color w:val="auto"/>
          <w:highlight w:val="none"/>
        </w:rPr>
        <w:br w:type="page"/>
      </w:r>
    </w:p>
    <w:p w14:paraId="1296027C">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专项附件：       </w:t>
      </w:r>
      <w:r>
        <w:rPr>
          <w:rStyle w:val="23"/>
          <w:rFonts w:hint="eastAsia" w:ascii="宋体" w:hAnsi="宋体" w:cs="宋体"/>
          <w:bCs/>
          <w:color w:val="auto"/>
          <w:sz w:val="31"/>
          <w:szCs w:val="31"/>
          <w:highlight w:val="none"/>
        </w:rPr>
        <w:t> 评审的标准和方法</w:t>
      </w:r>
      <w:r>
        <w:rPr>
          <w:rStyle w:val="23"/>
          <w:rFonts w:hint="eastAsia" w:ascii="宋体" w:hAnsi="宋体" w:cs="宋体"/>
          <w:bCs/>
          <w:color w:val="auto"/>
          <w:highlight w:val="none"/>
        </w:rPr>
        <w:t> </w:t>
      </w:r>
    </w:p>
    <w:p w14:paraId="708A01A6">
      <w:pPr>
        <w:pStyle w:val="17"/>
        <w:widowControl/>
        <w:spacing w:before="75" w:beforeAutospacing="0" w:after="75" w:afterAutospacing="0" w:line="420" w:lineRule="atLeast"/>
        <w:jc w:val="center"/>
        <w:rPr>
          <w:color w:val="auto"/>
          <w:highlight w:val="none"/>
        </w:rPr>
      </w:pPr>
      <w:r>
        <w:rPr>
          <w:rStyle w:val="23"/>
          <w:rFonts w:hint="eastAsia" w:ascii="宋体" w:hAnsi="宋体" w:cs="宋体"/>
          <w:bCs/>
          <w:color w:val="auto"/>
          <w:highlight w:val="none"/>
        </w:rPr>
        <w:t>一、磋商小组</w:t>
      </w:r>
    </w:p>
    <w:p w14:paraId="2413B4A9">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2B544635">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1.1采购人根据项目的特点依法组建磋商小组。</w:t>
      </w:r>
    </w:p>
    <w:p w14:paraId="5541E9E2">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1.2磋商小组由采购人代表和评审专家两部分（以下简称“评委”）共</w:t>
      </w:r>
      <w:r>
        <w:rPr>
          <w:rFonts w:hint="eastAsia" w:ascii="宋体" w:hAnsi="宋体" w:cs="宋体"/>
          <w:color w:val="auto"/>
          <w:highlight w:val="none"/>
          <w:u w:val="single"/>
        </w:rPr>
        <w:t>3</w:t>
      </w:r>
      <w:r>
        <w:rPr>
          <w:rFonts w:hint="eastAsia" w:ascii="宋体" w:hAnsi="宋体" w:cs="宋体"/>
          <w:color w:val="auto"/>
          <w:highlight w:val="none"/>
        </w:rPr>
        <w:t>人组成，其中：采购人代表</w:t>
      </w:r>
      <w:r>
        <w:rPr>
          <w:rFonts w:hint="eastAsia" w:ascii="宋体" w:hAnsi="宋体" w:cs="宋体"/>
          <w:color w:val="auto"/>
          <w:highlight w:val="none"/>
          <w:u w:val="single"/>
        </w:rPr>
        <w:t>0</w:t>
      </w:r>
      <w:r>
        <w:rPr>
          <w:rFonts w:hint="eastAsia" w:ascii="宋体" w:hAnsi="宋体" w:cs="宋体"/>
          <w:color w:val="auto"/>
          <w:highlight w:val="none"/>
        </w:rPr>
        <w:t>人由采购人派出，评审专家</w:t>
      </w:r>
      <w:r>
        <w:rPr>
          <w:rFonts w:hint="eastAsia" w:ascii="宋体" w:hAnsi="宋体" w:cs="宋体"/>
          <w:color w:val="auto"/>
          <w:highlight w:val="none"/>
          <w:u w:val="single"/>
        </w:rPr>
        <w:t>3</w:t>
      </w:r>
      <w:r>
        <w:rPr>
          <w:rFonts w:hint="eastAsia" w:ascii="宋体" w:hAnsi="宋体" w:cs="宋体"/>
          <w:color w:val="auto"/>
          <w:highlight w:val="none"/>
        </w:rPr>
        <w:t>人由福建省政府采购评审专家库产生。技术复杂、专业性强的采购项目，评审专家中应当包含1名法律专家。</w:t>
      </w:r>
    </w:p>
    <w:p w14:paraId="09661CF4">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1.3磋商小组负责具体磋商和评审事务，并按照下列原则依法独立履行有关职责：</w:t>
      </w:r>
    </w:p>
    <w:p w14:paraId="3A2487B2">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1.3.1评审应保护国家利益、社会公共利益和各方当事人合法权益，提高采购效益，保证项目质量。</w:t>
      </w:r>
    </w:p>
    <w:p w14:paraId="4BD54035">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1.3.2评审应遵循公平、公正、科学、严谨和择优原则。</w:t>
      </w:r>
    </w:p>
    <w:p w14:paraId="6C815A6E">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1.3.3评审的依据是磋商文件和响应文件，磋商文件中没有规定的评审标准不得作为评审依据。</w:t>
      </w:r>
    </w:p>
    <w:p w14:paraId="3C1CAD91">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1.3.4磋商小组应按照磋商文件规定推荐成交候选供应商或根据采购人的授权确定成交供应商。</w:t>
      </w:r>
    </w:p>
    <w:p w14:paraId="5D641EFA">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1.3.5评审应遵守下列评审纪律：</w:t>
      </w:r>
    </w:p>
    <w:p w14:paraId="0CF3F5E0">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①评审情况不得私自外泄，有关信息由采购人或其委托的代理机构统一对外发布。</w:t>
      </w:r>
    </w:p>
    <w:p w14:paraId="7D567542">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②对采购人或供应商提供的要求保密的资料，不得摘记翻印和外传。</w:t>
      </w:r>
    </w:p>
    <w:p w14:paraId="2E0B672C">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③不得收受供应商或有关人员的任何礼物，不得串联鼓动其他人袒护某供应商。若与供应商存在利害关系，则应主动声明并回避。</w:t>
      </w:r>
    </w:p>
    <w:p w14:paraId="51FF7906">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④全体磋商小组成员应按照磋商文件规定进行评审，一切认定事项应查有实据且不得弄虚作假。</w:t>
      </w:r>
    </w:p>
    <w:p w14:paraId="5681BB38">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⑤评审中应充分发扬民主，推荐成交供应商候选人或根据采购人授权确定成交供应商后要服从评审报告。</w:t>
      </w:r>
    </w:p>
    <w:p w14:paraId="10FB0ACB">
      <w:pPr>
        <w:pStyle w:val="17"/>
        <w:widowControl/>
        <w:spacing w:before="75" w:beforeAutospacing="0" w:after="75" w:afterAutospacing="0" w:line="420" w:lineRule="atLeast"/>
        <w:ind w:firstLine="480"/>
        <w:rPr>
          <w:color w:val="auto"/>
          <w:highlight w:val="none"/>
        </w:rPr>
      </w:pPr>
      <w:r>
        <w:rPr>
          <w:rStyle w:val="23"/>
          <w:rFonts w:hint="eastAsia" w:ascii="宋体" w:hAnsi="宋体" w:cs="宋体"/>
          <w:bCs/>
          <w:color w:val="auto"/>
          <w:highlight w:val="none"/>
        </w:rPr>
        <w:t>※对违反评审纪律的评委，将取消其评资格，对评审工作造成严重损失者将予以通报批评乃至追究法律责任。</w:t>
      </w:r>
    </w:p>
    <w:p w14:paraId="17423957">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7B3AAFB8">
      <w:pPr>
        <w:rPr>
          <w:rFonts w:hint="eastAsia" w:ascii="宋体" w:hAnsi="宋体" w:cs="宋体"/>
          <w:color w:val="auto"/>
          <w:highlight w:val="none"/>
        </w:rPr>
      </w:pPr>
      <w:r>
        <w:rPr>
          <w:rFonts w:hint="eastAsia" w:ascii="宋体" w:hAnsi="宋体" w:cs="宋体"/>
          <w:color w:val="auto"/>
          <w:highlight w:val="none"/>
        </w:rPr>
        <w:br w:type="page"/>
      </w:r>
    </w:p>
    <w:p w14:paraId="26EFEC3B">
      <w:pPr>
        <w:pStyle w:val="17"/>
        <w:widowControl/>
        <w:spacing w:before="75" w:beforeAutospacing="0" w:after="75" w:afterAutospacing="0" w:line="420" w:lineRule="atLeast"/>
        <w:jc w:val="center"/>
        <w:rPr>
          <w:color w:val="auto"/>
          <w:highlight w:val="none"/>
        </w:rPr>
      </w:pPr>
      <w:r>
        <w:rPr>
          <w:rFonts w:hint="eastAsia" w:ascii="宋体" w:hAnsi="宋体" w:cs="宋体"/>
          <w:color w:val="auto"/>
          <w:highlight w:val="none"/>
        </w:rPr>
        <w:t>二、</w:t>
      </w:r>
      <w:r>
        <w:rPr>
          <w:rStyle w:val="23"/>
          <w:rFonts w:hint="eastAsia" w:ascii="宋体" w:hAnsi="宋体" w:cs="宋体"/>
          <w:bCs/>
          <w:color w:val="auto"/>
          <w:highlight w:val="none"/>
        </w:rPr>
        <w:t>磋商程序</w:t>
      </w:r>
    </w:p>
    <w:p w14:paraId="29F49B67">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4B308484">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2.1磋商程序按照磋商文件第二章第2节“竞争性磋商须知”第14 条“磋商程序以及评审标准和方法”的相关条款规定执行。</w:t>
      </w:r>
    </w:p>
    <w:p w14:paraId="49F55A2B">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2.2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属于《政府采购竞争性磋商采购方式管理暂行办法》等相关法律法规及财政部门颁布的规范性文件允许的两家供应商进行竞争性磋商采购情形，则提交最后报价的供应商可以为两家。</w:t>
      </w:r>
    </w:p>
    <w:p w14:paraId="6B578343">
      <w:pPr>
        <w:pStyle w:val="17"/>
        <w:widowControl/>
        <w:spacing w:before="75" w:beforeAutospacing="0" w:after="75" w:afterAutospacing="0" w:line="420" w:lineRule="atLeast"/>
        <w:ind w:firstLine="240"/>
        <w:rPr>
          <w:color w:val="auto"/>
          <w:highlight w:val="none"/>
        </w:rPr>
      </w:pPr>
      <w:r>
        <w:rPr>
          <w:color w:val="auto"/>
          <w:highlight w:val="none"/>
        </w:rPr>
        <w:t>无。</w:t>
      </w:r>
    </w:p>
    <w:p w14:paraId="19BF601A">
      <w:pPr>
        <w:pStyle w:val="17"/>
        <w:widowControl/>
        <w:spacing w:before="75" w:beforeAutospacing="0" w:after="75" w:afterAutospacing="0" w:line="420" w:lineRule="atLeast"/>
        <w:ind w:firstLine="240"/>
        <w:rPr>
          <w:color w:val="auto"/>
          <w:highlight w:val="none"/>
        </w:rPr>
      </w:pPr>
      <w:r>
        <w:rPr>
          <w:rFonts w:hint="eastAsia" w:ascii="宋体" w:hAnsi="宋体" w:cs="宋体"/>
          <w:color w:val="auto"/>
          <w:highlight w:val="none"/>
        </w:rPr>
        <w:t>2.3只有资格审查和实质性响应审查均合格且按规定提交最后报价的合格供应商才能参加综合评分。</w:t>
      </w:r>
    </w:p>
    <w:p w14:paraId="5BD7C4D4">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3C84FCB0">
      <w:pPr>
        <w:pStyle w:val="17"/>
        <w:widowControl/>
        <w:spacing w:before="75" w:beforeAutospacing="0" w:after="75" w:afterAutospacing="0" w:line="420" w:lineRule="atLeast"/>
        <w:jc w:val="center"/>
        <w:rPr>
          <w:color w:val="auto"/>
          <w:highlight w:val="none"/>
        </w:rPr>
      </w:pPr>
      <w:r>
        <w:rPr>
          <w:rStyle w:val="23"/>
          <w:rFonts w:hint="eastAsia" w:ascii="宋体" w:hAnsi="宋体" w:cs="宋体"/>
          <w:bCs/>
          <w:color w:val="auto"/>
          <w:highlight w:val="none"/>
        </w:rPr>
        <w:t>三、综合评分的标准和方法</w:t>
      </w:r>
    </w:p>
    <w:p w14:paraId="10B25764">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57B35EC7">
      <w:pPr>
        <w:pStyle w:val="17"/>
        <w:widowControl/>
        <w:spacing w:before="75" w:beforeAutospacing="0" w:after="75" w:afterAutospacing="0" w:line="420" w:lineRule="atLeast"/>
        <w:ind w:firstLine="480" w:firstLineChars="200"/>
        <w:rPr>
          <w:color w:val="auto"/>
          <w:highlight w:val="none"/>
        </w:rPr>
      </w:pPr>
      <w:r>
        <w:rPr>
          <w:rFonts w:hint="eastAsia" w:ascii="宋体" w:hAnsi="宋体" w:cs="宋体"/>
          <w:color w:val="auto"/>
          <w:highlight w:val="none"/>
        </w:rPr>
        <w:t>3.1磋商小组将采用综合评分法对提交最后报价的合格供应商的响应文件和最后报价进行综合评分。如果磋商项目有多个合同包，则按相应合同包分别进行，具体综合评分的标准和方法如下：</w:t>
      </w:r>
    </w:p>
    <w:p w14:paraId="0BFD91B3">
      <w:pPr>
        <w:pStyle w:val="17"/>
        <w:widowControl/>
        <w:spacing w:before="75" w:beforeAutospacing="0" w:after="75" w:afterAutospacing="0" w:line="420" w:lineRule="atLeast"/>
        <w:ind w:firstLine="465"/>
        <w:rPr>
          <w:color w:val="auto"/>
          <w:highlight w:val="none"/>
        </w:rPr>
      </w:pPr>
      <w:r>
        <w:rPr>
          <w:rFonts w:hint="eastAsia" w:ascii="宋体" w:hAnsi="宋体" w:cs="宋体"/>
          <w:color w:val="auto"/>
          <w:highlight w:val="none"/>
        </w:rPr>
        <w:t>3.3.1磋商小组将对相应合同包提交最后报价的合格供应商从技术、商务及报价部分分别进行评议并评分，并汇总出技术、商务及报价部分的综合得分。各合同包综合得分最高的供应商将被推荐为第一成交候选供应商，综合得分第二高的供应商将被推荐为第二成交候选供应商，综合得分第三高的供应商将被推荐为第三成交候选供应商（属于《政府采购竞争性磋商采购方式管理暂行办法》等相关法律法规及财政部门颁布的规范性文件允许的两家供应商进行竞争性磋商采购情形，则不推荐第三成交候选供应商）。如果出现相同的综合得分，则最后报价低的供应商排序在前优先推荐；如果最后报价仍相同，则技术部分得分高的供应商优先排序在前推荐。</w:t>
      </w:r>
    </w:p>
    <w:p w14:paraId="48082E15">
      <w:pPr>
        <w:pStyle w:val="17"/>
        <w:widowControl/>
        <w:spacing w:before="75" w:beforeAutospacing="0" w:after="75" w:afterAutospacing="0" w:line="420" w:lineRule="atLeast"/>
        <w:ind w:firstLine="465"/>
        <w:rPr>
          <w:color w:val="auto"/>
          <w:highlight w:val="none"/>
        </w:rPr>
      </w:pPr>
      <w:r>
        <w:rPr>
          <w:rFonts w:hint="eastAsia" w:ascii="宋体" w:hAnsi="宋体" w:cs="宋体"/>
          <w:color w:val="auto"/>
          <w:highlight w:val="none"/>
        </w:rPr>
        <w:t>3.3.2具体评审标准和方法：</w:t>
      </w:r>
    </w:p>
    <w:p w14:paraId="3460BE37">
      <w:pPr>
        <w:pStyle w:val="17"/>
        <w:widowControl/>
        <w:spacing w:before="75" w:beforeAutospacing="0" w:after="75" w:afterAutospacing="0" w:line="405" w:lineRule="atLeast"/>
        <w:ind w:firstLine="480"/>
        <w:rPr>
          <w:color w:val="auto"/>
          <w:highlight w:val="none"/>
        </w:rPr>
      </w:pPr>
      <w:r>
        <w:rPr>
          <w:rFonts w:hint="eastAsia" w:ascii="宋体" w:hAnsi="宋体" w:cs="宋体"/>
          <w:color w:val="auto"/>
          <w:highlight w:val="none"/>
        </w:rPr>
        <w:t>（1）响应文件满足磋商文件全部实质性要求，且按照评审因素的量化指标综合评审总得分从高到低顺序推荐3名以上成交候选人供应商，其中评审总得分最高的供应商为第一成交候选供应商。</w:t>
      </w:r>
    </w:p>
    <w:p w14:paraId="4B2498C7">
      <w:pPr>
        <w:pStyle w:val="17"/>
        <w:widowControl/>
        <w:spacing w:before="75" w:beforeAutospacing="0" w:after="75" w:afterAutospacing="0" w:line="405" w:lineRule="atLeast"/>
        <w:ind w:firstLine="480"/>
        <w:rPr>
          <w:color w:val="auto"/>
          <w:highlight w:val="none"/>
        </w:rPr>
      </w:pPr>
      <w:r>
        <w:rPr>
          <w:rFonts w:hint="eastAsia" w:ascii="宋体" w:hAnsi="宋体" w:cs="宋体"/>
          <w:color w:val="auto"/>
          <w:highlight w:val="none"/>
        </w:rPr>
        <w:t>（2）每个供应商的评审总得分FA＝F1＋F2＋F3＋F4（若有），其中：F1指价格项评审因素总得分、F2指技术项评审因素总得分、F3指商务项评审因素总得分，F4为加分项（即优先类节能产品、环境标志产品在采购活动中可享有的加分优惠）。</w:t>
      </w:r>
    </w:p>
    <w:p w14:paraId="392021AE">
      <w:pPr>
        <w:pStyle w:val="17"/>
        <w:widowControl/>
        <w:spacing w:before="75" w:beforeAutospacing="0" w:after="75" w:afterAutospacing="0" w:line="405" w:lineRule="atLeast"/>
        <w:ind w:firstLine="480"/>
        <w:rPr>
          <w:color w:val="auto"/>
          <w:highlight w:val="none"/>
        </w:rPr>
      </w:pPr>
      <w:r>
        <w:rPr>
          <w:rFonts w:hint="eastAsia" w:ascii="宋体" w:hAnsi="宋体" w:cs="宋体"/>
          <w:color w:val="auto"/>
          <w:highlight w:val="none"/>
        </w:rPr>
        <w:t>（3）各项评审因素的设置如下：</w:t>
      </w:r>
    </w:p>
    <w:p w14:paraId="7E2F6CBC">
      <w:pPr>
        <w:pStyle w:val="17"/>
        <w:widowControl/>
        <w:spacing w:beforeAutospacing="0" w:after="150" w:afterAutospacing="0" w:line="420" w:lineRule="atLeast"/>
        <w:ind w:firstLine="480"/>
        <w:rPr>
          <w:color w:val="auto"/>
          <w:highlight w:val="none"/>
        </w:rPr>
      </w:pPr>
      <w:bookmarkStart w:id="2" w:name="OLE_LINK5"/>
      <w:r>
        <w:rPr>
          <w:rStyle w:val="23"/>
          <w:rFonts w:hint="eastAsia" w:ascii="宋体" w:hAnsi="宋体" w:cs="宋体"/>
          <w:bCs/>
          <w:color w:val="auto"/>
          <w:highlight w:val="none"/>
        </w:rPr>
        <w:t>（一）报价部分评分</w:t>
      </w:r>
      <w:r>
        <w:rPr>
          <w:rStyle w:val="23"/>
          <w:rFonts w:hint="eastAsia" w:ascii="宋体" w:hAnsi="宋体" w:cs="宋体"/>
          <w:color w:val="auto"/>
          <w:highlight w:val="none"/>
        </w:rPr>
        <w:t>F1</w:t>
      </w:r>
      <w:r>
        <w:rPr>
          <w:rStyle w:val="23"/>
          <w:rFonts w:hint="eastAsia" w:ascii="宋体" w:hAnsi="宋体" w:cs="宋体"/>
          <w:bCs/>
          <w:color w:val="auto"/>
          <w:highlight w:val="none"/>
        </w:rPr>
        <w:t>           满分</w:t>
      </w:r>
      <w:r>
        <w:rPr>
          <w:rStyle w:val="23"/>
          <w:rFonts w:hint="eastAsia" w:ascii="宋体" w:hAnsi="宋体" w:cs="宋体"/>
          <w:bCs/>
          <w:color w:val="auto"/>
          <w:highlight w:val="none"/>
          <w:u w:val="single"/>
        </w:rPr>
        <w:t>30</w:t>
      </w:r>
      <w:r>
        <w:rPr>
          <w:rStyle w:val="23"/>
          <w:rFonts w:hint="eastAsia" w:ascii="宋体" w:hAnsi="宋体" w:cs="宋体"/>
          <w:bCs/>
          <w:color w:val="auto"/>
          <w:highlight w:val="none"/>
        </w:rPr>
        <w:t>分</w:t>
      </w:r>
    </w:p>
    <w:p w14:paraId="0F372D8B">
      <w:pPr>
        <w:pStyle w:val="17"/>
        <w:widowControl/>
        <w:spacing w:beforeAutospacing="0" w:after="150" w:afterAutospacing="0" w:line="420" w:lineRule="atLeast"/>
        <w:ind w:firstLine="480"/>
        <w:rPr>
          <w:rFonts w:ascii="宋体" w:hAnsi="宋体" w:cs="宋体"/>
          <w:b/>
          <w:color w:val="auto"/>
          <w:highlight w:val="none"/>
        </w:rPr>
      </w:pPr>
      <w:r>
        <w:rPr>
          <w:rFonts w:hint="eastAsia" w:ascii="宋体" w:hAnsi="宋体" w:cs="宋体"/>
          <w:color w:val="auto"/>
          <w:highlight w:val="none"/>
        </w:rPr>
        <w:t>a.价格分采用低价优先法计算，即满足磋商文件要求且最后报价最低的供应商的价格为磋商基准价，其价格分为满分。其他供应商的价格分统一按照下列公式计算：磋商报价得分=（磋商基准价／最后磋商报价）×价格权值×100。因落实政府采购优惠政策需进行价格扣除的，以扣除后的价格计算磋商基准价和最后磋商报价。</w:t>
      </w:r>
    </w:p>
    <w:p w14:paraId="0F6FB9DA">
      <w:pPr>
        <w:pStyle w:val="17"/>
        <w:widowControl/>
        <w:spacing w:beforeAutospacing="0" w:after="150" w:afterAutospacing="0" w:line="420" w:lineRule="atLeast"/>
        <w:ind w:firstLine="480"/>
        <w:rPr>
          <w:rStyle w:val="23"/>
          <w:rFonts w:ascii="宋体" w:hAnsi="宋体" w:cs="宋体"/>
          <w:color w:val="auto"/>
          <w:highlight w:val="none"/>
        </w:rPr>
      </w:pPr>
      <w:r>
        <w:rPr>
          <w:rFonts w:hint="eastAsia" w:ascii="宋体" w:hAnsi="宋体" w:cs="宋体"/>
          <w:b/>
          <w:color w:val="auto"/>
          <w:highlight w:val="none"/>
        </w:rPr>
        <w:t>（二）</w:t>
      </w:r>
      <w:r>
        <w:rPr>
          <w:rStyle w:val="23"/>
          <w:rFonts w:hint="eastAsia" w:ascii="宋体" w:hAnsi="宋体" w:cs="宋体"/>
          <w:color w:val="auto"/>
          <w:highlight w:val="none"/>
        </w:rPr>
        <w:t>技术部分评分F2           满分</w:t>
      </w:r>
      <w:r>
        <w:rPr>
          <w:rStyle w:val="23"/>
          <w:rFonts w:hint="eastAsia" w:ascii="宋体" w:hAnsi="宋体" w:cs="宋体"/>
          <w:color w:val="auto"/>
          <w:highlight w:val="none"/>
          <w:u w:val="single"/>
        </w:rPr>
        <w:t>60</w:t>
      </w:r>
      <w:r>
        <w:rPr>
          <w:rStyle w:val="23"/>
          <w:rFonts w:hint="eastAsia" w:ascii="宋体" w:hAnsi="宋体" w:cs="宋体"/>
          <w:color w:val="auto"/>
          <w:highlight w:val="none"/>
        </w:rPr>
        <w:t>分</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74"/>
        <w:gridCol w:w="849"/>
        <w:gridCol w:w="7041"/>
      </w:tblGrid>
      <w:tr w14:paraId="69859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noWrap/>
            <w:vAlign w:val="center"/>
          </w:tcPr>
          <w:p w14:paraId="10AE82C2">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项目</w:t>
            </w:r>
          </w:p>
        </w:tc>
        <w:tc>
          <w:tcPr>
            <w:tcW w:w="849" w:type="dxa"/>
            <w:noWrap/>
            <w:vAlign w:val="center"/>
          </w:tcPr>
          <w:p w14:paraId="44BEB9FF">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分值</w:t>
            </w:r>
          </w:p>
        </w:tc>
        <w:tc>
          <w:tcPr>
            <w:tcW w:w="7041" w:type="dxa"/>
            <w:noWrap/>
            <w:vAlign w:val="center"/>
          </w:tcPr>
          <w:p w14:paraId="09F53F60">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描述</w:t>
            </w:r>
          </w:p>
        </w:tc>
      </w:tr>
      <w:tr w14:paraId="08BC9E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noWrap/>
            <w:vAlign w:val="center"/>
          </w:tcPr>
          <w:p w14:paraId="647B8054">
            <w:pPr>
              <w:spacing w:line="400" w:lineRule="exact"/>
              <w:jc w:val="center"/>
              <w:rPr>
                <w:rFonts w:ascii="宋体" w:hAnsi="宋体"/>
                <w:color w:val="auto"/>
                <w:sz w:val="24"/>
                <w:highlight w:val="none"/>
              </w:rPr>
            </w:pPr>
            <w:r>
              <w:rPr>
                <w:rFonts w:hint="eastAsia" w:ascii="宋体" w:hAnsi="宋体"/>
                <w:color w:val="auto"/>
                <w:szCs w:val="21"/>
                <w:highlight w:val="none"/>
              </w:rPr>
              <w:t>1、响应情况</w:t>
            </w:r>
          </w:p>
        </w:tc>
        <w:tc>
          <w:tcPr>
            <w:tcW w:w="849" w:type="dxa"/>
            <w:noWrap/>
            <w:vAlign w:val="center"/>
          </w:tcPr>
          <w:p w14:paraId="11A37AC2">
            <w:pPr>
              <w:spacing w:line="400" w:lineRule="exact"/>
              <w:jc w:val="center"/>
              <w:rPr>
                <w:rFonts w:ascii="宋体" w:hAnsi="宋体"/>
                <w:color w:val="auto"/>
                <w:sz w:val="24"/>
                <w:highlight w:val="none"/>
              </w:rPr>
            </w:pPr>
            <w:r>
              <w:rPr>
                <w:rFonts w:hint="eastAsia" w:ascii="宋体" w:hAnsi="宋体"/>
                <w:color w:val="auto"/>
                <w:szCs w:val="21"/>
                <w:highlight w:val="none"/>
                <w:lang w:val="en-US" w:eastAsia="zh-CN"/>
              </w:rPr>
              <w:t>45</w:t>
            </w:r>
            <w:r>
              <w:rPr>
                <w:rFonts w:hint="eastAsia" w:ascii="宋体" w:hAnsi="宋体"/>
                <w:color w:val="auto"/>
                <w:szCs w:val="21"/>
                <w:highlight w:val="none"/>
              </w:rPr>
              <w:t>分</w:t>
            </w:r>
          </w:p>
        </w:tc>
        <w:tc>
          <w:tcPr>
            <w:tcW w:w="7041" w:type="dxa"/>
            <w:noWrap/>
            <w:vAlign w:val="center"/>
          </w:tcPr>
          <w:p w14:paraId="506F4961">
            <w:pPr>
              <w:spacing w:line="400" w:lineRule="exact"/>
              <w:jc w:val="left"/>
              <w:rPr>
                <w:rFonts w:ascii="宋体" w:hAnsi="宋体"/>
                <w:color w:val="auto"/>
                <w:sz w:val="24"/>
                <w:highlight w:val="none"/>
              </w:rPr>
            </w:pPr>
            <w:r>
              <w:rPr>
                <w:rFonts w:hint="eastAsia" w:ascii="宋体" w:hAnsi="宋体"/>
                <w:color w:val="auto"/>
                <w:sz w:val="24"/>
                <w:highlight w:val="none"/>
              </w:rPr>
              <w:t>根据各供应商所提供的技术和服务要求响应表，并结合所投标产品的佐证材料等方面情况，对照竞争性磋商文件的要求，由评委按以下标准评定：①供应商</w:t>
            </w:r>
            <w:r>
              <w:rPr>
                <w:rFonts w:hint="eastAsia" w:ascii="宋体" w:hAnsi="宋体"/>
                <w:color w:val="auto"/>
                <w:sz w:val="24"/>
                <w:highlight w:val="none"/>
                <w:lang w:val="en-US" w:eastAsia="zh-CN"/>
              </w:rPr>
              <w:t>响应文件</w:t>
            </w:r>
            <w:r>
              <w:rPr>
                <w:rFonts w:hint="eastAsia" w:ascii="宋体" w:hAnsi="宋体"/>
                <w:color w:val="auto"/>
                <w:sz w:val="24"/>
                <w:highlight w:val="none"/>
              </w:rPr>
              <w:t>完全满足竞争性磋商文件第三章“</w:t>
            </w:r>
            <w:r>
              <w:rPr>
                <w:rFonts w:hint="eastAsia" w:ascii="宋体" w:hAnsi="宋体"/>
                <w:b/>
                <w:color w:val="auto"/>
                <w:sz w:val="24"/>
                <w:highlight w:val="none"/>
              </w:rPr>
              <w:t>二、技术和服务要求</w:t>
            </w:r>
            <w:r>
              <w:rPr>
                <w:rFonts w:hint="eastAsia" w:ascii="宋体" w:hAnsi="宋体"/>
                <w:color w:val="auto"/>
                <w:sz w:val="24"/>
                <w:highlight w:val="none"/>
              </w:rPr>
              <w:t>”要求的，得满分</w:t>
            </w:r>
            <w:r>
              <w:rPr>
                <w:rFonts w:hint="eastAsia" w:ascii="宋体" w:hAnsi="宋体"/>
                <w:color w:val="auto"/>
                <w:sz w:val="24"/>
                <w:highlight w:val="none"/>
                <w:lang w:val="en-US" w:eastAsia="zh-CN"/>
              </w:rPr>
              <w:t>45</w:t>
            </w:r>
            <w:r>
              <w:rPr>
                <w:rFonts w:hint="eastAsia" w:ascii="宋体" w:hAnsi="宋体"/>
                <w:color w:val="auto"/>
                <w:sz w:val="24"/>
                <w:highlight w:val="none"/>
              </w:rPr>
              <w:t>分。②以“★”标示的内容为不允许负偏离的实质性要求，若负偏离则响应无效；以“▲”标示的为重要技术参数要求，</w:t>
            </w:r>
            <w:r>
              <w:rPr>
                <w:rFonts w:hint="eastAsia" w:ascii="宋体" w:hAnsi="宋体"/>
                <w:color w:val="auto"/>
                <w:sz w:val="24"/>
                <w:highlight w:val="none"/>
                <w:lang w:val="en-US" w:eastAsia="zh-CN"/>
              </w:rPr>
              <w:t>共 10项，</w:t>
            </w:r>
            <w:r>
              <w:rPr>
                <w:rFonts w:hint="eastAsia" w:ascii="宋体" w:hAnsi="宋体"/>
                <w:color w:val="auto"/>
                <w:sz w:val="24"/>
                <w:highlight w:val="none"/>
              </w:rPr>
              <w:t>每负偏离一项扣3分，正偏离不加分；③其他未以符号标示的技术参数要求，</w:t>
            </w:r>
            <w:r>
              <w:rPr>
                <w:rFonts w:hint="eastAsia" w:ascii="宋体" w:hAnsi="宋体"/>
                <w:color w:val="auto"/>
                <w:sz w:val="24"/>
                <w:highlight w:val="none"/>
                <w:lang w:val="en-US" w:eastAsia="zh-CN"/>
              </w:rPr>
              <w:t>共30 项，</w:t>
            </w:r>
            <w:r>
              <w:rPr>
                <w:rFonts w:hint="eastAsia" w:ascii="宋体" w:hAnsi="宋体"/>
                <w:color w:val="auto"/>
                <w:sz w:val="24"/>
                <w:highlight w:val="none"/>
              </w:rPr>
              <w:t>每负偏离一项扣</w:t>
            </w:r>
            <w:r>
              <w:rPr>
                <w:rFonts w:hint="eastAsia" w:ascii="宋体" w:hAnsi="宋体"/>
                <w:color w:val="auto"/>
                <w:sz w:val="24"/>
                <w:highlight w:val="none"/>
                <w:lang w:val="en-US" w:eastAsia="zh-CN"/>
              </w:rPr>
              <w:t>0.5</w:t>
            </w:r>
            <w:r>
              <w:rPr>
                <w:rFonts w:hint="eastAsia" w:ascii="宋体" w:hAnsi="宋体"/>
                <w:color w:val="auto"/>
                <w:sz w:val="24"/>
                <w:highlight w:val="none"/>
              </w:rPr>
              <w:t>分，正偏离不加分。扣完为止【注：①竞争性磋商文件技术相关要求中若有要求供应商提供截图或视频或图片或网址链接或相应产品证书或检测报告等相关佐证材料的条款，供应商未提供或者供应商的响应承诺与其佐证材料不一致的，磋商小组将以不利于供应商的内容为准进行评审（负偏离）。②供应商必须根据该评审内容，对照竞争性磋商文件的要求逐项进行应答，如实说明正、负偏离情况，否则，有可能做出不利于供应商的评判（负偏离）。③凡标有最低一级序号的指标项即为一项技术或服务要求条款，无论是否隶属于上一级编号。】</w:t>
            </w:r>
          </w:p>
        </w:tc>
      </w:tr>
      <w:tr w14:paraId="190568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shd w:val="clear" w:color="auto" w:fill="auto"/>
            <w:noWrap/>
            <w:vAlign w:val="center"/>
          </w:tcPr>
          <w:p w14:paraId="6ECF47FF">
            <w:pPr>
              <w:spacing w:line="400" w:lineRule="exact"/>
              <w:jc w:val="center"/>
              <w:rPr>
                <w:rFonts w:ascii="宋体" w:hAnsi="宋体"/>
                <w:color w:val="auto"/>
                <w:sz w:val="24"/>
                <w:highlight w:val="none"/>
              </w:rPr>
            </w:pPr>
            <w:r>
              <w:rPr>
                <w:rFonts w:hint="eastAsia" w:ascii="宋体" w:hAnsi="宋体"/>
                <w:color w:val="auto"/>
                <w:sz w:val="24"/>
                <w:highlight w:val="none"/>
              </w:rPr>
              <w:t>2、施工现场组织机构设计</w:t>
            </w:r>
          </w:p>
        </w:tc>
        <w:tc>
          <w:tcPr>
            <w:tcW w:w="849" w:type="dxa"/>
            <w:shd w:val="clear" w:color="auto" w:fill="auto"/>
            <w:noWrap/>
            <w:vAlign w:val="center"/>
          </w:tcPr>
          <w:p w14:paraId="50162752">
            <w:pPr>
              <w:spacing w:line="400" w:lineRule="exact"/>
              <w:jc w:val="center"/>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分</w:t>
            </w:r>
          </w:p>
        </w:tc>
        <w:tc>
          <w:tcPr>
            <w:tcW w:w="7041" w:type="dxa"/>
            <w:shd w:val="clear" w:color="auto" w:fill="auto"/>
            <w:noWrap/>
            <w:vAlign w:val="center"/>
          </w:tcPr>
          <w:p w14:paraId="269D12EA">
            <w:pPr>
              <w:spacing w:line="400" w:lineRule="exact"/>
              <w:jc w:val="left"/>
              <w:rPr>
                <w:rFonts w:ascii="宋体" w:hAnsi="宋体"/>
                <w:color w:val="auto"/>
                <w:sz w:val="24"/>
                <w:highlight w:val="none"/>
              </w:rPr>
            </w:pPr>
            <w:r>
              <w:rPr>
                <w:rFonts w:hint="eastAsia" w:ascii="宋体" w:hAnsi="宋体"/>
                <w:color w:val="auto"/>
                <w:sz w:val="24"/>
                <w:highlight w:val="none"/>
              </w:rPr>
              <w:t>根据各供应商提供的施工现场组织机构设计健全、合理，部门、人员职责分工明确，主要负责人(项目经理、副经理、技术负责人)工作经验丰富情况，由评委进行打分：施工现场组织机构设计健全、合理，部门、人员职责分工明确，主要负责人(项目经理、副经理、技术负责人)工作经验丰富的得</w:t>
            </w:r>
            <w:r>
              <w:rPr>
                <w:rFonts w:hint="eastAsia" w:ascii="宋体" w:hAnsi="宋体"/>
                <w:color w:val="auto"/>
                <w:sz w:val="24"/>
                <w:highlight w:val="none"/>
                <w:lang w:val="en-US" w:eastAsia="zh-CN"/>
              </w:rPr>
              <w:t>3</w:t>
            </w:r>
            <w:r>
              <w:rPr>
                <w:rFonts w:hint="eastAsia" w:ascii="宋体" w:hAnsi="宋体"/>
                <w:color w:val="auto"/>
                <w:sz w:val="24"/>
                <w:highlight w:val="none"/>
              </w:rPr>
              <w:t>分； 施工现场组织机构设计较健全、合理，部门、人员职责分工较明确，主要负责人(项目经理、副经理、技术负责人)工作经验较丰富的得</w:t>
            </w:r>
            <w:r>
              <w:rPr>
                <w:rFonts w:hint="eastAsia" w:ascii="宋体" w:hAnsi="宋体"/>
                <w:color w:val="auto"/>
                <w:sz w:val="24"/>
                <w:highlight w:val="none"/>
                <w:lang w:val="en-US" w:eastAsia="zh-CN"/>
              </w:rPr>
              <w:t>2</w:t>
            </w:r>
            <w:r>
              <w:rPr>
                <w:rFonts w:hint="eastAsia" w:ascii="宋体" w:hAnsi="宋体"/>
                <w:color w:val="auto"/>
                <w:sz w:val="24"/>
                <w:highlight w:val="none"/>
              </w:rPr>
              <w:t>分； 施工现场组织机构设计一般，部门、人员职责分工不明确，主要负责人(项目经理、副经理、技术负责人)工作经验不丰富的得</w:t>
            </w:r>
            <w:r>
              <w:rPr>
                <w:rFonts w:hint="eastAsia" w:ascii="宋体" w:hAnsi="宋体"/>
                <w:color w:val="auto"/>
                <w:sz w:val="24"/>
                <w:highlight w:val="none"/>
                <w:lang w:val="en-US" w:eastAsia="zh-CN"/>
              </w:rPr>
              <w:t>1</w:t>
            </w:r>
            <w:r>
              <w:rPr>
                <w:rFonts w:hint="eastAsia" w:ascii="宋体" w:hAnsi="宋体"/>
                <w:color w:val="auto"/>
                <w:sz w:val="24"/>
                <w:highlight w:val="none"/>
              </w:rPr>
              <w:t>分；未提供的不得分。</w:t>
            </w:r>
          </w:p>
        </w:tc>
      </w:tr>
      <w:tr w14:paraId="7DF0F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noWrap/>
            <w:vAlign w:val="center"/>
          </w:tcPr>
          <w:p w14:paraId="3D4235BA">
            <w:pPr>
              <w:spacing w:line="400" w:lineRule="exact"/>
              <w:jc w:val="center"/>
              <w:rPr>
                <w:rFonts w:ascii="宋体" w:hAnsi="宋体"/>
                <w:color w:val="auto"/>
                <w:sz w:val="24"/>
                <w:highlight w:val="none"/>
              </w:rPr>
            </w:pPr>
            <w:r>
              <w:rPr>
                <w:rFonts w:hint="eastAsia" w:ascii="宋体" w:hAnsi="宋体"/>
                <w:color w:val="auto"/>
                <w:szCs w:val="21"/>
                <w:highlight w:val="none"/>
              </w:rPr>
              <w:t>4、项目质量管理</w:t>
            </w:r>
          </w:p>
        </w:tc>
        <w:tc>
          <w:tcPr>
            <w:tcW w:w="849" w:type="dxa"/>
            <w:noWrap/>
            <w:vAlign w:val="center"/>
          </w:tcPr>
          <w:p w14:paraId="70A15F06">
            <w:pPr>
              <w:spacing w:line="400" w:lineRule="exact"/>
              <w:jc w:val="center"/>
              <w:rPr>
                <w:rFonts w:ascii="宋体" w:hAnsi="宋体"/>
                <w:color w:val="auto"/>
                <w:sz w:val="24"/>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分</w:t>
            </w:r>
          </w:p>
        </w:tc>
        <w:tc>
          <w:tcPr>
            <w:tcW w:w="7041" w:type="dxa"/>
            <w:noWrap/>
            <w:vAlign w:val="center"/>
          </w:tcPr>
          <w:p w14:paraId="2D68B53E">
            <w:pPr>
              <w:spacing w:line="400" w:lineRule="exact"/>
              <w:jc w:val="left"/>
              <w:rPr>
                <w:rFonts w:ascii="宋体" w:hAnsi="宋体"/>
                <w:color w:val="auto"/>
                <w:sz w:val="24"/>
                <w:highlight w:val="none"/>
              </w:rPr>
            </w:pPr>
            <w:r>
              <w:rPr>
                <w:rFonts w:hint="eastAsia" w:ascii="宋体" w:hAnsi="宋体"/>
                <w:color w:val="auto"/>
                <w:szCs w:val="21"/>
                <w:highlight w:val="none"/>
              </w:rPr>
              <w:t>根据各投标人的项目质量管理组织机构健全，项目质量目标明确，各级人员的质量责任明确，质量管理和质量保证措施合理、可行情况等方案，由评委进行打分：方案完整、全面、合理科学的得</w:t>
            </w:r>
            <w:r>
              <w:rPr>
                <w:rFonts w:hint="eastAsia" w:ascii="宋体" w:hAnsi="宋体"/>
                <w:color w:val="auto"/>
                <w:szCs w:val="21"/>
                <w:highlight w:val="none"/>
                <w:lang w:val="en-US" w:eastAsia="zh-CN"/>
              </w:rPr>
              <w:t>2</w:t>
            </w:r>
            <w:r>
              <w:rPr>
                <w:rFonts w:hint="eastAsia" w:ascii="宋体" w:hAnsi="宋体"/>
                <w:color w:val="auto"/>
                <w:szCs w:val="21"/>
                <w:highlight w:val="none"/>
              </w:rPr>
              <w:t>分；方案较完整、较全面、较合理科学的得</w:t>
            </w:r>
            <w:r>
              <w:rPr>
                <w:rFonts w:hint="eastAsia" w:ascii="宋体" w:hAnsi="宋体"/>
                <w:color w:val="auto"/>
                <w:szCs w:val="21"/>
                <w:highlight w:val="none"/>
                <w:lang w:val="en-US" w:eastAsia="zh-CN"/>
              </w:rPr>
              <w:t>1.5</w:t>
            </w:r>
            <w:r>
              <w:rPr>
                <w:rFonts w:hint="eastAsia" w:ascii="宋体" w:hAnsi="宋体"/>
                <w:color w:val="auto"/>
                <w:szCs w:val="21"/>
                <w:highlight w:val="none"/>
              </w:rPr>
              <w:t>分；方案不够完整、不够全面、不够合理科学的得</w:t>
            </w:r>
            <w:r>
              <w:rPr>
                <w:rFonts w:hint="eastAsia" w:ascii="宋体" w:hAnsi="宋体"/>
                <w:color w:val="auto"/>
                <w:szCs w:val="21"/>
                <w:highlight w:val="none"/>
                <w:lang w:val="en-US" w:eastAsia="zh-CN"/>
              </w:rPr>
              <w:t>1</w:t>
            </w:r>
            <w:r>
              <w:rPr>
                <w:rFonts w:hint="eastAsia" w:ascii="宋体" w:hAnsi="宋体"/>
                <w:color w:val="auto"/>
                <w:szCs w:val="21"/>
                <w:highlight w:val="none"/>
              </w:rPr>
              <w:t>分；未提供的不得分。</w:t>
            </w:r>
          </w:p>
        </w:tc>
      </w:tr>
      <w:tr w14:paraId="534EAE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noWrap/>
            <w:vAlign w:val="center"/>
          </w:tcPr>
          <w:p w14:paraId="051D0FE4">
            <w:pPr>
              <w:spacing w:line="400" w:lineRule="exact"/>
              <w:jc w:val="center"/>
              <w:rPr>
                <w:rFonts w:ascii="宋体" w:hAnsi="宋体"/>
                <w:color w:val="auto"/>
                <w:sz w:val="24"/>
                <w:highlight w:val="none"/>
              </w:rPr>
            </w:pPr>
            <w:r>
              <w:rPr>
                <w:rFonts w:hint="eastAsia" w:ascii="宋体" w:hAnsi="宋体"/>
                <w:color w:val="auto"/>
                <w:szCs w:val="21"/>
                <w:highlight w:val="none"/>
              </w:rPr>
              <w:t>5、安全目标、安全管理和保证安全</w:t>
            </w:r>
          </w:p>
        </w:tc>
        <w:tc>
          <w:tcPr>
            <w:tcW w:w="849" w:type="dxa"/>
            <w:noWrap/>
            <w:vAlign w:val="center"/>
          </w:tcPr>
          <w:p w14:paraId="7F3AF0B7">
            <w:pPr>
              <w:spacing w:line="400" w:lineRule="exact"/>
              <w:jc w:val="center"/>
              <w:rPr>
                <w:rFonts w:ascii="宋体" w:hAnsi="宋体"/>
                <w:color w:val="auto"/>
                <w:sz w:val="24"/>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分</w:t>
            </w:r>
          </w:p>
        </w:tc>
        <w:tc>
          <w:tcPr>
            <w:tcW w:w="7041" w:type="dxa"/>
            <w:noWrap/>
            <w:vAlign w:val="center"/>
          </w:tcPr>
          <w:p w14:paraId="3176479C">
            <w:pPr>
              <w:spacing w:line="400" w:lineRule="exact"/>
              <w:jc w:val="left"/>
              <w:rPr>
                <w:rFonts w:ascii="宋体" w:hAnsi="宋体"/>
                <w:color w:val="auto"/>
                <w:sz w:val="24"/>
                <w:highlight w:val="none"/>
              </w:rPr>
            </w:pPr>
            <w:r>
              <w:rPr>
                <w:rFonts w:hint="eastAsia" w:ascii="宋体" w:hAnsi="宋体"/>
                <w:color w:val="auto"/>
                <w:szCs w:val="21"/>
                <w:highlight w:val="none"/>
              </w:rPr>
              <w:t>根据各投标人的项目的安全目标、安全管理和保证安全的措施方案情况，由评委进行打分：方案完整、全面、合理科学的得</w:t>
            </w:r>
            <w:r>
              <w:rPr>
                <w:rFonts w:hint="eastAsia" w:ascii="宋体" w:hAnsi="宋体"/>
                <w:color w:val="auto"/>
                <w:szCs w:val="21"/>
                <w:highlight w:val="none"/>
                <w:lang w:val="en-US" w:eastAsia="zh-CN"/>
              </w:rPr>
              <w:t>2</w:t>
            </w:r>
            <w:r>
              <w:rPr>
                <w:rFonts w:hint="eastAsia" w:ascii="宋体" w:hAnsi="宋体"/>
                <w:color w:val="auto"/>
                <w:szCs w:val="21"/>
                <w:highlight w:val="none"/>
              </w:rPr>
              <w:t>分；方案较完整、较全面、较合理科学的得</w:t>
            </w:r>
            <w:r>
              <w:rPr>
                <w:rFonts w:hint="eastAsia" w:ascii="宋体" w:hAnsi="宋体"/>
                <w:color w:val="auto"/>
                <w:szCs w:val="21"/>
                <w:highlight w:val="none"/>
                <w:lang w:val="en-US" w:eastAsia="zh-CN"/>
              </w:rPr>
              <w:t>1.5</w:t>
            </w:r>
            <w:r>
              <w:rPr>
                <w:rFonts w:hint="eastAsia" w:ascii="宋体" w:hAnsi="宋体"/>
                <w:color w:val="auto"/>
                <w:szCs w:val="21"/>
                <w:highlight w:val="none"/>
              </w:rPr>
              <w:t>分；方案不够完整、不够全面、不够合理科学的得</w:t>
            </w:r>
            <w:r>
              <w:rPr>
                <w:rFonts w:hint="eastAsia" w:ascii="宋体" w:hAnsi="宋体"/>
                <w:color w:val="auto"/>
                <w:szCs w:val="21"/>
                <w:highlight w:val="none"/>
                <w:lang w:val="en-US" w:eastAsia="zh-CN"/>
              </w:rPr>
              <w:t>1</w:t>
            </w:r>
            <w:r>
              <w:rPr>
                <w:rFonts w:hint="eastAsia" w:ascii="宋体" w:hAnsi="宋体"/>
                <w:color w:val="auto"/>
                <w:szCs w:val="21"/>
                <w:highlight w:val="none"/>
              </w:rPr>
              <w:t>分；未提供的不得分。</w:t>
            </w:r>
          </w:p>
        </w:tc>
      </w:tr>
      <w:tr w14:paraId="7974B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shd w:val="clear" w:color="auto" w:fill="auto"/>
            <w:noWrap/>
            <w:vAlign w:val="center"/>
          </w:tcPr>
          <w:p w14:paraId="51269963">
            <w:pPr>
              <w:spacing w:line="400" w:lineRule="exact"/>
              <w:jc w:val="center"/>
              <w:rPr>
                <w:rFonts w:ascii="宋体" w:hAnsi="宋体"/>
                <w:color w:val="auto"/>
                <w:sz w:val="24"/>
                <w:highlight w:val="none"/>
              </w:rPr>
            </w:pPr>
            <w:r>
              <w:rPr>
                <w:rFonts w:hint="eastAsia" w:ascii="宋体" w:hAnsi="宋体"/>
                <w:color w:val="auto"/>
                <w:szCs w:val="21"/>
                <w:highlight w:val="none"/>
              </w:rPr>
              <w:t>6、技术方案</w:t>
            </w:r>
          </w:p>
        </w:tc>
        <w:tc>
          <w:tcPr>
            <w:tcW w:w="849" w:type="dxa"/>
            <w:shd w:val="clear" w:color="auto" w:fill="auto"/>
            <w:noWrap/>
            <w:vAlign w:val="center"/>
          </w:tcPr>
          <w:p w14:paraId="5710C96D">
            <w:pPr>
              <w:spacing w:line="400" w:lineRule="exact"/>
              <w:jc w:val="center"/>
              <w:rPr>
                <w:rFonts w:ascii="宋体" w:hAnsi="宋体"/>
                <w:color w:val="auto"/>
                <w:sz w:val="24"/>
                <w:highlight w:val="none"/>
              </w:rPr>
            </w:pPr>
            <w:r>
              <w:rPr>
                <w:rFonts w:hint="eastAsia" w:ascii="宋体" w:hAnsi="宋体"/>
                <w:color w:val="auto"/>
                <w:szCs w:val="21"/>
                <w:highlight w:val="none"/>
              </w:rPr>
              <w:t>3分</w:t>
            </w:r>
          </w:p>
        </w:tc>
        <w:tc>
          <w:tcPr>
            <w:tcW w:w="7041" w:type="dxa"/>
            <w:shd w:val="clear" w:color="auto" w:fill="auto"/>
            <w:noWrap/>
            <w:vAlign w:val="center"/>
          </w:tcPr>
          <w:p w14:paraId="1DC3CA10">
            <w:pPr>
              <w:spacing w:line="400" w:lineRule="exact"/>
              <w:jc w:val="left"/>
              <w:rPr>
                <w:rFonts w:ascii="宋体" w:hAnsi="宋体"/>
                <w:color w:val="auto"/>
                <w:sz w:val="24"/>
                <w:highlight w:val="none"/>
              </w:rPr>
            </w:pPr>
            <w:r>
              <w:rPr>
                <w:rFonts w:hint="eastAsia" w:ascii="宋体" w:hAnsi="宋体"/>
                <w:color w:val="auto"/>
                <w:sz w:val="24"/>
                <w:highlight w:val="none"/>
              </w:rPr>
              <w:t>根据各供应商</w:t>
            </w:r>
            <w:r>
              <w:rPr>
                <w:rFonts w:hint="eastAsia" w:ascii="宋体" w:hAnsi="宋体"/>
                <w:color w:val="auto"/>
                <w:sz w:val="24"/>
                <w:highlight w:val="none"/>
                <w:lang w:val="en-US" w:eastAsia="zh-CN"/>
              </w:rPr>
              <w:t>对现场实际情况的</w:t>
            </w:r>
            <w:r>
              <w:rPr>
                <w:rFonts w:hint="eastAsia" w:ascii="宋体" w:hAnsi="宋体"/>
                <w:color w:val="auto"/>
                <w:sz w:val="24"/>
                <w:highlight w:val="none"/>
              </w:rPr>
              <w:t>深入分析，对本项目内容和特点进行总体分析，提供的技术方案内容，由评委进行打分：方案完整、全面、合理科学</w:t>
            </w:r>
            <w:r>
              <w:rPr>
                <w:rFonts w:hint="eastAsia" w:ascii="宋体" w:hAnsi="宋体"/>
                <w:color w:val="auto"/>
                <w:sz w:val="24"/>
                <w:highlight w:val="none"/>
                <w:lang w:val="en-US" w:eastAsia="zh-CN"/>
              </w:rPr>
              <w:t>并与实际情况相符</w:t>
            </w:r>
            <w:r>
              <w:rPr>
                <w:rFonts w:hint="eastAsia" w:ascii="宋体" w:hAnsi="宋体"/>
                <w:color w:val="auto"/>
                <w:sz w:val="24"/>
                <w:highlight w:val="none"/>
              </w:rPr>
              <w:t>的得3分；方案较完整、较全面、较合理科学</w:t>
            </w:r>
            <w:r>
              <w:rPr>
                <w:rFonts w:hint="eastAsia" w:ascii="宋体" w:hAnsi="宋体"/>
                <w:color w:val="auto"/>
                <w:sz w:val="24"/>
                <w:highlight w:val="none"/>
                <w:lang w:val="en-US" w:eastAsia="zh-CN"/>
              </w:rPr>
              <w:t>并与实际情况相符</w:t>
            </w:r>
            <w:r>
              <w:rPr>
                <w:rFonts w:hint="eastAsia" w:ascii="宋体" w:hAnsi="宋体"/>
                <w:color w:val="auto"/>
                <w:sz w:val="24"/>
                <w:highlight w:val="none"/>
              </w:rPr>
              <w:t>的</w:t>
            </w:r>
            <w:r>
              <w:rPr>
                <w:rFonts w:hint="eastAsia" w:ascii="宋体" w:hAnsi="宋体"/>
                <w:color w:val="auto"/>
                <w:sz w:val="24"/>
                <w:highlight w:val="none"/>
                <w:lang w:val="en-US" w:eastAsia="zh-CN"/>
              </w:rPr>
              <w:t>得2分；方案不够完整、不够全面、不够合理科学的得1分；方案与实际情况不相符或</w:t>
            </w:r>
            <w:r>
              <w:rPr>
                <w:rFonts w:hint="eastAsia" w:ascii="宋体" w:hAnsi="宋体"/>
                <w:color w:val="auto"/>
                <w:sz w:val="24"/>
                <w:highlight w:val="none"/>
              </w:rPr>
              <w:t>未提供的不得分。</w:t>
            </w:r>
          </w:p>
        </w:tc>
      </w:tr>
      <w:tr w14:paraId="0F4B3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noWrap/>
            <w:vAlign w:val="center"/>
          </w:tcPr>
          <w:p w14:paraId="548A9073">
            <w:pPr>
              <w:spacing w:line="400" w:lineRule="exact"/>
              <w:jc w:val="left"/>
              <w:rPr>
                <w:rFonts w:hint="eastAsia" w:ascii="宋体" w:hAnsi="宋体"/>
                <w:color w:val="auto"/>
                <w:szCs w:val="21"/>
                <w:highlight w:val="none"/>
              </w:rPr>
            </w:pPr>
            <w:r>
              <w:rPr>
                <w:rFonts w:hint="eastAsia" w:ascii="宋体" w:hAnsi="宋体"/>
                <w:color w:val="auto"/>
                <w:szCs w:val="21"/>
                <w:highlight w:val="none"/>
              </w:rPr>
              <w:t>7、人员管理规章制度</w:t>
            </w:r>
          </w:p>
        </w:tc>
        <w:tc>
          <w:tcPr>
            <w:tcW w:w="849" w:type="dxa"/>
            <w:noWrap/>
            <w:vAlign w:val="center"/>
          </w:tcPr>
          <w:p w14:paraId="760D8386">
            <w:pPr>
              <w:spacing w:line="400" w:lineRule="exact"/>
              <w:jc w:val="left"/>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分</w:t>
            </w:r>
          </w:p>
        </w:tc>
        <w:tc>
          <w:tcPr>
            <w:tcW w:w="7041" w:type="dxa"/>
            <w:noWrap/>
          </w:tcPr>
          <w:p w14:paraId="7B6CC1E4">
            <w:pPr>
              <w:spacing w:line="400" w:lineRule="exact"/>
              <w:jc w:val="left"/>
              <w:rPr>
                <w:rFonts w:hint="eastAsia" w:ascii="宋体" w:hAnsi="宋体"/>
                <w:color w:val="auto"/>
                <w:szCs w:val="21"/>
                <w:highlight w:val="none"/>
              </w:rPr>
            </w:pPr>
            <w:r>
              <w:rPr>
                <w:rFonts w:hint="eastAsia" w:ascii="宋体" w:hAnsi="宋体"/>
                <w:color w:val="auto"/>
                <w:szCs w:val="21"/>
                <w:highlight w:val="none"/>
              </w:rPr>
              <w:t>根据各投标人制定的人员管理规章制度是否齐全、合理，是否满足本项目需求，由评委进行打分：方案完整、全面、合理科学的得</w:t>
            </w:r>
            <w:r>
              <w:rPr>
                <w:rFonts w:hint="eastAsia" w:ascii="宋体" w:hAnsi="宋体"/>
                <w:color w:val="auto"/>
                <w:szCs w:val="21"/>
                <w:highlight w:val="none"/>
                <w:lang w:val="en-US" w:eastAsia="zh-CN"/>
              </w:rPr>
              <w:t>2</w:t>
            </w:r>
            <w:r>
              <w:rPr>
                <w:rFonts w:hint="eastAsia" w:ascii="宋体" w:hAnsi="宋体"/>
                <w:color w:val="auto"/>
                <w:szCs w:val="21"/>
                <w:highlight w:val="none"/>
              </w:rPr>
              <w:t>分；方案较完整、较全面、较合理科学的得</w:t>
            </w:r>
            <w:r>
              <w:rPr>
                <w:rFonts w:hint="eastAsia" w:ascii="宋体" w:hAnsi="宋体"/>
                <w:color w:val="auto"/>
                <w:szCs w:val="21"/>
                <w:highlight w:val="none"/>
                <w:lang w:val="en-US" w:eastAsia="zh-CN"/>
              </w:rPr>
              <w:t>1.5</w:t>
            </w:r>
            <w:r>
              <w:rPr>
                <w:rFonts w:hint="eastAsia" w:ascii="宋体" w:hAnsi="宋体"/>
                <w:color w:val="auto"/>
                <w:szCs w:val="21"/>
                <w:highlight w:val="none"/>
              </w:rPr>
              <w:t>分；方案不够完整、不够全面、不够合理科学的得</w:t>
            </w:r>
            <w:r>
              <w:rPr>
                <w:rFonts w:hint="eastAsia" w:ascii="宋体" w:hAnsi="宋体"/>
                <w:color w:val="auto"/>
                <w:szCs w:val="21"/>
                <w:highlight w:val="none"/>
                <w:lang w:val="en-US" w:eastAsia="zh-CN"/>
              </w:rPr>
              <w:t>1</w:t>
            </w:r>
            <w:r>
              <w:rPr>
                <w:rFonts w:hint="eastAsia" w:ascii="宋体" w:hAnsi="宋体"/>
                <w:color w:val="auto"/>
                <w:szCs w:val="21"/>
                <w:highlight w:val="none"/>
              </w:rPr>
              <w:t>分；未提供的不得分。</w:t>
            </w:r>
          </w:p>
        </w:tc>
      </w:tr>
      <w:tr w14:paraId="2C2FA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4" w:type="dxa"/>
            <w:shd w:val="clear" w:color="auto" w:fill="auto"/>
            <w:noWrap/>
            <w:vAlign w:val="center"/>
          </w:tcPr>
          <w:p w14:paraId="5A88D4FB">
            <w:pPr>
              <w:spacing w:line="400" w:lineRule="exact"/>
              <w:jc w:val="left"/>
              <w:rPr>
                <w:rFonts w:hint="eastAsia" w:ascii="宋体" w:hAnsi="宋体"/>
                <w:color w:val="auto"/>
                <w:szCs w:val="21"/>
                <w:highlight w:val="none"/>
              </w:rPr>
            </w:pPr>
            <w:r>
              <w:rPr>
                <w:rFonts w:hint="eastAsia" w:ascii="宋体" w:hAnsi="宋体"/>
                <w:color w:val="auto"/>
                <w:szCs w:val="21"/>
                <w:highlight w:val="none"/>
              </w:rPr>
              <w:t>8、装修效果图</w:t>
            </w:r>
          </w:p>
        </w:tc>
        <w:tc>
          <w:tcPr>
            <w:tcW w:w="849" w:type="dxa"/>
            <w:shd w:val="clear" w:color="auto" w:fill="auto"/>
            <w:noWrap/>
            <w:vAlign w:val="center"/>
          </w:tcPr>
          <w:p w14:paraId="33F993CE">
            <w:pPr>
              <w:spacing w:line="400" w:lineRule="exact"/>
              <w:jc w:val="left"/>
              <w:rPr>
                <w:rFonts w:hint="eastAsia" w:ascii="宋体" w:hAnsi="宋体"/>
                <w:color w:val="auto"/>
                <w:szCs w:val="21"/>
                <w:highlight w:val="none"/>
              </w:rPr>
            </w:pPr>
            <w:r>
              <w:rPr>
                <w:rFonts w:hint="eastAsia" w:ascii="宋体" w:hAnsi="宋体"/>
                <w:color w:val="auto"/>
                <w:szCs w:val="21"/>
                <w:highlight w:val="none"/>
              </w:rPr>
              <w:t>3分</w:t>
            </w:r>
          </w:p>
        </w:tc>
        <w:tc>
          <w:tcPr>
            <w:tcW w:w="7041" w:type="dxa"/>
            <w:shd w:val="clear" w:color="auto" w:fill="auto"/>
            <w:noWrap/>
          </w:tcPr>
          <w:p w14:paraId="5B8B71BD">
            <w:pPr>
              <w:spacing w:line="400" w:lineRule="exact"/>
              <w:jc w:val="left"/>
              <w:rPr>
                <w:rFonts w:hint="eastAsia" w:ascii="宋体" w:hAnsi="宋体"/>
                <w:color w:val="auto"/>
                <w:szCs w:val="21"/>
                <w:highlight w:val="none"/>
              </w:rPr>
            </w:pPr>
            <w:r>
              <w:rPr>
                <w:rFonts w:hint="eastAsia" w:ascii="宋体" w:hAnsi="宋体"/>
                <w:color w:val="auto"/>
                <w:szCs w:val="21"/>
                <w:highlight w:val="none"/>
              </w:rPr>
              <w:t>根据各供应商</w:t>
            </w:r>
            <w:r>
              <w:rPr>
                <w:rFonts w:hint="eastAsia" w:ascii="宋体" w:hAnsi="宋体"/>
                <w:color w:val="auto"/>
                <w:szCs w:val="21"/>
                <w:highlight w:val="none"/>
                <w:lang w:val="en-US" w:eastAsia="zh-CN"/>
              </w:rPr>
              <w:t>提供的执法办案区（包含</w:t>
            </w:r>
            <w:bookmarkStart w:id="3" w:name="_Toc21708"/>
            <w:r>
              <w:rPr>
                <w:rFonts w:hint="eastAsia" w:ascii="宋体" w:hAnsi="宋体"/>
                <w:color w:val="auto"/>
                <w:szCs w:val="21"/>
                <w:highlight w:val="none"/>
                <w:lang w:val="en-US" w:eastAsia="zh-CN"/>
              </w:rPr>
              <w:t>登记服务大厅</w:t>
            </w:r>
            <w:bookmarkEnd w:id="3"/>
            <w:r>
              <w:rPr>
                <w:rFonts w:hint="eastAsia" w:ascii="宋体" w:hAnsi="宋体"/>
                <w:color w:val="auto"/>
                <w:szCs w:val="21"/>
                <w:highlight w:val="none"/>
                <w:lang w:val="en-US" w:eastAsia="zh-CN"/>
              </w:rPr>
              <w:t>、</w:t>
            </w:r>
            <w:bookmarkStart w:id="4" w:name="_Toc15753"/>
            <w:r>
              <w:rPr>
                <w:rFonts w:hint="eastAsia" w:ascii="宋体" w:hAnsi="宋体"/>
                <w:color w:val="auto"/>
                <w:szCs w:val="21"/>
                <w:highlight w:val="none"/>
                <w:lang w:val="en-US" w:eastAsia="zh-CN"/>
              </w:rPr>
              <w:t>讯问询问室</w:t>
            </w:r>
            <w:bookmarkEnd w:id="4"/>
            <w:r>
              <w:rPr>
                <w:rFonts w:hint="eastAsia" w:ascii="宋体" w:hAnsi="宋体"/>
                <w:color w:val="auto"/>
                <w:szCs w:val="21"/>
                <w:highlight w:val="none"/>
                <w:lang w:val="en-US" w:eastAsia="zh-CN"/>
              </w:rPr>
              <w:t>、</w:t>
            </w:r>
            <w:bookmarkStart w:id="5" w:name="_Toc29203"/>
            <w:r>
              <w:rPr>
                <w:rFonts w:hint="eastAsia" w:ascii="宋体" w:hAnsi="宋体"/>
                <w:color w:val="auto"/>
                <w:szCs w:val="21"/>
                <w:highlight w:val="none"/>
                <w:lang w:val="en-US" w:eastAsia="zh-CN"/>
              </w:rPr>
              <w:t>特殊询问室、候问室</w:t>
            </w:r>
            <w:bookmarkEnd w:id="5"/>
            <w:r>
              <w:rPr>
                <w:rFonts w:hint="eastAsia" w:ascii="宋体" w:hAnsi="宋体"/>
                <w:color w:val="auto"/>
                <w:szCs w:val="21"/>
                <w:highlight w:val="none"/>
                <w:lang w:val="en-US" w:eastAsia="zh-CN"/>
              </w:rPr>
              <w:t>、三合一室）最终装修效果图，针对所提供效果图完整性、是否合理，整体装饰效果、是否满足本项目需求，由评委打分：效果图完整、合理，整体装饰效果好，与实际情况相符的得3分；效果图较完整、设计较合理，整体装饰效果较好的，与实际情况相符的得2分；效果图不完整、设计一般，整体装饰效果一般的得1分；未提供或与实际情况不相符的不得分。</w:t>
            </w:r>
          </w:p>
        </w:tc>
      </w:tr>
    </w:tbl>
    <w:p w14:paraId="5D97F013">
      <w:pPr>
        <w:pStyle w:val="17"/>
        <w:widowControl/>
        <w:spacing w:beforeAutospacing="0" w:afterAutospacing="0" w:line="400" w:lineRule="exact"/>
        <w:rPr>
          <w:rFonts w:ascii="宋体" w:hAnsi="宋体" w:cs="宋体"/>
          <w:b/>
          <w:color w:val="auto"/>
          <w:highlight w:val="none"/>
        </w:rPr>
      </w:pPr>
    </w:p>
    <w:p w14:paraId="2ECE5AC5">
      <w:pPr>
        <w:pStyle w:val="17"/>
        <w:widowControl/>
        <w:spacing w:beforeAutospacing="0" w:afterAutospacing="0" w:line="400" w:lineRule="exact"/>
        <w:rPr>
          <w:rStyle w:val="23"/>
          <w:rFonts w:ascii="宋体" w:hAnsi="宋体" w:cs="宋体"/>
          <w:color w:val="auto"/>
          <w:highlight w:val="none"/>
        </w:rPr>
      </w:pPr>
      <w:r>
        <w:rPr>
          <w:rFonts w:hint="eastAsia" w:ascii="宋体" w:hAnsi="宋体" w:cs="宋体"/>
          <w:b/>
          <w:color w:val="auto"/>
          <w:highlight w:val="none"/>
        </w:rPr>
        <w:t>（三）</w:t>
      </w:r>
      <w:r>
        <w:rPr>
          <w:rStyle w:val="23"/>
          <w:rFonts w:hint="eastAsia" w:ascii="宋体" w:hAnsi="宋体" w:cs="宋体"/>
          <w:color w:val="auto"/>
          <w:highlight w:val="none"/>
        </w:rPr>
        <w:t>商务部分评分F3        满分</w:t>
      </w:r>
      <w:r>
        <w:rPr>
          <w:rStyle w:val="23"/>
          <w:rFonts w:hint="eastAsia" w:ascii="宋体" w:hAnsi="宋体" w:cs="宋体"/>
          <w:color w:val="auto"/>
          <w:highlight w:val="none"/>
          <w:u w:val="single"/>
        </w:rPr>
        <w:t>10</w:t>
      </w:r>
      <w:r>
        <w:rPr>
          <w:rStyle w:val="23"/>
          <w:rFonts w:hint="eastAsia" w:ascii="宋体" w:hAnsi="宋体" w:cs="宋体"/>
          <w:color w:val="auto"/>
          <w:highlight w:val="none"/>
        </w:rPr>
        <w:t>分</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shd w:val="clear" w:color="auto" w:fill="auto"/>
        <w:tblLayout w:type="autofit"/>
        <w:tblCellMar>
          <w:top w:w="0" w:type="dxa"/>
          <w:left w:w="108" w:type="dxa"/>
          <w:bottom w:w="0" w:type="dxa"/>
          <w:right w:w="108" w:type="dxa"/>
        </w:tblCellMar>
      </w:tblPr>
      <w:tblGrid>
        <w:gridCol w:w="1944"/>
        <w:gridCol w:w="1200"/>
        <w:gridCol w:w="6705"/>
      </w:tblGrid>
      <w:tr w14:paraId="0621B9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shd w:val="clear" w:color="auto" w:fill="auto"/>
          <w:tblCellMar>
            <w:top w:w="0" w:type="dxa"/>
            <w:left w:w="108" w:type="dxa"/>
            <w:bottom w:w="0" w:type="dxa"/>
            <w:right w:w="108" w:type="dxa"/>
          </w:tblCellMar>
        </w:tblPrEx>
        <w:tc>
          <w:tcPr>
            <w:tcW w:w="1944" w:type="dxa"/>
            <w:shd w:val="clear" w:color="auto" w:fill="auto"/>
            <w:noWrap/>
            <w:vAlign w:val="center"/>
          </w:tcPr>
          <w:p w14:paraId="7AEC525C">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项目</w:t>
            </w:r>
          </w:p>
        </w:tc>
        <w:tc>
          <w:tcPr>
            <w:tcW w:w="1200" w:type="dxa"/>
            <w:shd w:val="clear" w:color="auto" w:fill="auto"/>
            <w:noWrap/>
            <w:vAlign w:val="center"/>
          </w:tcPr>
          <w:p w14:paraId="3B17F603">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分值</w:t>
            </w:r>
          </w:p>
        </w:tc>
        <w:tc>
          <w:tcPr>
            <w:tcW w:w="6705" w:type="dxa"/>
            <w:shd w:val="clear" w:color="auto" w:fill="auto"/>
            <w:noWrap/>
            <w:vAlign w:val="center"/>
          </w:tcPr>
          <w:p w14:paraId="52C3B306">
            <w:pPr>
              <w:pStyle w:val="34"/>
              <w:spacing w:line="400" w:lineRule="exact"/>
              <w:jc w:val="both"/>
              <w:rPr>
                <w:rFonts w:hint="default" w:ascii="宋体" w:hAnsi="宋体"/>
                <w:b/>
                <w:bCs/>
                <w:color w:val="auto"/>
                <w:sz w:val="24"/>
                <w:szCs w:val="24"/>
                <w:highlight w:val="none"/>
              </w:rPr>
            </w:pPr>
            <w:r>
              <w:rPr>
                <w:rFonts w:ascii="宋体" w:hAnsi="宋体"/>
                <w:b/>
                <w:bCs/>
                <w:color w:val="auto"/>
                <w:sz w:val="24"/>
                <w:szCs w:val="24"/>
                <w:highlight w:val="none"/>
              </w:rPr>
              <w:t xml:space="preserve"> 描述</w:t>
            </w:r>
          </w:p>
        </w:tc>
      </w:tr>
      <w:tr w14:paraId="13D1F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shd w:val="clear" w:color="auto" w:fill="auto"/>
          <w:tblCellMar>
            <w:top w:w="0" w:type="dxa"/>
            <w:left w:w="108" w:type="dxa"/>
            <w:bottom w:w="0" w:type="dxa"/>
            <w:right w:w="108" w:type="dxa"/>
          </w:tblCellMar>
        </w:tblPrEx>
        <w:tc>
          <w:tcPr>
            <w:tcW w:w="1944" w:type="dxa"/>
            <w:shd w:val="clear" w:color="auto" w:fill="auto"/>
            <w:noWrap/>
            <w:vAlign w:val="center"/>
          </w:tcPr>
          <w:p w14:paraId="0A87FE10">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1、售后服务方案</w:t>
            </w:r>
          </w:p>
        </w:tc>
        <w:tc>
          <w:tcPr>
            <w:tcW w:w="1200" w:type="dxa"/>
            <w:shd w:val="clear" w:color="auto" w:fill="auto"/>
            <w:noWrap/>
            <w:vAlign w:val="center"/>
          </w:tcPr>
          <w:p w14:paraId="18DDAA9A">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w:t>
            </w:r>
          </w:p>
        </w:tc>
        <w:tc>
          <w:tcPr>
            <w:tcW w:w="6705" w:type="dxa"/>
            <w:shd w:val="clear" w:color="auto" w:fill="auto"/>
            <w:noWrap/>
            <w:vAlign w:val="center"/>
          </w:tcPr>
          <w:p w14:paraId="32332D37">
            <w:pPr>
              <w:spacing w:line="4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各供应商针对本项目所提供的售后服务方案，包括具体的具体售后服务内容、维修方式、专业人员配备情况及现有维修服务能力、备品备件、质保期后维修服务的项目及费用承诺等方面情况，由评委横向比较后打分：提供的方案完整、详细具体、合理可行、满足本项目需求的得3分；提供的方案基本完整、较为详细具体、基本合理可行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分；提供的方案较为简单、合理可行性一般的得1分；差</w:t>
            </w:r>
            <w:r>
              <w:rPr>
                <w:rFonts w:hint="eastAsia" w:ascii="宋体" w:hAnsi="宋体" w:cs="宋体"/>
                <w:color w:val="auto"/>
                <w:sz w:val="24"/>
                <w:highlight w:val="none"/>
                <w:lang w:val="en-US" w:eastAsia="zh-CN"/>
              </w:rPr>
              <w:t>的和</w:t>
            </w:r>
            <w:r>
              <w:rPr>
                <w:rFonts w:hint="eastAsia" w:ascii="宋体" w:hAnsi="宋体" w:eastAsia="宋体" w:cs="宋体"/>
                <w:color w:val="auto"/>
                <w:sz w:val="24"/>
                <w:highlight w:val="none"/>
                <w:lang w:val="en-US" w:eastAsia="zh-CN"/>
              </w:rPr>
              <w:t>未提供的不得分。</w:t>
            </w:r>
          </w:p>
        </w:tc>
      </w:tr>
      <w:tr w14:paraId="5EAB71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shd w:val="clear" w:color="auto" w:fill="auto"/>
          <w:tblCellMar>
            <w:top w:w="0" w:type="dxa"/>
            <w:left w:w="108" w:type="dxa"/>
            <w:bottom w:w="0" w:type="dxa"/>
            <w:right w:w="108" w:type="dxa"/>
          </w:tblCellMar>
        </w:tblPrEx>
        <w:tc>
          <w:tcPr>
            <w:tcW w:w="1944" w:type="dxa"/>
            <w:shd w:val="clear" w:color="auto" w:fill="auto"/>
            <w:noWrap/>
            <w:vAlign w:val="center"/>
          </w:tcPr>
          <w:p w14:paraId="0E3A85E8">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2、质保期</w:t>
            </w:r>
          </w:p>
        </w:tc>
        <w:tc>
          <w:tcPr>
            <w:tcW w:w="1200" w:type="dxa"/>
            <w:shd w:val="clear" w:color="auto" w:fill="auto"/>
            <w:noWrap/>
            <w:vAlign w:val="center"/>
          </w:tcPr>
          <w:p w14:paraId="0201DE85">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w:t>
            </w:r>
          </w:p>
        </w:tc>
        <w:tc>
          <w:tcPr>
            <w:tcW w:w="6705" w:type="dxa"/>
            <w:shd w:val="clear" w:color="auto" w:fill="auto"/>
            <w:noWrap/>
            <w:vAlign w:val="center"/>
          </w:tcPr>
          <w:p w14:paraId="693DBA48">
            <w:pPr>
              <w:spacing w:line="4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根据供应商承诺在满足竞争性磋商文件免费质保期(1年)的基础上每延长壹年保修得1.5分，最高3分。未承诺的不得分。</w:t>
            </w:r>
          </w:p>
        </w:tc>
      </w:tr>
      <w:tr w14:paraId="092E9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shd w:val="clear" w:color="auto" w:fill="auto"/>
          <w:tblCellMar>
            <w:top w:w="0" w:type="dxa"/>
            <w:left w:w="108" w:type="dxa"/>
            <w:bottom w:w="0" w:type="dxa"/>
            <w:right w:w="108" w:type="dxa"/>
          </w:tblCellMar>
        </w:tblPrEx>
        <w:tc>
          <w:tcPr>
            <w:tcW w:w="1944" w:type="dxa"/>
            <w:shd w:val="clear" w:color="auto" w:fill="auto"/>
            <w:noWrap/>
            <w:vAlign w:val="center"/>
          </w:tcPr>
          <w:p w14:paraId="6D598B9C">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3、培训和维护培训方案</w:t>
            </w:r>
          </w:p>
        </w:tc>
        <w:tc>
          <w:tcPr>
            <w:tcW w:w="1200" w:type="dxa"/>
            <w:shd w:val="clear" w:color="auto" w:fill="auto"/>
            <w:noWrap/>
            <w:vAlign w:val="center"/>
          </w:tcPr>
          <w:p w14:paraId="78B726F7">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w:t>
            </w:r>
          </w:p>
        </w:tc>
        <w:tc>
          <w:tcPr>
            <w:tcW w:w="6705" w:type="dxa"/>
            <w:shd w:val="clear" w:color="auto" w:fill="auto"/>
            <w:noWrap/>
            <w:vAlign w:val="center"/>
          </w:tcPr>
          <w:p w14:paraId="5103DBF3">
            <w:pPr>
              <w:spacing w:line="40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3.根据各供应商提供的使用培训和维护培训方案进行评分：提供的使用培训和维护培训方案完整、详细、具体、可行性强、满足本项目需求的得3分；提供的现场技术培训方案不够周全详细、具体、完善、可行性一般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分；提供的现场技术培训方案不周全详细、具体、可行性较差的得1分；未提供不得分。</w:t>
            </w:r>
          </w:p>
        </w:tc>
      </w:tr>
      <w:tr w14:paraId="6C91D7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95" w:hRule="atLeast"/>
        </w:trPr>
        <w:tc>
          <w:tcPr>
            <w:tcW w:w="1944" w:type="dxa"/>
            <w:shd w:val="clear" w:color="auto" w:fill="auto"/>
            <w:noWrap/>
            <w:vAlign w:val="center"/>
          </w:tcPr>
          <w:p w14:paraId="1AD1289C">
            <w:pPr>
              <w:spacing w:line="40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4、技术支持和售后服务能力</w:t>
            </w:r>
          </w:p>
        </w:tc>
        <w:tc>
          <w:tcPr>
            <w:tcW w:w="1200" w:type="dxa"/>
            <w:shd w:val="clear" w:color="auto" w:fill="auto"/>
            <w:noWrap/>
            <w:vAlign w:val="center"/>
          </w:tcPr>
          <w:p w14:paraId="6A48A84A">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1分</w:t>
            </w:r>
          </w:p>
        </w:tc>
        <w:tc>
          <w:tcPr>
            <w:tcW w:w="6705" w:type="dxa"/>
            <w:shd w:val="clear" w:color="auto" w:fill="auto"/>
            <w:noWrap/>
            <w:vAlign w:val="center"/>
          </w:tcPr>
          <w:p w14:paraId="614E361D">
            <w:pPr>
              <w:spacing w:line="400" w:lineRule="exact"/>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考虑到售后服务的便捷性及稳定性，投标人</w:t>
            </w:r>
            <w:r>
              <w:rPr>
                <w:rFonts w:hint="eastAsia" w:ascii="宋体" w:hAnsi="宋体" w:cs="宋体"/>
                <w:color w:val="auto"/>
                <w:sz w:val="24"/>
                <w:highlight w:val="none"/>
                <w:lang w:val="en-US" w:eastAsia="zh-CN"/>
              </w:rPr>
              <w:t>承诺接到采购人通知后</w:t>
            </w:r>
            <w:r>
              <w:rPr>
                <w:rFonts w:hint="eastAsia" w:ascii="宋体" w:hAnsi="宋体" w:eastAsia="宋体" w:cs="宋体"/>
                <w:color w:val="auto"/>
                <w:sz w:val="24"/>
                <w:highlight w:val="none"/>
                <w:lang w:val="en-US" w:eastAsia="zh-CN"/>
              </w:rPr>
              <w:t>在60分钟内（含）到达项目服务现场</w:t>
            </w:r>
            <w:r>
              <w:rPr>
                <w:rFonts w:hint="eastAsia" w:ascii="宋体" w:hAnsi="宋体" w:cs="宋体"/>
                <w:color w:val="auto"/>
                <w:sz w:val="24"/>
                <w:highlight w:val="none"/>
                <w:lang w:val="en-US" w:eastAsia="zh-CN"/>
              </w:rPr>
              <w:t>的得1分</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提供承诺函</w:t>
            </w:r>
            <w:r>
              <w:rPr>
                <w:rFonts w:hint="eastAsia" w:ascii="宋体" w:hAnsi="宋体" w:eastAsia="宋体" w:cs="宋体"/>
                <w:color w:val="auto"/>
                <w:sz w:val="24"/>
                <w:highlight w:val="none"/>
                <w:lang w:val="en-US" w:eastAsia="zh-CN"/>
              </w:rPr>
              <w:t>，未提供的不得分。</w:t>
            </w:r>
          </w:p>
        </w:tc>
      </w:tr>
      <w:bookmarkEnd w:id="2"/>
    </w:tbl>
    <w:p w14:paraId="155C539A">
      <w:pPr>
        <w:pStyle w:val="17"/>
        <w:widowControl/>
        <w:spacing w:before="75" w:beforeAutospacing="0" w:after="75" w:afterAutospacing="0" w:line="405" w:lineRule="atLeast"/>
        <w:rPr>
          <w:color w:val="auto"/>
          <w:highlight w:val="none"/>
        </w:rPr>
      </w:pPr>
      <w:r>
        <w:rPr>
          <w:rFonts w:hint="eastAsia" w:ascii="宋体" w:hAnsi="宋体" w:cs="宋体"/>
          <w:color w:val="auto"/>
          <w:highlight w:val="none"/>
        </w:rPr>
        <w:t>（4）成交候选供应商排列规则顺序和并列相同时的处理约定如下：</w:t>
      </w:r>
    </w:p>
    <w:p w14:paraId="7ED42B55">
      <w:pPr>
        <w:pStyle w:val="17"/>
        <w:widowControl/>
        <w:spacing w:before="75" w:beforeAutospacing="0" w:after="75" w:afterAutospacing="0" w:line="405" w:lineRule="atLeast"/>
        <w:ind w:firstLine="480"/>
        <w:rPr>
          <w:color w:val="auto"/>
          <w:highlight w:val="none"/>
        </w:rPr>
      </w:pPr>
      <w:r>
        <w:rPr>
          <w:rFonts w:hint="eastAsia" w:ascii="宋体" w:hAnsi="宋体" w:cs="宋体"/>
          <w:color w:val="auto"/>
          <w:highlight w:val="none"/>
        </w:rPr>
        <w:t>a.成交候选供应商按照综合评审总得分（FA）由高到低顺序排列推荐。</w:t>
      </w:r>
    </w:p>
    <w:p w14:paraId="7E6962EE">
      <w:pPr>
        <w:pStyle w:val="17"/>
        <w:widowControl/>
        <w:spacing w:before="75" w:beforeAutospacing="0" w:after="75" w:afterAutospacing="0" w:line="405" w:lineRule="atLeast"/>
        <w:ind w:firstLine="480"/>
        <w:rPr>
          <w:color w:val="auto"/>
          <w:highlight w:val="none"/>
        </w:rPr>
      </w:pPr>
      <w:r>
        <w:rPr>
          <w:rFonts w:hint="eastAsia" w:ascii="宋体" w:hAnsi="宋体" w:cs="宋体"/>
          <w:color w:val="auto"/>
          <w:highlight w:val="none"/>
        </w:rPr>
        <w:t>b.综合评审总得分（FA）相同的，按照经评审最后磋商报价（即经政府采购优惠政策进行价格扣除后的最后报价）由低到高顺序推荐。</w:t>
      </w:r>
    </w:p>
    <w:p w14:paraId="4AFE76BC">
      <w:pPr>
        <w:pStyle w:val="17"/>
        <w:widowControl/>
        <w:spacing w:beforeAutospacing="0" w:afterAutospacing="0" w:line="405" w:lineRule="atLeast"/>
        <w:ind w:firstLine="465"/>
        <w:rPr>
          <w:color w:val="auto"/>
          <w:highlight w:val="none"/>
        </w:rPr>
      </w:pPr>
      <w:r>
        <w:rPr>
          <w:rFonts w:hint="eastAsia" w:ascii="宋体" w:hAnsi="宋体" w:cs="宋体"/>
          <w:color w:val="auto"/>
          <w:highlight w:val="none"/>
        </w:rPr>
        <w:t>c.综合评审总得分（FA）且经评审最后磋商报价（即经政府采购优惠政策进行价格扣除后的最后报价）仍然相同的，按照技术指标优劣顺序推荐。</w:t>
      </w:r>
    </w:p>
    <w:p w14:paraId="5693D90E">
      <w:pPr>
        <w:pStyle w:val="17"/>
        <w:widowControl/>
        <w:spacing w:beforeAutospacing="0" w:afterAutospacing="0" w:line="405" w:lineRule="atLeast"/>
        <w:ind w:firstLine="465"/>
        <w:rPr>
          <w:color w:val="auto"/>
          <w:highlight w:val="none"/>
        </w:rPr>
      </w:pPr>
      <w:r>
        <w:rPr>
          <w:rFonts w:hint="eastAsia" w:ascii="宋体" w:hAnsi="宋体" w:cs="宋体"/>
          <w:color w:val="auto"/>
          <w:highlight w:val="none"/>
        </w:rPr>
        <w:t>d.经前述顺序处理仍然并列相同的，则通过随机抽取方式确定优先顺序推荐。</w:t>
      </w:r>
    </w:p>
    <w:p w14:paraId="6B832856">
      <w:pPr>
        <w:pStyle w:val="17"/>
        <w:widowControl/>
        <w:spacing w:before="75" w:beforeAutospacing="0" w:after="75" w:afterAutospacing="0" w:line="420" w:lineRule="atLeast"/>
        <w:jc w:val="both"/>
        <w:rPr>
          <w:rStyle w:val="23"/>
          <w:rFonts w:ascii="宋体" w:hAnsi="宋体" w:cs="宋体"/>
          <w:bCs/>
          <w:color w:val="auto"/>
          <w:highlight w:val="none"/>
        </w:rPr>
      </w:pPr>
    </w:p>
    <w:p w14:paraId="18E7EA7D">
      <w:pPr>
        <w:rPr>
          <w:rStyle w:val="23"/>
          <w:rFonts w:hint="eastAsia" w:ascii="宋体" w:hAnsi="宋体" w:cs="宋体"/>
          <w:bCs/>
          <w:color w:val="auto"/>
          <w:highlight w:val="none"/>
        </w:rPr>
      </w:pPr>
    </w:p>
    <w:p w14:paraId="4A83796A">
      <w:pPr>
        <w:pStyle w:val="17"/>
        <w:widowControl/>
        <w:spacing w:before="75" w:beforeAutospacing="0" w:after="75" w:afterAutospacing="0" w:line="420" w:lineRule="atLeast"/>
        <w:jc w:val="center"/>
        <w:rPr>
          <w:color w:val="auto"/>
          <w:highlight w:val="none"/>
        </w:rPr>
      </w:pPr>
      <w:r>
        <w:rPr>
          <w:rStyle w:val="23"/>
          <w:rFonts w:hint="eastAsia" w:ascii="宋体" w:hAnsi="宋体" w:cs="宋体"/>
          <w:bCs/>
          <w:color w:val="auto"/>
          <w:highlight w:val="none"/>
        </w:rPr>
        <w:t>四、评审报告</w:t>
      </w:r>
    </w:p>
    <w:p w14:paraId="549F4DE9">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2F9BA788">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4.1磋商小组完成评审后，应当编写评审报告并提交给采购人。</w:t>
      </w:r>
    </w:p>
    <w:p w14:paraId="4A181239">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4.2评审报告应当包括以下主要内容：</w:t>
      </w:r>
    </w:p>
    <w:p w14:paraId="7790EE4A">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（一）邀请供应商参加采购活动的具体方式和相关情况；</w:t>
      </w:r>
    </w:p>
    <w:p w14:paraId="6E1C588D">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（二）响应文件开启日期和地点；</w:t>
      </w:r>
    </w:p>
    <w:p w14:paraId="4098BD28">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（三）获取磋商文件的供应商名单和磋商小组成员名单；</w:t>
      </w:r>
    </w:p>
    <w:p w14:paraId="78A191CF">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（四）评审情况记录和说明，包括对供应商的资格审查情况、供应商响应文件评审情况、磋商情况、报价情况等；</w:t>
      </w:r>
    </w:p>
    <w:p w14:paraId="7E54F81D">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（五）提出的成交候选供应商的排序名单及理由。</w:t>
      </w:r>
    </w:p>
    <w:p w14:paraId="2889A8AC">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4.3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91A4CF0">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 </w:t>
      </w:r>
    </w:p>
    <w:p w14:paraId="5640CBFC">
      <w:pPr>
        <w:pStyle w:val="17"/>
        <w:widowControl/>
        <w:spacing w:before="75" w:beforeAutospacing="0" w:after="75" w:afterAutospacing="0" w:line="420" w:lineRule="atLeast"/>
        <w:jc w:val="center"/>
        <w:rPr>
          <w:color w:val="auto"/>
          <w:highlight w:val="none"/>
        </w:rPr>
      </w:pPr>
      <w:r>
        <w:rPr>
          <w:rStyle w:val="23"/>
          <w:rFonts w:hint="eastAsia" w:ascii="宋体" w:hAnsi="宋体" w:cs="宋体"/>
          <w:bCs/>
          <w:color w:val="auto"/>
          <w:highlight w:val="none"/>
        </w:rPr>
        <w:t>五、其他规定</w:t>
      </w:r>
    </w:p>
    <w:p w14:paraId="4379BE16">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5799FC69">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5.1其他规定</w:t>
      </w:r>
    </w:p>
    <w:p w14:paraId="7C5BBDD8">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5.1.1评审应全程保密且不得透露给任一供应商或与评审工作无关的人员。</w:t>
      </w:r>
    </w:p>
    <w:p w14:paraId="20ADFCEA">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5.1.2评审将进行全程实时录音录像，录音录像资料随采购文件一并存档。</w:t>
      </w:r>
    </w:p>
    <w:p w14:paraId="66472E18">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5.1.3若供应商有任何试图干扰具体评审事务，影响磋商小组独立履行职责的行为，其响应无效且不予退还磋商保证金。情节严重的，由财政部门列入不良行为记录。</w:t>
      </w:r>
    </w:p>
    <w:p w14:paraId="61A95CD9">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5.1.4根据采购项目的特点和需要，需要加以详细说明的其他磋商程序规定、要求等内容：</w:t>
      </w:r>
    </w:p>
    <w:p w14:paraId="782EE108">
      <w:pPr>
        <w:pStyle w:val="17"/>
        <w:widowControl/>
        <w:spacing w:before="75" w:beforeAutospacing="0" w:after="75" w:afterAutospacing="0" w:line="420" w:lineRule="atLeast"/>
        <w:ind w:firstLine="480"/>
        <w:rPr>
          <w:rFonts w:ascii="宋体" w:hAnsi="宋体" w:cs="宋体"/>
          <w:color w:val="auto"/>
          <w:highlight w:val="none"/>
        </w:rPr>
      </w:pPr>
      <w:r>
        <w:rPr>
          <w:rFonts w:hint="eastAsia" w:ascii="宋体" w:hAnsi="宋体" w:cs="宋体"/>
          <w:color w:val="auto"/>
          <w:highlight w:val="none"/>
        </w:rPr>
        <w:t>无。</w:t>
      </w:r>
    </w:p>
    <w:p w14:paraId="21A853EE">
      <w:pPr>
        <w:rPr>
          <w:rStyle w:val="23"/>
          <w:rFonts w:ascii="宋体" w:hAnsi="宋体"/>
          <w:bCs/>
          <w:color w:val="auto"/>
          <w:sz w:val="31"/>
          <w:szCs w:val="31"/>
          <w:highlight w:val="none"/>
        </w:rPr>
      </w:pPr>
      <w:r>
        <w:rPr>
          <w:rStyle w:val="23"/>
          <w:rFonts w:hint="eastAsia" w:ascii="宋体" w:hAnsi="宋体"/>
          <w:bCs/>
          <w:color w:val="auto"/>
          <w:sz w:val="31"/>
          <w:szCs w:val="31"/>
          <w:highlight w:val="none"/>
        </w:rPr>
        <w:br w:type="page"/>
      </w:r>
    </w:p>
    <w:p w14:paraId="0A171D6B">
      <w:pPr>
        <w:pStyle w:val="17"/>
        <w:widowControl/>
        <w:spacing w:before="75" w:beforeAutospacing="0" w:after="75" w:afterAutospacing="0"/>
        <w:jc w:val="center"/>
        <w:rPr>
          <w:color w:val="auto"/>
          <w:highlight w:val="none"/>
        </w:rPr>
      </w:pPr>
      <w:r>
        <w:rPr>
          <w:rStyle w:val="23"/>
          <w:rFonts w:hint="eastAsia" w:ascii="宋体" w:hAnsi="宋体" w:cs="宋体"/>
          <w:bCs/>
          <w:color w:val="auto"/>
          <w:sz w:val="31"/>
          <w:szCs w:val="31"/>
          <w:highlight w:val="none"/>
        </w:rPr>
        <w:t>第2节 竞争性磋商须知</w:t>
      </w:r>
      <w:r>
        <w:rPr>
          <w:rStyle w:val="23"/>
          <w:rFonts w:hint="eastAsia" w:ascii="宋体" w:hAnsi="宋体" w:cs="宋体"/>
          <w:bCs/>
          <w:color w:val="auto"/>
          <w:sz w:val="36"/>
          <w:szCs w:val="36"/>
          <w:highlight w:val="none"/>
        </w:rPr>
        <w:t> </w:t>
      </w:r>
    </w:p>
    <w:p w14:paraId="6BD7B809">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一、总则</w:t>
      </w:r>
    </w:p>
    <w:p w14:paraId="53594C2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1FC942F5">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1.适用范围：</w:t>
      </w:r>
    </w:p>
    <w:p w14:paraId="63F96AA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1.1适用于磋商文件载明项目的采购活动（以下简称：“本次采购活动”）。</w:t>
      </w:r>
    </w:p>
    <w:p w14:paraId="76492086">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2.定义及要求：</w:t>
      </w:r>
    </w:p>
    <w:p w14:paraId="52261D3E">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2.1“采购标的”指磋商文件载明的需要采购的货物、服务、工程。</w:t>
      </w:r>
    </w:p>
    <w:p w14:paraId="4A56DA0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2.2“采购人”指本次采购项目的买方、或业主方、或甲方，具体见磋商文件第一章；“采购代理机构”系指接受采购人委托，组织开展竞争性磋商采购活动的代理机构，具体见磋商文件第一章。</w:t>
      </w:r>
    </w:p>
    <w:p w14:paraId="74DB0B7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2.3“潜在供应商”按照磋商文件第一章规定进行报名，且有意向参加本项目响应磋商的供应商。</w:t>
      </w:r>
    </w:p>
    <w:p w14:paraId="37BDBF2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2.4“供应商”指按照磋商文件第一章规定进行报名，且已经提交响应文件的法人或其他组织或自然人。只有适合自然人参与和承接的政府采购项目，供应商才可以是自然人。</w:t>
      </w:r>
    </w:p>
    <w:p w14:paraId="2B489FF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2.5“单位负责人”指单位法定代表人（供应商为法人的）或法律、法规规定代表单位行使职权的主要负责人（供应商为其他组织的）。</w:t>
      </w:r>
    </w:p>
    <w:p w14:paraId="61CA97A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2.6“供应商代表”指供应商（为法人或其他组织的）的单位负责人或由其授权的委托代理人，即单位负责人授权书中载明的接受授权方。供应商为自然人的，由本人签字并附身份证明。</w:t>
      </w:r>
    </w:p>
    <w:p w14:paraId="34D4CDFD">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3.合格的</w:t>
      </w:r>
      <w:r>
        <w:rPr>
          <w:color w:val="auto"/>
          <w:highlight w:val="none"/>
        </w:rPr>
        <w:t>供应商</w:t>
      </w:r>
      <w:r>
        <w:rPr>
          <w:rStyle w:val="23"/>
          <w:rFonts w:hint="eastAsia" w:ascii="宋体" w:hAnsi="宋体" w:cs="宋体"/>
          <w:bCs/>
          <w:color w:val="auto"/>
          <w:highlight w:val="none"/>
        </w:rPr>
        <w:t>：</w:t>
      </w:r>
    </w:p>
    <w:p w14:paraId="165AD8F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3.1一般规定</w:t>
      </w:r>
    </w:p>
    <w:p w14:paraId="5F2F0E5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3.1.1供应商应当遵守中国的有关法律、法规和规章的规定，参加政府采购活动时已经自觉检查并按照政府采购相关法律规定，主动回避相应利害关系。</w:t>
      </w:r>
    </w:p>
    <w:p w14:paraId="608A12D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3.1.2为采购项目提供整体设计、规范编制或项目管理、监理、检测等服务的供应商，不得再参加该采购项目除整体设计、规范编制和项目管理、监理、检测等服务之外的其他采购活动</w:t>
      </w:r>
      <w:r>
        <w:rPr>
          <w:rStyle w:val="23"/>
          <w:rFonts w:hint="eastAsia" w:ascii="宋体" w:hAnsi="宋体" w:cs="宋体"/>
          <w:bCs/>
          <w:color w:val="auto"/>
          <w:highlight w:val="none"/>
        </w:rPr>
        <w:t>。</w:t>
      </w:r>
    </w:p>
    <w:p w14:paraId="734236E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3.1.3列入失信被执行人、重大税收违法案件当事人名单、政府采购严重违法失信行为记录名单及其他不符合《中华人民共和国政府采购法》第二十二条规定条件的供应商，不得参加政府采购活动</w:t>
      </w:r>
      <w:r>
        <w:rPr>
          <w:rStyle w:val="23"/>
          <w:rFonts w:hint="eastAsia" w:ascii="宋体" w:hAnsi="宋体" w:cs="宋体"/>
          <w:bCs/>
          <w:color w:val="auto"/>
          <w:highlight w:val="none"/>
        </w:rPr>
        <w:t>。</w:t>
      </w:r>
    </w:p>
    <w:p w14:paraId="4DF87839">
      <w:pPr>
        <w:pStyle w:val="17"/>
        <w:widowControl/>
        <w:spacing w:before="75" w:beforeAutospacing="0" w:after="75" w:afterAutospacing="0" w:line="435" w:lineRule="atLeast"/>
        <w:ind w:firstLine="480"/>
        <w:rPr>
          <w:color w:val="auto"/>
          <w:highlight w:val="none"/>
        </w:rPr>
      </w:pPr>
      <w:r>
        <w:rPr>
          <w:rStyle w:val="23"/>
          <w:rFonts w:hint="eastAsia" w:ascii="宋体" w:hAnsi="宋体" w:cs="宋体"/>
          <w:bCs/>
          <w:color w:val="auto"/>
          <w:highlight w:val="none"/>
        </w:rPr>
        <w:t>供应商有责任检查自身情况，在响应文件中对是否违反以上一般规定做出如实声明，否则其响应文件将被否决。</w:t>
      </w:r>
    </w:p>
    <w:p w14:paraId="33016499">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3.2特别规定</w:t>
      </w:r>
    </w:p>
    <w:p w14:paraId="0EFFE66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3.2.1供应商的资格要求：详见竞争性磋商须知前附表第</w:t>
      </w:r>
      <w:r>
        <w:rPr>
          <w:rFonts w:hint="eastAsia" w:ascii="宋体" w:hAnsi="宋体" w:cs="宋体"/>
          <w:color w:val="auto"/>
          <w:highlight w:val="none"/>
          <w:u w:val="single"/>
        </w:rPr>
        <w:t>1</w:t>
      </w:r>
      <w:r>
        <w:rPr>
          <w:rFonts w:hint="eastAsia" w:ascii="宋体" w:hAnsi="宋体" w:cs="宋体"/>
          <w:color w:val="auto"/>
          <w:highlight w:val="none"/>
        </w:rPr>
        <w:t>项。</w:t>
      </w:r>
    </w:p>
    <w:p w14:paraId="33F79778">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3.2.2是否接受联合体形式的响应磋商：详见竞争性磋商须知前附表第</w:t>
      </w:r>
      <w:r>
        <w:rPr>
          <w:rFonts w:hint="eastAsia" w:ascii="宋体" w:hAnsi="宋体" w:cs="宋体"/>
          <w:color w:val="auto"/>
          <w:highlight w:val="none"/>
          <w:u w:val="single"/>
        </w:rPr>
        <w:t>2</w:t>
      </w:r>
      <w:r>
        <w:rPr>
          <w:rFonts w:hint="eastAsia" w:ascii="宋体" w:hAnsi="宋体" w:cs="宋体"/>
          <w:color w:val="auto"/>
          <w:highlight w:val="none"/>
        </w:rPr>
        <w:t>项。若接受联合体形式且供应商为联合体，则联合体各方除了应遵守本章第3.1条规定外，还应遵守下列规定：</w:t>
      </w:r>
    </w:p>
    <w:p w14:paraId="11601BF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（1）联合体各方应提交联合体协议，联合体协议应符合磋商文件规定。</w:t>
      </w:r>
    </w:p>
    <w:p w14:paraId="2EF3584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（2）联合体各方不得再单独参加或与其他供应商另外组成联合体参加同一合同项下的响应磋商。</w:t>
      </w:r>
    </w:p>
    <w:p w14:paraId="22173A8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（3）联合体各方应共同与采购人签订政府采购合同，就政府采购合同约定的事项对采购人承担连带责任。</w:t>
      </w:r>
    </w:p>
    <w:p w14:paraId="1129BD1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618A59ED">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4.参与竞争性磋商费用：</w:t>
      </w:r>
    </w:p>
    <w:p w14:paraId="1304696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4.1除法律法规或采购文件另有规定之外，供应商应自行承担其准备与参加竞争性磋商所涉及的一切费用。</w:t>
      </w:r>
    </w:p>
    <w:p w14:paraId="0000928B">
      <w:pPr>
        <w:pStyle w:val="17"/>
        <w:widowControl/>
        <w:spacing w:before="75" w:beforeAutospacing="0" w:after="75" w:afterAutospacing="0" w:line="435" w:lineRule="atLeast"/>
        <w:jc w:val="center"/>
        <w:rPr>
          <w:color w:val="auto"/>
          <w:highlight w:val="none"/>
        </w:rPr>
      </w:pPr>
      <w:r>
        <w:rPr>
          <w:rFonts w:hint="eastAsia" w:ascii="宋体" w:hAnsi="宋体" w:cs="宋体"/>
          <w:color w:val="auto"/>
          <w:highlight w:val="none"/>
        </w:rPr>
        <w:t> </w:t>
      </w:r>
    </w:p>
    <w:p w14:paraId="7139E520">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二、竞争性磋商文件</w:t>
      </w:r>
    </w:p>
    <w:p w14:paraId="25FD6C1B">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 </w:t>
      </w:r>
    </w:p>
    <w:p w14:paraId="329031B7">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5.竞争性磋商文件的组成：</w:t>
      </w:r>
    </w:p>
    <w:p w14:paraId="72185DD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5.1竞争性磋商文件由下述部分组成：</w:t>
      </w:r>
    </w:p>
    <w:p w14:paraId="148BF6B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第一章 采购公告（或采购邀请书）</w:t>
      </w:r>
    </w:p>
    <w:p w14:paraId="6AE4690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第二章 竞争性磋商须知</w:t>
      </w:r>
    </w:p>
    <w:p w14:paraId="0B72CA0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第三章 采购内容及要求</w:t>
      </w:r>
    </w:p>
    <w:p w14:paraId="1B1ED85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第四章 合同主要条款及格式</w:t>
      </w:r>
    </w:p>
    <w:p w14:paraId="69B4966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第五章 首次响应文件格式</w:t>
      </w:r>
    </w:p>
    <w:p w14:paraId="0865B7C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5.2除上述内容以外，采购人、采购代理机构或者磋商小组在采购过程期间对磋商文件所作的澄清、修改或补充，均构成磋商文件的组成部分，对采购人和供应商具有约束力。</w:t>
      </w:r>
    </w:p>
    <w:p w14:paraId="5E99B2BD">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6.竞争性磋商文件的澄清、补充、修改及现场考察等：</w:t>
      </w:r>
    </w:p>
    <w:p w14:paraId="51C1618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6.1提交首次响应文件截止之日前，采购人、采购代理机构或者磋商小组可以对已发出的磋商文件进行必要的澄清、补充或者修改，澄清、补充或者修改的内容作为磋商文件的组成部分。澄清、补充或者修改的内容可能影响响应文件编制的，采购人、采购代理机构或者磋商小组将在提交首次响应文件截止时间5个日历日前，以书面形式通知所有获取磋商文件的潜在供应商，不足5个日历日的，采购人、采购代理机构或磋商小组将顺延提交首次响应文件的截止时间。</w:t>
      </w:r>
    </w:p>
    <w:p w14:paraId="4CEBCB5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6.2提交首次响应文件截止时间前，若采购人发布更正公告，则更正公告及其所发布的内容或信息（包括但不限于竞争性磋商文件的澄清、补充或修改等）作为磋商文件组成部分，对采购人和供应商具有约束力。更正公告作为采购人、采购代理机构或磋商小组通知所有潜在供应商的书面形式，潜在供应商务必随时关注磋商文件中载明的指定媒体，以免遗漏。</w:t>
      </w:r>
    </w:p>
    <w:p w14:paraId="5D31DF6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6.3采购人、采购代理机构可以视采购项目的具体情况，组织供应商进行现场考察或召开磋商前答疑会，是否组织现场考察或召开磋商前答疑会详见竞争性磋商须知前附表第</w:t>
      </w:r>
      <w:r>
        <w:rPr>
          <w:rFonts w:hint="eastAsia" w:ascii="宋体" w:hAnsi="宋体" w:cs="宋体"/>
          <w:color w:val="auto"/>
          <w:highlight w:val="none"/>
          <w:u w:val="single"/>
        </w:rPr>
        <w:t>3</w:t>
      </w:r>
      <w:r>
        <w:rPr>
          <w:rFonts w:hint="eastAsia" w:ascii="宋体" w:hAnsi="宋体" w:cs="宋体"/>
          <w:color w:val="auto"/>
          <w:highlight w:val="none"/>
        </w:rPr>
        <w:t>项。</w:t>
      </w:r>
    </w:p>
    <w:p w14:paraId="75F4B689">
      <w:pPr>
        <w:pStyle w:val="17"/>
        <w:widowControl/>
        <w:spacing w:before="75" w:beforeAutospacing="0" w:after="75" w:afterAutospacing="0" w:line="435" w:lineRule="atLeast"/>
        <w:jc w:val="center"/>
        <w:rPr>
          <w:rFonts w:ascii="宋体" w:hAnsi="宋体" w:cs="宋体"/>
          <w:color w:val="auto"/>
          <w:highlight w:val="none"/>
        </w:rPr>
      </w:pPr>
      <w:r>
        <w:rPr>
          <w:rFonts w:hint="eastAsia" w:ascii="宋体" w:hAnsi="宋体" w:cs="宋体"/>
          <w:color w:val="auto"/>
          <w:highlight w:val="none"/>
        </w:rPr>
        <w:t> </w:t>
      </w:r>
    </w:p>
    <w:p w14:paraId="512EBEBE">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三、响应文件编制</w:t>
      </w:r>
    </w:p>
    <w:p w14:paraId="0389070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2DF41677">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7.应标要求</w:t>
      </w:r>
    </w:p>
    <w:p w14:paraId="3907503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7.1供应商可按照合同包号，对竞争性磋商文件中载明的全部或部分合同包进行响应。对于能够详细列明采购标的技术、服务要求的采购项目，供应商响应时，对同一个合同包内所有的采购内容和要求必须进行完整响应，否则其相应合同包的响应文件将被否决。</w:t>
      </w:r>
    </w:p>
    <w:p w14:paraId="2944048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7.2供应商代表在同一个合同项下只能接受一个供应商的委托参加响应磋商，否则其响应文件将被否决。</w:t>
      </w:r>
    </w:p>
    <w:p w14:paraId="4095356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7.3供应商应仔细阅读磋商文件的所有内容和要求，按磋商文件的规定提供响应文件，并对其所提供的全部资料、承诺和声明的真实性、合法性和准确性负责。</w:t>
      </w:r>
    </w:p>
    <w:p w14:paraId="2DD6D92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7.4除非竞争性磋商须知前附表另有规定外，供应商提供的响应文件应使用中文文本，若有不同文字文本，以中文文本为准。</w:t>
      </w:r>
    </w:p>
    <w:p w14:paraId="1F1BC0A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1780A0F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7.6除非竞争性磋商须知前附表另有规定外，供应商承诺的报价应以人民币进行报价，合同实施结算时亦以人民币支付；所有计量均采用中华人民共和国法定计量单位。</w:t>
      </w:r>
    </w:p>
    <w:p w14:paraId="00D3AC18">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8.首次响应文件的组成：</w:t>
      </w:r>
    </w:p>
    <w:p w14:paraId="24F97CA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8.1首次响应文件包括但不限于下列部分：</w:t>
      </w:r>
    </w:p>
    <w:p w14:paraId="27F27503">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（1）响应函</w:t>
      </w:r>
    </w:p>
    <w:p w14:paraId="3D5275B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（2）报价一览表（含详细报价书）</w:t>
      </w:r>
    </w:p>
    <w:p w14:paraId="2D997BB5">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（3）资格证明文件</w:t>
      </w:r>
    </w:p>
    <w:p w14:paraId="29D0F4B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（4）磋商保证金凭证</w:t>
      </w:r>
    </w:p>
    <w:p w14:paraId="41015AE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（5）技术和商务偏离表</w:t>
      </w:r>
    </w:p>
    <w:p w14:paraId="7E22227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（6）相关技术、商务、服务响应承诺及资料</w:t>
      </w:r>
    </w:p>
    <w:p w14:paraId="0A578DD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（7）供应商提交的其他资料</w:t>
      </w:r>
    </w:p>
    <w:p w14:paraId="1C81FAE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（8）要求作为响应文件组成部分的其他内容（若有）</w:t>
      </w:r>
    </w:p>
    <w:p w14:paraId="49AF2F67">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9.响应文件有效期：</w:t>
      </w:r>
    </w:p>
    <w:p w14:paraId="29BC3E7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9.1响应文件有效期见竞争性磋商须知前附表第</w:t>
      </w:r>
      <w:r>
        <w:rPr>
          <w:rFonts w:hint="eastAsia" w:ascii="宋体" w:hAnsi="宋体" w:cs="宋体"/>
          <w:color w:val="auto"/>
          <w:highlight w:val="none"/>
          <w:u w:val="single"/>
        </w:rPr>
        <w:t>4</w:t>
      </w:r>
      <w:r>
        <w:rPr>
          <w:rFonts w:hint="eastAsia" w:ascii="宋体" w:hAnsi="宋体" w:cs="宋体"/>
          <w:color w:val="auto"/>
          <w:highlight w:val="none"/>
        </w:rPr>
        <w:t>项，响应文件承诺的有效期不得少于磋商文件载明的有效期，</w:t>
      </w:r>
      <w:r>
        <w:rPr>
          <w:rStyle w:val="23"/>
          <w:rFonts w:hint="eastAsia" w:ascii="宋体" w:hAnsi="宋体" w:cs="宋体"/>
          <w:bCs/>
          <w:color w:val="auto"/>
          <w:highlight w:val="none"/>
        </w:rPr>
        <w:t>否则其响应文件将被否决。</w:t>
      </w:r>
    </w:p>
    <w:p w14:paraId="43DEF6E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9.2特殊情况下采购人可于响应文件有效期满之前要求供应商同意延长有效期，要求与答复均应为书面形式。供应商可以拒绝延长有效期，且其磋商保证金可以退还，但其供应商资格将被取消。同意延长有效期的供应商，不需要也不允许修改其响应文件及磋商承诺，但将要求其相应延长磋商保证金有效期，有关退还和不予退还磋商保证金的规定在有效期延长期内继续有效。</w:t>
      </w:r>
    </w:p>
    <w:p w14:paraId="0B2DE7B3">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10.磋商保证金：</w:t>
      </w:r>
    </w:p>
    <w:p w14:paraId="6FB8803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10.1供应商应在参加竞争性磋商之前按竞争性磋商须知前附表第</w:t>
      </w:r>
      <w:r>
        <w:rPr>
          <w:rFonts w:hint="eastAsia" w:ascii="宋体" w:hAnsi="宋体" w:cs="宋体"/>
          <w:color w:val="auto"/>
          <w:highlight w:val="none"/>
          <w:u w:val="single"/>
        </w:rPr>
        <w:t>5</w:t>
      </w:r>
      <w:r>
        <w:rPr>
          <w:rFonts w:hint="eastAsia" w:ascii="宋体" w:hAnsi="宋体" w:cs="宋体"/>
          <w:color w:val="auto"/>
          <w:highlight w:val="none"/>
        </w:rPr>
        <w:t>项规定的金额、形式等要求提交磋商保证金。磋商文件若接受联合体形式且供应商为联合体的，则可以由联合体中的牵头方提交磋商保证金，其提交的磋商保证金对联合体各方均具有约束力。</w:t>
      </w:r>
    </w:p>
    <w:p w14:paraId="2BACEAF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10.2磋商保证金为响应文件的重要组成部分之一。磋商保证金用于保护本次磋商活动免受供应商的违约或失信行为而引起的风险。未按规定提交磋商保证金的，</w:t>
      </w:r>
      <w:r>
        <w:rPr>
          <w:rStyle w:val="23"/>
          <w:rFonts w:hint="eastAsia" w:ascii="宋体" w:hAnsi="宋体" w:cs="宋体"/>
          <w:bCs/>
          <w:color w:val="auto"/>
          <w:highlight w:val="none"/>
        </w:rPr>
        <w:t>其响应文件将被否决。</w:t>
      </w:r>
    </w:p>
    <w:p w14:paraId="6363266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10.3磋商保证金退还：</w:t>
      </w:r>
    </w:p>
    <w:p w14:paraId="2FE7F57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10.3.1采购人或者采购代理机构将在采购活动结束后及时退还供应商的保证金，但因供应商自身原因导致无法及时退还的除外（比如：采购人委托代理机构组织磋商采购，成交的供应商未向采购代理机构出具已签订合同证明材料，造成磋商保证金退还时间延误的结果，由成交的供应商自行承担和谅解等）。未成交供应商的保证金将在成交通知书发出后5个工作日内退还，成交供应商的保证金将在采购合同签订后5个工作日内退还。关于磋商保证金退还的其它要求见竞争性磋商须知前附表第</w:t>
      </w:r>
      <w:r>
        <w:rPr>
          <w:rFonts w:hint="eastAsia" w:ascii="宋体" w:hAnsi="宋体" w:cs="宋体"/>
          <w:color w:val="auto"/>
          <w:highlight w:val="none"/>
          <w:u w:val="single"/>
        </w:rPr>
        <w:t>6</w:t>
      </w:r>
      <w:r>
        <w:rPr>
          <w:rFonts w:hint="eastAsia" w:ascii="宋体" w:hAnsi="宋体" w:cs="宋体"/>
          <w:color w:val="auto"/>
          <w:highlight w:val="none"/>
        </w:rPr>
        <w:t>项。</w:t>
      </w:r>
    </w:p>
    <w:p w14:paraId="6C99DD5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10.3.2质疑或投诉涉及的供应商，若其磋商保证金尚未退还，则待质疑或投诉处理完毕后，且没有发生法律法规或者磋商文件规定的不予退还磋商保证金情形，则由采购人或采购代理机构给予及时退还。</w:t>
      </w:r>
    </w:p>
    <w:p w14:paraId="599312E8">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10.4如果供应商发生以下任何一种情况时，其磋商保证金将被不予退还：</w:t>
      </w:r>
    </w:p>
    <w:p w14:paraId="7807016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(1)供应商在提交响应文件截止时间后撤回响应文件的；</w:t>
      </w:r>
    </w:p>
    <w:p w14:paraId="63795E0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(2)供应商在响应文件中提供虚假材料的；</w:t>
      </w:r>
    </w:p>
    <w:p w14:paraId="4F12AFF9">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(3)除因不可抗力或磋商文件认可的情形以外，成交供应商不与采购人签订合同的；</w:t>
      </w:r>
    </w:p>
    <w:p w14:paraId="76DBFB03">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(4)供应商与采购人、其他供应商或者采购代理机构恶意串通的；</w:t>
      </w:r>
    </w:p>
    <w:p w14:paraId="7E0E2F1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(5)供应商在提交最后报价后要求退出磋商的；</w:t>
      </w:r>
    </w:p>
    <w:p w14:paraId="796E7CE3">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(6)供应商假借以他人名义参加磋商或者以其他方式弄虚作假，骗取成交；</w:t>
      </w:r>
    </w:p>
    <w:p w14:paraId="1C1C1F6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(7)国家法律法规以及磋商文件中规定的其他磋商保证金不予退还的情形。</w:t>
      </w:r>
    </w:p>
    <w:p w14:paraId="7DDB77B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上述不予退还磋商保证金的情况不能抵偿给采购人或采购代理机构造成损失的，供应商还要承担赔偿责任。</w:t>
      </w:r>
    </w:p>
    <w:p w14:paraId="07B74451">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11.响应文件基本编制要求：</w:t>
      </w:r>
    </w:p>
    <w:p w14:paraId="1468D84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11.1供应商须编制由本须知规定组成的响应文件正副本份数详见竞争性磋商须知前附表第</w:t>
      </w:r>
      <w:r>
        <w:rPr>
          <w:rFonts w:hint="eastAsia" w:ascii="宋体" w:hAnsi="宋体" w:cs="宋体"/>
          <w:color w:val="auto"/>
          <w:highlight w:val="none"/>
          <w:u w:val="single"/>
        </w:rPr>
        <w:t>7</w:t>
      </w:r>
      <w:r>
        <w:rPr>
          <w:rFonts w:hint="eastAsia" w:ascii="宋体" w:hAnsi="宋体" w:cs="宋体"/>
          <w:color w:val="auto"/>
          <w:highlight w:val="none"/>
        </w:rPr>
        <w:t>项。响应文件正本和全部副本均应使用不能擦去的墨料或墨水打印、书写或复印，副本可以用正本的完整复印件。响应文件封面上应标明“正本”、“副本”字样。正本与副本内容如有不一致，则以正本为准。</w:t>
      </w:r>
    </w:p>
    <w:p w14:paraId="7280A6C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11.2响应文件应由供应商代表签字并加盖公章。供应商代表如果不是竞争性磋商须知中定义的“单位负责人”，则其响应文件中还必须提供“单位负责人授权书”。</w:t>
      </w:r>
    </w:p>
    <w:p w14:paraId="561102B7">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11.3响应文件应尽量避免涂改、行间插字或删除。如果出现上述情况，改动之处应加盖供应商单位公章或由供应商代表签字确认。</w:t>
      </w:r>
    </w:p>
    <w:p w14:paraId="58E2124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11.4供应商应提交证明其拟提供货物、服务或工程符合磋商文件要求的技术和商务响应文件，该文件可以是文字资料、图纸和数据，并对拟提供的货物、服务或工程的主要内容进行详细描述。</w:t>
      </w:r>
    </w:p>
    <w:p w14:paraId="58530E58">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12.纸质响应文件的密封、标识、签署和提交（除磋商文件相应章节已有规定之外。）</w:t>
      </w:r>
    </w:p>
    <w:p w14:paraId="3030837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12.1供应商应当将响应文件密封包装提交，并在外封套上标识项目名称、项目编号、供应商单位名称以及“于 </w:t>
      </w:r>
      <w:r>
        <w:rPr>
          <w:rFonts w:hint="eastAsia" w:ascii="宋体" w:hAnsi="宋体" w:cs="宋体"/>
          <w:color w:val="auto"/>
          <w:highlight w:val="none"/>
          <w:u w:val="single"/>
        </w:rPr>
        <w:t>        </w:t>
      </w:r>
      <w:r>
        <w:rPr>
          <w:rFonts w:hint="eastAsia" w:ascii="宋体" w:hAnsi="宋体" w:cs="宋体"/>
          <w:color w:val="auto"/>
          <w:highlight w:val="none"/>
        </w:rPr>
        <w:t>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35690C7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12.2供应商应当在磋商文件规定的提交响应文件截止时间前，将首次响应文件密封送达磋商文件规定的指定地点。在截止时间后送达的首次响应文件为无效文件，采购人、采购代理机构或者磋商小组将不予接收。</w:t>
      </w:r>
    </w:p>
    <w:p w14:paraId="666E85C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12.3供应商在首次响应文件递交截止时间前，可以对其所提交的响应文件进行补充、修改或者撤回，并书面通知采购人、采购代理机构或磋商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磋商须知中定义的“单位负责人”，则还必须提供“单位负责人授权书”），或者加盖供应商单位公章方可生效，否则采购人、采购代理机构或磋商小组将视为无效补充、修改或者撤回。采购人、采购代理机构或磋商小组不接受供应商口头、电话、传真或电子邮件形式提交的补充、修改或者撤回。</w:t>
      </w:r>
    </w:p>
    <w:p w14:paraId="7E919A22">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12.4供应商在磋商过程中根据磋商小组要求，提交的有关澄清、说明、补充、更正响应文件以及最后报价响应文件等资料，均应由供应商代表签署（供应商代表如果不是竞争性磋商须知中定义的“单位负责人”，则还必须提供“单位负责人授权书”），或者加盖供应商单位公章。</w:t>
      </w:r>
    </w:p>
    <w:p w14:paraId="580799A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12.5除《政府采购竞争性磋商采购方式管理暂行办法》等相关法律法规及财政部门颁布的规范性文件允许的两家供应商进行竞争性磋商采购情形外，首次响应文件递交截止时间后，提交响应文件的供应商不足三家的，本次竞争性磋商活动终止，除采购任务取消情形外，采购人将依法重新组织采购或者采取其他方式采购。</w:t>
      </w:r>
    </w:p>
    <w:p w14:paraId="7E8CE12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432200EB">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四、竞争性磋商</w:t>
      </w:r>
    </w:p>
    <w:p w14:paraId="4936E59E">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 </w:t>
      </w:r>
    </w:p>
    <w:p w14:paraId="787A8F95">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13.评审和磋商基本准则</w:t>
      </w:r>
    </w:p>
    <w:p w14:paraId="6887C96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13.1对所有供应商的评审和磋商，都采用相同的程序和标准。</w:t>
      </w:r>
    </w:p>
    <w:p w14:paraId="5BB36EB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13.2磋商及评审过程将严格按照磋商文件的要求和条件进行，磋商小组将根据供应商的响应文件，按磋商文件规定的磋商程序及评审的标准和方法进行评审、磋商，并推荐成交候选人。</w:t>
      </w:r>
    </w:p>
    <w:p w14:paraId="12BD995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14.磋商程序以及评审标准和方法</w:t>
      </w:r>
    </w:p>
    <w:p w14:paraId="7C9038D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14.1采购人将根据项目的特点依法组建磋商小组。磋商小组将根据磋商文件规定的程序、评审标准和方法等内容对供应商进行评审、磋商。</w:t>
      </w:r>
    </w:p>
    <w:p w14:paraId="004914C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14.2 在进入磋商阶段之前，磋商小组将对供应商提交的首次响应文件中资格证明文件以及其他响应文件是否对磋商文件的要求作出实质性响应进行审查。如果供应商资格审查和实质性响应审查不合格，则其响应文件将被磋商小组否决，按无效处理，不进入磋商阶段，磋商小组将告知有关供应商。</w:t>
      </w:r>
    </w:p>
    <w:p w14:paraId="4D13466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14.2.1供应商有下列情况之一者，其提交的响应文件将被视为未实质性响应磋商文件要求，磋商小组将否决其响应文件，按无效处理：</w:t>
      </w:r>
    </w:p>
    <w:p w14:paraId="398AEA3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(1)响应文件中提供的资格证明文件不全的；</w:t>
      </w:r>
    </w:p>
    <w:p w14:paraId="42FAD36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(2)响应文件未按磋商文件规定由供应商代表签字，或未按磋商文件规定加盖供应商单位公章的；或供应商代表未获得有效授权的；</w:t>
      </w:r>
    </w:p>
    <w:p w14:paraId="76785B9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(3)供应商未按磋商文件规定提交磋商保证金的；</w:t>
      </w:r>
    </w:p>
    <w:p w14:paraId="0D54D4D9">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(4)响应文件有效期不满足磋商文件要求的；</w:t>
      </w:r>
    </w:p>
    <w:p w14:paraId="517F529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(5)响应内容与磋商采购内容及要求有重大偏离或保留的，限制了采购人的权利或者减少成交供应商合同项下的义务；（由于磋商项目本身特点，不能详细列明采购标的的技术、服务要求的除外）；</w:t>
      </w:r>
    </w:p>
    <w:p w14:paraId="32E9398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(6)响应文件中附有采购人无法接受的条件的；</w:t>
      </w:r>
    </w:p>
    <w:p w14:paraId="0C33B62C">
      <w:pPr>
        <w:pStyle w:val="17"/>
        <w:widowControl/>
        <w:spacing w:before="75" w:beforeAutospacing="0" w:after="75" w:afterAutospacing="0" w:line="435" w:lineRule="atLeast"/>
        <w:ind w:firstLine="480"/>
        <w:rPr>
          <w:rFonts w:ascii="宋体" w:hAnsi="宋体" w:cs="宋体"/>
          <w:color w:val="auto"/>
          <w:highlight w:val="none"/>
        </w:rPr>
      </w:pPr>
      <w:r>
        <w:rPr>
          <w:rFonts w:hint="eastAsia" w:ascii="宋体" w:hAnsi="宋体" w:cs="宋体"/>
          <w:color w:val="auto"/>
          <w:highlight w:val="none"/>
        </w:rPr>
        <w:t>(7)不符合磋商文件中规定的其它实质性条款（比如：报价超过了磋商文件规定的最高限价）。</w:t>
      </w:r>
    </w:p>
    <w:p w14:paraId="2218E862">
      <w:pPr>
        <w:pStyle w:val="17"/>
        <w:widowControl/>
        <w:spacing w:before="75" w:beforeAutospacing="0" w:after="75" w:afterAutospacing="0" w:line="435" w:lineRule="atLeast"/>
        <w:ind w:firstLine="480"/>
        <w:rPr>
          <w:rFonts w:ascii="宋体" w:hAnsi="宋体" w:cs="宋体"/>
          <w:color w:val="auto"/>
          <w:highlight w:val="none"/>
        </w:rPr>
      </w:pPr>
      <w:r>
        <w:rPr>
          <w:rFonts w:hint="eastAsia" w:ascii="宋体" w:hAnsi="宋体" w:cs="宋体"/>
          <w:color w:val="auto"/>
          <w:highlight w:val="none"/>
        </w:rPr>
        <w:t>14.2.2其他情形</w:t>
      </w:r>
    </w:p>
    <w:p w14:paraId="7FDBE82F">
      <w:pPr>
        <w:pStyle w:val="17"/>
        <w:widowControl/>
        <w:spacing w:before="75" w:beforeAutospacing="0" w:after="75" w:afterAutospacing="0" w:line="435" w:lineRule="atLeast"/>
        <w:ind w:firstLine="480"/>
        <w:rPr>
          <w:rFonts w:ascii="宋体" w:hAnsi="宋体" w:cs="宋体"/>
          <w:color w:val="auto"/>
          <w:highlight w:val="none"/>
        </w:rPr>
      </w:pPr>
      <w:bookmarkStart w:id="6" w:name="OLE_LINK6"/>
      <w:r>
        <w:rPr>
          <w:rFonts w:hint="eastAsia" w:ascii="宋体" w:hAnsi="宋体" w:cs="宋体"/>
          <w:color w:val="auto"/>
          <w:highlight w:val="none"/>
        </w:rPr>
        <w:t>包：1</w:t>
      </w:r>
    </w:p>
    <w:p w14:paraId="4434A96E">
      <w:pPr>
        <w:pStyle w:val="17"/>
        <w:widowControl/>
        <w:spacing w:before="75" w:beforeAutospacing="0" w:after="75" w:afterAutospacing="0" w:line="435" w:lineRule="atLeast"/>
        <w:ind w:firstLine="480"/>
        <w:rPr>
          <w:rFonts w:ascii="宋体" w:hAnsi="宋体" w:cs="宋体"/>
          <w:color w:val="auto"/>
          <w:highlight w:val="none"/>
        </w:rPr>
      </w:pPr>
      <w:r>
        <w:rPr>
          <w:rFonts w:hint="eastAsia" w:ascii="宋体" w:hAnsi="宋体" w:cs="宋体"/>
          <w:color w:val="auto"/>
          <w:highlight w:val="none"/>
        </w:rPr>
        <w:t>包一般情形</w:t>
      </w:r>
    </w:p>
    <w:p w14:paraId="7D3DA9AE">
      <w:pPr>
        <w:pStyle w:val="17"/>
        <w:widowControl/>
        <w:spacing w:before="75" w:beforeAutospacing="0" w:after="75" w:afterAutospacing="0" w:line="435" w:lineRule="atLeast"/>
        <w:ind w:firstLine="480"/>
        <w:rPr>
          <w:color w:val="auto"/>
          <w:highlight w:val="none"/>
        </w:rPr>
      </w:pPr>
      <w:r>
        <w:rPr>
          <w:rStyle w:val="23"/>
          <w:bCs/>
          <w:color w:val="auto"/>
          <w:highlight w:val="none"/>
        </w:rPr>
        <w:t>         无</w:t>
      </w:r>
    </w:p>
    <w:p w14:paraId="5460BA18">
      <w:pPr>
        <w:widowControl/>
        <w:jc w:val="left"/>
        <w:rPr>
          <w:rFonts w:ascii="宋体" w:hAnsi="宋体"/>
          <w:color w:val="auto"/>
          <w:kern w:val="0"/>
          <w:sz w:val="24"/>
          <w:highlight w:val="none"/>
        </w:rPr>
      </w:pPr>
    </w:p>
    <w:p w14:paraId="34541445">
      <w:pPr>
        <w:widowControl/>
        <w:jc w:val="left"/>
        <w:rPr>
          <w:color w:val="auto"/>
          <w:highlight w:val="none"/>
        </w:rPr>
      </w:pPr>
      <w:r>
        <w:rPr>
          <w:rFonts w:ascii="宋体" w:hAnsi="宋体"/>
          <w:color w:val="auto"/>
          <w:kern w:val="0"/>
          <w:sz w:val="24"/>
          <w:highlight w:val="none"/>
        </w:rPr>
        <w:t>技术符合性</w:t>
      </w:r>
    </w:p>
    <w:tbl>
      <w:tblPr>
        <w:tblStyle w:val="20"/>
        <w:tblW w:w="500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8"/>
      </w:tblGrid>
      <w:tr w14:paraId="399ED0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138F22B2">
            <w:pPr>
              <w:widowControl/>
              <w:jc w:val="left"/>
              <w:rPr>
                <w:b/>
                <w:bCs/>
                <w:color w:val="auto"/>
                <w:highlight w:val="none"/>
              </w:rPr>
            </w:pPr>
            <w:r>
              <w:rPr>
                <w:rFonts w:ascii="宋体" w:hAnsi="宋体"/>
                <w:b/>
                <w:bCs/>
                <w:color w:val="auto"/>
                <w:kern w:val="0"/>
                <w:sz w:val="24"/>
                <w:highlight w:val="none"/>
              </w:rPr>
              <w:t>明细</w:t>
            </w:r>
          </w:p>
        </w:tc>
      </w:tr>
      <w:tr w14:paraId="4B5D7F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43A9DA81">
            <w:pPr>
              <w:widowControl/>
              <w:jc w:val="left"/>
              <w:rPr>
                <w:color w:val="auto"/>
                <w:highlight w:val="none"/>
              </w:rPr>
            </w:pPr>
            <w:r>
              <w:rPr>
                <w:rFonts w:ascii="宋体" w:hAnsi="宋体"/>
                <w:color w:val="auto"/>
                <w:kern w:val="0"/>
                <w:sz w:val="24"/>
                <w:highlight w:val="none"/>
              </w:rPr>
              <w:t>技术部分“★”标示的内容存在负偏离。</w:t>
            </w:r>
          </w:p>
        </w:tc>
      </w:tr>
      <w:tr w14:paraId="327568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4731B056">
            <w:pPr>
              <w:widowControl/>
              <w:jc w:val="left"/>
              <w:rPr>
                <w:color w:val="auto"/>
                <w:highlight w:val="none"/>
              </w:rPr>
            </w:pPr>
            <w:r>
              <w:rPr>
                <w:rFonts w:ascii="宋体" w:hAnsi="宋体"/>
                <w:color w:val="auto"/>
                <w:kern w:val="0"/>
                <w:sz w:val="24"/>
                <w:highlight w:val="none"/>
              </w:rPr>
              <w:t>违反竞争性磋商文件中载明“响应无效”条款的规定。</w:t>
            </w:r>
          </w:p>
        </w:tc>
      </w:tr>
      <w:tr w14:paraId="614484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58201668">
            <w:pPr>
              <w:widowControl/>
              <w:jc w:val="left"/>
              <w:rPr>
                <w:color w:val="auto"/>
                <w:highlight w:val="none"/>
              </w:rPr>
            </w:pPr>
            <w:r>
              <w:rPr>
                <w:rFonts w:ascii="宋体" w:hAnsi="宋体"/>
                <w:color w:val="auto"/>
                <w:kern w:val="0"/>
                <w:sz w:val="24"/>
                <w:highlight w:val="none"/>
              </w:rPr>
              <w:t>属于竞争性磋商文件规定磋商小组应否决其响应的情形。</w:t>
            </w:r>
          </w:p>
        </w:tc>
      </w:tr>
    </w:tbl>
    <w:p w14:paraId="76FD7673">
      <w:pPr>
        <w:widowControl/>
        <w:jc w:val="left"/>
        <w:rPr>
          <w:rFonts w:ascii="宋体" w:hAnsi="宋体"/>
          <w:color w:val="auto"/>
          <w:kern w:val="0"/>
          <w:sz w:val="24"/>
          <w:highlight w:val="none"/>
        </w:rPr>
      </w:pPr>
    </w:p>
    <w:p w14:paraId="585E0062">
      <w:pPr>
        <w:widowControl/>
        <w:jc w:val="left"/>
        <w:rPr>
          <w:color w:val="auto"/>
          <w:highlight w:val="none"/>
        </w:rPr>
      </w:pPr>
      <w:r>
        <w:rPr>
          <w:rFonts w:ascii="宋体" w:hAnsi="宋体"/>
          <w:color w:val="auto"/>
          <w:kern w:val="0"/>
          <w:sz w:val="24"/>
          <w:highlight w:val="none"/>
        </w:rPr>
        <w:t>商务符合性</w:t>
      </w:r>
    </w:p>
    <w:tbl>
      <w:tblPr>
        <w:tblStyle w:val="2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62"/>
      </w:tblGrid>
      <w:tr w14:paraId="11F0B3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083B0434">
            <w:pPr>
              <w:widowControl/>
              <w:jc w:val="left"/>
              <w:rPr>
                <w:b/>
                <w:bCs/>
                <w:color w:val="auto"/>
                <w:highlight w:val="none"/>
              </w:rPr>
            </w:pPr>
            <w:r>
              <w:rPr>
                <w:rFonts w:ascii="宋体" w:hAnsi="宋体"/>
                <w:b/>
                <w:bCs/>
                <w:color w:val="auto"/>
                <w:kern w:val="0"/>
                <w:sz w:val="24"/>
                <w:highlight w:val="none"/>
              </w:rPr>
              <w:t>明细</w:t>
            </w:r>
          </w:p>
        </w:tc>
      </w:tr>
      <w:tr w14:paraId="7974B8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019397B4">
            <w:pPr>
              <w:widowControl/>
              <w:jc w:val="left"/>
              <w:rPr>
                <w:color w:val="auto"/>
                <w:highlight w:val="none"/>
              </w:rPr>
            </w:pPr>
            <w:r>
              <w:rPr>
                <w:rFonts w:ascii="宋体" w:hAnsi="宋体"/>
                <w:color w:val="auto"/>
                <w:kern w:val="0"/>
                <w:sz w:val="24"/>
                <w:highlight w:val="none"/>
              </w:rPr>
              <w:t>供应商未在竞争性磋商文件中完全响应竞争性磋商文件第三章采购内容及要求中第“三、商务条件”全部条款的。</w:t>
            </w:r>
          </w:p>
        </w:tc>
      </w:tr>
      <w:tr w14:paraId="351069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6CA407F8">
            <w:pPr>
              <w:widowControl/>
              <w:jc w:val="left"/>
              <w:rPr>
                <w:color w:val="auto"/>
                <w:highlight w:val="none"/>
              </w:rPr>
            </w:pPr>
            <w:r>
              <w:rPr>
                <w:rFonts w:ascii="宋体" w:hAnsi="宋体"/>
                <w:color w:val="auto"/>
                <w:kern w:val="0"/>
                <w:sz w:val="24"/>
                <w:highlight w:val="none"/>
              </w:rPr>
              <w:t>违反竞争性磋商文件中载明“响应无效”条款的规定。</w:t>
            </w:r>
          </w:p>
        </w:tc>
      </w:tr>
      <w:tr w14:paraId="1C540C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00D48F31">
            <w:pPr>
              <w:widowControl/>
              <w:jc w:val="left"/>
              <w:rPr>
                <w:color w:val="auto"/>
                <w:highlight w:val="none"/>
              </w:rPr>
            </w:pPr>
            <w:r>
              <w:rPr>
                <w:rFonts w:ascii="宋体" w:hAnsi="宋体"/>
                <w:color w:val="auto"/>
                <w:kern w:val="0"/>
                <w:sz w:val="24"/>
                <w:highlight w:val="none"/>
              </w:rPr>
              <w:t>属于竞争性磋商文件规定磋商小组应否决其响应的情形。</w:t>
            </w:r>
          </w:p>
        </w:tc>
      </w:tr>
    </w:tbl>
    <w:p w14:paraId="1DD4B280">
      <w:pPr>
        <w:widowControl/>
        <w:jc w:val="left"/>
        <w:rPr>
          <w:rFonts w:ascii="宋体" w:hAnsi="宋体"/>
          <w:color w:val="auto"/>
          <w:kern w:val="0"/>
          <w:sz w:val="24"/>
          <w:highlight w:val="none"/>
        </w:rPr>
      </w:pPr>
    </w:p>
    <w:p w14:paraId="50F01DC2">
      <w:pPr>
        <w:widowControl/>
        <w:jc w:val="left"/>
        <w:rPr>
          <w:rFonts w:ascii="宋体" w:hAnsi="宋体"/>
          <w:color w:val="auto"/>
          <w:kern w:val="0"/>
          <w:sz w:val="24"/>
          <w:highlight w:val="none"/>
        </w:rPr>
      </w:pPr>
      <w:r>
        <w:rPr>
          <w:rFonts w:ascii="宋体" w:hAnsi="宋体"/>
          <w:color w:val="auto"/>
          <w:kern w:val="0"/>
          <w:sz w:val="24"/>
          <w:highlight w:val="none"/>
        </w:rPr>
        <w:t>附加符合性</w:t>
      </w:r>
    </w:p>
    <w:p w14:paraId="72778FE2">
      <w:pPr>
        <w:widowControl/>
        <w:jc w:val="left"/>
        <w:rPr>
          <w:rStyle w:val="23"/>
          <w:rFonts w:ascii="宋体" w:hAnsi="宋体"/>
          <w:bCs/>
          <w:color w:val="auto"/>
          <w:kern w:val="0"/>
          <w:sz w:val="24"/>
          <w:highlight w:val="none"/>
        </w:rPr>
      </w:pPr>
      <w:r>
        <w:rPr>
          <w:rStyle w:val="23"/>
          <w:rFonts w:ascii="宋体" w:hAnsi="宋体"/>
          <w:bCs/>
          <w:color w:val="auto"/>
          <w:kern w:val="0"/>
          <w:sz w:val="24"/>
          <w:highlight w:val="none"/>
        </w:rPr>
        <w:t>         无</w:t>
      </w:r>
    </w:p>
    <w:p w14:paraId="3F7C430B">
      <w:pPr>
        <w:pStyle w:val="28"/>
        <w:rPr>
          <w:color w:val="auto"/>
          <w:highlight w:val="none"/>
        </w:rPr>
      </w:pPr>
    </w:p>
    <w:p w14:paraId="7ABB37D5">
      <w:pPr>
        <w:widowControl/>
        <w:jc w:val="left"/>
        <w:rPr>
          <w:rFonts w:ascii="宋体" w:hAnsi="宋体"/>
          <w:color w:val="auto"/>
          <w:highlight w:val="none"/>
        </w:rPr>
      </w:pPr>
      <w:r>
        <w:rPr>
          <w:rFonts w:ascii="宋体" w:hAnsi="宋体"/>
          <w:color w:val="auto"/>
          <w:kern w:val="0"/>
          <w:sz w:val="24"/>
          <w:highlight w:val="none"/>
        </w:rPr>
        <w:t>价格符合性</w:t>
      </w:r>
      <w:bookmarkEnd w:id="6"/>
    </w:p>
    <w:p w14:paraId="70533DA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xml:space="preserve">   磋商小组决定供应商的响应性只根据响应文件本身的内容，而不寻求其他的外部证据。</w:t>
      </w:r>
    </w:p>
    <w:p w14:paraId="17FFD26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14.3磋商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w:t>
      </w:r>
    </w:p>
    <w:p w14:paraId="0764A65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14.4只有资格审查和实质性响应审查合格的供应商才能进入磋商阶段。磋商小组所有成员将集中与单一供应商分别进行磋商，并给予所有参加磋商的合格供应商平等的磋商机会。磋商过程中，磋商小组可以根据磋商文件和磋商情况实质性变动采购需求中的技术、服务要求以及合同草案条款，但不得变动竞争性磋商文件中的其他内容。实质性变动的内容，须经采购人代表确认。磋商过程中对磋商文件作出的实质性变动是磋商文件的有效组成部分，磋商小组将及时以书面形式同时通知所有参加磋商的供应商。根据采购项目的特点和需要，在磋商过程中可能发生实质性变动的内容详见竞争性磋商须知前附表第</w:t>
      </w:r>
      <w:r>
        <w:rPr>
          <w:rFonts w:hint="eastAsia" w:ascii="宋体" w:hAnsi="宋体" w:cs="宋体"/>
          <w:color w:val="auto"/>
          <w:highlight w:val="none"/>
          <w:u w:val="single"/>
        </w:rPr>
        <w:t>8</w:t>
      </w:r>
      <w:r>
        <w:rPr>
          <w:rFonts w:hint="eastAsia" w:ascii="宋体" w:hAnsi="宋体" w:cs="宋体"/>
          <w:color w:val="auto"/>
          <w:highlight w:val="none"/>
        </w:rPr>
        <w:t>项。</w:t>
      </w:r>
    </w:p>
    <w:p w14:paraId="42CA806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14.5合格供应商应当按照磋商文件的变动情况和磋商小组的要求提交补充响应文件（首次响应文件中已经提交过的如资格证明文件等资料，不用重新提供），并由供应商代表签字或加盖供应商单位公章。供应商代表如果不是竞争性磋商须知中定义的“单位负责人”，则还必须提供“单位负责人授权书”。供应商为自然人的，应当由本人签字并附身份证明。</w:t>
      </w:r>
    </w:p>
    <w:p w14:paraId="08BE7A4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14.6磋商文件能够详细列明采购标的的技术、服务要求的，磋商结束后，磋商小组应当要求所有实质性响应的合格供应商在规定时间内提交最后报价。属于《政府采购竞争性磋商采购方式管理暂行办法》等相关法律法规及财政部门颁布的规范性文件允许的两家供应商进行竞争性磋商采购情形，则提交最后报价的供应商可以为2家。</w:t>
      </w:r>
    </w:p>
    <w:p w14:paraId="051728C3">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14.7磋商文件不能详细列明采购标的的技术、服务要求，需经磋商由供应商提供最终设计方案或解决方案的，磋商结束后，磋商小组应当按照少数服从多数的原则投票推荐3家及以上供应商的设计方案或者解决方案，具体推荐数量和投票细则等内容按照“竞争性磋商须知前附表”中专项附件：“评审的标准和方法”的相关条款规定执行，并要求其在规定时间内提交最后报价。属于《政府采购竞争性磋商采购方式管理暂行办法》等相关法律法规及财政部门颁布的规范性文件允许的两家供应商进行竞争性磋商采购情形，则提交最后报价的供应商可以为2家。</w:t>
      </w:r>
    </w:p>
    <w:p w14:paraId="4098EA11">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14.8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49E53C0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14.9磋商小组将采用综合评分法对提交最后报价的供应商的响应文件和最后报价进行综合评分，具体评审的标准和方法详见竞争性磋商须知前附表第9项。磋商小组根据综合评分情况，按照评审得分由高到低顺序推荐3名及以上成交候选供应商，并编写评审报告。属于《政府采购竞争性磋商采购方式管理暂行办法》等相关法律法规及财政部门颁布的规范性文件允许的两家供应商进行竞争性磋商采购情形，则可以按照评审得分由高到低顺序推荐2名成交候选供应商。如果成交候选供应商出现并列相同的评审得分，则相应处理方式按照“竞争性磋商须知前附表”中专项附件：“评审的标准和方法”的相关条款规定执行。</w:t>
      </w:r>
    </w:p>
    <w:p w14:paraId="4A8DBDB8">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14.10供应商提交的响应文件和资料将给予保密，但不退回（有关证件或证照的原件除外）。</w:t>
      </w:r>
    </w:p>
    <w:p w14:paraId="2D712647">
      <w:pPr>
        <w:pStyle w:val="17"/>
        <w:widowControl/>
        <w:spacing w:before="75" w:beforeAutospacing="0" w:after="75" w:afterAutospacing="0" w:line="435" w:lineRule="atLeast"/>
        <w:rPr>
          <w:color w:val="auto"/>
          <w:highlight w:val="none"/>
        </w:rPr>
      </w:pPr>
      <w:r>
        <w:rPr>
          <w:color w:val="auto"/>
          <w:highlight w:val="none"/>
        </w:rPr>
        <w:t> </w:t>
      </w:r>
    </w:p>
    <w:p w14:paraId="7A5BB21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47E3996D">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五、合同授予</w:t>
      </w:r>
    </w:p>
    <w:p w14:paraId="5322F0A3">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 </w:t>
      </w:r>
    </w:p>
    <w:p w14:paraId="06716D78">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15.授予合同的准则：</w:t>
      </w:r>
    </w:p>
    <w:p w14:paraId="4D68E0A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15.1除不可抗力等因素外，合同将授予响应文件符合竞争性磋商文件要求，能够圆满地履行合同，且被磋商小组推荐为第一成交候选人的供应商。</w:t>
      </w:r>
    </w:p>
    <w:p w14:paraId="598B5D3E">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C93737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15.3为维护国家利益和社会公共利益，最低报价不是被授予合同的绝对保证。</w:t>
      </w:r>
    </w:p>
    <w:p w14:paraId="1C0E96C2">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16.确定成交供应商：</w:t>
      </w:r>
    </w:p>
    <w:p w14:paraId="17ED837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16.1采购人委托代理机构组织竞争性磋商采购活动的，采购代理机构在评审结束后2个工作日内将评审报告送采购人确认。</w:t>
      </w:r>
    </w:p>
    <w:p w14:paraId="4A18A32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16.2采购人在收到评审报告后5个工作日内，从评审报告提出的成交候选人中，按照综合评分得分排序由高到低的原则确定成交供应商，也可以书面授权磋商小组直接确定成交供应商。采购人逾期未确定成交供应商且不提出异议的，视为确定评审报告提出的排序第一的供应商为成交供应商。</w:t>
      </w:r>
    </w:p>
    <w:p w14:paraId="03660CF0">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17.成交通知:</w:t>
      </w:r>
    </w:p>
    <w:p w14:paraId="68B6B55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77F7B38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32B33873">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18.签订合同：</w:t>
      </w:r>
    </w:p>
    <w:p w14:paraId="67F2667E">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18.1采购人与成交供应商应当自中标通知书发出之日起30个日历日内。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3713EEA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18.2竞争性磋商文件、成交供应商的响应文件及其有关澄清承诺文件等，均为签订政府采购合同的依据和组成部分。</w:t>
      </w:r>
    </w:p>
    <w:p w14:paraId="2E32C50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18.3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6AF198A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50B86B08">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六、询问、质疑与投诉</w:t>
      </w:r>
    </w:p>
    <w:p w14:paraId="6E09FD5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4D19B84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19.询问</w:t>
      </w:r>
    </w:p>
    <w:p w14:paraId="6436520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19.1潜在供应商或供应商对本次采购活动的有关事项若有疑问，可向采购人或采购代理机构提出询问，采购人或采购代理机构将按照政府采购法及实施条例的有关规定进行答复。</w:t>
      </w:r>
    </w:p>
    <w:p w14:paraId="68C9BEB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20.质疑</w:t>
      </w:r>
    </w:p>
    <w:p w14:paraId="00FEE83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20.1质疑应在政府采购法及实施条例规定的时效内提出，并符合下列条件：</w:t>
      </w:r>
    </w:p>
    <w:p w14:paraId="25A0499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20.1.1对磋商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14:paraId="24A2200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20.1.2质疑人应提交质疑函原件。</w:t>
      </w:r>
    </w:p>
    <w:p w14:paraId="0AF58E1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20.1.3质疑函应包括下列主要内容：</w:t>
      </w:r>
    </w:p>
    <w:p w14:paraId="18EBF651">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①质疑人的基本信息，至少包括：全称、地址、邮政编码、联系人及联系电话等；适合自然人参加磋商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177F505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②所质疑项目的基本信息，至少包括：项目编号、项目名称等；</w:t>
      </w:r>
    </w:p>
    <w:p w14:paraId="65D85C5C">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③所质疑的具体事项（以下简称：“质疑事项”）；</w:t>
      </w:r>
    </w:p>
    <w:p w14:paraId="3530011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④质疑人自身权益受到损害的事实依据和证明材料，至少包括：</w:t>
      </w:r>
    </w:p>
    <w:p w14:paraId="2368221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a1所质疑的具体事项事实存在的证明材料；</w:t>
      </w:r>
    </w:p>
    <w:p w14:paraId="6E4A716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a2所质疑的具体事项事实导致质疑人自身权益受到损害的证明材料，如：采购文件、采购过程或成交结果违法违规，损害自已合法权益等证明材料；</w:t>
      </w:r>
    </w:p>
    <w:p w14:paraId="114B91C3">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4E95CE01">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⑤针对质疑事项提出的明确请求和法律依据，</w:t>
      </w:r>
    </w:p>
    <w:p w14:paraId="6BD52ED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前述明确请求指质疑人提出质疑的目的、希望采购人或采购代理机构对其质疑作出的处理结果，如：暂停采购活动、修改磋商文件、停止或纠正违法违规行为、成交结果无效、废标、重新采购等，质疑人提出质疑请求还应当对相应的法律依据进行说明。</w:t>
      </w:r>
    </w:p>
    <w:p w14:paraId="4E35D1B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⑥提出质疑的日期以及质疑人代表联系方式，至少包括：姓名、手机、电子信箱、邮寄地址等。</w:t>
      </w:r>
    </w:p>
    <w:p w14:paraId="370EA12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20.2对不符合前文第20.1条规定的质疑，采购人或采购代理机构将按照下列规定进行处理：</w:t>
      </w:r>
    </w:p>
    <w:p w14:paraId="654CC095">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  20.2.1超过质疑时效提交的或者质疑人不是直接参与所质疑项目采购活动的供应商，书面告知质疑人其质疑不成立的原因和理由。</w:t>
      </w:r>
    </w:p>
    <w:p w14:paraId="019C918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35520E58">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20.2.3质疑人修改、补充质疑函超过质疑时效提交的按20.2.1款处理。供应商提交质疑函时，要认真阅读本章第20条关于质疑的相关规定，以免内容或资料不齐，需要修改补充而延误时间。</w:t>
      </w:r>
    </w:p>
    <w:p w14:paraId="44936E3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20.3对符合前文第20.1条规定的质疑，采购人或采购代理机构将按照政府采购法及实施条例的有关规定进行答复。</w:t>
      </w:r>
    </w:p>
    <w:p w14:paraId="263A82ED">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21.投诉</w:t>
      </w:r>
    </w:p>
    <w:p w14:paraId="61F371A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21.1若对质疑答复不满意或质疑答复未在答复期限内作出，质疑人可在答复期限届满之日起15个工作日内向磋商文件中载明的监督管理部门投诉。</w:t>
      </w:r>
    </w:p>
    <w:p w14:paraId="4AAF665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21.2投诉应有明确的请求和必要的证明材料，投诉的事项不得超出已质疑事项的范围。</w:t>
      </w:r>
    </w:p>
    <w:p w14:paraId="0922826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11BAD825">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七、有关信息公告和监督部门</w:t>
      </w:r>
    </w:p>
    <w:p w14:paraId="507B5461">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 </w:t>
      </w:r>
    </w:p>
    <w:p w14:paraId="5C7B06F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22.政府采购信息公告媒体</w:t>
      </w:r>
    </w:p>
    <w:p w14:paraId="6ED5239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22.1本项目的有关信息，包括但不限于采购公告、更正公告（若有）、磋商文件、磋商文件的澄清或修改（若有）、成交公告、终止公告（若有）、废标公告（若有）等都将在磋商文件载明的指定媒体发布。潜在供应商或供应商务必随时关注，以免遗漏。</w:t>
      </w:r>
    </w:p>
    <w:p w14:paraId="2022B1E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22.2信息公告指定媒体：详见竞争性磋商须知前附表第</w:t>
      </w:r>
      <w:r>
        <w:rPr>
          <w:rFonts w:hint="eastAsia" w:ascii="宋体" w:hAnsi="宋体" w:cs="宋体"/>
          <w:color w:val="auto"/>
          <w:highlight w:val="none"/>
          <w:u w:val="single"/>
        </w:rPr>
        <w:t>11</w:t>
      </w:r>
      <w:r>
        <w:rPr>
          <w:rFonts w:hint="eastAsia" w:ascii="宋体" w:hAnsi="宋体" w:cs="宋体"/>
          <w:color w:val="auto"/>
          <w:highlight w:val="none"/>
        </w:rPr>
        <w:t>项。</w:t>
      </w:r>
    </w:p>
    <w:p w14:paraId="311937FF">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23.监督管理部门</w:t>
      </w:r>
    </w:p>
    <w:p w14:paraId="09E8137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23.1磋商采购活动的监督管理部门详见竞争性磋商须知前附表第</w:t>
      </w:r>
      <w:r>
        <w:rPr>
          <w:rFonts w:hint="eastAsia" w:ascii="宋体" w:hAnsi="宋体" w:cs="宋体"/>
          <w:color w:val="auto"/>
          <w:highlight w:val="none"/>
          <w:u w:val="single"/>
        </w:rPr>
        <w:t>12</w:t>
      </w:r>
      <w:r>
        <w:rPr>
          <w:rFonts w:hint="eastAsia" w:ascii="宋体" w:hAnsi="宋体" w:cs="宋体"/>
          <w:color w:val="auto"/>
          <w:highlight w:val="none"/>
        </w:rPr>
        <w:t>项。</w:t>
      </w:r>
    </w:p>
    <w:p w14:paraId="73DC40B9">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 </w:t>
      </w:r>
    </w:p>
    <w:p w14:paraId="6FD60052">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八、根据采购项目特点或政策需要补充的其他内容</w:t>
      </w:r>
    </w:p>
    <w:p w14:paraId="5265324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645AB268">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24.履约保证金</w:t>
      </w:r>
    </w:p>
    <w:p w14:paraId="6963CE1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24.1采购人可以根据项目特点和需要，确定是否要求成交供应商在合同签订前，按照磋商文件规定的时间、形式、金额提交履约保证金，履约保证金的数额不超过中标合同金额的10%，具体详见磋商须知前附表第</w:t>
      </w:r>
      <w:r>
        <w:rPr>
          <w:rFonts w:hint="eastAsia" w:ascii="宋体" w:hAnsi="宋体" w:cs="宋体"/>
          <w:color w:val="auto"/>
          <w:highlight w:val="none"/>
          <w:u w:val="single"/>
        </w:rPr>
        <w:t>13</w:t>
      </w:r>
      <w:r>
        <w:rPr>
          <w:rFonts w:hint="eastAsia" w:ascii="宋体" w:hAnsi="宋体" w:cs="宋体"/>
          <w:color w:val="auto"/>
          <w:highlight w:val="none"/>
        </w:rPr>
        <w:t>项规定。</w:t>
      </w:r>
    </w:p>
    <w:p w14:paraId="2F67AF98">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24.2磋商文件要求在合同签订前提交履约保证金，如果成交供应商无故拖延或者拒不提交履约保证金的，则视为成交供应商拒绝与采购人签订合同，该成交供应商将承担违法行为的法律责任。</w:t>
      </w:r>
    </w:p>
    <w:p w14:paraId="4A6CDC9D">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25.其他新增内容：</w:t>
      </w:r>
    </w:p>
    <w:p w14:paraId="2CB18B9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根据采购项目特点或政策需要补充的其他新增内容详见竞争性磋商须知前附表第</w:t>
      </w:r>
      <w:r>
        <w:rPr>
          <w:rFonts w:hint="eastAsia" w:ascii="宋体" w:hAnsi="宋体" w:cs="宋体"/>
          <w:color w:val="auto"/>
          <w:highlight w:val="none"/>
          <w:u w:val="single"/>
        </w:rPr>
        <w:t>14</w:t>
      </w:r>
      <w:r>
        <w:rPr>
          <w:rFonts w:hint="eastAsia" w:ascii="宋体" w:hAnsi="宋体" w:cs="宋体"/>
          <w:color w:val="auto"/>
          <w:highlight w:val="none"/>
        </w:rPr>
        <w:t>项。</w:t>
      </w:r>
    </w:p>
    <w:p w14:paraId="61F81605">
      <w:pPr>
        <w:rPr>
          <w:rStyle w:val="23"/>
          <w:rFonts w:ascii="宋体" w:hAnsi="宋体"/>
          <w:bCs/>
          <w:color w:val="auto"/>
          <w:sz w:val="36"/>
          <w:szCs w:val="36"/>
          <w:highlight w:val="none"/>
        </w:rPr>
      </w:pPr>
      <w:r>
        <w:rPr>
          <w:rStyle w:val="23"/>
          <w:rFonts w:hint="eastAsia" w:ascii="宋体" w:hAnsi="宋体"/>
          <w:bCs/>
          <w:color w:val="auto"/>
          <w:sz w:val="36"/>
          <w:szCs w:val="36"/>
          <w:highlight w:val="none"/>
        </w:rPr>
        <w:br w:type="page"/>
      </w:r>
    </w:p>
    <w:p w14:paraId="661E7539">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第三章  采购内容及要求</w:t>
      </w:r>
    </w:p>
    <w:p w14:paraId="4E941430">
      <w:pPr>
        <w:spacing w:beforeLines="50" w:afterLines="50" w:line="380" w:lineRule="exact"/>
        <w:rPr>
          <w:rFonts w:ascii="宋体" w:hAnsi="宋体"/>
          <w:b/>
          <w:color w:val="auto"/>
          <w:sz w:val="24"/>
          <w:highlight w:val="none"/>
        </w:rPr>
      </w:pPr>
      <w:bookmarkStart w:id="7" w:name="_Toc327728703"/>
      <w:r>
        <w:rPr>
          <w:rFonts w:hint="eastAsia" w:ascii="宋体" w:hAnsi="宋体"/>
          <w:color w:val="auto"/>
          <w:sz w:val="24"/>
          <w:highlight w:val="none"/>
        </w:rPr>
        <w:t>一、</w:t>
      </w:r>
      <w:r>
        <w:rPr>
          <w:rFonts w:hint="eastAsia" w:ascii="宋体" w:hAnsi="宋体"/>
          <w:b/>
          <w:color w:val="auto"/>
          <w:sz w:val="24"/>
          <w:highlight w:val="none"/>
        </w:rPr>
        <w:t>项目概述</w:t>
      </w:r>
      <w:bookmarkEnd w:id="7"/>
      <w:bookmarkStart w:id="8" w:name="OLE_LINK7"/>
    </w:p>
    <w:p w14:paraId="58737A68">
      <w:pPr>
        <w:spacing w:line="360" w:lineRule="auto"/>
        <w:ind w:firstLine="480" w:firstLineChars="200"/>
        <w:rPr>
          <w:rFonts w:hint="eastAsia" w:ascii="宋体" w:hAnsi="宋体" w:eastAsia="宋体"/>
          <w:color w:val="auto"/>
          <w:sz w:val="24"/>
          <w:highlight w:val="none"/>
          <w:u w:val="single"/>
          <w:lang w:eastAsia="zh-CN"/>
        </w:rPr>
      </w:pPr>
      <w:r>
        <w:rPr>
          <w:rFonts w:hint="eastAsia" w:ascii="宋体" w:hAnsi="宋体"/>
          <w:color w:val="auto"/>
          <w:sz w:val="24"/>
          <w:highlight w:val="none"/>
        </w:rPr>
        <w:t>1、项目名称：</w:t>
      </w:r>
      <w:r>
        <w:rPr>
          <w:rFonts w:hint="eastAsia" w:ascii="宋体" w:hAnsi="宋体"/>
          <w:color w:val="auto"/>
          <w:sz w:val="24"/>
          <w:highlight w:val="none"/>
          <w:lang w:eastAsia="zh-CN"/>
        </w:rPr>
        <w:t>福州机场出入境边防检查站执法办案管理中心改造工程</w:t>
      </w:r>
    </w:p>
    <w:p w14:paraId="659870F5">
      <w:pPr>
        <w:tabs>
          <w:tab w:val="left" w:pos="312"/>
        </w:tabs>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u w:val="single"/>
        </w:rPr>
        <w:t>2、报价要求</w:t>
      </w:r>
    </w:p>
    <w:p w14:paraId="591CFB64">
      <w:pPr>
        <w:pStyle w:val="19"/>
        <w:ind w:left="0" w:leftChars="0" w:firstLine="482"/>
        <w:rPr>
          <w:rFonts w:hint="eastAsia" w:ascii="宋体" w:hAnsi="宋体" w:cs="Times New Roman"/>
          <w:b/>
          <w:color w:val="auto"/>
          <w:sz w:val="24"/>
          <w:highlight w:val="none"/>
        </w:rPr>
      </w:pPr>
      <w:r>
        <w:rPr>
          <w:rFonts w:hint="eastAsia" w:ascii="宋体" w:hAnsi="宋体" w:cs="Times New Roman"/>
          <w:b/>
          <w:color w:val="auto"/>
          <w:sz w:val="24"/>
          <w:highlight w:val="none"/>
        </w:rPr>
        <w:t>本项目供应商</w:t>
      </w:r>
      <w:r>
        <w:rPr>
          <w:rFonts w:hint="eastAsia" w:ascii="宋体" w:hAnsi="宋体" w:cs="Times New Roman"/>
          <w:b/>
          <w:color w:val="auto"/>
          <w:sz w:val="24"/>
          <w:highlight w:val="none"/>
          <w:lang w:val="en-US" w:eastAsia="zh-CN"/>
        </w:rPr>
        <w:t>须在响应文件中</w:t>
      </w:r>
      <w:r>
        <w:rPr>
          <w:rFonts w:hint="eastAsia" w:ascii="宋体" w:hAnsi="宋体" w:cs="Times New Roman"/>
          <w:b/>
          <w:color w:val="auto"/>
          <w:sz w:val="24"/>
          <w:highlight w:val="none"/>
        </w:rPr>
        <w:t>进行</w:t>
      </w:r>
      <w:r>
        <w:rPr>
          <w:rFonts w:hint="eastAsia" w:ascii="宋体" w:hAnsi="宋体" w:cs="Times New Roman"/>
          <w:b/>
          <w:color w:val="auto"/>
          <w:sz w:val="24"/>
          <w:highlight w:val="none"/>
          <w:lang w:val="en-US" w:eastAsia="zh-CN"/>
        </w:rPr>
        <w:t>首次</w:t>
      </w:r>
      <w:r>
        <w:rPr>
          <w:rFonts w:hint="eastAsia" w:ascii="宋体" w:hAnsi="宋体" w:cs="Times New Roman"/>
          <w:b/>
          <w:color w:val="auto"/>
          <w:sz w:val="24"/>
          <w:highlight w:val="none"/>
        </w:rPr>
        <w:t>分项报价，供应商须完全满足竞争性磋商文件附件工程量清单和施工图纸及相关材料所有要求，不得减项、不得负偏离，</w:t>
      </w:r>
      <w:r>
        <w:rPr>
          <w:rFonts w:hint="eastAsia" w:ascii="宋体" w:hAnsi="宋体" w:cs="Times New Roman"/>
          <w:b/>
          <w:color w:val="auto"/>
          <w:sz w:val="24"/>
          <w:highlight w:val="none"/>
          <w:lang w:val="en-US" w:eastAsia="zh-CN"/>
        </w:rPr>
        <w:t>不得修改品目和数量，</w:t>
      </w:r>
      <w:r>
        <w:rPr>
          <w:rFonts w:hint="eastAsia" w:ascii="宋体" w:hAnsi="宋体" w:cs="Times New Roman"/>
          <w:b/>
          <w:color w:val="auto"/>
          <w:sz w:val="24"/>
          <w:highlight w:val="none"/>
        </w:rPr>
        <w:t>否则按无效响应处理。</w:t>
      </w:r>
      <w:r>
        <w:rPr>
          <w:rFonts w:hint="eastAsia" w:ascii="宋体" w:hAnsi="宋体" w:cs="Times New Roman"/>
          <w:b/>
          <w:color w:val="auto"/>
          <w:sz w:val="24"/>
          <w:highlight w:val="none"/>
          <w:lang w:val="en-US" w:eastAsia="zh-CN"/>
        </w:rPr>
        <w:t>最终报价只需进行总价报价，无须进行最终的分项报价，最终的分项</w:t>
      </w:r>
      <w:r>
        <w:rPr>
          <w:rFonts w:hint="eastAsia" w:ascii="宋体" w:hAnsi="宋体" w:cs="Times New Roman"/>
          <w:b/>
          <w:color w:val="auto"/>
          <w:sz w:val="24"/>
          <w:highlight w:val="none"/>
        </w:rPr>
        <w:t>报价按</w:t>
      </w:r>
      <w:r>
        <w:rPr>
          <w:rFonts w:hint="eastAsia" w:ascii="宋体" w:hAnsi="宋体" w:cs="Times New Roman"/>
          <w:b/>
          <w:color w:val="auto"/>
          <w:sz w:val="24"/>
          <w:highlight w:val="none"/>
          <w:lang w:val="en-US" w:eastAsia="zh-CN"/>
        </w:rPr>
        <w:t>最终</w:t>
      </w:r>
      <w:r>
        <w:rPr>
          <w:rFonts w:hint="eastAsia" w:ascii="宋体" w:hAnsi="宋体" w:cs="Times New Roman"/>
          <w:b/>
          <w:color w:val="auto"/>
          <w:sz w:val="24"/>
          <w:highlight w:val="none"/>
        </w:rPr>
        <w:t>报价总价与</w:t>
      </w:r>
      <w:r>
        <w:rPr>
          <w:rFonts w:hint="eastAsia" w:ascii="宋体" w:hAnsi="宋体" w:cs="Times New Roman"/>
          <w:b/>
          <w:color w:val="auto"/>
          <w:sz w:val="24"/>
          <w:highlight w:val="none"/>
          <w:lang w:val="en-US" w:eastAsia="zh-CN"/>
        </w:rPr>
        <w:t>首次的报价</w:t>
      </w:r>
      <w:r>
        <w:rPr>
          <w:rFonts w:hint="eastAsia" w:ascii="宋体" w:hAnsi="宋体" w:cs="Times New Roman"/>
          <w:b/>
          <w:color w:val="auto"/>
          <w:sz w:val="24"/>
          <w:highlight w:val="none"/>
        </w:rPr>
        <w:t>总价的比例统一下浮。供应 商须注意暂列金、暂估价不进行下浮</w:t>
      </w:r>
      <w:r>
        <w:rPr>
          <w:rFonts w:hint="eastAsia" w:ascii="宋体" w:hAnsi="宋体" w:cs="Times New Roman"/>
          <w:b/>
          <w:color w:val="auto"/>
          <w:sz w:val="24"/>
          <w:highlight w:val="none"/>
          <w:lang w:eastAsia="zh-CN"/>
        </w:rPr>
        <w:t>（</w:t>
      </w:r>
      <w:r>
        <w:rPr>
          <w:rFonts w:hint="eastAsia" w:ascii="宋体" w:hAnsi="宋体" w:cs="Times New Roman"/>
          <w:b/>
          <w:color w:val="auto"/>
          <w:sz w:val="24"/>
          <w:highlight w:val="none"/>
        </w:rPr>
        <w:t>其中暂列金额为：</w:t>
      </w:r>
      <w:r>
        <w:rPr>
          <w:rFonts w:hint="eastAsia" w:ascii="宋体" w:hAnsi="宋体" w:cs="Times New Roman"/>
          <w:b/>
          <w:color w:val="auto"/>
          <w:sz w:val="24"/>
          <w:highlight w:val="none"/>
          <w:lang w:val="en-US" w:eastAsia="zh-CN"/>
        </w:rPr>
        <w:t>45000</w:t>
      </w:r>
      <w:r>
        <w:rPr>
          <w:rFonts w:hint="eastAsia" w:ascii="宋体" w:hAnsi="宋体" w:cs="Times New Roman"/>
          <w:b/>
          <w:color w:val="auto"/>
          <w:sz w:val="24"/>
          <w:highlight w:val="none"/>
        </w:rPr>
        <w:t>元，专业工程暂估价为：158000元，税率：9%。</w:t>
      </w:r>
      <w:r>
        <w:rPr>
          <w:rFonts w:hint="eastAsia" w:ascii="宋体" w:hAnsi="宋体" w:cs="Times New Roman"/>
          <w:b/>
          <w:color w:val="auto"/>
          <w:sz w:val="24"/>
          <w:highlight w:val="none"/>
          <w:lang w:eastAsia="zh-CN"/>
        </w:rPr>
        <w:t>）</w:t>
      </w:r>
      <w:r>
        <w:rPr>
          <w:rFonts w:hint="eastAsia" w:ascii="宋体" w:hAnsi="宋体" w:cs="Times New Roman"/>
          <w:b/>
          <w:color w:val="auto"/>
          <w:sz w:val="24"/>
          <w:highlight w:val="none"/>
        </w:rPr>
        <w:t>。</w:t>
      </w:r>
    </w:p>
    <w:p w14:paraId="61E3EFB0">
      <w:pPr>
        <w:pStyle w:val="33"/>
        <w:spacing w:line="360" w:lineRule="exact"/>
        <w:ind w:firstLine="0" w:firstLineChars="0"/>
        <w:rPr>
          <w:rFonts w:ascii="宋体" w:hAnsi="宋体"/>
          <w:b/>
          <w:color w:val="auto"/>
          <w:sz w:val="24"/>
          <w:szCs w:val="24"/>
          <w:highlight w:val="none"/>
        </w:rPr>
      </w:pPr>
      <w:r>
        <w:rPr>
          <w:rFonts w:hint="eastAsia" w:ascii="宋体" w:hAnsi="宋体"/>
          <w:b/>
          <w:color w:val="auto"/>
          <w:sz w:val="24"/>
          <w:szCs w:val="24"/>
          <w:highlight w:val="none"/>
        </w:rPr>
        <w:t>备注：</w:t>
      </w:r>
    </w:p>
    <w:p w14:paraId="06E00817">
      <w:pPr>
        <w:pStyle w:val="33"/>
        <w:spacing w:line="360" w:lineRule="exact"/>
        <w:ind w:firstLine="480"/>
        <w:rPr>
          <w:rFonts w:ascii="宋体" w:hAnsi="宋体"/>
          <w:color w:val="auto"/>
          <w:sz w:val="24"/>
          <w:szCs w:val="24"/>
          <w:highlight w:val="none"/>
        </w:rPr>
      </w:pPr>
      <w:r>
        <w:rPr>
          <w:rFonts w:hint="eastAsia" w:ascii="宋体" w:hAnsi="宋体"/>
          <w:color w:val="auto"/>
          <w:sz w:val="24"/>
          <w:szCs w:val="24"/>
          <w:highlight w:val="none"/>
        </w:rPr>
        <w:t>1、供应商可按合同包报价，对同一合同包内所有品目号内容报价时必须完整。评审与中标以合同包为单位。</w:t>
      </w:r>
    </w:p>
    <w:p w14:paraId="7E694E4D">
      <w:pPr>
        <w:pStyle w:val="33"/>
        <w:spacing w:line="360" w:lineRule="exact"/>
        <w:ind w:firstLine="480"/>
        <w:rPr>
          <w:rFonts w:ascii="宋体" w:hAnsi="宋体"/>
          <w:color w:val="auto"/>
          <w:sz w:val="24"/>
          <w:szCs w:val="24"/>
          <w:highlight w:val="none"/>
        </w:rPr>
      </w:pPr>
      <w:r>
        <w:rPr>
          <w:rFonts w:hint="eastAsia" w:ascii="宋体" w:hAnsi="宋体"/>
          <w:color w:val="auto"/>
          <w:sz w:val="24"/>
          <w:szCs w:val="24"/>
          <w:highlight w:val="none"/>
        </w:rPr>
        <w:t>2、供应商的报价为在工程项目建设期和保修期内，完成竞争性磋商文件规定的工作内容的各项费用，包括但不限于：人工费、设备材料费、施工机械使用费、措施费、规费、企业管理费、利润、税金、内线范围场地施工配合费、移交前的维护及代购材料的现场保管费、政策性文件规定调整及合同包含的所有风险、责任等其它各项费用。</w:t>
      </w:r>
    </w:p>
    <w:p w14:paraId="0B47A183">
      <w:pPr>
        <w:pStyle w:val="33"/>
        <w:spacing w:line="360" w:lineRule="exact"/>
        <w:ind w:firstLine="480"/>
        <w:rPr>
          <w:rFonts w:ascii="宋体" w:hAnsi="宋体"/>
          <w:color w:val="auto"/>
          <w:sz w:val="24"/>
          <w:szCs w:val="24"/>
          <w:highlight w:val="none"/>
        </w:rPr>
      </w:pPr>
      <w:r>
        <w:rPr>
          <w:rFonts w:hint="eastAsia" w:ascii="宋体" w:hAnsi="宋体"/>
          <w:color w:val="auto"/>
          <w:sz w:val="24"/>
          <w:szCs w:val="24"/>
          <w:highlight w:val="none"/>
        </w:rPr>
        <w:t>3、本工程为交钥匙工程。</w:t>
      </w:r>
    </w:p>
    <w:p w14:paraId="479057D6">
      <w:pPr>
        <w:pStyle w:val="33"/>
        <w:spacing w:line="360" w:lineRule="exact"/>
        <w:ind w:firstLine="480"/>
        <w:rPr>
          <w:rFonts w:ascii="宋体" w:hAnsi="宋体"/>
          <w:color w:val="auto"/>
          <w:sz w:val="24"/>
          <w:szCs w:val="24"/>
          <w:highlight w:val="none"/>
        </w:rPr>
      </w:pPr>
      <w:r>
        <w:rPr>
          <w:rFonts w:hint="eastAsia" w:ascii="宋体" w:hAnsi="宋体"/>
          <w:color w:val="auto"/>
          <w:sz w:val="24"/>
          <w:szCs w:val="24"/>
          <w:highlight w:val="none"/>
        </w:rPr>
        <w:t>4、项目最终结算价格以采购人委托的第三方造价咨询机构出具的审计报告决算金额为准，中标人应无条件配合第三方造价咨询机构做好审计工作。</w:t>
      </w:r>
    </w:p>
    <w:p w14:paraId="2AC410A0">
      <w:pPr>
        <w:pStyle w:val="33"/>
        <w:spacing w:line="360" w:lineRule="exact"/>
        <w:ind w:firstLine="480"/>
        <w:rPr>
          <w:rFonts w:ascii="宋体" w:hAnsi="宋体"/>
          <w:color w:val="auto"/>
          <w:sz w:val="24"/>
          <w:szCs w:val="24"/>
          <w:highlight w:val="none"/>
        </w:rPr>
      </w:pPr>
      <w:r>
        <w:rPr>
          <w:rFonts w:hint="eastAsia" w:ascii="宋体" w:hAnsi="宋体"/>
          <w:color w:val="auto"/>
          <w:sz w:val="24"/>
          <w:szCs w:val="24"/>
          <w:highlight w:val="none"/>
        </w:rPr>
        <w:t>5、由于此项目与采购人另行采购的设备在同一场地实施，并需联合调试部署，供应商应配合设备供货商做好设备联调以及其他需要配合实施的工作。</w:t>
      </w:r>
    </w:p>
    <w:p w14:paraId="53C11170">
      <w:pPr>
        <w:pStyle w:val="33"/>
        <w:spacing w:line="360" w:lineRule="exact"/>
        <w:ind w:firstLine="480"/>
        <w:rPr>
          <w:rFonts w:ascii="宋体" w:hAnsi="宋体"/>
          <w:b/>
          <w:color w:val="auto"/>
          <w:sz w:val="24"/>
          <w:highlight w:val="none"/>
        </w:rPr>
      </w:pPr>
      <w:r>
        <w:rPr>
          <w:rFonts w:hint="eastAsia" w:ascii="宋体" w:hAnsi="宋体"/>
          <w:b/>
          <w:color w:val="auto"/>
          <w:sz w:val="24"/>
          <w:highlight w:val="none"/>
        </w:rPr>
        <w:t>二、技术和服务要求</w:t>
      </w:r>
      <w:bookmarkEnd w:id="8"/>
      <w:r>
        <w:rPr>
          <w:rFonts w:hint="eastAsia" w:ascii="宋体" w:hAnsi="宋体"/>
          <w:b/>
          <w:color w:val="auto"/>
          <w:sz w:val="24"/>
          <w:highlight w:val="none"/>
        </w:rPr>
        <w:t>（以“★”标示的内容为不允许负偏离的实质性要求）</w:t>
      </w:r>
    </w:p>
    <w:p w14:paraId="30C4D15B">
      <w:pPr>
        <w:tabs>
          <w:tab w:val="left" w:pos="0"/>
          <w:tab w:val="left" w:pos="720"/>
        </w:tabs>
        <w:spacing w:line="400" w:lineRule="exact"/>
        <w:ind w:firstLine="366" w:firstLineChars="152"/>
        <w:jc w:val="left"/>
        <w:rPr>
          <w:rFonts w:ascii="宋体" w:hAnsi="宋体"/>
          <w:color w:val="auto"/>
          <w:sz w:val="24"/>
          <w:highlight w:val="none"/>
        </w:rPr>
      </w:pPr>
      <w:r>
        <w:rPr>
          <w:rFonts w:hint="eastAsia" w:ascii="宋体" w:hAnsi="宋体"/>
          <w:b/>
          <w:color w:val="auto"/>
          <w:sz w:val="24"/>
          <w:highlight w:val="none"/>
        </w:rPr>
        <w:t>★（一）</w:t>
      </w:r>
      <w:r>
        <w:rPr>
          <w:rFonts w:hint="eastAsia" w:ascii="宋体"/>
          <w:color w:val="auto"/>
          <w:sz w:val="24"/>
          <w:highlight w:val="none"/>
        </w:rPr>
        <w:t>工程的施工；具体以工程量清单为准，以施工图纸为依据。（工程量清单详见附件）</w:t>
      </w:r>
    </w:p>
    <w:p w14:paraId="3DC30295">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（二）采购标的需实现的功能</w:t>
      </w:r>
    </w:p>
    <w:p w14:paraId="31A5DF37">
      <w:pPr>
        <w:spacing w:line="400" w:lineRule="exact"/>
        <w:ind w:firstLine="480" w:firstLineChars="200"/>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在执法办案场所设置办案区、合成作战区、案卷管理区、涉案财物管理区，打造合成作战及其他辅助支撑功能于一体的“一站式”办案场所，并进一步规范入区登记、安全检查、物品暂存、信息采集、等候、讯（询）问、辨认等功能室及办案程序，使执法办案场所具备执法办案、服务保障等基本功能，实现“一站式”办案和办案管理服务“一体化”运行，打造“规范、高效、安全”的执法办案模式。</w:t>
      </w:r>
    </w:p>
    <w:p w14:paraId="7877CCD8">
      <w:pPr>
        <w:spacing w:line="400" w:lineRule="exact"/>
        <w:ind w:firstLine="480" w:firstLineChars="200"/>
        <w:rPr>
          <w:rFonts w:ascii="宋体" w:hAnsi="宋体"/>
          <w:color w:val="auto"/>
          <w:sz w:val="24"/>
          <w:highlight w:val="none"/>
        </w:rPr>
      </w:pPr>
      <w:bookmarkStart w:id="9" w:name="_Toc7560"/>
      <w:r>
        <w:rPr>
          <w:rFonts w:hint="eastAsia" w:ascii="宋体" w:hAnsi="宋体"/>
          <w:color w:val="auto"/>
          <w:sz w:val="24"/>
          <w:highlight w:val="none"/>
          <w:lang w:val="en-US" w:eastAsia="zh-CN"/>
        </w:rPr>
        <w:t>2、</w:t>
      </w:r>
      <w:r>
        <w:rPr>
          <w:rFonts w:hint="eastAsia" w:ascii="宋体" w:hAnsi="宋体"/>
          <w:color w:val="auto"/>
          <w:sz w:val="24"/>
          <w:highlight w:val="none"/>
        </w:rPr>
        <w:t>接待区、案件受理区</w:t>
      </w:r>
      <w:bookmarkEnd w:id="9"/>
      <w:r>
        <w:rPr>
          <w:rFonts w:hint="eastAsia" w:ascii="宋体" w:hAnsi="宋体"/>
          <w:color w:val="auto"/>
          <w:sz w:val="24"/>
          <w:highlight w:val="none"/>
        </w:rPr>
        <w:t>：作为执法办案管理中心的第一印象区域，接待区应简洁大方、庄重严肃。设置接待台、休息等候区，方便群众办事和休息。</w:t>
      </w:r>
    </w:p>
    <w:p w14:paraId="4F823EB4">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装饰要点：地面采用耐磨、易清洁的地砖，墙面以白色或浅灰色为主色调，搭配执法宣传画。接待台采用木质或金属材质，配备电脑、打印机等办公设备。休息区摆放舒适的沙发和茶几，提供饮用水和报刊杂志。</w:t>
      </w:r>
    </w:p>
    <w:p w14:paraId="39D4B064">
      <w:pPr>
        <w:spacing w:line="400" w:lineRule="exact"/>
        <w:ind w:firstLine="480" w:firstLineChars="200"/>
        <w:rPr>
          <w:rFonts w:ascii="宋体" w:hAnsi="宋体"/>
          <w:color w:val="auto"/>
          <w:sz w:val="24"/>
          <w:highlight w:val="none"/>
        </w:rPr>
      </w:pPr>
      <w:bookmarkStart w:id="10" w:name="_Toc32435"/>
      <w:r>
        <w:rPr>
          <w:rFonts w:hint="eastAsia" w:ascii="宋体" w:hAnsi="宋体"/>
          <w:color w:val="auto"/>
          <w:sz w:val="24"/>
          <w:highlight w:val="none"/>
          <w:lang w:val="en-US" w:eastAsia="zh-CN"/>
        </w:rPr>
        <w:t>3、</w:t>
      </w:r>
      <w:r>
        <w:rPr>
          <w:rFonts w:hint="eastAsia" w:ascii="宋体" w:hAnsi="宋体"/>
          <w:color w:val="auto"/>
          <w:sz w:val="24"/>
          <w:highlight w:val="none"/>
        </w:rPr>
        <w:t>讯问询问室</w:t>
      </w:r>
      <w:bookmarkEnd w:id="10"/>
      <w:r>
        <w:rPr>
          <w:rFonts w:hint="eastAsia" w:ascii="宋体" w:hAnsi="宋体"/>
          <w:color w:val="auto"/>
          <w:sz w:val="24"/>
          <w:highlight w:val="none"/>
        </w:rPr>
        <w:t>：是执法办案的核心区域，需要保证环境安静、安全，便于开展工作。设置讯问询问桌椅、监控设备、录音设备等。</w:t>
      </w:r>
    </w:p>
    <w:p w14:paraId="330ED7C8">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装饰要点：墙面采用吸音材料，减少外界噪音干扰。地面铺设防滑、静音的地板。室内灯光采用柔和的暖色调，避免强光刺激。桌椅采用牢固、舒适的材质，避免尖锐边角。 </w:t>
      </w:r>
    </w:p>
    <w:p w14:paraId="564431D6">
      <w:pPr>
        <w:spacing w:line="400" w:lineRule="exact"/>
        <w:ind w:firstLine="480" w:firstLineChars="200"/>
        <w:rPr>
          <w:rFonts w:ascii="宋体" w:hAnsi="宋体"/>
          <w:color w:val="auto"/>
          <w:sz w:val="24"/>
          <w:highlight w:val="none"/>
        </w:rPr>
      </w:pPr>
      <w:bookmarkStart w:id="11" w:name="_Toc2221"/>
      <w:r>
        <w:rPr>
          <w:rFonts w:hint="eastAsia" w:ascii="宋体" w:hAnsi="宋体"/>
          <w:color w:val="auto"/>
          <w:sz w:val="24"/>
          <w:highlight w:val="none"/>
          <w:lang w:val="en-US" w:eastAsia="zh-CN"/>
        </w:rPr>
        <w:t>4、</w:t>
      </w:r>
      <w:r>
        <w:rPr>
          <w:rFonts w:hint="eastAsia" w:ascii="宋体" w:hAnsi="宋体"/>
          <w:color w:val="auto"/>
          <w:sz w:val="24"/>
          <w:highlight w:val="none"/>
        </w:rPr>
        <w:t>等候室</w:t>
      </w:r>
      <w:bookmarkEnd w:id="11"/>
      <w:r>
        <w:rPr>
          <w:rFonts w:hint="eastAsia" w:ascii="宋体" w:hAnsi="宋体"/>
          <w:color w:val="auto"/>
          <w:sz w:val="24"/>
          <w:highlight w:val="none"/>
        </w:rPr>
        <w:t>：用于临时羁押嫌疑人，需要保证安全和基本的生活条件。设置床铺、卫生间等设施。</w:t>
      </w:r>
    </w:p>
    <w:p w14:paraId="4275C3A9">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装饰要点：墙面和地面采用防撞、防潮的材料。床铺采用结实的金属框架，配备床垫和被褥。卫生间设施齐全，保证清洁卫生。 </w:t>
      </w:r>
    </w:p>
    <w:p w14:paraId="7AF29ED3">
      <w:pPr>
        <w:spacing w:line="400" w:lineRule="exact"/>
        <w:ind w:firstLine="480" w:firstLineChars="200"/>
        <w:rPr>
          <w:rFonts w:ascii="宋体" w:hAnsi="宋体"/>
          <w:color w:val="auto"/>
          <w:sz w:val="24"/>
          <w:highlight w:val="none"/>
        </w:rPr>
      </w:pPr>
      <w:bookmarkStart w:id="12" w:name="_Toc7677"/>
      <w:r>
        <w:rPr>
          <w:rFonts w:hint="eastAsia" w:ascii="宋体" w:hAnsi="宋体"/>
          <w:color w:val="auto"/>
          <w:sz w:val="24"/>
          <w:highlight w:val="none"/>
          <w:lang w:val="en-US" w:eastAsia="zh-CN"/>
        </w:rPr>
        <w:t>5</w:t>
      </w:r>
      <w:r>
        <w:rPr>
          <w:rFonts w:hint="eastAsia" w:ascii="宋体" w:hAnsi="宋体"/>
          <w:color w:val="auto"/>
          <w:sz w:val="24"/>
          <w:highlight w:val="none"/>
        </w:rPr>
        <w:t>、物证保管室</w:t>
      </w:r>
      <w:bookmarkEnd w:id="12"/>
      <w:r>
        <w:rPr>
          <w:rFonts w:hint="eastAsia" w:ascii="宋体" w:hAnsi="宋体"/>
          <w:color w:val="auto"/>
          <w:sz w:val="24"/>
          <w:highlight w:val="none"/>
        </w:rPr>
        <w:t>：用于存放案件相关的物证，需要保证物证的安全和完好。设置货架、保险柜等存储设备，配备温湿度调节设备。</w:t>
      </w:r>
    </w:p>
    <w:p w14:paraId="060F9D84">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装饰要点：地面和墙面采用防火、防潮、防虫的材料。货架和保险柜采用坚固耐用的金属材质。室内安装监控设备，确保24小时监控。 </w:t>
      </w:r>
    </w:p>
    <w:p w14:paraId="433F0FCF">
      <w:pPr>
        <w:spacing w:line="400" w:lineRule="exact"/>
        <w:ind w:firstLine="480" w:firstLineChars="200"/>
        <w:rPr>
          <w:rFonts w:ascii="宋体" w:hAnsi="宋体"/>
          <w:color w:val="auto"/>
          <w:sz w:val="24"/>
          <w:highlight w:val="none"/>
        </w:rPr>
      </w:pPr>
      <w:bookmarkStart w:id="13" w:name="_Toc20803"/>
      <w:r>
        <w:rPr>
          <w:rFonts w:hint="eastAsia" w:ascii="宋体" w:hAnsi="宋体"/>
          <w:color w:val="auto"/>
          <w:sz w:val="24"/>
          <w:highlight w:val="none"/>
          <w:lang w:val="en-US" w:eastAsia="zh-CN"/>
        </w:rPr>
        <w:t>6</w:t>
      </w:r>
      <w:r>
        <w:rPr>
          <w:rFonts w:hint="eastAsia" w:ascii="宋体" w:hAnsi="宋体"/>
          <w:color w:val="auto"/>
          <w:sz w:val="24"/>
          <w:highlight w:val="none"/>
        </w:rPr>
        <w:t>、信息采集室</w:t>
      </w:r>
      <w:bookmarkEnd w:id="13"/>
      <w:r>
        <w:rPr>
          <w:rFonts w:hint="eastAsia" w:ascii="宋体" w:hAnsi="宋体"/>
          <w:color w:val="auto"/>
          <w:sz w:val="24"/>
          <w:highlight w:val="none"/>
        </w:rPr>
        <w:t xml:space="preserve"> ：用于采集嫌疑人的生物信息，如指纹、DNA等。设置专业的信息采集设备和操作平台（设备二期采购）。</w:t>
      </w:r>
    </w:p>
    <w:p w14:paraId="1A67A637">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装饰要点：地面和墙面采用易清洁、防静电的材料。操作平台采用符合人体工程学的设计，方便工作人员操作。室内安装通风设备，保证空气流通。 </w:t>
      </w:r>
    </w:p>
    <w:p w14:paraId="5C25BEC8">
      <w:pPr>
        <w:spacing w:line="400" w:lineRule="exact"/>
        <w:ind w:firstLine="480" w:firstLineChars="200"/>
        <w:rPr>
          <w:rFonts w:ascii="宋体" w:hAnsi="宋体"/>
          <w:color w:val="auto"/>
          <w:sz w:val="24"/>
          <w:highlight w:val="none"/>
        </w:rPr>
      </w:pPr>
      <w:bookmarkStart w:id="14" w:name="_Toc30466"/>
      <w:r>
        <w:rPr>
          <w:rFonts w:hint="eastAsia" w:ascii="宋体" w:hAnsi="宋体"/>
          <w:color w:val="auto"/>
          <w:sz w:val="24"/>
          <w:highlight w:val="none"/>
          <w:lang w:val="en-US" w:eastAsia="zh-CN"/>
        </w:rPr>
        <w:t>7、</w:t>
      </w:r>
      <w:r>
        <w:rPr>
          <w:rFonts w:hint="eastAsia" w:ascii="宋体" w:hAnsi="宋体"/>
          <w:color w:val="auto"/>
          <w:sz w:val="24"/>
          <w:highlight w:val="none"/>
        </w:rPr>
        <w:t>办公区</w:t>
      </w:r>
      <w:bookmarkEnd w:id="14"/>
      <w:r>
        <w:rPr>
          <w:rFonts w:hint="eastAsia" w:ascii="宋体" w:hAnsi="宋体"/>
          <w:color w:val="auto"/>
          <w:sz w:val="24"/>
          <w:highlight w:val="none"/>
        </w:rPr>
        <w:t>：办公区是执法人员日常办公的场所，需要保证舒适和高效。设置办公桌、办公椅文件柜等办公设备（办公设备利旧）。</w:t>
      </w:r>
    </w:p>
    <w:p w14:paraId="7E407F7F">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装饰要点：地面采用地毯或木地板，墙面以浅色系为主，营造温馨舒适的办公氛围。办公桌和办公椅选择符合人体工程学的款式，提高工作舒适度。 </w:t>
      </w:r>
    </w:p>
    <w:p w14:paraId="49493F49">
      <w:pPr>
        <w:numPr>
          <w:ilvl w:val="0"/>
          <w:numId w:val="0"/>
        </w:numPr>
        <w:spacing w:line="400" w:lineRule="exact"/>
        <w:ind w:firstLine="480" w:firstLineChars="200"/>
        <w:rPr>
          <w:rFonts w:ascii="宋体" w:hAnsi="宋体"/>
          <w:color w:val="auto"/>
          <w:sz w:val="24"/>
          <w:highlight w:val="none"/>
        </w:rPr>
      </w:pPr>
      <w:bookmarkStart w:id="15" w:name="_Toc15231"/>
      <w:r>
        <w:rPr>
          <w:rFonts w:hint="eastAsia" w:ascii="宋体" w:hAnsi="宋体"/>
          <w:color w:val="auto"/>
          <w:sz w:val="24"/>
          <w:highlight w:val="none"/>
          <w:lang w:val="en-US" w:eastAsia="zh-CN"/>
        </w:rPr>
        <w:t>8</w:t>
      </w:r>
      <w:r>
        <w:rPr>
          <w:rFonts w:hint="eastAsia" w:ascii="宋体" w:hAnsi="宋体"/>
          <w:color w:val="auto"/>
          <w:sz w:val="24"/>
          <w:highlight w:val="none"/>
        </w:rPr>
        <w:t>、装饰材料选择</w:t>
      </w:r>
      <w:bookmarkEnd w:id="15"/>
    </w:p>
    <w:p w14:paraId="7F369A73">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地面材料：根据不同区域的功能需求，选择地砖、地板等材料。案件受理区等公共区域可采用地砖，讯问询问室、等候室等可采用地塑。</w:t>
      </w:r>
    </w:p>
    <w:p w14:paraId="0B19766B">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墙面材料：墙面材料可选择乳胶漆、壁纸、吸音板等。接待区、办公区等可采用乳胶漆，讯问询问室等需要吸音的区域可采用吸音板或软包。</w:t>
      </w:r>
    </w:p>
    <w:p w14:paraId="6004683E">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天花板材料：天花板材料可选择矿棉板、铝扣板等。公共区域可采用矿棉板，具有吸音、防火等功能；卫生间等潮湿区域可采用铝扣板，具有防潮、易清洁等特点。</w:t>
      </w:r>
    </w:p>
    <w:p w14:paraId="2A6040E6">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 xml:space="preserve">门窗材料：门窗材料可选择铝合金、塑钢等。门窗应具备良好的隔音、隔热、防盗性能。讯问询问室等需要办案区域采用软包处理。 </w:t>
      </w:r>
    </w:p>
    <w:p w14:paraId="58725626">
      <w:pPr>
        <w:spacing w:line="400" w:lineRule="exact"/>
        <w:ind w:firstLine="480" w:firstLineChars="200"/>
        <w:rPr>
          <w:rFonts w:ascii="宋体" w:hAnsi="宋体"/>
          <w:color w:val="auto"/>
          <w:sz w:val="24"/>
          <w:highlight w:val="none"/>
        </w:rPr>
      </w:pPr>
      <w:bookmarkStart w:id="16" w:name="_Toc12171"/>
      <w:r>
        <w:rPr>
          <w:rFonts w:hint="eastAsia" w:ascii="宋体" w:hAnsi="宋体"/>
          <w:color w:val="auto"/>
          <w:sz w:val="24"/>
          <w:highlight w:val="none"/>
          <w:lang w:val="en-US" w:eastAsia="zh-CN"/>
        </w:rPr>
        <w:t>9</w:t>
      </w:r>
      <w:r>
        <w:rPr>
          <w:rFonts w:hint="eastAsia" w:ascii="宋体" w:hAnsi="宋体"/>
          <w:color w:val="auto"/>
          <w:sz w:val="24"/>
          <w:highlight w:val="none"/>
        </w:rPr>
        <w:t>、色彩搭配</w:t>
      </w:r>
      <w:bookmarkEnd w:id="16"/>
    </w:p>
    <w:p w14:paraId="3DC8350A">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整体色调：以冷色调为主，如白色、灰色、蓝色等，体现执法机关的严肃、公正形象。</w:t>
      </w:r>
    </w:p>
    <w:p w14:paraId="67D70308">
      <w:pPr>
        <w:spacing w:line="400" w:lineRule="exact"/>
        <w:ind w:firstLine="480" w:firstLineChars="200"/>
        <w:rPr>
          <w:rFonts w:ascii="宋体" w:hAnsi="宋体"/>
          <w:b/>
          <w:color w:val="auto"/>
          <w:sz w:val="24"/>
          <w:highlight w:val="none"/>
        </w:rPr>
      </w:pPr>
      <w:r>
        <w:rPr>
          <w:rFonts w:hint="eastAsia" w:ascii="宋体" w:hAnsi="宋体"/>
          <w:color w:val="auto"/>
          <w:sz w:val="24"/>
          <w:highlight w:val="none"/>
        </w:rPr>
        <w:t xml:space="preserve">局部点缀：在接待区、办公区等区域可适当采用暖色调进行点缀，如黄色、绿色等，营造温馨舒适的氛围。 </w:t>
      </w:r>
    </w:p>
    <w:p w14:paraId="0111CB99">
      <w:pPr>
        <w:spacing w:line="400" w:lineRule="exact"/>
        <w:jc w:val="left"/>
        <w:rPr>
          <w:rFonts w:ascii="宋体" w:hAnsi="宋体"/>
          <w:b/>
          <w:color w:val="auto"/>
          <w:sz w:val="24"/>
          <w:highlight w:val="none"/>
        </w:rPr>
      </w:pPr>
      <w:r>
        <w:rPr>
          <w:rFonts w:hint="eastAsia" w:ascii="宋体" w:hAnsi="宋体"/>
          <w:b/>
          <w:color w:val="auto"/>
          <w:sz w:val="24"/>
          <w:highlight w:val="none"/>
        </w:rPr>
        <w:t>★（三）安全施工</w:t>
      </w:r>
    </w:p>
    <w:p w14:paraId="77F594E3">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1.供应商应遵守现行有关的国家和地方有关规范要求安全文明施工。</w:t>
      </w:r>
    </w:p>
    <w:p w14:paraId="0BE6698C">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2.供应商在施工过程中产生的施工人员人身伤亡或者第三方人身财产损失，供应商应承担全部责任及由此造成的全部损失。</w:t>
      </w:r>
    </w:p>
    <w:p w14:paraId="6CA480B8">
      <w:pPr>
        <w:tabs>
          <w:tab w:val="left" w:pos="476"/>
        </w:tabs>
        <w:spacing w:line="40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★（四）施工现场管理要求</w:t>
      </w:r>
    </w:p>
    <w:p w14:paraId="47DADA09">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1.现场安全防护设施要求</w:t>
      </w:r>
    </w:p>
    <w:p w14:paraId="7C25A2C2">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1）供应商应时刻关注和采取适当措施保障所有在场工作人员的安全，保证工程施工安全，现场施工应当保持有条不紊；负责已完工部分工程的保护工作；应做好防雷电、防火等的安全防护工作；应负责提供照明、护栅、警告标志等安全防护措施，承担施工现场和施工人员的治安、环境卫生、计生、外来人员暂住手续等管理工作和相关费用；若发生任何事故，均由供应商全部负责。</w:t>
      </w:r>
    </w:p>
    <w:p w14:paraId="20F66A66">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2）供应商应按国家和地方有关部门的规定，结合工程实际情况，制定安全施工管理规章制度，采用适当有效的防护措施，加强施工安全管理，对施工现场人员安全以及防台风、防火、防爆、防汛和防盗等采取严格的安全防护措施，承担安全施工责任和费用，并承担由于措施不力造成的事故责任和因此发生的费用。</w:t>
      </w:r>
    </w:p>
    <w:p w14:paraId="1C8F2CE0">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（3）由于工地现场施工时对工地周边建筑物、线路等造成破坏的由供应商负责。</w:t>
      </w:r>
    </w:p>
    <w:p w14:paraId="77AB1C69">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2.文明施工要求</w:t>
      </w:r>
    </w:p>
    <w:p w14:paraId="34529F16">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（1）施工中使用的材料应严格堆放在正在施工场地内并设置围档，不得随意堆放占道。</w:t>
      </w:r>
    </w:p>
    <w:p w14:paraId="2A42289D">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（2）施工中现场工人必须统一戴安全帽穿安全服，不得穿拖鞋，光脚、光膀子施工。施工管理人员必须统一着装、佩戴工作牌、戴好安全帽。</w:t>
      </w:r>
    </w:p>
    <w:p w14:paraId="42B602C2">
      <w:pPr>
        <w:widowControl/>
        <w:spacing w:line="400" w:lineRule="exact"/>
        <w:ind w:firstLine="482" w:firstLineChars="200"/>
        <w:jc w:val="left"/>
        <w:rPr>
          <w:rFonts w:hint="default" w:ascii="宋体" w:eastAsia="宋体" w:cs="宋体"/>
          <w:b/>
          <w:bCs/>
          <w:color w:val="auto"/>
          <w:sz w:val="24"/>
          <w:highlight w:val="none"/>
          <w:lang w:val="en-US" w:eastAsia="zh-CN"/>
        </w:rPr>
      </w:pPr>
      <w:r>
        <w:rPr>
          <w:rFonts w:hint="eastAsia" w:ascii="宋体"/>
          <w:b/>
          <w:bCs/>
          <w:color w:val="auto"/>
          <w:sz w:val="24"/>
          <w:highlight w:val="none"/>
          <w:lang w:val="en-US" w:eastAsia="zh-CN"/>
        </w:rPr>
        <w:t>3、成交人不得无故更换项目经理</w:t>
      </w:r>
      <w:r>
        <w:rPr>
          <w:rFonts w:hint="eastAsia" w:ascii="宋体" w:eastAsia="宋体" w:cs="宋体"/>
          <w:b/>
          <w:bCs/>
          <w:color w:val="auto"/>
          <w:sz w:val="24"/>
          <w:highlight w:val="none"/>
          <w:lang w:val="en-US" w:eastAsia="zh-CN"/>
        </w:rPr>
        <w:t>，需经过发包人核查确认后方可，并提供项目经理常驻现场承诺书。</w:t>
      </w:r>
    </w:p>
    <w:p w14:paraId="102E4E2F">
      <w:pPr>
        <w:tabs>
          <w:tab w:val="left" w:pos="360"/>
          <w:tab w:val="left" w:pos="540"/>
          <w:tab w:val="left" w:pos="720"/>
        </w:tabs>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★（五）成交人的义务</w:t>
      </w:r>
    </w:p>
    <w:p w14:paraId="7960E030">
      <w:pPr>
        <w:tabs>
          <w:tab w:val="left" w:pos="142"/>
        </w:tabs>
        <w:spacing w:line="400" w:lineRule="exact"/>
        <w:ind w:firstLine="530" w:firstLineChars="221"/>
        <w:rPr>
          <w:rFonts w:ascii="宋体" w:hAnsi="宋体"/>
          <w:color w:val="auto"/>
          <w:sz w:val="24"/>
          <w:highlight w:val="none"/>
        </w:rPr>
      </w:pPr>
      <w:r>
        <w:rPr>
          <w:rFonts w:hint="eastAsia" w:ascii="宋体" w:hAnsi="宋体"/>
          <w:color w:val="auto"/>
          <w:sz w:val="24"/>
          <w:highlight w:val="none"/>
        </w:rPr>
        <w:t>1.成交人负责工程的施工、安装、质量保修服务等工作。</w:t>
      </w:r>
    </w:p>
    <w:p w14:paraId="012D69C6">
      <w:pPr>
        <w:tabs>
          <w:tab w:val="left" w:pos="142"/>
        </w:tabs>
        <w:spacing w:line="400" w:lineRule="exact"/>
        <w:ind w:firstLine="530" w:firstLineChars="221"/>
        <w:rPr>
          <w:rFonts w:ascii="宋体" w:hAnsi="宋体"/>
          <w:color w:val="auto"/>
          <w:sz w:val="24"/>
          <w:highlight w:val="none"/>
        </w:rPr>
      </w:pPr>
      <w:r>
        <w:rPr>
          <w:rFonts w:hint="eastAsia" w:ascii="宋体" w:hAnsi="宋体"/>
          <w:color w:val="auto"/>
          <w:sz w:val="24"/>
          <w:highlight w:val="none"/>
        </w:rPr>
        <w:t>2.成交人必须按照经采购人书面确认的方案、方法进行施工、安装，不得擅自改动。如有变更，必须经采购人书面确认后方可组织施工，否则一切后果由成交人承担，若因此给采购人造成损失的，成交人还应赔偿采购人所受的损失。</w:t>
      </w:r>
    </w:p>
    <w:p w14:paraId="6A264020">
      <w:pPr>
        <w:tabs>
          <w:tab w:val="left" w:pos="142"/>
        </w:tabs>
        <w:spacing w:line="400" w:lineRule="exact"/>
        <w:ind w:firstLine="530" w:firstLineChars="221"/>
        <w:rPr>
          <w:rFonts w:ascii="宋体" w:hAnsi="宋体"/>
          <w:color w:val="auto"/>
          <w:sz w:val="24"/>
          <w:highlight w:val="none"/>
        </w:rPr>
      </w:pPr>
      <w:r>
        <w:rPr>
          <w:rFonts w:hint="eastAsia" w:ascii="宋体" w:hAnsi="宋体"/>
          <w:color w:val="auto"/>
          <w:sz w:val="24"/>
          <w:highlight w:val="none"/>
        </w:rPr>
        <w:t>3.成交人必须遵守《工程施工质量验收规范》以及国家、行业标准进行施工，成交人施工过程中所有工程记录和技术资料及各种签证文件，均为原始验收有效文件，不得随意更改，发现有违规和缺陷要主动及时向采购人报告。</w:t>
      </w:r>
    </w:p>
    <w:p w14:paraId="588C2523">
      <w:pPr>
        <w:tabs>
          <w:tab w:val="left" w:pos="142"/>
        </w:tabs>
        <w:spacing w:line="400" w:lineRule="exact"/>
        <w:ind w:firstLine="484" w:firstLineChars="202"/>
        <w:rPr>
          <w:rFonts w:ascii="宋体" w:hAnsi="宋体"/>
          <w:color w:val="auto"/>
          <w:sz w:val="24"/>
          <w:highlight w:val="none"/>
        </w:rPr>
      </w:pPr>
      <w:r>
        <w:rPr>
          <w:rFonts w:hint="eastAsia" w:ascii="宋体" w:hAnsi="宋体"/>
          <w:color w:val="auto"/>
          <w:sz w:val="24"/>
          <w:highlight w:val="none"/>
        </w:rPr>
        <w:t>4.施工现场发生的紧急突发情况，成交人应及时（最迟8个小时）内向采购人报告。</w:t>
      </w:r>
    </w:p>
    <w:p w14:paraId="043DBF63">
      <w:pPr>
        <w:spacing w:line="400" w:lineRule="exact"/>
        <w:ind w:firstLine="484" w:firstLineChars="202"/>
        <w:rPr>
          <w:rFonts w:ascii="宋体" w:hAnsi="宋体"/>
          <w:color w:val="auto"/>
          <w:sz w:val="24"/>
          <w:highlight w:val="none"/>
        </w:rPr>
      </w:pPr>
      <w:r>
        <w:rPr>
          <w:rFonts w:hint="eastAsia" w:ascii="宋体" w:hAnsi="宋体"/>
          <w:color w:val="auto"/>
          <w:sz w:val="24"/>
          <w:highlight w:val="none"/>
        </w:rPr>
        <w:t>5.成交人必须无条件接受采购人监督的质量检查和管理，共同把好质量关。</w:t>
      </w:r>
    </w:p>
    <w:p w14:paraId="61DCD6EF">
      <w:pPr>
        <w:spacing w:line="400" w:lineRule="exact"/>
        <w:ind w:firstLine="484" w:firstLineChars="202"/>
        <w:rPr>
          <w:rFonts w:ascii="宋体" w:hAnsi="宋体"/>
          <w:color w:val="auto"/>
          <w:sz w:val="24"/>
          <w:highlight w:val="none"/>
        </w:rPr>
      </w:pPr>
      <w:r>
        <w:rPr>
          <w:rFonts w:hint="eastAsia" w:ascii="宋体" w:hAnsi="宋体"/>
          <w:color w:val="auto"/>
          <w:sz w:val="24"/>
          <w:highlight w:val="none"/>
        </w:rPr>
        <w:t>6.成交人必须按时足额支付工人工资，必须办理施工保险和第三者责任险，自行承担施工中发生质量、安全等问题。</w:t>
      </w:r>
    </w:p>
    <w:p w14:paraId="60052B76">
      <w:pPr>
        <w:spacing w:line="400" w:lineRule="exact"/>
        <w:ind w:firstLine="484" w:firstLineChars="202"/>
        <w:rPr>
          <w:rFonts w:ascii="宋体" w:hAnsi="宋体"/>
          <w:color w:val="auto"/>
          <w:sz w:val="24"/>
          <w:highlight w:val="none"/>
        </w:rPr>
      </w:pPr>
      <w:r>
        <w:rPr>
          <w:rFonts w:hint="eastAsia" w:ascii="宋体" w:hAnsi="宋体"/>
          <w:color w:val="auto"/>
          <w:sz w:val="24"/>
          <w:highlight w:val="none"/>
        </w:rPr>
        <w:t>7.成交人必须做到文明施工，注意环境卫生和控制噪音，不得影响正常办公，造成损失的应予以赔偿。</w:t>
      </w:r>
    </w:p>
    <w:p w14:paraId="00422106">
      <w:pPr>
        <w:tabs>
          <w:tab w:val="left" w:pos="142"/>
        </w:tabs>
        <w:spacing w:line="400" w:lineRule="exact"/>
        <w:ind w:firstLine="484" w:firstLineChars="202"/>
        <w:rPr>
          <w:rFonts w:ascii="宋体" w:hAnsi="宋体"/>
          <w:color w:val="auto"/>
          <w:sz w:val="24"/>
          <w:highlight w:val="none"/>
        </w:rPr>
      </w:pPr>
      <w:r>
        <w:rPr>
          <w:rFonts w:hint="eastAsia" w:ascii="宋体" w:hAnsi="宋体"/>
          <w:color w:val="auto"/>
          <w:sz w:val="24"/>
          <w:highlight w:val="none"/>
        </w:rPr>
        <w:t>8.成交人在施工过程中不履行合同或违反有关规定，按合同或有关法律规定进行处理。</w:t>
      </w:r>
    </w:p>
    <w:p w14:paraId="3EF6F03F">
      <w:pPr>
        <w:tabs>
          <w:tab w:val="left" w:pos="142"/>
        </w:tabs>
        <w:spacing w:line="400" w:lineRule="exact"/>
        <w:ind w:firstLine="484" w:firstLineChars="202"/>
        <w:rPr>
          <w:rFonts w:ascii="宋体" w:hAnsi="宋体"/>
          <w:color w:val="auto"/>
          <w:sz w:val="24"/>
          <w:highlight w:val="none"/>
        </w:rPr>
      </w:pPr>
      <w:r>
        <w:rPr>
          <w:rFonts w:hint="eastAsia" w:ascii="宋体" w:hAnsi="宋体"/>
          <w:color w:val="auto"/>
          <w:sz w:val="24"/>
          <w:highlight w:val="none"/>
        </w:rPr>
        <w:t>9.成交人须服从采购人关于安全保卫的相关规定，并采取相应措施保障出入采购人大院施工人员的安全。</w:t>
      </w:r>
    </w:p>
    <w:p w14:paraId="2E9B118D">
      <w:pPr>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10.</w:t>
      </w:r>
      <w:r>
        <w:rPr>
          <w:rFonts w:hint="eastAsia" w:ascii="宋体" w:hAnsi="宋体"/>
          <w:color w:val="auto"/>
          <w:sz w:val="24"/>
          <w:highlight w:val="none"/>
          <w:u w:val="single"/>
        </w:rPr>
        <w:t>成交供应商在履行合同期间应向工程所在地税务部门进行纳税，否则采购人有权单方面终止合同，由此产生的责任和损失均由成交供应商负责。</w:t>
      </w:r>
    </w:p>
    <w:p w14:paraId="62B4E6C8">
      <w:pPr>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11.</w:t>
      </w:r>
      <w:r>
        <w:rPr>
          <w:rFonts w:hint="eastAsia" w:ascii="宋体" w:hAnsi="宋体"/>
          <w:color w:val="auto"/>
          <w:sz w:val="24"/>
          <w:highlight w:val="none"/>
          <w:u w:val="single"/>
        </w:rPr>
        <w:t>施工过程中的卫生保洁及费用，施工安全均由成交供应商负责，保证各种设施整洁、完好。</w:t>
      </w:r>
    </w:p>
    <w:p w14:paraId="565F3332">
      <w:pPr>
        <w:tabs>
          <w:tab w:val="left" w:pos="360"/>
          <w:tab w:val="left" w:pos="540"/>
          <w:tab w:val="left" w:pos="720"/>
        </w:tabs>
        <w:spacing w:line="400" w:lineRule="exact"/>
        <w:ind w:firstLine="482" w:firstLineChars="200"/>
        <w:rPr>
          <w:rFonts w:hint="eastAsia" w:ascii="宋体" w:hAnsi="宋体" w:eastAsia="宋体" w:cs="宋体"/>
          <w:b/>
          <w:color w:val="auto"/>
          <w:sz w:val="24"/>
          <w:highlight w:val="none"/>
          <w:lang w:eastAsia="zh-CN"/>
        </w:rPr>
      </w:pPr>
      <w:bookmarkStart w:id="17" w:name="_Toc49178210"/>
      <w:r>
        <w:rPr>
          <w:rFonts w:hint="eastAsia" w:ascii="宋体" w:hAnsi="宋体" w:eastAsia="宋体" w:cs="宋体"/>
          <w:b/>
          <w:color w:val="auto"/>
          <w:sz w:val="24"/>
          <w:highlight w:val="none"/>
          <w:lang w:val="en-US" w:eastAsia="zh-CN"/>
        </w:rPr>
        <w:t>(六）</w:t>
      </w:r>
      <w:r>
        <w:rPr>
          <w:rFonts w:hint="eastAsia" w:ascii="宋体" w:hAnsi="宋体" w:cs="宋体"/>
          <w:b/>
          <w:color w:val="auto"/>
          <w:sz w:val="24"/>
          <w:highlight w:val="none"/>
          <w:lang w:val="en-US" w:eastAsia="zh-CN"/>
        </w:rPr>
        <w:t>主要货物技术参数要求</w:t>
      </w:r>
      <w:bookmarkEnd w:id="17"/>
    </w:p>
    <w:tbl>
      <w:tblPr>
        <w:tblStyle w:val="20"/>
        <w:tblW w:w="9145" w:type="dxa"/>
        <w:tblInd w:w="0" w:type="dxa"/>
        <w:tblLayout w:type="fixed"/>
        <w:tblCellMar>
          <w:top w:w="0" w:type="dxa"/>
          <w:left w:w="108" w:type="dxa"/>
          <w:bottom w:w="0" w:type="dxa"/>
          <w:right w:w="108" w:type="dxa"/>
        </w:tblCellMar>
      </w:tblPr>
      <w:tblGrid>
        <w:gridCol w:w="737"/>
        <w:gridCol w:w="15"/>
        <w:gridCol w:w="910"/>
        <w:gridCol w:w="7483"/>
      </w:tblGrid>
      <w:tr w14:paraId="6B2F9E43">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154DC">
            <w:pPr>
              <w:spacing w:line="400" w:lineRule="exact"/>
              <w:jc w:val="center"/>
              <w:rPr>
                <w:rFonts w:ascii="宋体" w:hAnsi="宋体"/>
                <w:color w:val="auto"/>
                <w:sz w:val="24"/>
                <w:highlight w:val="none"/>
              </w:rPr>
            </w:pPr>
            <w:r>
              <w:rPr>
                <w:rFonts w:hint="eastAsia" w:ascii="宋体" w:hAnsi="宋体"/>
                <w:color w:val="auto"/>
                <w:sz w:val="24"/>
                <w:highlight w:val="none"/>
              </w:rPr>
              <w:t>序号</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53AF">
            <w:pPr>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FA21">
            <w:pPr>
              <w:spacing w:line="400" w:lineRule="exact"/>
              <w:jc w:val="center"/>
              <w:rPr>
                <w:rFonts w:ascii="宋体" w:hAnsi="宋体"/>
                <w:color w:val="auto"/>
                <w:sz w:val="24"/>
                <w:highlight w:val="none"/>
              </w:rPr>
            </w:pPr>
            <w:r>
              <w:rPr>
                <w:rFonts w:hint="eastAsia" w:ascii="宋体" w:hAnsi="宋体"/>
                <w:color w:val="auto"/>
                <w:sz w:val="24"/>
                <w:highlight w:val="none"/>
              </w:rPr>
              <w:t>项目特征描述</w:t>
            </w:r>
          </w:p>
        </w:tc>
      </w:tr>
      <w:tr w14:paraId="7B654D14">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FB4564">
            <w:pPr>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1</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9ED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点型探测器（含系统）</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D4C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产品需符合GB 20517-2006《独立式感烟火灾探测报警器》要求，取得应急管理部消防产品合格评定中心出具的强制性产品认证证书。（</w:t>
            </w:r>
            <w:r>
              <w:rPr>
                <w:rFonts w:hint="eastAsia" w:ascii="宋体" w:hAnsi="宋体" w:cs="宋体"/>
                <w:b/>
                <w:bCs/>
                <w:color w:val="auto"/>
                <w:sz w:val="24"/>
                <w:highlight w:val="none"/>
                <w:lang w:val="en-US" w:eastAsia="zh-CN"/>
              </w:rPr>
              <w:t>须</w:t>
            </w:r>
            <w:r>
              <w:rPr>
                <w:rFonts w:hint="eastAsia" w:ascii="宋体" w:hAnsi="宋体"/>
                <w:b/>
                <w:bCs/>
                <w:color w:val="auto"/>
                <w:sz w:val="24"/>
                <w:highlight w:val="none"/>
              </w:rPr>
              <w:t>提供应急管理部消防产品合格评定中心出具的强制性产品认证证书复印件</w:t>
            </w:r>
            <w:r>
              <w:rPr>
                <w:rFonts w:hint="eastAsia" w:ascii="宋体" w:hAnsi="宋体"/>
                <w:color w:val="auto"/>
                <w:sz w:val="24"/>
                <w:highlight w:val="none"/>
              </w:rPr>
              <w:t>）</w:t>
            </w:r>
          </w:p>
          <w:p w14:paraId="2B1B2105">
            <w:pPr>
              <w:spacing w:line="400" w:lineRule="exact"/>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b/>
                <w:bCs/>
                <w:color w:val="auto"/>
                <w:sz w:val="24"/>
                <w:highlight w:val="none"/>
                <w:lang w:val="en-US" w:eastAsia="zh-CN"/>
              </w:rPr>
              <w:t>承诺</w:t>
            </w:r>
            <w:r>
              <w:rPr>
                <w:rFonts w:hint="eastAsia" w:ascii="宋体" w:hAnsi="宋体" w:eastAsia="宋体" w:cs="宋体"/>
                <w:color w:val="auto"/>
                <w:sz w:val="24"/>
                <w:highlight w:val="none"/>
                <w:lang w:val="en-US" w:eastAsia="zh-CN"/>
              </w:rPr>
              <w:t>无缝对接</w:t>
            </w:r>
            <w:r>
              <w:rPr>
                <w:rFonts w:hint="eastAsia" w:ascii="宋体" w:hAnsi="宋体" w:eastAsia="宋体" w:cs="宋体"/>
                <w:color w:val="auto"/>
                <w:sz w:val="24"/>
                <w:highlight w:val="none"/>
              </w:rPr>
              <w:t>安全综合管理平台系统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实现监测、报警的联动功能，全面确保执法办案中心火灾隐患及时发现并排除险情。所需费用，包含在投标报价中。</w:t>
            </w:r>
            <w:r>
              <w:rPr>
                <w:rFonts w:hint="eastAsia" w:ascii="宋体" w:hAnsi="宋体" w:cs="宋体"/>
                <w:b/>
                <w:bCs/>
                <w:color w:val="auto"/>
                <w:sz w:val="24"/>
                <w:highlight w:val="none"/>
                <w:lang w:val="en-US" w:eastAsia="zh-CN"/>
              </w:rPr>
              <w:t>须提供承诺函</w:t>
            </w:r>
          </w:p>
          <w:p w14:paraId="216D2D5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设备的镜头视场角应符合以下要求：水平视场角: ≥1</w:t>
            </w:r>
            <w:r>
              <w:rPr>
                <w:rFonts w:hint="eastAsia" w:ascii="宋体" w:hAnsi="宋体" w:eastAsia="宋体" w:cs="宋体"/>
                <w:color w:val="auto"/>
                <w:sz w:val="24"/>
                <w:highlight w:val="none"/>
                <w:lang w:val="en-US" w:eastAsia="zh-CN"/>
              </w:rPr>
              <w:t>65</w:t>
            </w:r>
            <w:r>
              <w:rPr>
                <w:rFonts w:hint="eastAsia" w:ascii="宋体" w:hAnsi="宋体" w:eastAsia="宋体" w:cs="宋体"/>
                <w:color w:val="auto"/>
                <w:sz w:val="24"/>
                <w:highlight w:val="none"/>
              </w:rPr>
              <w:t>°；垂直视场角:≥ 1</w:t>
            </w:r>
            <w:r>
              <w:rPr>
                <w:rFonts w:hint="eastAsia" w:ascii="宋体" w:hAnsi="宋体" w:eastAsia="宋体" w:cs="宋体"/>
                <w:color w:val="auto"/>
                <w:sz w:val="24"/>
                <w:highlight w:val="none"/>
                <w:lang w:val="en-US" w:eastAsia="zh-CN"/>
              </w:rPr>
              <w:t>55</w:t>
            </w:r>
            <w:r>
              <w:rPr>
                <w:rFonts w:hint="eastAsia" w:ascii="宋体" w:hAnsi="宋体" w:eastAsia="宋体" w:cs="宋体"/>
                <w:color w:val="auto"/>
                <w:sz w:val="24"/>
                <w:highlight w:val="none"/>
              </w:rPr>
              <w:t>°  。（</w:t>
            </w:r>
            <w:r>
              <w:rPr>
                <w:rFonts w:hint="eastAsia" w:ascii="宋体" w:hAnsi="宋体" w:eastAsia="宋体" w:cs="宋体"/>
                <w:b/>
                <w:bCs/>
                <w:color w:val="auto"/>
                <w:sz w:val="24"/>
                <w:highlight w:val="none"/>
                <w:lang w:eastAsia="zh-CN"/>
              </w:rPr>
              <w:t>提供公安部检测报告证明</w:t>
            </w:r>
            <w:r>
              <w:rPr>
                <w:rFonts w:hint="eastAsia" w:ascii="宋体" w:hAnsi="宋体" w:cs="宋体"/>
                <w:b/>
                <w:bCs/>
                <w:color w:val="auto"/>
                <w:sz w:val="24"/>
                <w:highlight w:val="none"/>
                <w:lang w:eastAsia="zh-CN"/>
              </w:rPr>
              <w:t>或提供国家认可的第三方检测机构出具的带CMA标志且页码连续完整的检测报告复印件</w:t>
            </w:r>
            <w:r>
              <w:rPr>
                <w:rFonts w:hint="eastAsia" w:ascii="宋体" w:hAnsi="宋体" w:eastAsia="宋体" w:cs="宋体"/>
                <w:color w:val="auto"/>
                <w:sz w:val="24"/>
                <w:highlight w:val="none"/>
              </w:rPr>
              <w:t>）</w:t>
            </w:r>
          </w:p>
          <w:p w14:paraId="33CD0C96">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当探测到烟雾触发报警时，设备应支持在视频画面中叠加“烟雾报警”进行报警提示。（</w:t>
            </w:r>
            <w:r>
              <w:rPr>
                <w:rFonts w:hint="eastAsia" w:ascii="宋体" w:hAnsi="宋体" w:eastAsia="宋体" w:cs="宋体"/>
                <w:b/>
                <w:bCs/>
                <w:color w:val="auto"/>
                <w:sz w:val="24"/>
                <w:highlight w:val="none"/>
                <w:lang w:eastAsia="zh-CN"/>
              </w:rPr>
              <w:t>提供公安部检测报告证明</w:t>
            </w:r>
            <w:r>
              <w:rPr>
                <w:rFonts w:hint="eastAsia" w:ascii="宋体" w:hAnsi="宋体" w:cs="宋体"/>
                <w:b/>
                <w:bCs/>
                <w:color w:val="auto"/>
                <w:sz w:val="24"/>
                <w:highlight w:val="none"/>
                <w:lang w:eastAsia="zh-CN"/>
              </w:rPr>
              <w:t>或提供国家认可的第三方检测机构出具的带CMA标志且页码连续完整的检测报告复印件</w:t>
            </w:r>
            <w:r>
              <w:rPr>
                <w:rFonts w:hint="eastAsia" w:ascii="宋体" w:hAnsi="宋体" w:eastAsia="宋体" w:cs="宋体"/>
                <w:color w:val="auto"/>
                <w:sz w:val="24"/>
                <w:highlight w:val="none"/>
              </w:rPr>
              <w:t>）</w:t>
            </w:r>
          </w:p>
          <w:p w14:paraId="33D406DC">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设备应具有烟雾探测功能，当探测到的烟雾参数超过预定的阈值时，设备应自动产生烟雾报警。当发生断电时，设备应自动切换到采用电池供电，应仍能探测到烟雾进行报警。（</w:t>
            </w:r>
            <w:r>
              <w:rPr>
                <w:rFonts w:hint="eastAsia" w:ascii="宋体" w:hAnsi="宋体" w:eastAsia="宋体" w:cs="宋体"/>
                <w:b/>
                <w:bCs/>
                <w:color w:val="auto"/>
                <w:sz w:val="24"/>
                <w:highlight w:val="none"/>
                <w:lang w:eastAsia="zh-CN"/>
              </w:rPr>
              <w:t>提供公安部检测报告证明</w:t>
            </w:r>
            <w:r>
              <w:rPr>
                <w:rFonts w:hint="eastAsia" w:ascii="宋体" w:hAnsi="宋体" w:cs="宋体"/>
                <w:b/>
                <w:bCs/>
                <w:color w:val="auto"/>
                <w:sz w:val="24"/>
                <w:highlight w:val="none"/>
                <w:lang w:eastAsia="zh-CN"/>
              </w:rPr>
              <w:t>或提供国家认可的第三方检测机构出具的带CMA标志且页码连续完整的检测报告复印件</w:t>
            </w:r>
            <w:r>
              <w:rPr>
                <w:rFonts w:hint="eastAsia" w:ascii="宋体" w:hAnsi="宋体" w:eastAsia="宋体" w:cs="宋体"/>
                <w:color w:val="auto"/>
                <w:sz w:val="24"/>
                <w:highlight w:val="none"/>
              </w:rPr>
              <w:t>）</w:t>
            </w:r>
          </w:p>
          <w:p w14:paraId="2EDABA25">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当探测到烟雾触发报警时，设备应联动摄像机自动抓图和录像，并保存报警图片和报警视频。（</w:t>
            </w:r>
            <w:r>
              <w:rPr>
                <w:rFonts w:hint="eastAsia" w:ascii="宋体" w:hAnsi="宋体" w:eastAsia="宋体" w:cs="宋体"/>
                <w:b/>
                <w:bCs/>
                <w:color w:val="auto"/>
                <w:sz w:val="24"/>
                <w:highlight w:val="none"/>
                <w:lang w:eastAsia="zh-CN"/>
              </w:rPr>
              <w:t>提供公安部检测报告证明</w:t>
            </w:r>
            <w:r>
              <w:rPr>
                <w:rFonts w:hint="eastAsia" w:ascii="宋体" w:hAnsi="宋体" w:cs="宋体"/>
                <w:b/>
                <w:bCs/>
                <w:color w:val="auto"/>
                <w:sz w:val="24"/>
                <w:highlight w:val="none"/>
                <w:lang w:eastAsia="zh-CN"/>
              </w:rPr>
              <w:t>或提供国家认可的第三方检测机构出具的带CMA标志且页码连续完整的检测报告复印件</w:t>
            </w:r>
            <w:r>
              <w:rPr>
                <w:rFonts w:hint="eastAsia" w:ascii="宋体" w:hAnsi="宋体" w:eastAsia="宋体" w:cs="宋体"/>
                <w:color w:val="auto"/>
                <w:sz w:val="24"/>
                <w:highlight w:val="none"/>
              </w:rPr>
              <w:t>）</w:t>
            </w:r>
          </w:p>
          <w:p w14:paraId="6E3A84A8">
            <w:pPr>
              <w:spacing w:line="400" w:lineRule="exact"/>
              <w:jc w:val="left"/>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产品需符合GB 20517-2006《独立式感烟火灾探测报警器》要求，并取得国家消防电子产品质量监督检验中心出具的型式试验报告（</w:t>
            </w:r>
            <w:r>
              <w:rPr>
                <w:rFonts w:hint="eastAsia" w:ascii="宋体" w:hAnsi="宋体"/>
                <w:b/>
                <w:bCs/>
                <w:color w:val="auto"/>
                <w:sz w:val="24"/>
                <w:highlight w:val="none"/>
              </w:rPr>
              <w:t>提供</w:t>
            </w:r>
            <w:r>
              <w:rPr>
                <w:rFonts w:hint="eastAsia" w:ascii="宋体" w:hAnsi="宋体"/>
                <w:b/>
                <w:bCs/>
                <w:color w:val="auto"/>
                <w:sz w:val="24"/>
                <w:highlight w:val="none"/>
                <w:lang w:eastAsia="zh-CN"/>
              </w:rPr>
              <w:t>国家认可</w:t>
            </w:r>
            <w:r>
              <w:rPr>
                <w:rFonts w:hint="eastAsia" w:ascii="宋体" w:hAnsi="宋体"/>
                <w:b/>
                <w:bCs/>
                <w:color w:val="auto"/>
                <w:sz w:val="24"/>
                <w:highlight w:val="none"/>
                <w:lang w:val="en-US" w:eastAsia="zh-CN"/>
              </w:rPr>
              <w:t>的</w:t>
            </w:r>
            <w:r>
              <w:rPr>
                <w:rFonts w:hint="eastAsia" w:ascii="宋体" w:hAnsi="宋体"/>
                <w:b/>
                <w:bCs/>
                <w:color w:val="auto"/>
                <w:sz w:val="24"/>
                <w:highlight w:val="none"/>
              </w:rPr>
              <w:t>检测机构出具的型式试验报告复印件</w:t>
            </w:r>
            <w:r>
              <w:rPr>
                <w:rFonts w:hint="eastAsia" w:ascii="宋体" w:hAnsi="宋体"/>
                <w:color w:val="auto"/>
                <w:sz w:val="24"/>
                <w:highlight w:val="none"/>
              </w:rPr>
              <w:t>）</w:t>
            </w:r>
          </w:p>
          <w:p w14:paraId="664486CA">
            <w:pPr>
              <w:spacing w:line="400" w:lineRule="exact"/>
              <w:jc w:val="left"/>
              <w:rPr>
                <w:rFonts w:hint="eastAsia" w:ascii="宋体" w:hAnsi="宋体" w:eastAsia="宋体" w:cs="宋体"/>
                <w:color w:val="auto"/>
                <w:sz w:val="24"/>
                <w:highlight w:val="none"/>
                <w:lang w:val="en-US" w:eastAsia="zh-CN"/>
              </w:rPr>
            </w:pPr>
            <w:r>
              <w:rPr>
                <w:rFonts w:hint="eastAsia" w:ascii="宋体" w:hAnsi="宋体"/>
                <w:color w:val="auto"/>
                <w:sz w:val="24"/>
                <w:highlight w:val="none"/>
                <w:lang w:val="en-US" w:eastAsia="zh-CN"/>
              </w:rPr>
              <w:t>8、</w:t>
            </w:r>
            <w:r>
              <w:rPr>
                <w:rFonts w:hint="eastAsia" w:ascii="宋体" w:hAnsi="宋体"/>
                <w:color w:val="auto"/>
                <w:sz w:val="24"/>
                <w:highlight w:val="none"/>
              </w:rPr>
              <w:t>在距设备</w:t>
            </w:r>
            <w:r>
              <w:rPr>
                <w:rFonts w:hint="eastAsia" w:ascii="宋体" w:hAnsi="宋体" w:eastAsia="宋体" w:cs="宋体"/>
                <w:color w:val="auto"/>
                <w:sz w:val="24"/>
                <w:highlight w:val="none"/>
              </w:rPr>
              <w:t>正</w:t>
            </w:r>
            <w:r>
              <w:rPr>
                <w:rFonts w:hint="eastAsia" w:ascii="宋体" w:hAnsi="宋体"/>
                <w:color w:val="auto"/>
                <w:sz w:val="24"/>
                <w:highlight w:val="none"/>
              </w:rPr>
              <w:t>前方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lang w:val="en-US" w:eastAsia="zh-CN"/>
              </w:rPr>
              <w:t>.8</w:t>
            </w:r>
            <w:r>
              <w:rPr>
                <w:rFonts w:hint="eastAsia" w:ascii="宋体" w:hAnsi="宋体"/>
                <w:color w:val="auto"/>
                <w:sz w:val="24"/>
                <w:highlight w:val="none"/>
              </w:rPr>
              <w:t>米处</w:t>
            </w:r>
            <w:r>
              <w:rPr>
                <w:rFonts w:hint="eastAsia" w:ascii="宋体" w:hAnsi="宋体" w:eastAsia="宋体" w:cs="宋体"/>
                <w:color w:val="auto"/>
                <w:sz w:val="24"/>
                <w:highlight w:val="none"/>
              </w:rPr>
              <w:t>，设备蜂</w:t>
            </w:r>
            <w:r>
              <w:rPr>
                <w:rFonts w:hint="eastAsia" w:ascii="宋体" w:hAnsi="宋体"/>
                <w:color w:val="auto"/>
                <w:sz w:val="24"/>
                <w:highlight w:val="none"/>
              </w:rPr>
              <w:t>鸣器的声压级应大于等于85dB(A计权)。（</w:t>
            </w:r>
            <w:r>
              <w:rPr>
                <w:rFonts w:hint="eastAsia" w:ascii="宋体" w:hAnsi="宋体"/>
                <w:b/>
                <w:bCs/>
                <w:color w:val="auto"/>
                <w:sz w:val="24"/>
                <w:highlight w:val="none"/>
                <w:lang w:eastAsia="zh-CN"/>
              </w:rPr>
              <w:t>提供公安部检测报告证明或提供国家认可的第三方检测机构出具的带CMA标志且页码连续完整的检测报告复印件</w:t>
            </w:r>
            <w:r>
              <w:rPr>
                <w:rFonts w:hint="eastAsia" w:ascii="宋体" w:hAnsi="宋体"/>
                <w:color w:val="auto"/>
                <w:sz w:val="24"/>
                <w:highlight w:val="none"/>
              </w:rPr>
              <w:t>）</w:t>
            </w:r>
          </w:p>
        </w:tc>
      </w:tr>
      <w:tr w14:paraId="08AB7742">
        <w:tblPrEx>
          <w:tblCellMar>
            <w:top w:w="0" w:type="dxa"/>
            <w:left w:w="108" w:type="dxa"/>
            <w:bottom w:w="0" w:type="dxa"/>
            <w:right w:w="108" w:type="dxa"/>
          </w:tblCellMar>
        </w:tblPrEx>
        <w:trPr>
          <w:trHeight w:val="2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7EBB">
            <w:pPr>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还2</w:t>
            </w:r>
          </w:p>
        </w:tc>
        <w:tc>
          <w:tcPr>
            <w:tcW w:w="9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CC98B">
            <w:pPr>
              <w:spacing w:line="400" w:lineRule="exact"/>
              <w:jc w:val="center"/>
              <w:rPr>
                <w:rFonts w:ascii="宋体" w:hAnsi="宋体"/>
                <w:color w:val="auto"/>
                <w:sz w:val="24"/>
                <w:highlight w:val="none"/>
              </w:rPr>
            </w:pPr>
            <w:r>
              <w:rPr>
                <w:rFonts w:hint="eastAsia" w:ascii="宋体" w:hAnsi="宋体"/>
                <w:color w:val="auto"/>
                <w:sz w:val="24"/>
                <w:highlight w:val="none"/>
              </w:rPr>
              <w:t>智能安全控电箱</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6144">
            <w:pPr>
              <w:spacing w:line="400" w:lineRule="exact"/>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自动合闸（无需人工，自动分闸合闸保护器报警跳闸后，检测故障排除后自动重合闸通电）；（</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w:t>
            </w:r>
          </w:p>
          <w:p w14:paraId="4A263493">
            <w:pPr>
              <w:spacing w:line="400" w:lineRule="exact"/>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设备具有灭火装置：采用热气溶胶灭火装置;启动方式:热敏线启动/电启动;灭火剂充装量:</w:t>
            </w:r>
            <w:r>
              <w:rPr>
                <w:rFonts w:hint="eastAsia" w:ascii="宋体" w:hAnsi="宋体" w:eastAsia="宋体" w:cs="宋体"/>
                <w:color w:val="auto"/>
                <w:sz w:val="24"/>
                <w:highlight w:val="none"/>
              </w:rPr>
              <w:t>≧</w:t>
            </w: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g;灭火装置在接通启动信号后应能正常喷射。在喷射期间，喷口处应无明火或火星，喷射期间或喷射后应无残渣外溢。喷射结束后，外壳不应出现变形、烧穿或壳体表面引燃等现象；（</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w:t>
            </w:r>
          </w:p>
          <w:p w14:paraId="1CF6B983">
            <w:pPr>
              <w:spacing w:line="400" w:lineRule="exact"/>
              <w:jc w:val="left"/>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可在设备液晶显示屏扫描二维码绑定及控制设备（</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w:t>
            </w:r>
          </w:p>
          <w:p w14:paraId="0394CC28">
            <w:pPr>
              <w:spacing w:line="400" w:lineRule="exact"/>
              <w:jc w:val="left"/>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设备面板自带≥4.</w:t>
            </w:r>
            <w:r>
              <w:rPr>
                <w:rFonts w:hint="eastAsia" w:ascii="宋体" w:hAnsi="宋体"/>
                <w:color w:val="auto"/>
                <w:sz w:val="24"/>
                <w:highlight w:val="none"/>
                <w:lang w:val="en-US" w:eastAsia="zh-CN"/>
              </w:rPr>
              <w:t>0</w:t>
            </w:r>
            <w:r>
              <w:rPr>
                <w:rFonts w:hint="eastAsia" w:ascii="宋体" w:hAnsi="宋体"/>
                <w:color w:val="auto"/>
                <w:sz w:val="24"/>
                <w:highlight w:val="none"/>
              </w:rPr>
              <w:t>寸触控液晶显示屏可查看设备电压﹑电流﹑使用电量﹑设备号﹑温度﹑湿度。（</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 xml:space="preserve">）                                                   </w:t>
            </w:r>
          </w:p>
          <w:p w14:paraId="44D1C991">
            <w:pPr>
              <w:spacing w:line="400" w:lineRule="exact"/>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5、</w:t>
            </w:r>
            <w:r>
              <w:rPr>
                <w:rFonts w:hint="eastAsia" w:ascii="宋体" w:hAnsi="宋体"/>
                <w:color w:val="auto"/>
                <w:sz w:val="24"/>
                <w:highlight w:val="none"/>
              </w:rPr>
              <w:t>设备集成≥4.</w:t>
            </w:r>
            <w:r>
              <w:rPr>
                <w:rFonts w:hint="eastAsia" w:ascii="宋体" w:hAnsi="宋体"/>
                <w:color w:val="auto"/>
                <w:sz w:val="24"/>
                <w:highlight w:val="none"/>
                <w:lang w:val="en-US" w:eastAsia="zh-CN"/>
              </w:rPr>
              <w:t>0</w:t>
            </w:r>
            <w:r>
              <w:rPr>
                <w:rFonts w:hint="eastAsia" w:ascii="宋体" w:hAnsi="宋体"/>
                <w:color w:val="auto"/>
                <w:sz w:val="24"/>
                <w:highlight w:val="none"/>
              </w:rPr>
              <w:t>寸触控显示器，显示器可显示温度、湿度的检测和报警、烟雾报警、漏电报警、功率、三相电的电压及电流；</w:t>
            </w:r>
          </w:p>
          <w:p w14:paraId="797E281F">
            <w:pPr>
              <w:spacing w:line="400" w:lineRule="exact"/>
              <w:jc w:val="left"/>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设备显示器可显示≥</w:t>
            </w:r>
            <w:r>
              <w:rPr>
                <w:rFonts w:hint="eastAsia" w:ascii="宋体" w:hAnsi="宋体"/>
                <w:color w:val="auto"/>
                <w:sz w:val="24"/>
                <w:highlight w:val="none"/>
                <w:lang w:val="en-US" w:eastAsia="zh-CN"/>
              </w:rPr>
              <w:t>7</w:t>
            </w:r>
            <w:r>
              <w:rPr>
                <w:rFonts w:hint="eastAsia" w:ascii="宋体" w:hAnsi="宋体"/>
                <w:color w:val="auto"/>
                <w:sz w:val="24"/>
                <w:highlight w:val="none"/>
              </w:rPr>
              <w:t>路运行状态；显示器可显示项目名称及财产编号、IP地址。</w:t>
            </w:r>
          </w:p>
          <w:p w14:paraId="10053D5A">
            <w:pPr>
              <w:spacing w:line="400" w:lineRule="exact"/>
              <w:jc w:val="left"/>
              <w:rPr>
                <w:rFonts w:hint="eastAsia"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进行B类火灭火试验，灭火装置应在喷放结束后≤30s内灭火;（</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 xml:space="preserve">）  </w:t>
            </w:r>
          </w:p>
          <w:p w14:paraId="6ECC17F1">
            <w:pPr>
              <w:spacing w:line="400" w:lineRule="exact"/>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8、</w:t>
            </w:r>
            <w:r>
              <w:rPr>
                <w:rFonts w:hint="eastAsia" w:ascii="宋体" w:hAnsi="宋体"/>
                <w:color w:val="auto"/>
                <w:sz w:val="24"/>
                <w:highlight w:val="none"/>
              </w:rPr>
              <w:t xml:space="preserve">支持 PC 端局域网远程设置时间，可设置≥ </w:t>
            </w:r>
            <w:r>
              <w:rPr>
                <w:rFonts w:hint="eastAsia" w:ascii="宋体" w:hAnsi="宋体"/>
                <w:color w:val="auto"/>
                <w:sz w:val="24"/>
                <w:highlight w:val="none"/>
                <w:lang w:val="en-US" w:eastAsia="zh-CN"/>
              </w:rPr>
              <w:t>30</w:t>
            </w:r>
            <w:r>
              <w:rPr>
                <w:rFonts w:hint="eastAsia" w:ascii="宋体" w:hAnsi="宋体"/>
                <w:color w:val="auto"/>
                <w:sz w:val="24"/>
                <w:highlight w:val="none"/>
              </w:rPr>
              <w:t>个启动时间及关闭时间。（</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 xml:space="preserve">）   </w:t>
            </w:r>
          </w:p>
        </w:tc>
      </w:tr>
      <w:tr w14:paraId="200DDD02">
        <w:tblPrEx>
          <w:tblCellMar>
            <w:top w:w="0" w:type="dxa"/>
            <w:left w:w="108" w:type="dxa"/>
            <w:bottom w:w="0" w:type="dxa"/>
            <w:right w:w="108" w:type="dxa"/>
          </w:tblCellMar>
        </w:tblPrEx>
        <w:trPr>
          <w:trHeight w:val="23"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A887">
            <w:pPr>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w:t>
            </w:r>
          </w:p>
        </w:tc>
        <w:tc>
          <w:tcPr>
            <w:tcW w:w="9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8B847">
            <w:pPr>
              <w:spacing w:line="400" w:lineRule="exact"/>
              <w:jc w:val="center"/>
              <w:rPr>
                <w:rFonts w:ascii="宋体" w:hAnsi="宋体"/>
                <w:color w:val="auto"/>
                <w:sz w:val="24"/>
                <w:highlight w:val="none"/>
              </w:rPr>
            </w:pPr>
            <w:r>
              <w:rPr>
                <w:rFonts w:hint="eastAsia" w:ascii="宋体" w:hAnsi="宋体"/>
                <w:color w:val="auto"/>
                <w:sz w:val="24"/>
                <w:highlight w:val="none"/>
              </w:rPr>
              <w:t>服务器机柜</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B4F5">
            <w:pPr>
              <w:spacing w:line="400" w:lineRule="exact"/>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rPr>
              <w:t>集成温湿度、烟雾告警功能（</w:t>
            </w:r>
            <w:r>
              <w:rPr>
                <w:rFonts w:hint="eastAsia" w:ascii="宋体" w:hAnsi="宋体"/>
                <w:b/>
                <w:bCs/>
                <w:color w:val="auto"/>
                <w:sz w:val="24"/>
                <w:highlight w:val="none"/>
                <w:lang w:eastAsia="zh-CN"/>
              </w:rPr>
              <w:t>须提供国家认可</w:t>
            </w:r>
            <w:r>
              <w:rPr>
                <w:rFonts w:hint="eastAsia" w:ascii="宋体" w:hAnsi="宋体"/>
                <w:b/>
                <w:bCs/>
                <w:color w:val="auto"/>
                <w:sz w:val="24"/>
                <w:highlight w:val="none"/>
              </w:rPr>
              <w:t>的第三方检测机构出具的带</w:t>
            </w:r>
            <w:r>
              <w:rPr>
                <w:rFonts w:hint="eastAsia" w:ascii="宋体" w:hAnsi="宋体"/>
                <w:b/>
                <w:bCs/>
                <w:color w:val="auto"/>
                <w:sz w:val="24"/>
                <w:highlight w:val="none"/>
                <w:lang w:eastAsia="zh-CN"/>
              </w:rPr>
              <w:t>CMA</w:t>
            </w:r>
            <w:r>
              <w:rPr>
                <w:rFonts w:hint="eastAsia" w:ascii="宋体" w:hAnsi="宋体"/>
                <w:b/>
                <w:bCs/>
                <w:color w:val="auto"/>
                <w:sz w:val="24"/>
                <w:highlight w:val="none"/>
              </w:rPr>
              <w:t>标志且页码连续完整的检测报告复印件。</w:t>
            </w:r>
            <w:r>
              <w:rPr>
                <w:rFonts w:hint="eastAsia" w:ascii="宋体" w:hAnsi="宋体"/>
                <w:color w:val="auto"/>
                <w:sz w:val="24"/>
                <w:highlight w:val="none"/>
              </w:rPr>
              <w:t>）。</w:t>
            </w:r>
          </w:p>
          <w:p w14:paraId="2684E6CC">
            <w:pPr>
              <w:spacing w:line="400" w:lineRule="exact"/>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2、机柜与</w:t>
            </w:r>
            <w:r>
              <w:rPr>
                <w:rFonts w:hint="eastAsia" w:ascii="宋体" w:hAnsi="宋体"/>
                <w:color w:val="auto"/>
                <w:sz w:val="24"/>
                <w:highlight w:val="none"/>
              </w:rPr>
              <w:t>温湿度、烟雾告警</w:t>
            </w:r>
            <w:r>
              <w:rPr>
                <w:rFonts w:hint="eastAsia" w:ascii="宋体" w:hAnsi="宋体"/>
                <w:color w:val="auto"/>
                <w:sz w:val="24"/>
                <w:highlight w:val="none"/>
                <w:lang w:val="en-US" w:eastAsia="zh-CN"/>
              </w:rPr>
              <w:t>系统为同一厂家（</w:t>
            </w:r>
            <w:r>
              <w:rPr>
                <w:rFonts w:hint="eastAsia" w:ascii="宋体" w:hAnsi="宋体"/>
                <w:b/>
                <w:bCs/>
                <w:color w:val="auto"/>
                <w:sz w:val="24"/>
                <w:highlight w:val="none"/>
                <w:lang w:val="en-US" w:eastAsia="zh-CN"/>
              </w:rPr>
              <w:t>提供相关证明材料</w:t>
            </w:r>
            <w:r>
              <w:rPr>
                <w:rFonts w:hint="eastAsia" w:ascii="宋体" w:hAnsi="宋体"/>
                <w:color w:val="auto"/>
                <w:sz w:val="24"/>
                <w:highlight w:val="none"/>
                <w:lang w:val="en-US" w:eastAsia="zh-CN"/>
              </w:rPr>
              <w:t>）</w:t>
            </w:r>
          </w:p>
        </w:tc>
      </w:tr>
      <w:tr w14:paraId="12093D09">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DE89A1">
            <w:pPr>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4</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8BC8">
            <w:pPr>
              <w:spacing w:line="400" w:lineRule="exact"/>
              <w:jc w:val="center"/>
              <w:rPr>
                <w:rFonts w:ascii="宋体" w:hAnsi="宋体"/>
                <w:color w:val="auto"/>
                <w:sz w:val="24"/>
                <w:highlight w:val="none"/>
              </w:rPr>
            </w:pPr>
            <w:r>
              <w:rPr>
                <w:rFonts w:hint="eastAsia" w:ascii="宋体" w:hAnsi="宋体"/>
                <w:color w:val="auto"/>
                <w:sz w:val="24"/>
                <w:highlight w:val="none"/>
              </w:rPr>
              <w:t>6类非屏蔽跳线</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3251">
            <w:pPr>
              <w:spacing w:line="400" w:lineRule="exact"/>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rPr>
              <w:t>LED灯导航跳线功能有三种指示</w:t>
            </w:r>
            <w:r>
              <w:rPr>
                <w:rFonts w:hint="eastAsia" w:ascii="宋体" w:hAnsi="宋体"/>
                <w:color w:val="auto"/>
                <w:sz w:val="24"/>
                <w:highlight w:val="none"/>
                <w:lang w:val="en-US" w:eastAsia="zh-CN"/>
              </w:rPr>
              <w:t>灯</w:t>
            </w:r>
            <w:r>
              <w:rPr>
                <w:rFonts w:hint="eastAsia" w:ascii="宋体" w:hAnsi="宋体"/>
                <w:color w:val="auto"/>
                <w:sz w:val="24"/>
                <w:highlight w:val="none"/>
              </w:rPr>
              <w:t>状态。</w:t>
            </w:r>
            <w:r>
              <w:rPr>
                <w:rFonts w:hint="eastAsia" w:ascii="宋体" w:hAnsi="宋体"/>
                <w:color w:val="auto"/>
                <w:sz w:val="24"/>
                <w:highlight w:val="none"/>
                <w:lang w:val="en-US" w:eastAsia="zh-CN"/>
              </w:rPr>
              <w:t>分别指示：</w:t>
            </w:r>
            <w:r>
              <w:rPr>
                <w:rFonts w:hint="eastAsia" w:ascii="宋体" w:hAnsi="宋体"/>
                <w:color w:val="auto"/>
                <w:sz w:val="24"/>
                <w:highlight w:val="none"/>
              </w:rPr>
              <w:t>终端端口连接到网络设备</w:t>
            </w:r>
            <w:r>
              <w:rPr>
                <w:rFonts w:hint="eastAsia" w:ascii="宋体" w:hAnsi="宋体"/>
                <w:color w:val="auto"/>
                <w:sz w:val="24"/>
                <w:highlight w:val="none"/>
                <w:lang w:eastAsia="zh-CN"/>
              </w:rPr>
              <w:t>、</w:t>
            </w:r>
            <w:r>
              <w:rPr>
                <w:rFonts w:hint="eastAsia" w:ascii="宋体" w:hAnsi="宋体"/>
                <w:color w:val="auto"/>
                <w:sz w:val="24"/>
                <w:highlight w:val="none"/>
              </w:rPr>
              <w:t>终端端口没有连接到网络设备</w:t>
            </w:r>
            <w:r>
              <w:rPr>
                <w:rFonts w:hint="eastAsia" w:ascii="宋体" w:hAnsi="宋体"/>
                <w:color w:val="auto"/>
                <w:sz w:val="24"/>
                <w:highlight w:val="none"/>
                <w:lang w:eastAsia="zh-CN"/>
              </w:rPr>
              <w:t>、</w:t>
            </w:r>
            <w:r>
              <w:rPr>
                <w:rFonts w:hint="eastAsia" w:ascii="宋体" w:hAnsi="宋体"/>
                <w:color w:val="auto"/>
                <w:sz w:val="24"/>
                <w:highlight w:val="none"/>
              </w:rPr>
              <w:t>LED灯不亮；3/6线对断路。</w:t>
            </w:r>
            <w:r>
              <w:rPr>
                <w:rFonts w:hint="eastAsia" w:ascii="宋体" w:hAnsi="宋体"/>
                <w:b/>
                <w:bCs/>
                <w:color w:val="auto"/>
                <w:sz w:val="24"/>
                <w:highlight w:val="none"/>
                <w:lang w:eastAsia="zh-CN"/>
              </w:rPr>
              <w:t>须</w:t>
            </w:r>
            <w:r>
              <w:rPr>
                <w:rFonts w:hint="eastAsia" w:ascii="宋体" w:hAnsi="宋体"/>
                <w:b/>
                <w:bCs/>
                <w:color w:val="auto"/>
                <w:sz w:val="24"/>
                <w:highlight w:val="none"/>
              </w:rPr>
              <w:t>提供具有CMA认可标志的第三方实验室出具</w:t>
            </w:r>
            <w:r>
              <w:rPr>
                <w:rFonts w:hint="eastAsia" w:ascii="宋体" w:hAnsi="宋体"/>
                <w:b/>
                <w:bCs/>
                <w:color w:val="auto"/>
                <w:sz w:val="24"/>
                <w:highlight w:val="none"/>
                <w:lang w:val="en-US" w:eastAsia="zh-CN"/>
              </w:rPr>
              <w:t>的</w:t>
            </w:r>
            <w:r>
              <w:rPr>
                <w:rFonts w:hint="eastAsia" w:ascii="宋体" w:hAnsi="宋体"/>
                <w:b/>
                <w:bCs/>
                <w:color w:val="auto"/>
                <w:sz w:val="24"/>
                <w:highlight w:val="none"/>
              </w:rPr>
              <w:t>且页码连续完整的检测报告复印件</w:t>
            </w:r>
          </w:p>
        </w:tc>
      </w:tr>
      <w:tr w14:paraId="3AE028E0">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55B3C">
            <w:pPr>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9603">
            <w:pPr>
              <w:spacing w:line="400" w:lineRule="exact"/>
              <w:jc w:val="center"/>
              <w:rPr>
                <w:rFonts w:ascii="宋体" w:hAnsi="宋体"/>
                <w:color w:val="auto"/>
                <w:sz w:val="24"/>
                <w:highlight w:val="none"/>
              </w:rPr>
            </w:pPr>
            <w:r>
              <w:rPr>
                <w:rFonts w:hint="eastAsia" w:ascii="宋体" w:hAnsi="宋体"/>
                <w:color w:val="auto"/>
                <w:sz w:val="24"/>
                <w:highlight w:val="none"/>
              </w:rPr>
              <w:t>六类模块</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B083">
            <w:pPr>
              <w:spacing w:line="400" w:lineRule="exact"/>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w:t>
            </w:r>
            <w:r>
              <w:rPr>
                <w:rFonts w:hint="eastAsia" w:ascii="宋体" w:hAnsi="宋体"/>
                <w:color w:val="auto"/>
                <w:sz w:val="24"/>
                <w:highlight w:val="none"/>
              </w:rPr>
              <w:t>LED灯导航功能能有三种指示</w:t>
            </w:r>
            <w:r>
              <w:rPr>
                <w:rFonts w:hint="eastAsia" w:ascii="宋体" w:hAnsi="宋体"/>
                <w:color w:val="auto"/>
                <w:sz w:val="24"/>
                <w:highlight w:val="none"/>
                <w:lang w:val="en-US" w:eastAsia="zh-CN"/>
              </w:rPr>
              <w:t>灯</w:t>
            </w:r>
            <w:r>
              <w:rPr>
                <w:rFonts w:hint="eastAsia" w:ascii="宋体" w:hAnsi="宋体"/>
                <w:color w:val="auto"/>
                <w:sz w:val="24"/>
                <w:highlight w:val="none"/>
              </w:rPr>
              <w:t>状态。</w:t>
            </w:r>
            <w:r>
              <w:rPr>
                <w:rFonts w:hint="eastAsia" w:ascii="宋体" w:hAnsi="宋体"/>
                <w:color w:val="auto"/>
                <w:sz w:val="24"/>
                <w:highlight w:val="none"/>
                <w:lang w:val="en-US" w:eastAsia="zh-CN"/>
              </w:rPr>
              <w:t>分别指示：</w:t>
            </w:r>
            <w:r>
              <w:rPr>
                <w:rFonts w:hint="eastAsia" w:ascii="宋体" w:hAnsi="宋体"/>
                <w:color w:val="auto"/>
                <w:sz w:val="24"/>
                <w:highlight w:val="none"/>
              </w:rPr>
              <w:t>终端端口连接到网络设备</w:t>
            </w:r>
            <w:r>
              <w:rPr>
                <w:rFonts w:hint="eastAsia" w:ascii="宋体" w:hAnsi="宋体"/>
                <w:color w:val="auto"/>
                <w:sz w:val="24"/>
                <w:highlight w:val="none"/>
                <w:lang w:eastAsia="zh-CN"/>
              </w:rPr>
              <w:t>、</w:t>
            </w:r>
            <w:r>
              <w:rPr>
                <w:rFonts w:hint="eastAsia" w:ascii="宋体" w:hAnsi="宋体"/>
                <w:color w:val="auto"/>
                <w:sz w:val="24"/>
                <w:highlight w:val="none"/>
              </w:rPr>
              <w:t>终端端口没有连接到网络设备</w:t>
            </w:r>
            <w:r>
              <w:rPr>
                <w:rFonts w:hint="eastAsia" w:ascii="宋体" w:hAnsi="宋体"/>
                <w:color w:val="auto"/>
                <w:sz w:val="24"/>
                <w:highlight w:val="none"/>
                <w:lang w:eastAsia="zh-CN"/>
              </w:rPr>
              <w:t>、</w:t>
            </w:r>
            <w:r>
              <w:rPr>
                <w:rFonts w:hint="eastAsia" w:ascii="宋体" w:hAnsi="宋体"/>
                <w:color w:val="auto"/>
                <w:sz w:val="24"/>
                <w:highlight w:val="none"/>
              </w:rPr>
              <w:t>LED灯不亮：配线架与端口无3/6线对连接,</w:t>
            </w:r>
            <w:r>
              <w:rPr>
                <w:rFonts w:hint="eastAsia" w:ascii="宋体" w:hAnsi="宋体"/>
                <w:b/>
                <w:bCs/>
                <w:color w:val="auto"/>
                <w:sz w:val="24"/>
                <w:highlight w:val="none"/>
                <w:lang w:eastAsia="zh-CN"/>
              </w:rPr>
              <w:t>须</w:t>
            </w:r>
            <w:r>
              <w:rPr>
                <w:rFonts w:hint="eastAsia" w:ascii="宋体" w:hAnsi="宋体"/>
                <w:b/>
                <w:bCs/>
                <w:color w:val="auto"/>
                <w:sz w:val="24"/>
                <w:highlight w:val="none"/>
              </w:rPr>
              <w:t>提供具有CMA认可标志的第三方实验室出具</w:t>
            </w:r>
            <w:r>
              <w:rPr>
                <w:rFonts w:hint="eastAsia" w:ascii="宋体" w:hAnsi="宋体"/>
                <w:b/>
                <w:bCs/>
                <w:color w:val="auto"/>
                <w:sz w:val="24"/>
                <w:highlight w:val="none"/>
                <w:lang w:val="en-US" w:eastAsia="zh-CN"/>
              </w:rPr>
              <w:t>的</w:t>
            </w:r>
            <w:r>
              <w:rPr>
                <w:rFonts w:hint="eastAsia" w:ascii="宋体" w:hAnsi="宋体"/>
                <w:b/>
                <w:bCs/>
                <w:color w:val="auto"/>
                <w:sz w:val="24"/>
                <w:highlight w:val="none"/>
              </w:rPr>
              <w:t>且页码连续完整的检测报告复印件</w:t>
            </w:r>
          </w:p>
        </w:tc>
      </w:tr>
      <w:tr w14:paraId="3A189FD1">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D1E18">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890E">
            <w:pPr>
              <w:spacing w:line="400" w:lineRule="exact"/>
              <w:jc w:val="center"/>
              <w:rPr>
                <w:rFonts w:hint="eastAsia" w:ascii="宋体" w:hAnsi="宋体"/>
                <w:color w:val="auto"/>
                <w:sz w:val="24"/>
                <w:highlight w:val="none"/>
              </w:rPr>
            </w:pPr>
            <w:r>
              <w:rPr>
                <w:rFonts w:hint="eastAsia" w:ascii="宋体" w:hAnsi="宋体"/>
                <w:color w:val="auto"/>
                <w:sz w:val="24"/>
                <w:highlight w:val="none"/>
              </w:rPr>
              <w:t>电话配线架</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86E8">
            <w:pPr>
              <w:spacing w:line="400" w:lineRule="exact"/>
              <w:jc w:val="left"/>
              <w:rPr>
                <w:rFonts w:hint="eastAsia" w:ascii="宋体" w:hAnsi="宋体"/>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提供具有CMA认可标志的第三方实验室出具的三类大对数信道检测报告复印件；</w:t>
            </w:r>
            <w:r>
              <w:rPr>
                <w:rFonts w:hint="eastAsia" w:ascii="宋体" w:hAnsi="宋体"/>
                <w:b/>
                <w:bCs/>
                <w:color w:val="auto"/>
                <w:sz w:val="24"/>
                <w:highlight w:val="none"/>
              </w:rPr>
              <w:br w:type="textWrapping"/>
            </w:r>
            <w:r>
              <w:rPr>
                <w:rFonts w:hint="eastAsia" w:ascii="宋体" w:hAnsi="宋体"/>
                <w:b/>
                <w:bCs/>
                <w:color w:val="auto"/>
                <w:sz w:val="24"/>
                <w:highlight w:val="none"/>
                <w:lang w:val="en-US" w:eastAsia="zh-CN"/>
              </w:rPr>
              <w:t>2.</w:t>
            </w:r>
            <w:r>
              <w:rPr>
                <w:rFonts w:hint="eastAsia" w:ascii="宋体" w:hAnsi="宋体"/>
                <w:b/>
                <w:bCs/>
                <w:color w:val="auto"/>
                <w:sz w:val="24"/>
                <w:highlight w:val="none"/>
              </w:rPr>
              <w:t>提供具有CMA认可标志的第三方实验室出具的单体检测报告复印件；</w:t>
            </w:r>
          </w:p>
        </w:tc>
      </w:tr>
      <w:tr w14:paraId="1126EBCC">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C5638">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7</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4302">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大对数电缆</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3561">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提供具有CMA认可标志的第三方实验室出具的三类大对数信道检测报告复印件；</w:t>
            </w:r>
            <w:r>
              <w:rPr>
                <w:rFonts w:hint="eastAsia" w:ascii="宋体" w:hAnsi="宋体"/>
                <w:b/>
                <w:bCs/>
                <w:color w:val="auto"/>
                <w:sz w:val="24"/>
                <w:highlight w:val="none"/>
              </w:rPr>
              <w:br w:type="textWrapping"/>
            </w:r>
            <w:r>
              <w:rPr>
                <w:rFonts w:hint="eastAsia" w:ascii="宋体" w:hAnsi="宋体"/>
                <w:b/>
                <w:bCs/>
                <w:color w:val="auto"/>
                <w:sz w:val="24"/>
                <w:highlight w:val="none"/>
                <w:lang w:val="en-US" w:eastAsia="zh-CN"/>
              </w:rPr>
              <w:t>2.</w:t>
            </w:r>
            <w:r>
              <w:rPr>
                <w:rFonts w:hint="eastAsia" w:ascii="宋体" w:hAnsi="宋体"/>
                <w:b/>
                <w:bCs/>
                <w:color w:val="auto"/>
                <w:sz w:val="24"/>
                <w:highlight w:val="none"/>
              </w:rPr>
              <w:t>提供具有CMA认可标志的第三方实验室出具的单体检测报告复印件；</w:t>
            </w:r>
          </w:p>
        </w:tc>
      </w:tr>
      <w:tr w14:paraId="640AC73D">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EBF293">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8</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6236">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光纤配线架</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D0C6">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提供具有CMA认可标志的第三方实验室出具的光纤信道检测报告复印件</w:t>
            </w:r>
          </w:p>
        </w:tc>
      </w:tr>
      <w:tr w14:paraId="1D73AE56">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9CC544">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9</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D31E">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网络配线架</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4C79">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lang w:val="en-US" w:eastAsia="zh-CN"/>
              </w:rPr>
              <w:t>1.</w:t>
            </w:r>
            <w:r>
              <w:rPr>
                <w:rFonts w:hint="eastAsia" w:ascii="宋体" w:hAnsi="宋体"/>
                <w:color w:val="auto"/>
                <w:sz w:val="24"/>
                <w:highlight w:val="none"/>
              </w:rPr>
              <w:t>采用可进行线组定位的群组配线系统及其方法技术</w:t>
            </w:r>
          </w:p>
        </w:tc>
      </w:tr>
      <w:tr w14:paraId="6D945E55">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81DEB">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10</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B155">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网络信息面板</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91CB">
            <w:pPr>
              <w:spacing w:line="400" w:lineRule="exact"/>
              <w:jc w:val="left"/>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满足GB/T 2408《塑料燃烧性能的测定水平法和垂直法》标准，要求</w:t>
            </w:r>
            <w:r>
              <w:rPr>
                <w:rFonts w:hint="eastAsia" w:ascii="宋体" w:hAnsi="宋体"/>
                <w:b/>
                <w:bCs/>
                <w:color w:val="auto"/>
                <w:sz w:val="24"/>
                <w:highlight w:val="none"/>
              </w:rPr>
              <w:t>提供具有CMA认可标志的第三方实验室出具的检测报告复印件；</w:t>
            </w:r>
          </w:p>
          <w:p w14:paraId="6558C4EE">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b/>
                <w:bCs/>
                <w:color w:val="auto"/>
                <w:sz w:val="24"/>
                <w:highlight w:val="none"/>
                <w:lang w:val="en-US" w:eastAsia="zh-CN"/>
              </w:rPr>
              <w:t>2.</w:t>
            </w:r>
            <w:r>
              <w:rPr>
                <w:rFonts w:hint="eastAsia" w:ascii="宋体" w:hAnsi="宋体"/>
                <w:b/>
                <w:bCs/>
                <w:color w:val="auto"/>
                <w:sz w:val="24"/>
                <w:highlight w:val="none"/>
              </w:rPr>
              <w:t>提供具有CMA认可标志的第三方实验室出具的单体检测报告复印件；</w:t>
            </w:r>
          </w:p>
        </w:tc>
      </w:tr>
      <w:tr w14:paraId="4A3D727F">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68861">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11</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6702">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电话信息面板</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14C9">
            <w:pPr>
              <w:spacing w:line="400" w:lineRule="exact"/>
              <w:jc w:val="left"/>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满足GB/T 2408《塑料燃烧性能的测定水平法和垂直法》标准，要求提供</w:t>
            </w:r>
            <w:r>
              <w:rPr>
                <w:rFonts w:hint="eastAsia" w:ascii="宋体" w:hAnsi="宋体"/>
                <w:b/>
                <w:bCs/>
                <w:color w:val="auto"/>
                <w:sz w:val="24"/>
                <w:highlight w:val="none"/>
              </w:rPr>
              <w:t>具有CMA认可标志的第三方实验室出具的检测报告复印件</w:t>
            </w:r>
          </w:p>
          <w:p w14:paraId="0C01DF2A">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lang w:val="en-US" w:eastAsia="zh-CN"/>
              </w:rPr>
              <w:t>2.</w:t>
            </w:r>
            <w:r>
              <w:rPr>
                <w:rFonts w:hint="eastAsia" w:ascii="宋体" w:hAnsi="宋体"/>
                <w:b/>
                <w:bCs/>
                <w:color w:val="auto"/>
                <w:sz w:val="24"/>
                <w:highlight w:val="none"/>
              </w:rPr>
              <w:t>提供具有CMA认可标志的第三方实验室出具的单体检测报告复印件；</w:t>
            </w:r>
          </w:p>
        </w:tc>
      </w:tr>
      <w:tr w14:paraId="1BDDBBFE">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B43A5">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12</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FE96">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双绞线缆</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A967">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lang w:val="en-US" w:eastAsia="zh-CN"/>
              </w:rPr>
              <w:t>1.</w:t>
            </w:r>
            <w:r>
              <w:rPr>
                <w:rFonts w:hint="eastAsia" w:ascii="宋体" w:hAnsi="宋体"/>
                <w:color w:val="auto"/>
                <w:sz w:val="24"/>
                <w:highlight w:val="none"/>
              </w:rPr>
              <w:t>烟密度不低于90%，pH值不低于5.0，电导率不高于1.0uS/mm，</w:t>
            </w:r>
            <w:r>
              <w:rPr>
                <w:rFonts w:hint="eastAsia" w:ascii="宋体" w:hAnsi="宋体"/>
                <w:b/>
                <w:bCs/>
                <w:color w:val="auto"/>
                <w:sz w:val="24"/>
                <w:highlight w:val="none"/>
              </w:rPr>
              <w:t>提供具有CMA认可标志的第三方实验室出具的检测报告复印件</w:t>
            </w:r>
            <w:r>
              <w:rPr>
                <w:rFonts w:hint="eastAsia" w:ascii="宋体" w:hAnsi="宋体"/>
                <w:b/>
                <w:bCs/>
                <w:color w:val="auto"/>
                <w:sz w:val="24"/>
                <w:highlight w:val="none"/>
                <w:lang w:eastAsia="zh-CN"/>
              </w:rPr>
              <w:t>；</w:t>
            </w:r>
            <w:r>
              <w:rPr>
                <w:rFonts w:hint="eastAsia" w:ascii="宋体" w:hAnsi="宋体"/>
                <w:b/>
                <w:bCs/>
                <w:color w:val="auto"/>
                <w:sz w:val="24"/>
                <w:highlight w:val="none"/>
              </w:rPr>
              <w:br w:type="textWrapping"/>
            </w:r>
            <w:r>
              <w:rPr>
                <w:rFonts w:hint="eastAsia" w:ascii="宋体" w:hAnsi="宋体"/>
                <w:color w:val="auto"/>
                <w:sz w:val="24"/>
                <w:highlight w:val="none"/>
                <w:lang w:val="en-US" w:eastAsia="zh-CN"/>
              </w:rPr>
              <w:t>2.</w:t>
            </w:r>
            <w:r>
              <w:rPr>
                <w:rFonts w:hint="eastAsia" w:ascii="宋体" w:hAnsi="宋体"/>
                <w:b/>
                <w:bCs/>
                <w:color w:val="auto"/>
                <w:sz w:val="24"/>
                <w:highlight w:val="none"/>
              </w:rPr>
              <w:t>具有CMA认可标志的第三方实验室出具的六类非屏蔽信道检测报告，要求提供检测报告复印件</w:t>
            </w:r>
            <w:r>
              <w:rPr>
                <w:rFonts w:hint="eastAsia" w:ascii="宋体" w:hAnsi="宋体"/>
                <w:color w:val="auto"/>
                <w:sz w:val="24"/>
                <w:highlight w:val="none"/>
              </w:rPr>
              <w:t>；</w:t>
            </w:r>
          </w:p>
        </w:tc>
      </w:tr>
      <w:tr w14:paraId="7A23483A">
        <w:tblPrEx>
          <w:tblCellMar>
            <w:top w:w="0" w:type="dxa"/>
            <w:left w:w="108" w:type="dxa"/>
            <w:bottom w:w="0" w:type="dxa"/>
            <w:right w:w="108" w:type="dxa"/>
          </w:tblCellMar>
        </w:tblPrEx>
        <w:trPr>
          <w:trHeight w:val="23" w:hRule="atLeast"/>
        </w:trPr>
        <w:tc>
          <w:tcPr>
            <w:tcW w:w="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DFB612">
            <w:pPr>
              <w:spacing w:line="40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13</w:t>
            </w:r>
          </w:p>
        </w:tc>
        <w:tc>
          <w:tcPr>
            <w:tcW w:w="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DE69A">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rPr>
              <w:t>光缆</w:t>
            </w:r>
          </w:p>
        </w:tc>
        <w:tc>
          <w:tcPr>
            <w:tcW w:w="7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C875">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highlight w:val="none"/>
                <w:lang w:val="en-US" w:eastAsia="zh-CN"/>
              </w:rPr>
              <w:t>1.</w:t>
            </w:r>
            <w:r>
              <w:rPr>
                <w:rFonts w:hint="eastAsia" w:ascii="宋体" w:hAnsi="宋体"/>
                <w:b/>
                <w:bCs/>
                <w:color w:val="auto"/>
                <w:sz w:val="24"/>
                <w:highlight w:val="none"/>
              </w:rPr>
              <w:t>提供CMA认可标志的第三方实验室出具的12芯室外单模光纤信道检测报告复印件</w:t>
            </w:r>
            <w:r>
              <w:rPr>
                <w:rFonts w:hint="eastAsia" w:ascii="宋体" w:hAnsi="宋体"/>
                <w:color w:val="auto"/>
                <w:sz w:val="24"/>
                <w:highlight w:val="none"/>
              </w:rPr>
              <w:t>；</w:t>
            </w:r>
          </w:p>
        </w:tc>
      </w:tr>
    </w:tbl>
    <w:p w14:paraId="73B827FA">
      <w:pPr>
        <w:rPr>
          <w:rStyle w:val="23"/>
          <w:rFonts w:ascii="宋体" w:hAnsi="宋体"/>
          <w:bCs/>
          <w:color w:val="auto"/>
          <w:highlight w:val="none"/>
        </w:rPr>
      </w:pPr>
    </w:p>
    <w:p w14:paraId="478BEC08">
      <w:pPr>
        <w:spacing w:line="380" w:lineRule="exact"/>
        <w:rPr>
          <w:rFonts w:ascii="宋体" w:hAnsi="宋体"/>
          <w:b/>
          <w:color w:val="auto"/>
          <w:sz w:val="24"/>
          <w:highlight w:val="none"/>
        </w:rPr>
      </w:pPr>
      <w:r>
        <w:rPr>
          <w:rFonts w:hint="eastAsia" w:ascii="宋体" w:hAnsi="宋体"/>
          <w:b/>
          <w:color w:val="auto"/>
          <w:sz w:val="24"/>
          <w:highlight w:val="none"/>
        </w:rPr>
        <w:t>★三、商务要求：</w:t>
      </w:r>
    </w:p>
    <w:p w14:paraId="24720337">
      <w:pPr>
        <w:rPr>
          <w:color w:val="auto"/>
          <w:highlight w:val="none"/>
        </w:rPr>
      </w:pPr>
      <w:r>
        <w:rPr>
          <w:color w:val="auto"/>
          <w:highlight w:val="none"/>
        </w:rPr>
        <w:t>包：1</w:t>
      </w:r>
    </w:p>
    <w:p w14:paraId="1688FB33">
      <w:pPr>
        <w:rPr>
          <w:rFonts w:ascii="宋体" w:hAnsi="宋体"/>
          <w:color w:val="auto"/>
          <w:kern w:val="0"/>
          <w:sz w:val="24"/>
          <w:highlight w:val="none"/>
          <w:shd w:val="clear" w:color="auto" w:fill="FFFFFF"/>
          <w:lang w:val="en-GB"/>
        </w:rPr>
      </w:pPr>
      <w:r>
        <w:rPr>
          <w:rFonts w:hint="eastAsia" w:ascii="宋体" w:hAnsi="宋体"/>
          <w:color w:val="auto"/>
          <w:kern w:val="0"/>
          <w:sz w:val="24"/>
          <w:highlight w:val="none"/>
          <w:shd w:val="clear" w:color="auto" w:fill="FFFFFF"/>
          <w:lang w:val="en-GB"/>
        </w:rPr>
        <w:t xml:space="preserve">1、交付地点：福建省福州市长乐区漳港街道航南路9号福州机场出入境边防检查站。 </w:t>
      </w:r>
    </w:p>
    <w:p w14:paraId="79D70859">
      <w:pPr>
        <w:rPr>
          <w:color w:val="auto"/>
          <w:highlight w:val="none"/>
        </w:rPr>
      </w:pPr>
      <w:r>
        <w:rPr>
          <w:rFonts w:hint="eastAsia" w:ascii="宋体" w:hAnsi="宋体"/>
          <w:color w:val="auto"/>
          <w:kern w:val="0"/>
          <w:sz w:val="24"/>
          <w:highlight w:val="none"/>
          <w:shd w:val="clear" w:color="auto" w:fill="FFFFFF"/>
          <w:lang w:val="en-GB"/>
        </w:rPr>
        <w:t>2、交付时间：</w:t>
      </w:r>
      <w:r>
        <w:rPr>
          <w:rFonts w:hint="eastAsia" w:ascii="宋体" w:hAnsi="宋体"/>
          <w:color w:val="auto"/>
          <w:sz w:val="24"/>
          <w:highlight w:val="none"/>
        </w:rPr>
        <w:t>合同签订起90个日历日内完成施工</w:t>
      </w:r>
      <w:r>
        <w:rPr>
          <w:rFonts w:hint="eastAsia" w:ascii="宋体" w:hAnsi="宋体"/>
          <w:color w:val="auto"/>
          <w:kern w:val="0"/>
          <w:sz w:val="24"/>
          <w:highlight w:val="none"/>
          <w:shd w:val="clear" w:color="auto" w:fill="FFFFFF"/>
          <w:lang w:val="en-GB"/>
        </w:rPr>
        <w:t>。</w:t>
      </w:r>
    </w:p>
    <w:p w14:paraId="28555A7A">
      <w:pPr>
        <w:rPr>
          <w:rFonts w:ascii="宋体" w:hAnsi="宋体"/>
          <w:color w:val="auto"/>
          <w:kern w:val="0"/>
          <w:sz w:val="24"/>
          <w:highlight w:val="none"/>
          <w:shd w:val="clear" w:color="auto" w:fill="FFFFFF"/>
          <w:lang w:val="en-GB"/>
        </w:rPr>
      </w:pPr>
      <w:r>
        <w:rPr>
          <w:rFonts w:hint="eastAsia" w:ascii="宋体" w:hAnsi="宋体"/>
          <w:color w:val="auto"/>
          <w:kern w:val="0"/>
          <w:sz w:val="24"/>
          <w:highlight w:val="none"/>
          <w:shd w:val="clear" w:color="auto" w:fill="FFFFFF"/>
          <w:lang w:val="en-GB"/>
        </w:rPr>
        <w:t>3、交付条件：按照采购文件及相关标准验收后付款。</w:t>
      </w:r>
    </w:p>
    <w:p w14:paraId="111E0368">
      <w:pPr>
        <w:pStyle w:val="17"/>
        <w:keepNext w:val="0"/>
        <w:keepLines w:val="0"/>
        <w:pageBreakBefore w:val="0"/>
        <w:widowControl/>
        <w:kinsoku/>
        <w:wordWrap/>
        <w:overflowPunct/>
        <w:topLinePunct w:val="0"/>
        <w:autoSpaceDE/>
        <w:autoSpaceDN/>
        <w:bidi w:val="0"/>
        <w:adjustRightInd/>
        <w:snapToGrid w:val="0"/>
        <w:spacing w:before="0" w:beforeAutospacing="0" w:after="0" w:afterAutospacing="0" w:line="400" w:lineRule="exact"/>
        <w:ind w:right="0" w:firstLine="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olor w:val="auto"/>
          <w:kern w:val="0"/>
          <w:sz w:val="24"/>
          <w:highlight w:val="none"/>
          <w:shd w:val="clear" w:color="auto" w:fill="FFFFFF"/>
          <w:lang w:val="en-GB"/>
        </w:rPr>
        <w:t>4、是否收取履约保证金：</w:t>
      </w:r>
      <w:r>
        <w:rPr>
          <w:rFonts w:hint="eastAsia" w:ascii="宋体" w:hAnsi="宋体"/>
          <w:color w:val="auto"/>
          <w:kern w:val="0"/>
          <w:sz w:val="24"/>
          <w:highlight w:val="none"/>
          <w:shd w:val="clear" w:color="auto" w:fill="FFFFFF"/>
          <w:lang w:val="en-US" w:eastAsia="zh-CN"/>
        </w:rPr>
        <w:t>是，</w:t>
      </w:r>
      <w:r>
        <w:rPr>
          <w:rFonts w:hint="eastAsia" w:ascii="宋体" w:hAnsi="宋体" w:eastAsia="宋体" w:cs="宋体"/>
          <w:b w:val="0"/>
          <w:bCs w:val="0"/>
          <w:color w:val="auto"/>
          <w:sz w:val="24"/>
          <w:szCs w:val="24"/>
          <w:highlight w:val="none"/>
          <w:lang w:val="en-US" w:eastAsia="zh-CN"/>
        </w:rPr>
        <w:t>说明：成交人应向采购人缴纳合同总金额10%的履约保证金。(1) 成交人须以银行转账、支票、汇票、本票或金融机构出具的无条件支付保函（有效期要涵盖整个合同有效期）等非现金形式向采购人缴纳履约保证金。(2)履约保证金用于补偿采购人因成交人不能完成其义务而造成的损失。（3）该履约保证金在项目验收合格后且成交人在履约过程中无违约扣款后，采购人在收到成交人书面申请无息退还。</w:t>
      </w:r>
    </w:p>
    <w:p w14:paraId="2CC31856">
      <w:pPr>
        <w:rPr>
          <w:rFonts w:ascii="宋体" w:hAnsi="宋体"/>
          <w:color w:val="auto"/>
          <w:kern w:val="0"/>
          <w:sz w:val="24"/>
          <w:highlight w:val="none"/>
          <w:shd w:val="clear" w:color="auto" w:fill="FFFFFF"/>
          <w:lang w:val="en-GB"/>
        </w:rPr>
      </w:pPr>
      <w:r>
        <w:rPr>
          <w:rFonts w:hint="eastAsia" w:ascii="宋体" w:hAnsi="宋体"/>
          <w:color w:val="auto"/>
          <w:kern w:val="0"/>
          <w:sz w:val="24"/>
          <w:highlight w:val="none"/>
          <w:shd w:val="clear" w:color="auto" w:fill="FFFFFF"/>
          <w:lang w:val="en-GB"/>
        </w:rPr>
        <w:t>5、是否邀请供应商参与验收：否</w:t>
      </w:r>
    </w:p>
    <w:p w14:paraId="2E8B3B6F">
      <w:pPr>
        <w:rPr>
          <w:rFonts w:ascii="宋体" w:hAnsi="宋体"/>
          <w:color w:val="auto"/>
          <w:kern w:val="0"/>
          <w:sz w:val="24"/>
          <w:highlight w:val="none"/>
          <w:shd w:val="clear" w:color="auto" w:fill="FFFFFF"/>
          <w:lang w:val="en-GB"/>
        </w:rPr>
      </w:pPr>
      <w:r>
        <w:rPr>
          <w:rFonts w:hint="eastAsia" w:ascii="宋体" w:hAnsi="宋体"/>
          <w:color w:val="auto"/>
          <w:kern w:val="0"/>
          <w:sz w:val="24"/>
          <w:highlight w:val="none"/>
          <w:shd w:val="clear" w:color="auto" w:fill="FFFFFF"/>
          <w:lang w:val="en-GB"/>
        </w:rPr>
        <w:t xml:space="preserve">6、验收方式数据表格 </w:t>
      </w:r>
    </w:p>
    <w:tbl>
      <w:tblPr>
        <w:tblStyle w:val="20"/>
        <w:tblW w:w="0" w:type="auto"/>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667"/>
        <w:gridCol w:w="7970"/>
      </w:tblGrid>
      <w:tr w14:paraId="58E91C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667" w:type="dxa"/>
            <w:tcBorders>
              <w:top w:val="outset" w:color="auto" w:sz="6" w:space="0"/>
              <w:left w:val="outset" w:color="auto" w:sz="6" w:space="0"/>
              <w:bottom w:val="outset" w:color="auto" w:sz="6" w:space="0"/>
              <w:right w:val="outset" w:color="auto" w:sz="6" w:space="0"/>
            </w:tcBorders>
            <w:noWrap/>
            <w:vAlign w:val="center"/>
          </w:tcPr>
          <w:p w14:paraId="692D40A4">
            <w:pPr>
              <w:widowControl/>
              <w:spacing w:line="440" w:lineRule="exact"/>
              <w:jc w:val="left"/>
              <w:rPr>
                <w:color w:val="auto"/>
                <w:highlight w:val="none"/>
              </w:rPr>
            </w:pPr>
            <w:r>
              <w:rPr>
                <w:rFonts w:ascii="宋体" w:hAnsi="宋体"/>
                <w:color w:val="auto"/>
                <w:kern w:val="0"/>
                <w:sz w:val="24"/>
                <w:highlight w:val="none"/>
              </w:rPr>
              <w:t>验收期次</w:t>
            </w:r>
          </w:p>
        </w:tc>
        <w:tc>
          <w:tcPr>
            <w:tcW w:w="7970" w:type="dxa"/>
            <w:tcBorders>
              <w:top w:val="outset" w:color="auto" w:sz="6" w:space="0"/>
              <w:left w:val="outset" w:color="auto" w:sz="6" w:space="0"/>
              <w:bottom w:val="outset" w:color="auto" w:sz="6" w:space="0"/>
              <w:right w:val="outset" w:color="auto" w:sz="6" w:space="0"/>
            </w:tcBorders>
            <w:noWrap/>
            <w:vAlign w:val="center"/>
          </w:tcPr>
          <w:p w14:paraId="14370BC6">
            <w:pPr>
              <w:widowControl/>
              <w:spacing w:line="440" w:lineRule="exact"/>
              <w:jc w:val="left"/>
              <w:rPr>
                <w:color w:val="auto"/>
                <w:highlight w:val="none"/>
              </w:rPr>
            </w:pPr>
            <w:r>
              <w:rPr>
                <w:rFonts w:ascii="宋体" w:hAnsi="宋体"/>
                <w:color w:val="auto"/>
                <w:kern w:val="0"/>
                <w:sz w:val="24"/>
                <w:highlight w:val="none"/>
              </w:rPr>
              <w:t>验收期次说明</w:t>
            </w:r>
          </w:p>
        </w:tc>
      </w:tr>
      <w:tr w14:paraId="427D79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667" w:type="dxa"/>
            <w:tcBorders>
              <w:top w:val="outset" w:color="auto" w:sz="6" w:space="0"/>
              <w:left w:val="outset" w:color="auto" w:sz="6" w:space="0"/>
              <w:bottom w:val="outset" w:color="auto" w:sz="6" w:space="0"/>
              <w:right w:val="outset" w:color="auto" w:sz="6" w:space="0"/>
            </w:tcBorders>
            <w:noWrap/>
            <w:vAlign w:val="center"/>
          </w:tcPr>
          <w:p w14:paraId="57F18938">
            <w:pPr>
              <w:widowControl/>
              <w:spacing w:line="440" w:lineRule="exact"/>
              <w:jc w:val="left"/>
              <w:rPr>
                <w:rFonts w:ascii="宋体" w:hAnsi="宋体"/>
                <w:color w:val="auto"/>
                <w:sz w:val="24"/>
                <w:highlight w:val="none"/>
              </w:rPr>
            </w:pPr>
            <w:r>
              <w:rPr>
                <w:rFonts w:hint="eastAsia" w:ascii="宋体" w:hAnsi="宋体"/>
                <w:color w:val="auto"/>
                <w:kern w:val="0"/>
                <w:sz w:val="24"/>
                <w:highlight w:val="none"/>
              </w:rPr>
              <w:t>1</w:t>
            </w:r>
          </w:p>
        </w:tc>
        <w:tc>
          <w:tcPr>
            <w:tcW w:w="7970" w:type="dxa"/>
            <w:tcBorders>
              <w:top w:val="outset" w:color="auto" w:sz="6" w:space="0"/>
              <w:left w:val="outset" w:color="auto" w:sz="6" w:space="0"/>
              <w:bottom w:val="outset" w:color="auto" w:sz="6" w:space="0"/>
              <w:right w:val="outset" w:color="auto" w:sz="6" w:space="0"/>
            </w:tcBorders>
            <w:noWrap/>
            <w:vAlign w:val="center"/>
          </w:tcPr>
          <w:p w14:paraId="40B8F07E">
            <w:pPr>
              <w:widowControl/>
              <w:spacing w:line="440" w:lineRule="exact"/>
              <w:jc w:val="left"/>
              <w:rPr>
                <w:rFonts w:ascii="宋体" w:hAnsi="宋体"/>
                <w:color w:val="auto"/>
                <w:sz w:val="24"/>
                <w:highlight w:val="none"/>
              </w:rPr>
            </w:pPr>
            <w:r>
              <w:rPr>
                <w:rFonts w:hint="eastAsia" w:ascii="宋体" w:hAnsi="宋体"/>
                <w:color w:val="auto"/>
                <w:sz w:val="24"/>
                <w:highlight w:val="none"/>
              </w:rPr>
              <w:t>按竞争性磋商文件及合同规定，通过专家组验收。</w:t>
            </w:r>
          </w:p>
        </w:tc>
      </w:tr>
    </w:tbl>
    <w:p w14:paraId="73DFB402">
      <w:pPr>
        <w:widowControl/>
        <w:numPr>
          <w:ilvl w:val="0"/>
          <w:numId w:val="2"/>
        </w:numPr>
        <w:spacing w:line="400" w:lineRule="exact"/>
        <w:jc w:val="left"/>
        <w:rPr>
          <w:rFonts w:hint="eastAsia" w:ascii="宋体" w:hAnsi="宋体"/>
          <w:b/>
          <w:color w:val="auto"/>
          <w:sz w:val="24"/>
          <w:highlight w:val="none"/>
        </w:rPr>
      </w:pPr>
      <w:r>
        <w:rPr>
          <w:rFonts w:hint="eastAsia" w:ascii="宋体" w:hAnsi="宋体"/>
          <w:b/>
          <w:color w:val="auto"/>
          <w:sz w:val="24"/>
          <w:highlight w:val="none"/>
        </w:rPr>
        <w:t>付款方式</w:t>
      </w:r>
    </w:p>
    <w:p w14:paraId="191C2283">
      <w:pPr>
        <w:widowControl/>
        <w:numPr>
          <w:ilvl w:val="-1"/>
          <w:numId w:val="0"/>
        </w:numPr>
        <w:spacing w:line="40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7.1、支付第一期次：合同签订后，采购人应在收到正式发票、</w:t>
      </w:r>
      <w:r>
        <w:rPr>
          <w:rFonts w:hint="eastAsia" w:ascii="宋体" w:hAnsi="宋体" w:cs="宋体"/>
          <w:color w:val="auto"/>
          <w:kern w:val="0"/>
          <w:sz w:val="24"/>
          <w:szCs w:val="24"/>
          <w:highlight w:val="none"/>
          <w:lang w:val="en-US" w:eastAsia="zh-CN" w:bidi="ar-SA"/>
        </w:rPr>
        <w:t>履约保证金</w:t>
      </w:r>
      <w:r>
        <w:rPr>
          <w:rFonts w:hint="eastAsia" w:ascii="宋体" w:hAnsi="宋体" w:eastAsia="宋体" w:cs="宋体"/>
          <w:color w:val="auto"/>
          <w:kern w:val="0"/>
          <w:sz w:val="24"/>
          <w:szCs w:val="24"/>
          <w:highlight w:val="none"/>
          <w:lang w:val="en-US" w:eastAsia="zh-CN" w:bidi="ar-SA"/>
        </w:rPr>
        <w:t>后向成交供应商支付至合同总款的10%；</w:t>
      </w:r>
    </w:p>
    <w:p w14:paraId="633E6F70">
      <w:pPr>
        <w:widowControl/>
        <w:numPr>
          <w:ilvl w:val="-1"/>
          <w:numId w:val="0"/>
        </w:numPr>
        <w:spacing w:line="40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7.2、支付第二期次：每个月按完成进度的80%，支付工程进度款</w:t>
      </w:r>
    </w:p>
    <w:p w14:paraId="2970701B">
      <w:pPr>
        <w:widowControl/>
        <w:numPr>
          <w:ilvl w:val="-1"/>
          <w:numId w:val="0"/>
        </w:numPr>
        <w:spacing w:line="400" w:lineRule="exact"/>
        <w:jc w:val="left"/>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7.3、支付第三期次：项目通过验收合同格后，支付工程款合同总价的85%；</w:t>
      </w:r>
    </w:p>
    <w:p w14:paraId="365FE259">
      <w:pPr>
        <w:widowControl/>
        <w:numPr>
          <w:ilvl w:val="-1"/>
          <w:numId w:val="0"/>
        </w:numPr>
        <w:spacing w:line="40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7.4、支付第四期次：工程通过结算审计且甲方收到乙方3%质保金后，支付工程款至结算总价的100%；（扣除原有的85%款项）</w:t>
      </w:r>
    </w:p>
    <w:p w14:paraId="5D2BB160">
      <w:pPr>
        <w:widowControl/>
        <w:numPr>
          <w:ilvl w:val="-1"/>
          <w:numId w:val="0"/>
        </w:numPr>
        <w:spacing w:line="400" w:lineRule="exact"/>
        <w:jc w:val="left"/>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7.5支付第五期次：合同售后服务期到期后7个工作日内无息归还3%质保金。</w:t>
      </w:r>
    </w:p>
    <w:p w14:paraId="4A788DC9">
      <w:pPr>
        <w:spacing w:line="400" w:lineRule="exact"/>
        <w:jc w:val="left"/>
        <w:rPr>
          <w:rFonts w:ascii="宋体" w:hAnsi="宋体"/>
          <w:b/>
          <w:color w:val="auto"/>
          <w:sz w:val="24"/>
          <w:highlight w:val="none"/>
        </w:rPr>
      </w:pPr>
    </w:p>
    <w:p w14:paraId="56C7DA83">
      <w:pPr>
        <w:spacing w:line="400" w:lineRule="exact"/>
        <w:jc w:val="left"/>
        <w:rPr>
          <w:rFonts w:ascii="宋体" w:hAnsi="宋体"/>
          <w:b/>
          <w:color w:val="auto"/>
          <w:sz w:val="24"/>
          <w:highlight w:val="none"/>
        </w:rPr>
      </w:pPr>
      <w:r>
        <w:rPr>
          <w:rFonts w:hint="eastAsia" w:ascii="宋体" w:hAnsi="宋体"/>
          <w:b/>
          <w:color w:val="auto"/>
          <w:sz w:val="24"/>
          <w:highlight w:val="none"/>
        </w:rPr>
        <w:t>8、工程质量及验收标准</w:t>
      </w:r>
    </w:p>
    <w:p w14:paraId="6FB6E11D">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8.1.本工程由双方以施工图纸、设计说明（如有）、设计变更（如有）和国家（行业）的相关标准、规范为标准共同验收。</w:t>
      </w:r>
    </w:p>
    <w:p w14:paraId="7502364E">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8.2.供应商所进场的各种原材料、设备必须符合国家标准，应附有出厂合格证书，试验、化验报告单，使用说明，检测、检验报告和设备验收标准。必要时采购人有权随机抽检原材料和设备，不合格的材料、设备不允许进场使用和安装。</w:t>
      </w:r>
    </w:p>
    <w:p w14:paraId="3BA69AEB">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8.3.工程质量必须符合《工程施工质量验收规范》合格标准，包括：《建筑工程施工质量验收统一标准》GB50300-2013、《建筑装饰装修工程质量验收规范》GB50210-2018、《室内空气质量标准》GBIT 18883-2002、《房屋建筑与装饰工程工程量计算规范》（GB50584-2013）等国家有关法律法规和现行工程建设标准规范。</w:t>
      </w:r>
    </w:p>
    <w:p w14:paraId="4FED7159">
      <w:pPr>
        <w:tabs>
          <w:tab w:val="left" w:pos="0"/>
          <w:tab w:val="left" w:pos="720"/>
        </w:tabs>
        <w:spacing w:line="400" w:lineRule="exact"/>
        <w:ind w:firstLine="364" w:firstLineChars="152"/>
        <w:jc w:val="left"/>
        <w:rPr>
          <w:rFonts w:ascii="宋体" w:hAnsi="宋体"/>
          <w:color w:val="auto"/>
          <w:sz w:val="24"/>
          <w:highlight w:val="none"/>
        </w:rPr>
      </w:pPr>
      <w:r>
        <w:rPr>
          <w:rFonts w:hint="eastAsia" w:ascii="宋体" w:hAnsi="宋体"/>
          <w:color w:val="auto"/>
          <w:sz w:val="24"/>
          <w:highlight w:val="none"/>
        </w:rPr>
        <w:t>8.4.工程验收最终以采购人签署的工程验收合格单为准。</w:t>
      </w:r>
    </w:p>
    <w:p w14:paraId="3D3646F6">
      <w:pPr>
        <w:pStyle w:val="17"/>
        <w:widowControl/>
        <w:spacing w:beforeAutospacing="0" w:afterAutospacing="0" w:line="400" w:lineRule="exact"/>
        <w:ind w:firstLine="480"/>
        <w:rPr>
          <w:rFonts w:ascii="宋体" w:hAnsi="宋体" w:cs="宋体"/>
          <w:color w:val="auto"/>
          <w:highlight w:val="none"/>
        </w:rPr>
      </w:pPr>
    </w:p>
    <w:p w14:paraId="1C253FEF">
      <w:pPr>
        <w:spacing w:line="400" w:lineRule="exact"/>
        <w:rPr>
          <w:rFonts w:ascii="宋体" w:hAnsi="宋体"/>
          <w:b/>
          <w:color w:val="auto"/>
          <w:sz w:val="24"/>
          <w:highlight w:val="none"/>
        </w:rPr>
      </w:pPr>
      <w:r>
        <w:rPr>
          <w:rFonts w:hint="eastAsia" w:ascii="宋体" w:hAnsi="宋体"/>
          <w:b/>
          <w:color w:val="auto"/>
          <w:sz w:val="24"/>
          <w:highlight w:val="none"/>
        </w:rPr>
        <w:t>9、</w:t>
      </w:r>
      <w:r>
        <w:rPr>
          <w:rFonts w:hint="eastAsia" w:ascii="宋体" w:hAnsi="宋体"/>
          <w:color w:val="auto"/>
          <w:sz w:val="24"/>
          <w:highlight w:val="none"/>
        </w:rPr>
        <w:t>质保期</w:t>
      </w:r>
    </w:p>
    <w:p w14:paraId="3A241BDE">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9.1. 质保期：1年：质保期从工程通过竣工验收之日起计算，该期限为12个月。</w:t>
      </w:r>
    </w:p>
    <w:p w14:paraId="06F84452">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9.2.保修范围：合同约定的工程承包范围内的所有项目。</w:t>
      </w:r>
    </w:p>
    <w:p w14:paraId="5C00D892">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9.3.保修期限：成交人按照合同约定对工程承担保修责任的期限，从工程竣工验收合格之日起计算。</w:t>
      </w:r>
    </w:p>
    <w:p w14:paraId="64E9C827">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9.4.保修及违约责任：属于保修范围、内容的项目，成交人应当在接到采购人保修通知后2小时内派人到达现场并及时维修。成交人不在约定期限内派人保修的，采购人可以委托他人修理，费用由成交人承担，由采购人直接从质量保证金中扣除，如有不足的，采购人有权向成交人进行追偿。若质量保证金已返还，但质量保修期尚未届满的，维修费用仍由成交人承担。保修期内，如因工程质量不合格造成采购人或第三方人身或财产损害的，成交人应承担全部赔偿责任。</w:t>
      </w:r>
    </w:p>
    <w:p w14:paraId="1A533D3A">
      <w:pPr>
        <w:spacing w:line="400" w:lineRule="exact"/>
        <w:ind w:firstLine="482" w:firstLineChars="200"/>
        <w:rPr>
          <w:rFonts w:ascii="宋体" w:hAnsi="宋体"/>
          <w:b/>
          <w:color w:val="auto"/>
          <w:sz w:val="24"/>
          <w:highlight w:val="none"/>
        </w:rPr>
      </w:pPr>
      <w:bookmarkStart w:id="18" w:name="_Toc200772260"/>
      <w:bookmarkStart w:id="19" w:name="_Toc200772261"/>
      <w:r>
        <w:rPr>
          <w:rFonts w:hint="eastAsia" w:ascii="宋体" w:hAnsi="宋体"/>
          <w:b/>
          <w:color w:val="auto"/>
          <w:sz w:val="24"/>
          <w:highlight w:val="none"/>
        </w:rPr>
        <w:t>10、工程材料</w:t>
      </w:r>
    </w:p>
    <w:p w14:paraId="49CAAE95">
      <w:pPr>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u w:val="single"/>
        </w:rPr>
        <w:t>（1）成交供应商提供的材料应属于正品（含合格证和出厂检测报告），进场前需请</w:t>
      </w:r>
      <w:r>
        <w:rPr>
          <w:rFonts w:hint="eastAsia" w:ascii="宋体" w:hAnsi="宋体"/>
          <w:b/>
          <w:color w:val="auto"/>
          <w:sz w:val="24"/>
          <w:highlight w:val="none"/>
          <w:u w:val="single"/>
        </w:rPr>
        <w:t>采购人确认，隐蔽工程应通知甲方确认。</w:t>
      </w:r>
    </w:p>
    <w:p w14:paraId="6DC7271F">
      <w:pPr>
        <w:spacing w:line="400" w:lineRule="exact"/>
        <w:ind w:firstLine="472" w:firstLineChars="196"/>
        <w:rPr>
          <w:rFonts w:ascii="宋体" w:hAnsi="宋体"/>
          <w:b/>
          <w:color w:val="auto"/>
          <w:sz w:val="24"/>
          <w:highlight w:val="none"/>
        </w:rPr>
      </w:pPr>
    </w:p>
    <w:p w14:paraId="1350FBFC">
      <w:pPr>
        <w:spacing w:line="400" w:lineRule="exact"/>
        <w:ind w:firstLine="472" w:firstLineChars="196"/>
        <w:rPr>
          <w:rFonts w:ascii="宋体" w:hAnsi="宋体"/>
          <w:b/>
          <w:color w:val="auto"/>
          <w:sz w:val="24"/>
          <w:highlight w:val="none"/>
        </w:rPr>
      </w:pPr>
      <w:r>
        <w:rPr>
          <w:rFonts w:hint="eastAsia" w:ascii="宋体" w:hAnsi="宋体"/>
          <w:b/>
          <w:color w:val="auto"/>
          <w:sz w:val="24"/>
          <w:highlight w:val="none"/>
        </w:rPr>
        <w:t>11、成交供应商的工期延误</w:t>
      </w:r>
    </w:p>
    <w:p w14:paraId="5B4FFFCB">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（1）逾期竣工违约金的计算方法：</w:t>
      </w:r>
      <w:r>
        <w:rPr>
          <w:rFonts w:hint="eastAsia" w:ascii="宋体" w:hAnsi="宋体"/>
          <w:color w:val="auto"/>
          <w:sz w:val="24"/>
          <w:highlight w:val="none"/>
          <w:u w:val="single"/>
        </w:rPr>
        <w:t>施工工期每延误一天成交供应商向采购人支付1000元人民币的违约金，由采购人直接从工程款中扣抵，当上述工期延误超过30天时，采购人有权单方面解除合同。如确因采购人或不可抗力的原因造成停工影响工期的，由采购人确认后可免予支付。</w:t>
      </w:r>
      <w:r>
        <w:rPr>
          <w:rFonts w:hint="eastAsia" w:ascii="宋体" w:hAnsi="宋体"/>
          <w:color w:val="auto"/>
          <w:sz w:val="24"/>
          <w:highlight w:val="none"/>
        </w:rPr>
        <w:t>逾期竣工违约金的限额：</w:t>
      </w:r>
      <w:r>
        <w:rPr>
          <w:rFonts w:hint="eastAsia" w:ascii="宋体" w:hAnsi="宋体"/>
          <w:color w:val="auto"/>
          <w:sz w:val="24"/>
          <w:highlight w:val="none"/>
          <w:u w:val="single"/>
        </w:rPr>
        <w:t>合同价款的10%</w:t>
      </w:r>
      <w:r>
        <w:rPr>
          <w:rFonts w:hint="eastAsia" w:ascii="宋体" w:hAnsi="宋体"/>
          <w:color w:val="auto"/>
          <w:sz w:val="24"/>
          <w:highlight w:val="none"/>
        </w:rPr>
        <w:t>。</w:t>
      </w:r>
    </w:p>
    <w:p w14:paraId="2E3D6F34">
      <w:pPr>
        <w:spacing w:line="400" w:lineRule="exact"/>
        <w:ind w:firstLine="472" w:firstLineChars="196"/>
        <w:rPr>
          <w:rFonts w:ascii="宋体" w:hAnsi="宋体"/>
          <w:color w:val="auto"/>
          <w:sz w:val="24"/>
          <w:highlight w:val="none"/>
        </w:rPr>
      </w:pPr>
      <w:r>
        <w:rPr>
          <w:rFonts w:hint="eastAsia" w:ascii="宋体" w:hAnsi="宋体"/>
          <w:b/>
          <w:color w:val="auto"/>
          <w:sz w:val="24"/>
          <w:highlight w:val="none"/>
        </w:rPr>
        <w:t>（2）</w:t>
      </w:r>
      <w:r>
        <w:rPr>
          <w:rFonts w:hint="eastAsia" w:ascii="宋体" w:hAnsi="宋体"/>
          <w:color w:val="auto"/>
          <w:sz w:val="24"/>
          <w:highlight w:val="none"/>
          <w:u w:val="single"/>
        </w:rPr>
        <w:t>由于采购人原因引起的暂停施工造成工期延误的，成交供应商有权要求采购人延长工期，所产生的费用由成交供应商自行承担</w:t>
      </w:r>
      <w:r>
        <w:rPr>
          <w:rFonts w:hint="eastAsia" w:ascii="宋体" w:hAnsi="宋体"/>
          <w:color w:val="auto"/>
          <w:sz w:val="24"/>
          <w:highlight w:val="none"/>
        </w:rPr>
        <w:t xml:space="preserve">。           </w:t>
      </w:r>
    </w:p>
    <w:p w14:paraId="55F7CF03">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12、工程质量</w:t>
      </w:r>
    </w:p>
    <w:p w14:paraId="3B98970C">
      <w:pPr>
        <w:spacing w:line="400" w:lineRule="exact"/>
        <w:rPr>
          <w:rFonts w:ascii="宋体" w:hAnsi="宋体"/>
          <w:color w:val="auto"/>
          <w:sz w:val="24"/>
          <w:highlight w:val="none"/>
        </w:rPr>
      </w:pPr>
      <w:r>
        <w:rPr>
          <w:rFonts w:hint="eastAsia" w:ascii="宋体" w:hAnsi="宋体"/>
          <w:color w:val="auto"/>
          <w:sz w:val="24"/>
          <w:highlight w:val="none"/>
        </w:rPr>
        <w:t>工程质量验收标准：</w:t>
      </w:r>
      <w:r>
        <w:rPr>
          <w:rFonts w:hint="eastAsia" w:ascii="宋体" w:hAnsi="宋体"/>
          <w:color w:val="auto"/>
          <w:sz w:val="24"/>
          <w:highlight w:val="none"/>
          <w:u w:val="single"/>
        </w:rPr>
        <w:t xml:space="preserve">合格标准 </w:t>
      </w:r>
      <w:r>
        <w:rPr>
          <w:rFonts w:hint="eastAsia" w:ascii="宋体" w:hAnsi="宋体"/>
          <w:color w:val="auto"/>
          <w:sz w:val="24"/>
          <w:highlight w:val="none"/>
        </w:rPr>
        <w:t>；</w:t>
      </w:r>
    </w:p>
    <w:p w14:paraId="32C48EE3">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13、竣工验收</w:t>
      </w:r>
    </w:p>
    <w:p w14:paraId="274049CB">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（1）竣工清场：</w:t>
      </w:r>
      <w:r>
        <w:rPr>
          <w:rFonts w:hint="eastAsia" w:ascii="宋体" w:hAnsi="宋体"/>
          <w:color w:val="auto"/>
          <w:sz w:val="24"/>
          <w:highlight w:val="none"/>
          <w:u w:val="single"/>
        </w:rPr>
        <w:t xml:space="preserve"> 工程经采购人组织专家组验收合格后三天内清场，由成交供应商负责，第三方检测费用及清场费用由成交供应商承担 </w:t>
      </w:r>
      <w:r>
        <w:rPr>
          <w:rFonts w:hint="eastAsia" w:ascii="宋体" w:hAnsi="宋体"/>
          <w:color w:val="auto"/>
          <w:sz w:val="24"/>
          <w:highlight w:val="none"/>
        </w:rPr>
        <w:t>。</w:t>
      </w:r>
    </w:p>
    <w:p w14:paraId="33B9775D">
      <w:pPr>
        <w:spacing w:line="400" w:lineRule="exact"/>
        <w:ind w:firstLine="482" w:firstLineChars="200"/>
        <w:rPr>
          <w:rFonts w:ascii="宋体" w:hAnsi="宋体"/>
          <w:color w:val="auto"/>
          <w:sz w:val="24"/>
          <w:highlight w:val="none"/>
          <w:u w:val="single"/>
        </w:rPr>
      </w:pPr>
      <w:r>
        <w:rPr>
          <w:rFonts w:hint="eastAsia" w:ascii="宋体" w:hAnsi="宋体"/>
          <w:b/>
          <w:color w:val="auto"/>
          <w:sz w:val="24"/>
          <w:highlight w:val="none"/>
        </w:rPr>
        <w:t>（2）</w:t>
      </w:r>
      <w:r>
        <w:rPr>
          <w:rFonts w:hint="eastAsia" w:ascii="宋体" w:hAnsi="宋体"/>
          <w:color w:val="auto"/>
          <w:sz w:val="24"/>
          <w:highlight w:val="none"/>
        </w:rPr>
        <w:t>竣工结算报送资料包括：</w:t>
      </w:r>
      <w:r>
        <w:rPr>
          <w:rFonts w:hint="eastAsia" w:ascii="宋体" w:hAnsi="宋体"/>
          <w:color w:val="auto"/>
          <w:sz w:val="24"/>
          <w:highlight w:val="none"/>
          <w:u w:val="single"/>
        </w:rPr>
        <w:t>竞争性磋商文件、投标响应文件及其附件、施工合同及其补充协议、变更签证和现场签证、工程结算书(含电子文档)等，各三份。</w:t>
      </w:r>
    </w:p>
    <w:p w14:paraId="2A82EB11">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14、违约</w:t>
      </w:r>
    </w:p>
    <w:p w14:paraId="76BE3D40">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14.1 成交供应商违约的情形</w:t>
      </w:r>
    </w:p>
    <w:p w14:paraId="695F443F">
      <w:pPr>
        <w:spacing w:line="400" w:lineRule="exact"/>
        <w:ind w:firstLine="600" w:firstLineChars="250"/>
        <w:rPr>
          <w:rFonts w:ascii="宋体" w:hAnsi="宋体"/>
          <w:b/>
          <w:color w:val="auto"/>
          <w:sz w:val="24"/>
          <w:highlight w:val="none"/>
        </w:rPr>
      </w:pPr>
      <w:r>
        <w:rPr>
          <w:rFonts w:hint="eastAsia" w:ascii="宋体" w:hAnsi="宋体"/>
          <w:color w:val="auto"/>
          <w:sz w:val="24"/>
          <w:highlight w:val="none"/>
        </w:rPr>
        <w:t>(1）成交供应商因停业、倒闭、破产或财务发生困难无法继续履行合同；</w:t>
      </w:r>
    </w:p>
    <w:p w14:paraId="20BF3B36">
      <w:pPr>
        <w:spacing w:line="400" w:lineRule="exact"/>
        <w:ind w:firstLine="595" w:firstLineChars="248"/>
        <w:rPr>
          <w:rFonts w:ascii="宋体" w:hAnsi="宋体"/>
          <w:color w:val="auto"/>
          <w:sz w:val="24"/>
          <w:highlight w:val="none"/>
        </w:rPr>
      </w:pPr>
      <w:r>
        <w:rPr>
          <w:rFonts w:hint="eastAsia" w:ascii="宋体" w:hAnsi="宋体"/>
          <w:color w:val="auto"/>
          <w:sz w:val="24"/>
          <w:highlight w:val="none"/>
        </w:rPr>
        <w:t>(2）成交供应商延期开工达7</w:t>
      </w:r>
      <w:r>
        <w:rPr>
          <w:rFonts w:hint="eastAsia" w:ascii="宋体" w:hAnsi="宋体"/>
          <w:color w:val="auto"/>
          <w:spacing w:val="-4"/>
          <w:sz w:val="24"/>
          <w:highlight w:val="none"/>
        </w:rPr>
        <w:t>天</w:t>
      </w:r>
      <w:r>
        <w:rPr>
          <w:rFonts w:hint="eastAsia" w:ascii="宋体" w:hAnsi="宋体"/>
          <w:color w:val="auto"/>
          <w:sz w:val="24"/>
          <w:highlight w:val="none"/>
        </w:rPr>
        <w:t>；</w:t>
      </w:r>
    </w:p>
    <w:p w14:paraId="1CEE4345">
      <w:pPr>
        <w:pStyle w:val="10"/>
        <w:snapToGrid w:val="0"/>
        <w:spacing w:line="400" w:lineRule="exact"/>
        <w:ind w:firstLine="626" w:firstLineChars="261"/>
        <w:rPr>
          <w:rFonts w:hAnsi="宋体"/>
          <w:color w:val="auto"/>
          <w:sz w:val="24"/>
          <w:szCs w:val="24"/>
          <w:highlight w:val="none"/>
        </w:rPr>
      </w:pPr>
      <w:r>
        <w:rPr>
          <w:rFonts w:hint="eastAsia" w:hAnsi="宋体"/>
          <w:color w:val="auto"/>
          <w:sz w:val="24"/>
          <w:szCs w:val="24"/>
          <w:highlight w:val="none"/>
        </w:rPr>
        <w:t>(3）成交供应商无正当理由全面停工达3</w:t>
      </w:r>
      <w:r>
        <w:rPr>
          <w:rFonts w:hint="eastAsia" w:hAnsi="宋体"/>
          <w:color w:val="auto"/>
          <w:spacing w:val="-4"/>
          <w:sz w:val="24"/>
          <w:szCs w:val="24"/>
          <w:highlight w:val="none"/>
        </w:rPr>
        <w:t>天</w:t>
      </w:r>
      <w:r>
        <w:rPr>
          <w:rFonts w:hint="eastAsia" w:hAnsi="宋体"/>
          <w:color w:val="auto"/>
          <w:sz w:val="24"/>
          <w:szCs w:val="24"/>
          <w:highlight w:val="none"/>
        </w:rPr>
        <w:t>；</w:t>
      </w:r>
    </w:p>
    <w:p w14:paraId="62A25ABA">
      <w:pPr>
        <w:spacing w:line="400" w:lineRule="exact"/>
        <w:ind w:firstLine="597" w:firstLineChars="249"/>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pacing w:val="-4"/>
          <w:sz w:val="24"/>
          <w:highlight w:val="none"/>
        </w:rPr>
        <w:t>成交供应商</w:t>
      </w:r>
      <w:r>
        <w:rPr>
          <w:rFonts w:hint="eastAsia" w:ascii="宋体" w:hAnsi="宋体"/>
          <w:color w:val="auto"/>
          <w:sz w:val="24"/>
          <w:highlight w:val="none"/>
        </w:rPr>
        <w:t>不听从采购人的指令或拒绝改正。</w:t>
      </w:r>
    </w:p>
    <w:p w14:paraId="0EBDDD29">
      <w:pPr>
        <w:spacing w:line="400" w:lineRule="exact"/>
        <w:ind w:firstLine="480"/>
        <w:rPr>
          <w:rFonts w:ascii="宋体" w:hAnsi="宋体"/>
          <w:b/>
          <w:color w:val="auto"/>
          <w:sz w:val="24"/>
          <w:highlight w:val="none"/>
        </w:rPr>
      </w:pPr>
      <w:r>
        <w:rPr>
          <w:rFonts w:hint="eastAsia" w:ascii="宋体" w:hAnsi="宋体"/>
          <w:b/>
          <w:color w:val="auto"/>
          <w:sz w:val="24"/>
          <w:highlight w:val="none"/>
        </w:rPr>
        <w:t>14.2</w:t>
      </w:r>
      <w:r>
        <w:rPr>
          <w:rFonts w:hint="eastAsia" w:ascii="宋体" w:hAnsi="宋体"/>
          <w:color w:val="auto"/>
          <w:sz w:val="24"/>
          <w:highlight w:val="none"/>
        </w:rPr>
        <w:t xml:space="preserve"> 对成交供应商违约的处理</w:t>
      </w:r>
    </w:p>
    <w:p w14:paraId="0082CA49">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l）成交供应商发生违约时，采购人可向成交供应商发出整改通知，要求其在指定的期限内改正；成交供应商应承担其违约所引起的费用增加和（或）工期延误。成交供应商拒不整改时，采购人可书面通知成交供应商立即解除合同，并按有关法律处理。</w:t>
      </w:r>
    </w:p>
    <w:p w14:paraId="7903C524">
      <w:pPr>
        <w:spacing w:line="400" w:lineRule="exact"/>
        <w:rPr>
          <w:rFonts w:ascii="宋体" w:hAnsi="宋体"/>
          <w:b/>
          <w:color w:val="auto"/>
          <w:sz w:val="24"/>
          <w:highlight w:val="none"/>
        </w:rPr>
      </w:pPr>
      <w:r>
        <w:rPr>
          <w:rFonts w:hint="eastAsia" w:ascii="宋体" w:hAnsi="宋体"/>
          <w:b/>
          <w:color w:val="auto"/>
          <w:sz w:val="24"/>
          <w:highlight w:val="none"/>
        </w:rPr>
        <w:t>15、争议的解决</w:t>
      </w:r>
    </w:p>
    <w:p w14:paraId="2FEB85F6">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争议的解决方式：</w:t>
      </w:r>
      <w:r>
        <w:rPr>
          <w:rFonts w:hint="eastAsia" w:ascii="宋体" w:hAnsi="宋体"/>
          <w:color w:val="auto"/>
          <w:sz w:val="24"/>
          <w:highlight w:val="none"/>
          <w:u w:val="single"/>
        </w:rPr>
        <w:t>双方可以协商解决，若无法解决可向采购人所在地人民法院提请诉讼。</w:t>
      </w:r>
    </w:p>
    <w:p w14:paraId="7220C647">
      <w:pPr>
        <w:spacing w:line="400" w:lineRule="exact"/>
        <w:rPr>
          <w:rFonts w:ascii="宋体" w:hAnsi="宋体"/>
          <w:b/>
          <w:color w:val="auto"/>
          <w:sz w:val="24"/>
          <w:highlight w:val="none"/>
        </w:rPr>
      </w:pPr>
      <w:r>
        <w:rPr>
          <w:rFonts w:hint="eastAsia" w:ascii="宋体" w:hAnsi="宋体"/>
          <w:b/>
          <w:color w:val="auto"/>
          <w:sz w:val="24"/>
          <w:highlight w:val="none"/>
        </w:rPr>
        <w:t>16、其他</w:t>
      </w:r>
    </w:p>
    <w:p w14:paraId="1BF7FF80">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（1） 施工过程中，施工成交供应商应特别注意保护有关电缆、桥架、吊顶及办公室内物品等各种设施；若损坏，一切修复及赔偿费用由施工成交供应商承担。</w:t>
      </w:r>
    </w:p>
    <w:bookmarkEnd w:id="18"/>
    <w:bookmarkEnd w:id="19"/>
    <w:p w14:paraId="7C8E171A">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（2）采购人有权调整施工工程量，成交供应商需无条件执行。</w:t>
      </w:r>
    </w:p>
    <w:p w14:paraId="724297EF">
      <w:pPr>
        <w:widowControl/>
        <w:spacing w:line="400" w:lineRule="exact"/>
        <w:jc w:val="left"/>
        <w:rPr>
          <w:rFonts w:ascii="宋体" w:hAnsi="宋体"/>
          <w:b/>
          <w:color w:val="auto"/>
          <w:kern w:val="0"/>
          <w:sz w:val="24"/>
          <w:highlight w:val="none"/>
        </w:rPr>
      </w:pPr>
      <w:r>
        <w:rPr>
          <w:rFonts w:hint="eastAsia" w:ascii="宋体" w:hAnsi="宋体"/>
          <w:b/>
          <w:color w:val="auto"/>
          <w:kern w:val="0"/>
          <w:sz w:val="24"/>
          <w:highlight w:val="none"/>
        </w:rPr>
        <w:t>四、其他事项</w:t>
      </w:r>
    </w:p>
    <w:p w14:paraId="7196E533">
      <w:pPr>
        <w:widowControl/>
        <w:spacing w:line="400" w:lineRule="exact"/>
        <w:ind w:firstLine="480" w:firstLineChars="200"/>
        <w:jc w:val="left"/>
        <w:rPr>
          <w:rFonts w:ascii="宋体" w:hAnsi="宋体"/>
          <w:color w:val="auto"/>
          <w:kern w:val="0"/>
          <w:sz w:val="24"/>
          <w:highlight w:val="none"/>
        </w:rPr>
      </w:pPr>
      <w:r>
        <w:rPr>
          <w:rFonts w:ascii="宋体" w:hAnsi="宋体"/>
          <w:color w:val="auto"/>
          <w:kern w:val="0"/>
          <w:sz w:val="24"/>
          <w:highlight w:val="none"/>
        </w:rPr>
        <w:t>1</w:t>
      </w:r>
      <w:r>
        <w:rPr>
          <w:rFonts w:hint="eastAsia" w:ascii="宋体" w:hAnsi="宋体"/>
          <w:color w:val="auto"/>
          <w:kern w:val="0"/>
          <w:sz w:val="24"/>
          <w:highlight w:val="none"/>
        </w:rPr>
        <w:t>、除磋商文件另有规定外，若出现有关法律、法规和规章有强制性规定但磋商文件未列明的情形，则供应商应按照有关法律、法规和规章强制性规定执行。</w:t>
      </w:r>
    </w:p>
    <w:p w14:paraId="58D04CB8">
      <w:pPr>
        <w:widowControl/>
        <w:spacing w:line="400" w:lineRule="exact"/>
        <w:ind w:firstLine="480" w:firstLineChars="200"/>
        <w:jc w:val="left"/>
        <w:rPr>
          <w:rFonts w:hint="eastAsia" w:ascii="宋体"/>
          <w:color w:val="auto"/>
          <w:sz w:val="24"/>
          <w:highlight w:val="none"/>
        </w:rPr>
      </w:pPr>
      <w:r>
        <w:rPr>
          <w:rFonts w:hint="eastAsia" w:ascii="宋体" w:hAnsi="宋体"/>
          <w:color w:val="auto"/>
          <w:kern w:val="0"/>
          <w:sz w:val="24"/>
          <w:highlight w:val="none"/>
        </w:rPr>
        <w:t>2、其他：</w:t>
      </w:r>
      <w:r>
        <w:rPr>
          <w:rFonts w:hint="eastAsia" w:ascii="宋体"/>
          <w:color w:val="auto"/>
          <w:sz w:val="24"/>
          <w:highlight w:val="none"/>
        </w:rPr>
        <w:t>成交人不能以任何名义和理由进行分包或转包，如进行分包或转包的，成交人应按合同暂定总金额10%支付违约金，且采购人有权单方解除合同，要求成交人退场，由此给采购人造成的全部损失由成交人承担，同时上报行政主管部门。</w:t>
      </w:r>
    </w:p>
    <w:p w14:paraId="5B6F70B9">
      <w:pPr>
        <w:widowControl/>
        <w:jc w:val="left"/>
        <w:rPr>
          <w:rFonts w:ascii="宋体" w:hAnsi="宋体"/>
          <w:color w:val="auto"/>
          <w:kern w:val="0"/>
          <w:sz w:val="24"/>
          <w:highlight w:val="none"/>
        </w:rPr>
      </w:pPr>
      <w:r>
        <w:rPr>
          <w:rFonts w:hint="eastAsia" w:ascii="宋体" w:hAnsi="宋体"/>
          <w:color w:val="auto"/>
          <w:kern w:val="0"/>
          <w:sz w:val="24"/>
          <w:highlight w:val="none"/>
        </w:rPr>
        <w:br w:type="page"/>
      </w:r>
    </w:p>
    <w:p w14:paraId="7A901DA1">
      <w:pPr>
        <w:jc w:val="center"/>
        <w:rPr>
          <w:color w:val="auto"/>
          <w:highlight w:val="none"/>
        </w:rPr>
      </w:pPr>
      <w:r>
        <w:rPr>
          <w:rStyle w:val="23"/>
          <w:rFonts w:hint="eastAsia" w:ascii="宋体" w:hAnsi="宋体"/>
          <w:bCs/>
          <w:color w:val="auto"/>
          <w:sz w:val="36"/>
          <w:szCs w:val="36"/>
          <w:highlight w:val="none"/>
        </w:rPr>
        <w:t>第四章  合同主要条款及格式</w:t>
      </w:r>
    </w:p>
    <w:p w14:paraId="42CD47DF">
      <w:pPr>
        <w:pStyle w:val="17"/>
        <w:widowControl/>
        <w:spacing w:before="75" w:beforeAutospacing="0" w:after="75" w:afterAutospacing="0"/>
        <w:jc w:val="center"/>
        <w:rPr>
          <w:color w:val="auto"/>
          <w:highlight w:val="none"/>
        </w:rPr>
      </w:pPr>
      <w:r>
        <w:rPr>
          <w:rStyle w:val="23"/>
          <w:rFonts w:hint="eastAsia" w:ascii="宋体" w:hAnsi="宋体" w:cs="宋体"/>
          <w:bCs/>
          <w:color w:val="auto"/>
          <w:highlight w:val="none"/>
        </w:rPr>
        <w:t>编制说明</w:t>
      </w:r>
    </w:p>
    <w:p w14:paraId="45D66AB6">
      <w:pPr>
        <w:spacing w:line="360" w:lineRule="auto"/>
        <w:rPr>
          <w:rFonts w:ascii="宋体"/>
          <w:color w:val="auto"/>
          <w:sz w:val="24"/>
          <w:highlight w:val="none"/>
        </w:rPr>
      </w:pPr>
      <w:r>
        <w:rPr>
          <w:rFonts w:hint="eastAsia" w:ascii="宋体"/>
          <w:color w:val="auto"/>
          <w:sz w:val="24"/>
          <w:highlight w:val="none"/>
        </w:rPr>
        <w:t>甲方（采购人）：</w:t>
      </w:r>
    </w:p>
    <w:p w14:paraId="5C5946A2">
      <w:pPr>
        <w:widowControl/>
        <w:spacing w:line="360" w:lineRule="auto"/>
        <w:jc w:val="left"/>
        <w:rPr>
          <w:rFonts w:ascii="宋体"/>
          <w:b/>
          <w:color w:val="auto"/>
          <w:sz w:val="24"/>
          <w:highlight w:val="none"/>
        </w:rPr>
      </w:pPr>
      <w:r>
        <w:rPr>
          <w:rFonts w:hint="eastAsia" w:ascii="宋体"/>
          <w:color w:val="auto"/>
          <w:sz w:val="24"/>
          <w:highlight w:val="none"/>
        </w:rPr>
        <w:t>乙方（成交供应商）：</w:t>
      </w:r>
    </w:p>
    <w:p w14:paraId="3B0BE33B">
      <w:pPr>
        <w:spacing w:line="360" w:lineRule="auto"/>
        <w:ind w:firstLine="570"/>
        <w:rPr>
          <w:rFonts w:ascii="宋体"/>
          <w:color w:val="auto"/>
          <w:sz w:val="24"/>
          <w:highlight w:val="none"/>
        </w:rPr>
      </w:pPr>
      <w:r>
        <w:rPr>
          <w:rFonts w:hint="eastAsia" w:ascii="宋体"/>
          <w:color w:val="auto"/>
          <w:sz w:val="24"/>
          <w:highlight w:val="none"/>
        </w:rPr>
        <w:t>依照《中国人民共和国民法典》、《中华人民共和国建筑法》及其他有关部门法律、法规、遵循平等、自愿、公平和诚实信用的原则，</w:t>
      </w:r>
      <w:r>
        <w:rPr>
          <w:rFonts w:hint="eastAsia" w:ascii="宋体" w:hAnsi="宋体"/>
          <w:color w:val="auto"/>
          <w:sz w:val="24"/>
          <w:highlight w:val="none"/>
        </w:rPr>
        <w:t>甲方对项目以采购方式</w:t>
      </w:r>
      <w:r>
        <w:rPr>
          <w:rFonts w:hint="eastAsia" w:ascii="宋体"/>
          <w:color w:val="auto"/>
          <w:sz w:val="24"/>
          <w:highlight w:val="none"/>
        </w:rPr>
        <w:t>进行采购</w:t>
      </w:r>
      <w:r>
        <w:rPr>
          <w:rFonts w:ascii="宋体"/>
          <w:color w:val="auto"/>
          <w:sz w:val="24"/>
          <w:highlight w:val="none"/>
        </w:rPr>
        <w:t>，确定</w:t>
      </w:r>
      <w:r>
        <w:rPr>
          <w:rFonts w:ascii="宋体" w:hAnsi="宋体"/>
          <w:color w:val="auto"/>
          <w:sz w:val="24"/>
          <w:highlight w:val="none"/>
        </w:rPr>
        <w:t>乙方为</w:t>
      </w:r>
      <w:r>
        <w:rPr>
          <w:rFonts w:hint="eastAsia" w:ascii="宋体" w:hAnsi="宋体"/>
          <w:color w:val="auto"/>
          <w:sz w:val="24"/>
          <w:highlight w:val="none"/>
        </w:rPr>
        <w:t>成交供应商</w:t>
      </w:r>
      <w:r>
        <w:rPr>
          <w:rFonts w:ascii="宋体" w:hAnsi="宋体"/>
          <w:color w:val="auto"/>
          <w:sz w:val="24"/>
          <w:highlight w:val="none"/>
        </w:rPr>
        <w:t>，现依照</w:t>
      </w:r>
      <w:r>
        <w:rPr>
          <w:rFonts w:hint="eastAsia" w:ascii="宋体" w:hAnsi="宋体"/>
          <w:color w:val="auto"/>
          <w:sz w:val="24"/>
          <w:highlight w:val="none"/>
        </w:rPr>
        <w:t>文件</w:t>
      </w:r>
      <w:r>
        <w:rPr>
          <w:rFonts w:ascii="宋体" w:hAnsi="宋体"/>
          <w:color w:val="auto"/>
          <w:sz w:val="24"/>
          <w:highlight w:val="none"/>
        </w:rPr>
        <w:t>、</w:t>
      </w:r>
      <w:r>
        <w:rPr>
          <w:rFonts w:hint="eastAsia" w:ascii="宋体" w:hAnsi="宋体"/>
          <w:color w:val="auto"/>
          <w:sz w:val="24"/>
          <w:highlight w:val="none"/>
        </w:rPr>
        <w:t>乙方的响应文件</w:t>
      </w:r>
      <w:r>
        <w:rPr>
          <w:rFonts w:ascii="宋体" w:hAnsi="宋体"/>
          <w:color w:val="auto"/>
          <w:sz w:val="24"/>
          <w:highlight w:val="none"/>
        </w:rPr>
        <w:t>等相关文件内容，</w:t>
      </w:r>
      <w:r>
        <w:rPr>
          <w:rFonts w:hint="eastAsia" w:ascii="宋体"/>
          <w:color w:val="auto"/>
          <w:sz w:val="24"/>
          <w:highlight w:val="none"/>
        </w:rPr>
        <w:t>双方就本建筑工程施工事项协商一致，订立本合同。</w:t>
      </w:r>
    </w:p>
    <w:p w14:paraId="5F3214BE">
      <w:pPr>
        <w:spacing w:line="360" w:lineRule="auto"/>
        <w:ind w:firstLine="482" w:firstLineChars="200"/>
        <w:rPr>
          <w:rFonts w:ascii="宋体"/>
          <w:b/>
          <w:color w:val="auto"/>
          <w:sz w:val="24"/>
          <w:highlight w:val="none"/>
        </w:rPr>
      </w:pPr>
      <w:r>
        <w:rPr>
          <w:rFonts w:hint="eastAsia" w:ascii="宋体"/>
          <w:b/>
          <w:color w:val="auto"/>
          <w:sz w:val="24"/>
          <w:highlight w:val="none"/>
        </w:rPr>
        <w:t>一、工程概况</w:t>
      </w:r>
    </w:p>
    <w:p w14:paraId="06115349">
      <w:pPr>
        <w:spacing w:line="360" w:lineRule="auto"/>
        <w:ind w:firstLine="570"/>
        <w:rPr>
          <w:rFonts w:ascii="宋体" w:hAnsi="宋体"/>
          <w:color w:val="auto"/>
          <w:sz w:val="24"/>
          <w:highlight w:val="none"/>
        </w:rPr>
      </w:pPr>
      <w:r>
        <w:rPr>
          <w:rFonts w:hint="eastAsia" w:ascii="宋体"/>
          <w:color w:val="auto"/>
          <w:sz w:val="24"/>
          <w:highlight w:val="none"/>
        </w:rPr>
        <w:t>1.工程名称：</w:t>
      </w:r>
    </w:p>
    <w:p w14:paraId="5C44B39B">
      <w:pPr>
        <w:spacing w:line="360" w:lineRule="auto"/>
        <w:ind w:firstLine="570"/>
        <w:rPr>
          <w:rFonts w:ascii="宋体" w:hAnsi="宋体"/>
          <w:color w:val="auto"/>
          <w:sz w:val="24"/>
          <w:highlight w:val="none"/>
        </w:rPr>
      </w:pPr>
      <w:r>
        <w:rPr>
          <w:rFonts w:hint="eastAsia" w:ascii="宋体" w:hAnsi="宋体"/>
          <w:color w:val="auto"/>
          <w:sz w:val="24"/>
          <w:highlight w:val="none"/>
        </w:rPr>
        <w:t xml:space="preserve">2.工程地址： </w:t>
      </w:r>
    </w:p>
    <w:p w14:paraId="226F057A">
      <w:pPr>
        <w:spacing w:line="360" w:lineRule="auto"/>
        <w:ind w:firstLine="480" w:firstLineChars="200"/>
        <w:rPr>
          <w:rFonts w:ascii="宋体"/>
          <w:color w:val="auto"/>
          <w:sz w:val="24"/>
          <w:highlight w:val="none"/>
        </w:rPr>
      </w:pPr>
      <w:r>
        <w:rPr>
          <w:rFonts w:hint="eastAsia" w:ascii="宋体"/>
          <w:color w:val="auto"/>
          <w:sz w:val="24"/>
          <w:highlight w:val="none"/>
        </w:rPr>
        <w:t>3.工程合同总价：暂计人民币元整（</w:t>
      </w:r>
      <w:r>
        <w:rPr>
          <w:rFonts w:hint="eastAsia" w:ascii="方正小标宋_GBK" w:eastAsia="方正小标宋_GBK"/>
          <w:color w:val="auto"/>
          <w:sz w:val="24"/>
          <w:highlight w:val="none"/>
        </w:rPr>
        <w:t>￥</w:t>
      </w:r>
      <w:r>
        <w:rPr>
          <w:rFonts w:hint="eastAsia" w:ascii="宋体"/>
          <w:color w:val="auto"/>
          <w:sz w:val="24"/>
          <w:highlight w:val="none"/>
        </w:rPr>
        <w:t>元），按实结算。</w:t>
      </w:r>
    </w:p>
    <w:p w14:paraId="1C5AE577">
      <w:pPr>
        <w:spacing w:line="360" w:lineRule="auto"/>
        <w:ind w:firstLine="470" w:firstLineChars="196"/>
        <w:rPr>
          <w:rFonts w:ascii="宋体"/>
          <w:color w:val="auto"/>
          <w:sz w:val="24"/>
          <w:highlight w:val="none"/>
        </w:rPr>
      </w:pPr>
      <w:r>
        <w:rPr>
          <w:rFonts w:hint="eastAsia" w:ascii="宋体"/>
          <w:color w:val="auto"/>
          <w:sz w:val="24"/>
          <w:highlight w:val="none"/>
        </w:rPr>
        <w:t>合同总价</w:t>
      </w:r>
      <w:r>
        <w:rPr>
          <w:rFonts w:hint="eastAsia" w:ascii="宋体" w:hAnsi="宋体"/>
          <w:color w:val="auto"/>
          <w:sz w:val="24"/>
          <w:highlight w:val="none"/>
        </w:rPr>
        <w:t>应包含项目所涉及的所有有关费用，包括设备材料采购供应、施工安装、调试、配件及辅助材料费、人工费、检验检测、调试、劳保、税金、脚手架、办理行业许可所需费用、验收费用、风险包干、相关伴随服务以及售后服务等直至验收合格交付使用完毕所有可能发生的一切费用，采购人不再另行支付其他费用。合同价格除按合同的规定外，不作任何调整，任何计算错误皆视为已获双方接受，合同价亦不会因人工、物价或汇率等的变动而作任何调整。</w:t>
      </w:r>
    </w:p>
    <w:p w14:paraId="07DB38A0">
      <w:pPr>
        <w:spacing w:line="360" w:lineRule="auto"/>
        <w:ind w:firstLine="360" w:firstLineChars="150"/>
        <w:rPr>
          <w:rFonts w:ascii="宋体"/>
          <w:color w:val="auto"/>
          <w:sz w:val="24"/>
          <w:highlight w:val="none"/>
        </w:rPr>
      </w:pPr>
      <w:r>
        <w:rPr>
          <w:rFonts w:hint="eastAsia" w:ascii="宋体"/>
          <w:color w:val="auto"/>
          <w:sz w:val="24"/>
          <w:highlight w:val="none"/>
        </w:rPr>
        <w:t>4.成交供应商式：包工包料。</w:t>
      </w:r>
    </w:p>
    <w:p w14:paraId="74BF4B15">
      <w:pPr>
        <w:spacing w:line="360" w:lineRule="auto"/>
        <w:ind w:firstLine="482" w:firstLineChars="200"/>
        <w:rPr>
          <w:rFonts w:ascii="宋体"/>
          <w:b/>
          <w:color w:val="auto"/>
          <w:sz w:val="24"/>
          <w:highlight w:val="none"/>
        </w:rPr>
      </w:pPr>
      <w:r>
        <w:rPr>
          <w:rFonts w:hint="eastAsia" w:ascii="宋体"/>
          <w:b/>
          <w:color w:val="auto"/>
          <w:sz w:val="24"/>
          <w:highlight w:val="none"/>
        </w:rPr>
        <w:t>二、工程承包范围</w:t>
      </w:r>
    </w:p>
    <w:p w14:paraId="4AA836D8">
      <w:pPr>
        <w:pStyle w:val="6"/>
        <w:snapToGrid w:val="0"/>
        <w:spacing w:line="360" w:lineRule="auto"/>
        <w:ind w:firstLine="360" w:firstLineChars="150"/>
        <w:rPr>
          <w:rFonts w:ascii="宋体"/>
          <w:color w:val="auto"/>
          <w:sz w:val="24"/>
          <w:highlight w:val="none"/>
        </w:rPr>
      </w:pPr>
      <w:r>
        <w:rPr>
          <w:rFonts w:hint="eastAsia" w:ascii="宋体"/>
          <w:color w:val="auto"/>
          <w:sz w:val="24"/>
          <w:highlight w:val="none"/>
        </w:rPr>
        <w:t>所有工程的施工；具体以工程量清单为准，以施工图纸为依据。</w:t>
      </w:r>
    </w:p>
    <w:p w14:paraId="3D7B6B3E">
      <w:pPr>
        <w:spacing w:line="360" w:lineRule="auto"/>
        <w:ind w:firstLine="482" w:firstLineChars="200"/>
        <w:rPr>
          <w:rFonts w:ascii="宋体"/>
          <w:b/>
          <w:color w:val="auto"/>
          <w:sz w:val="24"/>
          <w:highlight w:val="none"/>
        </w:rPr>
      </w:pPr>
      <w:r>
        <w:rPr>
          <w:rFonts w:hint="eastAsia" w:ascii="宋体"/>
          <w:b/>
          <w:color w:val="auto"/>
          <w:sz w:val="24"/>
          <w:highlight w:val="none"/>
        </w:rPr>
        <w:t>三、合同工期</w:t>
      </w:r>
    </w:p>
    <w:p w14:paraId="7E48D444">
      <w:pPr>
        <w:spacing w:line="360" w:lineRule="auto"/>
        <w:rPr>
          <w:rFonts w:ascii="宋体"/>
          <w:color w:val="auto"/>
          <w:sz w:val="24"/>
          <w:highlight w:val="none"/>
        </w:rPr>
      </w:pPr>
      <w:r>
        <w:rPr>
          <w:rFonts w:hint="eastAsia" w:ascii="宋体"/>
          <w:color w:val="auto"/>
          <w:sz w:val="24"/>
          <w:highlight w:val="none"/>
        </w:rPr>
        <w:t xml:space="preserve">    1.合同总工程工期为</w:t>
      </w:r>
      <w:r>
        <w:rPr>
          <w:rFonts w:hint="eastAsia" w:ascii="宋体"/>
          <w:color w:val="auto"/>
          <w:sz w:val="24"/>
          <w:highlight w:val="none"/>
          <w:lang w:val="en-US" w:eastAsia="zh-CN"/>
        </w:rPr>
        <w:t>90</w:t>
      </w:r>
      <w:r>
        <w:rPr>
          <w:rFonts w:hint="eastAsia" w:ascii="宋体"/>
          <w:color w:val="auto"/>
          <w:sz w:val="24"/>
          <w:highlight w:val="none"/>
        </w:rPr>
        <w:t>个日历天；开工日期：具体以甲方开具的开工令为准。</w:t>
      </w:r>
    </w:p>
    <w:p w14:paraId="631FB8A3">
      <w:pPr>
        <w:spacing w:line="360" w:lineRule="auto"/>
        <w:ind w:firstLine="480" w:firstLineChars="200"/>
        <w:rPr>
          <w:rFonts w:ascii="宋体"/>
          <w:color w:val="auto"/>
          <w:sz w:val="24"/>
          <w:highlight w:val="none"/>
        </w:rPr>
      </w:pPr>
      <w:r>
        <w:rPr>
          <w:rFonts w:hint="eastAsia" w:ascii="宋体"/>
          <w:color w:val="auto"/>
          <w:sz w:val="24"/>
          <w:highlight w:val="none"/>
        </w:rPr>
        <w:t>2.在施工过程中，如遇不可抗力，乙方应在48小时内向甲方书面报告，经甲方核实并书面同意后，工期方可顺延。</w:t>
      </w:r>
    </w:p>
    <w:p w14:paraId="2320035C">
      <w:pPr>
        <w:tabs>
          <w:tab w:val="left" w:pos="540"/>
        </w:tabs>
        <w:spacing w:line="360" w:lineRule="auto"/>
        <w:ind w:firstLine="361" w:firstLineChars="150"/>
        <w:rPr>
          <w:rFonts w:ascii="宋体"/>
          <w:b/>
          <w:color w:val="auto"/>
          <w:sz w:val="24"/>
          <w:highlight w:val="none"/>
        </w:rPr>
      </w:pPr>
      <w:r>
        <w:rPr>
          <w:rFonts w:hint="eastAsia" w:ascii="宋体"/>
          <w:b/>
          <w:color w:val="auto"/>
          <w:sz w:val="24"/>
          <w:highlight w:val="none"/>
        </w:rPr>
        <w:t>四、付款方式</w:t>
      </w:r>
    </w:p>
    <w:tbl>
      <w:tblPr>
        <w:tblStyle w:val="20"/>
        <w:tblW w:w="9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1939"/>
        <w:gridCol w:w="6487"/>
      </w:tblGrid>
      <w:tr w14:paraId="3220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327" w:type="dxa"/>
            <w:noWrap/>
            <w:vAlign w:val="center"/>
          </w:tcPr>
          <w:p w14:paraId="2648317E">
            <w:pPr>
              <w:pStyle w:val="17"/>
              <w:autoSpaceDE w:val="0"/>
              <w:spacing w:line="400" w:lineRule="exact"/>
              <w:rPr>
                <w:rFonts w:ascii="宋体" w:hAnsi="宋体" w:cs="宋体"/>
                <w:color w:val="auto"/>
                <w:highlight w:val="none"/>
              </w:rPr>
            </w:pPr>
            <w:r>
              <w:rPr>
                <w:rFonts w:hint="eastAsia" w:ascii="宋体" w:hAnsi="宋体" w:cs="宋体"/>
                <w:color w:val="auto"/>
                <w:highlight w:val="none"/>
              </w:rPr>
              <w:t>支付期次</w:t>
            </w:r>
          </w:p>
        </w:tc>
        <w:tc>
          <w:tcPr>
            <w:tcW w:w="1939" w:type="dxa"/>
            <w:noWrap/>
            <w:vAlign w:val="center"/>
          </w:tcPr>
          <w:p w14:paraId="1DC55762">
            <w:pPr>
              <w:pStyle w:val="17"/>
              <w:autoSpaceDE w:val="0"/>
              <w:spacing w:line="400" w:lineRule="exact"/>
              <w:rPr>
                <w:rFonts w:ascii="宋体" w:hAnsi="宋体" w:cs="宋体"/>
                <w:color w:val="auto"/>
                <w:highlight w:val="none"/>
              </w:rPr>
            </w:pPr>
            <w:r>
              <w:rPr>
                <w:rFonts w:hint="eastAsia" w:ascii="宋体" w:hAnsi="宋体" w:cs="宋体"/>
                <w:color w:val="auto"/>
                <w:highlight w:val="none"/>
                <w:lang w:val="en-US" w:eastAsia="zh-CN"/>
              </w:rPr>
              <w:t>当期支付</w:t>
            </w:r>
            <w:r>
              <w:rPr>
                <w:rFonts w:hint="eastAsia" w:ascii="宋体" w:hAnsi="宋体" w:cs="宋体"/>
                <w:color w:val="auto"/>
                <w:highlight w:val="none"/>
              </w:rPr>
              <w:t>比例(%)</w:t>
            </w:r>
          </w:p>
        </w:tc>
        <w:tc>
          <w:tcPr>
            <w:tcW w:w="6487" w:type="dxa"/>
            <w:noWrap/>
            <w:vAlign w:val="center"/>
          </w:tcPr>
          <w:p w14:paraId="10E95230">
            <w:pPr>
              <w:pStyle w:val="17"/>
              <w:autoSpaceDE w:val="0"/>
              <w:spacing w:line="400" w:lineRule="exact"/>
              <w:ind w:firstLine="482"/>
              <w:rPr>
                <w:rFonts w:ascii="宋体" w:hAnsi="宋体" w:cs="宋体"/>
                <w:color w:val="auto"/>
                <w:highlight w:val="none"/>
              </w:rPr>
            </w:pPr>
            <w:r>
              <w:rPr>
                <w:rFonts w:hint="eastAsia" w:ascii="宋体" w:hAnsi="宋体" w:cs="宋体"/>
                <w:color w:val="auto"/>
                <w:highlight w:val="none"/>
              </w:rPr>
              <w:t>支付期次说明</w:t>
            </w:r>
          </w:p>
        </w:tc>
      </w:tr>
      <w:tr w14:paraId="64B8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27" w:type="dxa"/>
            <w:noWrap/>
            <w:vAlign w:val="center"/>
          </w:tcPr>
          <w:p w14:paraId="12617E47">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939" w:type="dxa"/>
            <w:noWrap/>
            <w:vAlign w:val="center"/>
          </w:tcPr>
          <w:p w14:paraId="106F4A17">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w:t>
            </w:r>
          </w:p>
        </w:tc>
        <w:tc>
          <w:tcPr>
            <w:tcW w:w="6487" w:type="dxa"/>
            <w:noWrap/>
            <w:vAlign w:val="center"/>
          </w:tcPr>
          <w:p w14:paraId="5D65EAFD">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合同签订后，采购人应在收到正式发票、履约保函后向成交供应商支付至合同总款的10%；</w:t>
            </w:r>
          </w:p>
        </w:tc>
      </w:tr>
      <w:tr w14:paraId="584A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27" w:type="dxa"/>
            <w:noWrap/>
            <w:vAlign w:val="center"/>
          </w:tcPr>
          <w:p w14:paraId="65EFF3E7">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p>
        </w:tc>
        <w:tc>
          <w:tcPr>
            <w:tcW w:w="1939" w:type="dxa"/>
            <w:noWrap/>
            <w:vAlign w:val="center"/>
          </w:tcPr>
          <w:p w14:paraId="2BD0E571">
            <w:pPr>
              <w:pStyle w:val="17"/>
              <w:autoSpaceDE w:val="0"/>
              <w:spacing w:line="400" w:lineRule="exact"/>
              <w:rPr>
                <w:rFonts w:hint="default" w:ascii="宋体" w:hAnsi="宋体" w:cs="宋体"/>
                <w:color w:val="auto"/>
                <w:highlight w:val="none"/>
              </w:rPr>
            </w:pPr>
            <w:r>
              <w:rPr>
                <w:rFonts w:hint="eastAsia" w:ascii="宋体" w:hAnsi="宋体" w:eastAsia="宋体" w:cs="宋体"/>
                <w:color w:val="auto"/>
                <w:kern w:val="0"/>
                <w:sz w:val="24"/>
                <w:szCs w:val="24"/>
                <w:highlight w:val="none"/>
                <w:lang w:val="en-US" w:eastAsia="zh-CN" w:bidi="ar-SA"/>
              </w:rPr>
              <w:t>80%</w:t>
            </w:r>
          </w:p>
        </w:tc>
        <w:tc>
          <w:tcPr>
            <w:tcW w:w="6487" w:type="dxa"/>
            <w:noWrap/>
            <w:vAlign w:val="center"/>
          </w:tcPr>
          <w:p w14:paraId="02992F26">
            <w:pPr>
              <w:pStyle w:val="17"/>
              <w:autoSpaceDE w:val="0"/>
              <w:spacing w:line="400" w:lineRule="exact"/>
              <w:rPr>
                <w:rFonts w:hint="default" w:ascii="宋体" w:hAnsi="宋体" w:cs="宋体"/>
                <w:color w:val="auto"/>
                <w:highlight w:val="none"/>
              </w:rPr>
            </w:pPr>
            <w:r>
              <w:rPr>
                <w:rFonts w:hint="eastAsia" w:ascii="宋体" w:hAnsi="宋体" w:eastAsia="宋体" w:cs="宋体"/>
                <w:color w:val="auto"/>
                <w:kern w:val="0"/>
                <w:sz w:val="24"/>
                <w:szCs w:val="24"/>
                <w:highlight w:val="none"/>
                <w:lang w:val="en-US" w:eastAsia="zh-CN" w:bidi="ar-SA"/>
              </w:rPr>
              <w:t>每个月按完成进度的80%，支付工程进度款</w:t>
            </w:r>
          </w:p>
        </w:tc>
      </w:tr>
      <w:tr w14:paraId="614B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27" w:type="dxa"/>
            <w:shd w:val="clear" w:color="auto" w:fill="auto"/>
            <w:noWrap/>
            <w:vAlign w:val="center"/>
          </w:tcPr>
          <w:p w14:paraId="1AE4A933">
            <w:pPr>
              <w:pStyle w:val="17"/>
              <w:autoSpaceDE w:val="0"/>
              <w:spacing w:line="400" w:lineRule="exact"/>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tc>
        <w:tc>
          <w:tcPr>
            <w:tcW w:w="1939" w:type="dxa"/>
            <w:shd w:val="clear" w:color="auto" w:fill="auto"/>
            <w:noWrap/>
            <w:vAlign w:val="center"/>
          </w:tcPr>
          <w:p w14:paraId="69B0F94D">
            <w:pPr>
              <w:pStyle w:val="17"/>
              <w:autoSpaceDE w:val="0"/>
              <w:spacing w:line="400" w:lineRule="exact"/>
              <w:rPr>
                <w:rFonts w:hint="default"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85%</w:t>
            </w:r>
          </w:p>
        </w:tc>
        <w:tc>
          <w:tcPr>
            <w:tcW w:w="6487" w:type="dxa"/>
            <w:shd w:val="clear" w:color="auto" w:fill="auto"/>
            <w:noWrap/>
            <w:vAlign w:val="center"/>
          </w:tcPr>
          <w:p w14:paraId="4161DA4D">
            <w:pPr>
              <w:pStyle w:val="17"/>
              <w:autoSpaceDE w:val="0"/>
              <w:spacing w:line="400" w:lineRule="exact"/>
              <w:rPr>
                <w:rFonts w:hint="default"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项目通过验收合同格后，支付工程款合同总价的85%；</w:t>
            </w:r>
          </w:p>
        </w:tc>
      </w:tr>
      <w:tr w14:paraId="69FC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27" w:type="dxa"/>
            <w:shd w:val="clear" w:color="auto" w:fill="auto"/>
            <w:noWrap/>
            <w:vAlign w:val="center"/>
          </w:tcPr>
          <w:p w14:paraId="42316431">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1939" w:type="dxa"/>
            <w:shd w:val="clear" w:color="auto" w:fill="auto"/>
            <w:noWrap/>
            <w:vAlign w:val="center"/>
          </w:tcPr>
          <w:p w14:paraId="1683310A">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15%</w:t>
            </w:r>
          </w:p>
        </w:tc>
        <w:tc>
          <w:tcPr>
            <w:tcW w:w="6487" w:type="dxa"/>
            <w:shd w:val="clear" w:color="auto" w:fill="auto"/>
            <w:noWrap/>
            <w:vAlign w:val="center"/>
          </w:tcPr>
          <w:p w14:paraId="57F4F55A">
            <w:pPr>
              <w:pStyle w:val="17"/>
              <w:autoSpaceDE w:val="0"/>
              <w:spacing w:line="4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工程通过结算审计且甲方收到乙方3%质保金后，支付工程款至结算总价的100%；（扣除原有的85%款项）</w:t>
            </w:r>
          </w:p>
        </w:tc>
      </w:tr>
      <w:tr w14:paraId="29ED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27" w:type="dxa"/>
            <w:shd w:val="clear" w:color="auto" w:fill="auto"/>
            <w:noWrap/>
            <w:vAlign w:val="center"/>
          </w:tcPr>
          <w:p w14:paraId="6C9CEFF5">
            <w:pPr>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p>
        </w:tc>
        <w:tc>
          <w:tcPr>
            <w:tcW w:w="1939" w:type="dxa"/>
            <w:shd w:val="clear" w:color="auto" w:fill="auto"/>
            <w:noWrap/>
            <w:vAlign w:val="center"/>
          </w:tcPr>
          <w:p w14:paraId="7ED4677C">
            <w:pPr>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tc>
        <w:tc>
          <w:tcPr>
            <w:tcW w:w="6487" w:type="dxa"/>
            <w:shd w:val="clear" w:color="auto" w:fill="auto"/>
            <w:noWrap/>
            <w:vAlign w:val="center"/>
          </w:tcPr>
          <w:p w14:paraId="7599F46D">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合同售后服务期到期后7个工作日内无息归还3%质保金。</w:t>
            </w:r>
          </w:p>
        </w:tc>
      </w:tr>
    </w:tbl>
    <w:p w14:paraId="21AB949E">
      <w:pPr>
        <w:tabs>
          <w:tab w:val="left" w:pos="540"/>
        </w:tabs>
        <w:spacing w:line="360" w:lineRule="auto"/>
        <w:ind w:firstLine="480" w:firstLineChars="200"/>
        <w:rPr>
          <w:rFonts w:ascii="宋体" w:hAnsi="宋体"/>
          <w:bCs/>
          <w:color w:val="auto"/>
          <w:sz w:val="24"/>
          <w:highlight w:val="none"/>
        </w:rPr>
      </w:pPr>
      <w:r>
        <w:rPr>
          <w:rFonts w:hint="eastAsia" w:ascii="宋体"/>
          <w:color w:val="auto"/>
          <w:sz w:val="24"/>
          <w:highlight w:val="none"/>
        </w:rPr>
        <w:t>（注：乙方应按上述规定申请付款，并在申请付款时向甲方提供相应金额的正规税务发票，甲方在收到发票后15个工作日内以银行转账方式向乙方支付每笔款项。）</w:t>
      </w:r>
    </w:p>
    <w:p w14:paraId="120F7FD7">
      <w:pPr>
        <w:pStyle w:val="28"/>
        <w:spacing w:line="360" w:lineRule="auto"/>
        <w:ind w:firstLine="480" w:firstLineChars="200"/>
        <w:rPr>
          <w:color w:val="auto"/>
          <w:highlight w:val="none"/>
        </w:rPr>
      </w:pPr>
      <w:r>
        <w:rPr>
          <w:rFonts w:hint="eastAsia" w:ascii="宋体" w:hAnsi="宋体"/>
          <w:bCs/>
          <w:color w:val="auto"/>
          <w:sz w:val="24"/>
          <w:highlight w:val="none"/>
        </w:rPr>
        <w:t>4.</w:t>
      </w:r>
      <w:r>
        <w:rPr>
          <w:rFonts w:hint="eastAsia" w:ascii="宋体" w:hAnsi="宋体" w:eastAsia="宋体" w:cs="宋体"/>
          <w:color w:val="auto"/>
          <w:kern w:val="0"/>
          <w:sz w:val="24"/>
          <w:szCs w:val="24"/>
          <w:highlight w:val="none"/>
          <w:lang w:val="en-US" w:eastAsia="zh-CN" w:bidi="ar-SA"/>
        </w:rPr>
        <w:t>合同售后服务期到期后</w:t>
      </w:r>
      <w:r>
        <w:rPr>
          <w:rFonts w:hint="eastAsia" w:ascii="宋体" w:hAnsi="宋体"/>
          <w:bCs/>
          <w:color w:val="auto"/>
          <w:sz w:val="24"/>
          <w:highlight w:val="none"/>
        </w:rPr>
        <w:t>，乙方提出退还申请报告，如无质量问题及其他违约责任的，甲方收到申请报告和相应金额的收据后</w:t>
      </w:r>
      <w:r>
        <w:rPr>
          <w:rFonts w:hint="eastAsia" w:ascii="宋体"/>
          <w:color w:val="auto"/>
          <w:sz w:val="24"/>
          <w:highlight w:val="none"/>
        </w:rPr>
        <w:t>于</w:t>
      </w:r>
      <w:r>
        <w:rPr>
          <w:rFonts w:hint="eastAsia" w:ascii="宋体"/>
          <w:color w:val="auto"/>
          <w:sz w:val="24"/>
          <w:highlight w:val="none"/>
          <w:lang w:val="en-US" w:eastAsia="zh-CN"/>
        </w:rPr>
        <w:t>7</w:t>
      </w:r>
      <w:r>
        <w:rPr>
          <w:rFonts w:hint="eastAsia" w:ascii="宋体"/>
          <w:color w:val="auto"/>
          <w:sz w:val="24"/>
          <w:highlight w:val="none"/>
        </w:rPr>
        <w:t>个工作日内以银行转账方式向乙方</w:t>
      </w:r>
      <w:r>
        <w:rPr>
          <w:rFonts w:hint="eastAsia" w:ascii="宋体" w:hAnsi="宋体"/>
          <w:bCs/>
          <w:color w:val="auto"/>
          <w:sz w:val="24"/>
          <w:highlight w:val="none"/>
        </w:rPr>
        <w:t>无息退还。</w:t>
      </w:r>
    </w:p>
    <w:p w14:paraId="6DD432C7">
      <w:pPr>
        <w:tabs>
          <w:tab w:val="left" w:pos="540"/>
        </w:tabs>
        <w:spacing w:line="360" w:lineRule="auto"/>
        <w:ind w:left="-424" w:leftChars="-202" w:firstLine="904" w:firstLineChars="377"/>
        <w:rPr>
          <w:rFonts w:ascii="宋体"/>
          <w:color w:val="auto"/>
          <w:sz w:val="24"/>
          <w:highlight w:val="none"/>
        </w:rPr>
      </w:pPr>
      <w:r>
        <w:rPr>
          <w:rFonts w:hint="eastAsia" w:ascii="宋体"/>
          <w:color w:val="auto"/>
          <w:sz w:val="24"/>
          <w:highlight w:val="none"/>
        </w:rPr>
        <w:t>甲方指定的质量保证金银行账户信息：</w:t>
      </w:r>
    </w:p>
    <w:p w14:paraId="35887362">
      <w:pPr>
        <w:tabs>
          <w:tab w:val="left" w:pos="540"/>
        </w:tabs>
        <w:spacing w:line="360" w:lineRule="auto"/>
        <w:ind w:firstLine="480" w:firstLineChars="200"/>
        <w:rPr>
          <w:rFonts w:ascii="宋体"/>
          <w:color w:val="auto"/>
          <w:sz w:val="24"/>
          <w:highlight w:val="none"/>
        </w:rPr>
      </w:pPr>
      <w:r>
        <w:rPr>
          <w:rFonts w:hint="eastAsia" w:ascii="宋体"/>
          <w:color w:val="auto"/>
          <w:sz w:val="24"/>
          <w:highlight w:val="none"/>
        </w:rPr>
        <w:t xml:space="preserve">开户银行： </w:t>
      </w:r>
    </w:p>
    <w:p w14:paraId="15B6DC5F">
      <w:pPr>
        <w:tabs>
          <w:tab w:val="left" w:pos="540"/>
        </w:tabs>
        <w:spacing w:line="360" w:lineRule="auto"/>
        <w:ind w:firstLine="480" w:firstLineChars="200"/>
        <w:rPr>
          <w:rFonts w:ascii="宋体"/>
          <w:color w:val="auto"/>
          <w:sz w:val="24"/>
          <w:highlight w:val="none"/>
        </w:rPr>
      </w:pPr>
      <w:r>
        <w:rPr>
          <w:rFonts w:hint="eastAsia" w:ascii="宋体"/>
          <w:color w:val="auto"/>
          <w:sz w:val="24"/>
          <w:highlight w:val="none"/>
        </w:rPr>
        <w:t xml:space="preserve">账户名称： </w:t>
      </w:r>
    </w:p>
    <w:p w14:paraId="134517F1">
      <w:pPr>
        <w:tabs>
          <w:tab w:val="left" w:pos="540"/>
        </w:tabs>
        <w:spacing w:line="360" w:lineRule="auto"/>
        <w:ind w:firstLine="480" w:firstLineChars="200"/>
        <w:rPr>
          <w:color w:val="auto"/>
          <w:highlight w:val="none"/>
        </w:rPr>
      </w:pPr>
      <w:r>
        <w:rPr>
          <w:rFonts w:hint="eastAsia" w:ascii="宋体"/>
          <w:color w:val="auto"/>
          <w:sz w:val="24"/>
          <w:highlight w:val="none"/>
        </w:rPr>
        <w:t xml:space="preserve">账    号： </w:t>
      </w:r>
    </w:p>
    <w:p w14:paraId="747E070D">
      <w:pPr>
        <w:tabs>
          <w:tab w:val="left" w:pos="540"/>
        </w:tabs>
        <w:spacing w:line="360" w:lineRule="auto"/>
        <w:ind w:firstLine="480" w:firstLineChars="200"/>
        <w:rPr>
          <w:rFonts w:ascii="宋体"/>
          <w:color w:val="auto"/>
          <w:sz w:val="24"/>
          <w:highlight w:val="none"/>
        </w:rPr>
      </w:pPr>
      <w:r>
        <w:rPr>
          <w:rFonts w:hint="eastAsia" w:ascii="宋体"/>
          <w:color w:val="auto"/>
          <w:sz w:val="24"/>
          <w:highlight w:val="none"/>
        </w:rPr>
        <w:t>乙方指定的银行账户行信息</w:t>
      </w:r>
    </w:p>
    <w:p w14:paraId="7366C77C">
      <w:pPr>
        <w:pStyle w:val="40"/>
        <w:tabs>
          <w:tab w:val="left" w:pos="360"/>
          <w:tab w:val="left" w:pos="720"/>
        </w:tabs>
        <w:spacing w:line="360" w:lineRule="auto"/>
        <w:ind w:left="-424" w:leftChars="-202" w:firstLine="904" w:firstLineChars="377"/>
        <w:jc w:val="left"/>
        <w:rPr>
          <w:rFonts w:ascii="宋体" w:hAnsi="Times New Roman"/>
          <w:color w:val="auto"/>
          <w:sz w:val="24"/>
          <w:szCs w:val="24"/>
          <w:highlight w:val="none"/>
        </w:rPr>
      </w:pPr>
      <w:r>
        <w:rPr>
          <w:rFonts w:hint="eastAsia" w:ascii="宋体" w:hAnsi="Times New Roman"/>
          <w:color w:val="auto"/>
          <w:sz w:val="24"/>
          <w:szCs w:val="24"/>
          <w:highlight w:val="none"/>
        </w:rPr>
        <w:t>账户名称：</w:t>
      </w:r>
    </w:p>
    <w:p w14:paraId="4181D624">
      <w:pPr>
        <w:pStyle w:val="40"/>
        <w:tabs>
          <w:tab w:val="left" w:pos="360"/>
          <w:tab w:val="left" w:pos="720"/>
        </w:tabs>
        <w:spacing w:line="360" w:lineRule="auto"/>
        <w:ind w:left="-424" w:leftChars="-202" w:firstLine="904" w:firstLineChars="377"/>
        <w:jc w:val="left"/>
        <w:rPr>
          <w:rFonts w:ascii="宋体" w:hAnsi="Times New Roman"/>
          <w:color w:val="auto"/>
          <w:sz w:val="24"/>
          <w:szCs w:val="24"/>
          <w:highlight w:val="none"/>
        </w:rPr>
      </w:pPr>
      <w:r>
        <w:rPr>
          <w:rFonts w:hint="eastAsia" w:ascii="宋体" w:hAnsi="Times New Roman"/>
          <w:color w:val="auto"/>
          <w:sz w:val="24"/>
          <w:szCs w:val="24"/>
          <w:highlight w:val="none"/>
        </w:rPr>
        <w:t xml:space="preserve">开户银行： </w:t>
      </w:r>
    </w:p>
    <w:p w14:paraId="0E56F0E3">
      <w:pPr>
        <w:pStyle w:val="40"/>
        <w:spacing w:line="360" w:lineRule="auto"/>
        <w:ind w:firstLine="480" w:firstLineChars="200"/>
        <w:rPr>
          <w:color w:val="auto"/>
          <w:highlight w:val="none"/>
        </w:rPr>
      </w:pPr>
      <w:r>
        <w:rPr>
          <w:rFonts w:hint="eastAsia" w:ascii="宋体" w:hAnsi="Times New Roman"/>
          <w:color w:val="auto"/>
          <w:sz w:val="24"/>
          <w:szCs w:val="24"/>
          <w:highlight w:val="none"/>
        </w:rPr>
        <w:t xml:space="preserve">银行账号： </w:t>
      </w:r>
    </w:p>
    <w:p w14:paraId="6BC451A0">
      <w:pPr>
        <w:tabs>
          <w:tab w:val="left" w:pos="540"/>
        </w:tabs>
        <w:spacing w:line="360" w:lineRule="auto"/>
        <w:ind w:firstLine="424" w:firstLineChars="177"/>
        <w:rPr>
          <w:rFonts w:ascii="宋体"/>
          <w:color w:val="auto"/>
          <w:sz w:val="24"/>
          <w:highlight w:val="none"/>
        </w:rPr>
      </w:pPr>
      <w:r>
        <w:rPr>
          <w:rFonts w:hint="eastAsia" w:ascii="宋体"/>
          <w:color w:val="auto"/>
          <w:sz w:val="24"/>
          <w:highlight w:val="none"/>
        </w:rPr>
        <w:t>因财政集中支付延误时间不计算在付款时间内，乙方提交付款单据延迟或缺失的，甲方有权相应顺延付款期限。</w:t>
      </w:r>
    </w:p>
    <w:p w14:paraId="50C65FFA">
      <w:pPr>
        <w:tabs>
          <w:tab w:val="left" w:pos="540"/>
        </w:tabs>
        <w:spacing w:line="360" w:lineRule="auto"/>
        <w:ind w:firstLine="424" w:firstLineChars="177"/>
        <w:rPr>
          <w:rFonts w:ascii="宋体"/>
          <w:color w:val="auto"/>
          <w:sz w:val="24"/>
          <w:highlight w:val="none"/>
        </w:rPr>
      </w:pPr>
      <w:r>
        <w:rPr>
          <w:rFonts w:hint="eastAsia" w:ascii="宋体"/>
          <w:color w:val="auto"/>
          <w:sz w:val="24"/>
          <w:highlight w:val="none"/>
        </w:rPr>
        <w:t>在合同履行期间，合同总价不因国家法定税率的调整而调整。</w:t>
      </w:r>
    </w:p>
    <w:p w14:paraId="40994E1D">
      <w:pPr>
        <w:tabs>
          <w:tab w:val="left" w:pos="540"/>
        </w:tabs>
        <w:spacing w:line="360" w:lineRule="auto"/>
        <w:ind w:firstLine="482" w:firstLineChars="200"/>
        <w:rPr>
          <w:rFonts w:ascii="宋体"/>
          <w:color w:val="auto"/>
          <w:sz w:val="24"/>
          <w:highlight w:val="none"/>
        </w:rPr>
      </w:pPr>
      <w:r>
        <w:rPr>
          <w:rFonts w:hint="eastAsia" w:ascii="宋体"/>
          <w:b/>
          <w:color w:val="auto"/>
          <w:sz w:val="24"/>
          <w:highlight w:val="none"/>
        </w:rPr>
        <w:t>五、工程结算办法</w:t>
      </w:r>
    </w:p>
    <w:p w14:paraId="552901A8">
      <w:pPr>
        <w:spacing w:line="56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本项目实行单价合同，根据实际的工程量，按实结算。</w:t>
      </w:r>
    </w:p>
    <w:p w14:paraId="346316FF">
      <w:pPr>
        <w:spacing w:line="56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1.结算工程量清单以工程竣工验收合格后的实际工程量经相关部门审核后的工程量清单为准；</w:t>
      </w:r>
    </w:p>
    <w:p w14:paraId="591E12A0">
      <w:pPr>
        <w:spacing w:line="56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2.施工项目在工程量清单范围内的，施工单价按照乙方的成交单价为准；</w:t>
      </w:r>
    </w:p>
    <w:p w14:paraId="7F89B2AF">
      <w:pPr>
        <w:spacing w:line="56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3.施工项目在工程量清单范围外的，施工单价按现行（合同签订时最新的）国家定额标准计算；现行无国家定额标准的，由双方协商或以市场行情确定的单价为准。</w:t>
      </w:r>
    </w:p>
    <w:p w14:paraId="4A132053">
      <w:pPr>
        <w:pStyle w:val="6"/>
        <w:tabs>
          <w:tab w:val="left" w:pos="510"/>
          <w:tab w:val="left" w:pos="624"/>
        </w:tabs>
        <w:snapToGrid w:val="0"/>
        <w:spacing w:line="360" w:lineRule="auto"/>
        <w:ind w:firstLine="480" w:firstLineChars="200"/>
        <w:jc w:val="left"/>
        <w:rPr>
          <w:rFonts w:ascii="宋体"/>
          <w:color w:val="auto"/>
          <w:sz w:val="24"/>
          <w:highlight w:val="none"/>
        </w:rPr>
      </w:pPr>
      <w:r>
        <w:rPr>
          <w:rFonts w:hint="eastAsia" w:ascii="宋体" w:hAnsi="宋体"/>
          <w:bCs/>
          <w:color w:val="auto"/>
          <w:sz w:val="24"/>
          <w:highlight w:val="none"/>
        </w:rPr>
        <w:t>4.合同履行中，确需追加的施工项目，应经甲方书面确认，且追加的工程总金额不得超过本合同暂定工程总价的</w:t>
      </w:r>
      <w:r>
        <w:rPr>
          <w:rFonts w:ascii="宋体" w:hAnsi="宋体"/>
          <w:bCs/>
          <w:color w:val="auto"/>
          <w:sz w:val="24"/>
          <w:highlight w:val="none"/>
        </w:rPr>
        <w:t>10%</w:t>
      </w:r>
      <w:r>
        <w:rPr>
          <w:rFonts w:hint="eastAsia" w:ascii="宋体" w:hAnsi="宋体"/>
          <w:bCs/>
          <w:color w:val="auto"/>
          <w:sz w:val="24"/>
          <w:highlight w:val="none"/>
        </w:rPr>
        <w:t>。未经甲方书面确认，乙方不得擅自追加施工项目，否则乙方无权要求甲方支付相关费用，若因此给甲方造成损失的，还应赔偿甲方所受的损失。</w:t>
      </w:r>
    </w:p>
    <w:p w14:paraId="41EC9F83">
      <w:pPr>
        <w:tabs>
          <w:tab w:val="left" w:pos="360"/>
          <w:tab w:val="left" w:pos="540"/>
          <w:tab w:val="left" w:pos="720"/>
        </w:tabs>
        <w:spacing w:line="360" w:lineRule="auto"/>
        <w:ind w:firstLine="241" w:firstLineChars="100"/>
        <w:rPr>
          <w:rFonts w:ascii="宋体"/>
          <w:b/>
          <w:color w:val="auto"/>
          <w:sz w:val="24"/>
          <w:highlight w:val="none"/>
        </w:rPr>
      </w:pPr>
      <w:r>
        <w:rPr>
          <w:rFonts w:hint="eastAsia" w:ascii="宋体"/>
          <w:b/>
          <w:color w:val="auto"/>
          <w:sz w:val="24"/>
          <w:highlight w:val="none"/>
        </w:rPr>
        <w:t>六、双方的权利和义务</w:t>
      </w:r>
    </w:p>
    <w:p w14:paraId="2D54E8AE">
      <w:pPr>
        <w:tabs>
          <w:tab w:val="left" w:pos="142"/>
        </w:tabs>
        <w:spacing w:line="360" w:lineRule="auto"/>
        <w:ind w:firstLine="530" w:firstLineChars="221"/>
        <w:rPr>
          <w:rFonts w:ascii="宋体" w:hAnsi="宋体"/>
          <w:color w:val="auto"/>
          <w:sz w:val="24"/>
          <w:highlight w:val="none"/>
        </w:rPr>
      </w:pPr>
      <w:r>
        <w:rPr>
          <w:rFonts w:hint="eastAsia" w:ascii="宋体" w:hAnsi="宋体"/>
          <w:color w:val="auto"/>
          <w:sz w:val="24"/>
          <w:highlight w:val="none"/>
        </w:rPr>
        <w:t>1.甲方负责免费提供施工场地，并为乙方协调施工用水、用电，其费用由甲方承担。</w:t>
      </w:r>
    </w:p>
    <w:p w14:paraId="16E252EB">
      <w:pPr>
        <w:tabs>
          <w:tab w:val="left" w:pos="142"/>
        </w:tabs>
        <w:spacing w:line="360" w:lineRule="auto"/>
        <w:ind w:firstLine="530" w:firstLineChars="221"/>
        <w:rPr>
          <w:rFonts w:ascii="宋体" w:hAnsi="宋体"/>
          <w:color w:val="auto"/>
          <w:sz w:val="24"/>
          <w:highlight w:val="none"/>
        </w:rPr>
      </w:pPr>
      <w:r>
        <w:rPr>
          <w:rFonts w:hint="eastAsia" w:ascii="宋体" w:hAnsi="宋体"/>
          <w:color w:val="auto"/>
          <w:sz w:val="24"/>
          <w:highlight w:val="none"/>
        </w:rPr>
        <w:t>2.甲方负责按本合同付款约定按时支付款项。</w:t>
      </w:r>
    </w:p>
    <w:p w14:paraId="04CF4E85">
      <w:pPr>
        <w:tabs>
          <w:tab w:val="left" w:pos="142"/>
        </w:tabs>
        <w:spacing w:line="360" w:lineRule="auto"/>
        <w:ind w:firstLine="530" w:firstLineChars="221"/>
        <w:rPr>
          <w:rFonts w:ascii="宋体" w:hAnsi="宋体"/>
          <w:color w:val="auto"/>
          <w:sz w:val="24"/>
          <w:highlight w:val="none"/>
        </w:rPr>
      </w:pPr>
      <w:r>
        <w:rPr>
          <w:rFonts w:hint="eastAsia" w:ascii="宋体" w:hAnsi="宋体"/>
          <w:color w:val="auto"/>
          <w:sz w:val="24"/>
          <w:highlight w:val="none"/>
        </w:rPr>
        <w:t>3.乙方负责工程的施工、安装、质量保修服务等工作。</w:t>
      </w:r>
    </w:p>
    <w:p w14:paraId="31B091F1">
      <w:pPr>
        <w:tabs>
          <w:tab w:val="left" w:pos="142"/>
        </w:tabs>
        <w:spacing w:line="360" w:lineRule="auto"/>
        <w:ind w:firstLine="530" w:firstLineChars="221"/>
        <w:rPr>
          <w:rFonts w:ascii="宋体" w:hAnsi="宋体"/>
          <w:color w:val="auto"/>
          <w:sz w:val="24"/>
          <w:highlight w:val="none"/>
        </w:rPr>
      </w:pPr>
      <w:r>
        <w:rPr>
          <w:rFonts w:hint="eastAsia" w:ascii="宋体" w:hAnsi="宋体"/>
          <w:color w:val="auto"/>
          <w:sz w:val="24"/>
          <w:highlight w:val="none"/>
        </w:rPr>
        <w:t>4.乙方必须按照经甲方书面确认的方案、方法进行施工、安装，不得擅自改动。如有变更，必须经甲方书面确认后方可组织施工，否则一切后果由乙方承担，若因此给甲方造成损失的，乙方还应赔偿甲方所受的损失。</w:t>
      </w:r>
    </w:p>
    <w:p w14:paraId="159602CE">
      <w:pPr>
        <w:tabs>
          <w:tab w:val="left" w:pos="142"/>
        </w:tabs>
        <w:spacing w:line="360" w:lineRule="auto"/>
        <w:ind w:firstLine="530" w:firstLineChars="221"/>
        <w:rPr>
          <w:rFonts w:ascii="宋体" w:hAnsi="宋体"/>
          <w:color w:val="auto"/>
          <w:sz w:val="24"/>
          <w:highlight w:val="none"/>
        </w:rPr>
      </w:pPr>
      <w:r>
        <w:rPr>
          <w:rFonts w:hint="eastAsia" w:ascii="宋体" w:hAnsi="宋体"/>
          <w:color w:val="auto"/>
          <w:sz w:val="24"/>
          <w:highlight w:val="none"/>
        </w:rPr>
        <w:t>5.乙方必须遵守《工程施工质量验收规范》以及国家、行业标准进行施工，乙方施工过程中所有工程记录和技术资料及各种签证文件，均为原始验收有效文件，不得随意更改，发现有违规和缺陷要主动及时向甲方报告。</w:t>
      </w:r>
    </w:p>
    <w:p w14:paraId="380148D7">
      <w:pPr>
        <w:tabs>
          <w:tab w:val="left" w:pos="142"/>
        </w:tabs>
        <w:spacing w:line="360" w:lineRule="auto"/>
        <w:ind w:firstLine="484" w:firstLineChars="202"/>
        <w:rPr>
          <w:rFonts w:ascii="宋体" w:hAnsi="宋体"/>
          <w:color w:val="auto"/>
          <w:sz w:val="24"/>
          <w:highlight w:val="none"/>
        </w:rPr>
      </w:pPr>
      <w:r>
        <w:rPr>
          <w:rFonts w:hint="eastAsia" w:ascii="宋体" w:hAnsi="宋体"/>
          <w:color w:val="auto"/>
          <w:sz w:val="24"/>
          <w:highlight w:val="none"/>
        </w:rPr>
        <w:t>6.施工现场发生的紧急突发情况，乙方应及时（最迟8个小时）内向甲方报告。</w:t>
      </w:r>
    </w:p>
    <w:p w14:paraId="6DC6E292">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7.乙方必须无条件接受甲方监督的质量检查和管理，共同把好质量关。</w:t>
      </w:r>
    </w:p>
    <w:p w14:paraId="69E63EB3">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8.乙方必须按时足额支付工人工资，必须办理施工保险和第三者责任险，自行承担施工中发生质量、安全等问题。</w:t>
      </w:r>
    </w:p>
    <w:p w14:paraId="77A3108B">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9.乙方必须做到文明施工，注意环境卫生和控制噪音，不得影响正常办公，造成损失的应予以赔偿。</w:t>
      </w:r>
    </w:p>
    <w:p w14:paraId="1B97105F">
      <w:pPr>
        <w:tabs>
          <w:tab w:val="left" w:pos="142"/>
        </w:tabs>
        <w:spacing w:line="360" w:lineRule="auto"/>
        <w:ind w:firstLine="484" w:firstLineChars="202"/>
        <w:rPr>
          <w:rFonts w:ascii="宋体" w:hAnsi="宋体"/>
          <w:color w:val="auto"/>
          <w:sz w:val="24"/>
          <w:highlight w:val="none"/>
        </w:rPr>
      </w:pPr>
      <w:r>
        <w:rPr>
          <w:rFonts w:hint="eastAsia" w:ascii="宋体" w:hAnsi="宋体"/>
          <w:color w:val="auto"/>
          <w:sz w:val="24"/>
          <w:highlight w:val="none"/>
        </w:rPr>
        <w:t>10.乙方在施工过程中不履行本合同或违反有关规定，按本合同或有关法律规定进行处理。</w:t>
      </w:r>
    </w:p>
    <w:p w14:paraId="4655F94F">
      <w:pPr>
        <w:tabs>
          <w:tab w:val="left" w:pos="142"/>
        </w:tabs>
        <w:spacing w:line="360" w:lineRule="auto"/>
        <w:ind w:firstLine="484" w:firstLineChars="202"/>
        <w:rPr>
          <w:rFonts w:ascii="宋体"/>
          <w:color w:val="auto"/>
          <w:sz w:val="24"/>
          <w:highlight w:val="none"/>
        </w:rPr>
      </w:pPr>
      <w:r>
        <w:rPr>
          <w:rFonts w:hint="eastAsia" w:ascii="宋体" w:hAnsi="宋体"/>
          <w:color w:val="auto"/>
          <w:sz w:val="24"/>
          <w:highlight w:val="none"/>
        </w:rPr>
        <w:t>11.乙方须服从甲方关于安全保卫的相关规定，并采取相应措施保障出入甲方大院施工人员的安全。</w:t>
      </w:r>
    </w:p>
    <w:p w14:paraId="6AE5D4AD">
      <w:pPr>
        <w:tabs>
          <w:tab w:val="left" w:pos="142"/>
        </w:tabs>
        <w:spacing w:line="360" w:lineRule="auto"/>
        <w:ind w:firstLine="484" w:firstLineChars="202"/>
        <w:rPr>
          <w:rFonts w:ascii="宋体"/>
          <w:color w:val="auto"/>
          <w:sz w:val="24"/>
          <w:highlight w:val="none"/>
        </w:rPr>
      </w:pPr>
      <w:r>
        <w:rPr>
          <w:rFonts w:hint="eastAsia" w:ascii="宋体"/>
          <w:color w:val="auto"/>
          <w:sz w:val="24"/>
          <w:highlight w:val="none"/>
        </w:rPr>
        <w:t>12.乙方派出本项目负责人（项目经理）为，执业证书：，注册编号：。</w:t>
      </w:r>
    </w:p>
    <w:p w14:paraId="768CA305">
      <w:pPr>
        <w:spacing w:line="360" w:lineRule="auto"/>
        <w:rPr>
          <w:rFonts w:ascii="宋体"/>
          <w:b/>
          <w:color w:val="auto"/>
          <w:sz w:val="24"/>
          <w:highlight w:val="none"/>
        </w:rPr>
      </w:pPr>
      <w:r>
        <w:rPr>
          <w:rFonts w:hint="eastAsia" w:ascii="宋体"/>
          <w:b/>
          <w:color w:val="auto"/>
          <w:sz w:val="24"/>
          <w:highlight w:val="none"/>
        </w:rPr>
        <w:t>七、违约责任</w:t>
      </w:r>
    </w:p>
    <w:p w14:paraId="34DD0192">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1.隐蔽工程项目须经甲方工地代表或甲方有关部门检验认可并书面签证后，方可进行隐蔽和下一道工序的施工，如私自隐蔽，甲方有关部门有权要求乙方返工，并要求乙方一次性赔偿甲方该隐蔽项目总造价20%的违约金。若该隐蔽工程项目检查不合格的，则还需进行返工，直至合格为止，由此造成的一切损失均由乙方承担。</w:t>
      </w:r>
    </w:p>
    <w:p w14:paraId="6C41AD8E">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2.增加或变更清单项目前必须经甲方有关部门签字确认，如未经有关部门确认擅自变更或增加项目，由此增加的费用由乙方承担，如给甲方造成损失的，还应赔偿甲方全部损失。</w:t>
      </w:r>
    </w:p>
    <w:p w14:paraId="4177988D">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3.乙方负责施工全过程的安全生产，施工过程中如发生安全事故或意外事故造成人员伤亡或财产损失的，均由乙方自行承担一切责任，与甲方无关。</w:t>
      </w:r>
    </w:p>
    <w:p w14:paraId="5A5122DB">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4.乙方必须按照合同约定的时间竣工并经验收合格，工期每延误1天支付违约金500元，由甲方直接从乙方的工程款中扣除；延误工期达到30天的，甲方有权单方解除合同，如给甲方造成损失的，还应赔偿甲方全部损失。</w:t>
      </w:r>
    </w:p>
    <w:p w14:paraId="49CFE14F">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5.乙方提供的工程材料经验收不合格的，乙方应重新更换，如更换后验收仍不合格的，甲方有权解除合同，乙方应向甲方支付不合格部分货款的5%的违约金，违约金不足以补偿损失的，甲方有权向乙方追偿。</w:t>
      </w:r>
    </w:p>
    <w:p w14:paraId="28569AB3">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6.如工程质量验收不合格的，乙方应负责进行返修，所需费用全部由乙方自行承担。如因此导致工期延误的，乙方应按照本条第4款的规定承担相关逾期责任。</w:t>
      </w:r>
    </w:p>
    <w:p w14:paraId="45C3F363">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7.工程竣工验收合格后未移交甲方前，乙方应保管好现场设备及现场工程，如有任何损坏的由乙方负责赔偿。</w:t>
      </w:r>
    </w:p>
    <w:p w14:paraId="758D216C">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8.乙方违反本项目合同规定的保密义务的，应在第一时间采取一切必要措施防止保密信息的扩散，尽最大可能消除影响，并应承担违约责任，向甲方支付合同总金额10%的违约金。同时，甲方有权单方解除合同，若因此给甲方造成损失的，甲方有权向乙方追偿。</w:t>
      </w:r>
    </w:p>
    <w:p w14:paraId="503BEA19">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9.若因不可抗力或政策性变化，造成本合同无法继续履行的，甲方仅对已发生的工程量负责，双方不再承担违约责任。</w:t>
      </w:r>
    </w:p>
    <w:p w14:paraId="1A4AE96E">
      <w:pPr>
        <w:spacing w:line="360" w:lineRule="auto"/>
        <w:ind w:firstLine="484" w:firstLineChars="202"/>
        <w:rPr>
          <w:rFonts w:ascii="宋体" w:hAnsi="宋体"/>
          <w:color w:val="auto"/>
          <w:sz w:val="24"/>
          <w:highlight w:val="none"/>
        </w:rPr>
      </w:pPr>
      <w:r>
        <w:rPr>
          <w:rFonts w:hint="eastAsia" w:ascii="宋体" w:hAnsi="宋体"/>
          <w:color w:val="auto"/>
          <w:sz w:val="24"/>
          <w:highlight w:val="none"/>
        </w:rPr>
        <w:t>10. 乙方在响应文件中承诺派出的项目负责人（项目经理）未经批准，擅自离开施工现场的违约责任：按缺岗处理，甲方每发现一次，乙方应按照每次500元人民币的标准向甲方支付违约金。若项目负责人（项目经理）缺岗连续两周以上的，甲方有权单方面取消乙方的承包资格，终止合同，由此产生的责任和损失均由乙方负责；造成甲方损失的，甲方还有权向乙方索赔。</w:t>
      </w:r>
    </w:p>
    <w:p w14:paraId="199B9114">
      <w:pPr>
        <w:tabs>
          <w:tab w:val="left" w:pos="36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11.乙方承诺派出本项目的项目负责人（项目经理）不得擅自变更，若因刑事犯罪、被限制人身自由、伤病等丧失履约能力，以及辞职等特殊原因确需更换的，乙方应提供确切的证明材料，经甲方批准后方可变更，所变更人员的资格、业绩和信誉不得低于乙方响应文件约定的派驻现场项目负责人员的相应标准。乙方未经甲方批准擅自更换项目负责人（项目经理）的，乙方须向甲方支付每人次</w:t>
      </w:r>
      <w:r>
        <w:rPr>
          <w:rFonts w:hint="eastAsia"/>
          <w:color w:val="auto"/>
          <w:highlight w:val="none"/>
          <w:lang w:val="en-US" w:eastAsia="zh-CN"/>
        </w:rPr>
        <w:t>10000</w:t>
      </w:r>
      <w:r>
        <w:rPr>
          <w:rFonts w:hint="eastAsia" w:ascii="宋体" w:hAnsi="宋体"/>
          <w:color w:val="auto"/>
          <w:sz w:val="24"/>
          <w:highlight w:val="none"/>
        </w:rPr>
        <w:t>元的违约金。</w:t>
      </w:r>
    </w:p>
    <w:p w14:paraId="7271B01B">
      <w:pPr>
        <w:tabs>
          <w:tab w:val="left" w:pos="36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12.乙方承诺派出的项目组人员（项目负责人除外，包括但不限于：施工员、质检员、安全员、材料员等情况）不得擅自变更，若出现人员更换变动情况，应经甲方审核同意，否则将收取</w:t>
      </w:r>
      <w:r>
        <w:rPr>
          <w:rFonts w:hint="eastAsia" w:ascii="宋体" w:hAnsi="宋体"/>
          <w:color w:val="auto"/>
          <w:sz w:val="24"/>
          <w:highlight w:val="none"/>
          <w:lang w:eastAsia="zh-CN"/>
        </w:rPr>
        <w:t>每人次</w:t>
      </w:r>
      <w:r>
        <w:rPr>
          <w:rFonts w:hint="eastAsia" w:ascii="宋体" w:hAnsi="宋体"/>
          <w:color w:val="auto"/>
          <w:sz w:val="24"/>
          <w:highlight w:val="none"/>
          <w:lang w:val="en-US" w:eastAsia="zh-CN"/>
        </w:rPr>
        <w:t>3000元作为违约金</w:t>
      </w:r>
      <w:r>
        <w:rPr>
          <w:rFonts w:hint="eastAsia" w:ascii="宋体" w:hAnsi="宋体"/>
          <w:color w:val="auto"/>
          <w:sz w:val="24"/>
          <w:highlight w:val="none"/>
        </w:rPr>
        <w:t>。</w:t>
      </w:r>
    </w:p>
    <w:p w14:paraId="3BA9D8EB">
      <w:pPr>
        <w:spacing w:line="360" w:lineRule="auto"/>
        <w:rPr>
          <w:rFonts w:ascii="宋体"/>
          <w:b/>
          <w:color w:val="auto"/>
          <w:sz w:val="24"/>
          <w:highlight w:val="none"/>
        </w:rPr>
      </w:pPr>
      <w:r>
        <w:rPr>
          <w:rFonts w:hint="eastAsia" w:ascii="宋体"/>
          <w:b/>
          <w:color w:val="auto"/>
          <w:sz w:val="24"/>
          <w:highlight w:val="none"/>
        </w:rPr>
        <w:t>八、工程质量及验收标准</w:t>
      </w:r>
    </w:p>
    <w:p w14:paraId="5821C77E">
      <w:pPr>
        <w:tabs>
          <w:tab w:val="left" w:pos="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1.本工程由双方以施工图纸、设计说明（如有）、设计变更（如有）和国家（行业）的相关标准、规范为标准共同验收。</w:t>
      </w:r>
    </w:p>
    <w:p w14:paraId="113B130E">
      <w:pPr>
        <w:tabs>
          <w:tab w:val="left" w:pos="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2.乙方所进场的各种原材料、设备必须符合国家标准，应附有出厂合格证书，试验、化验报告单，使用说明，检测、检验报告和设备验收标准。必要时甲方有权随机抽检原材料和设备，不合格的材料、设备不允许进场使用和安装。</w:t>
      </w:r>
    </w:p>
    <w:p w14:paraId="3538FDC2">
      <w:pPr>
        <w:tabs>
          <w:tab w:val="left" w:pos="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3.工程质量必须符合《工程施工质量验收规范》合格标准，包括：《建筑工程施工质量验收统一标准》GB50300-2013、《建筑装饰装修工程质量验收规范》GB50210-2018、《室内空气质量标准》GBIT 18883-2002、《房屋建筑与装饰工程工程量计算规范》（GB50584-2013）等国家有关法律法规和现行工程建设标准规范。</w:t>
      </w:r>
    </w:p>
    <w:p w14:paraId="3D4E21F2">
      <w:pPr>
        <w:tabs>
          <w:tab w:val="left" w:pos="0"/>
          <w:tab w:val="left" w:pos="720"/>
        </w:tabs>
        <w:spacing w:line="360" w:lineRule="auto"/>
        <w:ind w:firstLine="364" w:firstLineChars="152"/>
        <w:rPr>
          <w:rFonts w:ascii="宋体"/>
          <w:color w:val="auto"/>
          <w:sz w:val="24"/>
          <w:highlight w:val="none"/>
        </w:rPr>
      </w:pPr>
      <w:r>
        <w:rPr>
          <w:rFonts w:hint="eastAsia" w:ascii="宋体" w:hAnsi="宋体"/>
          <w:color w:val="auto"/>
          <w:sz w:val="24"/>
          <w:highlight w:val="none"/>
        </w:rPr>
        <w:t>4.工程验收最终以甲方签署的工程验收合格单为准</w:t>
      </w:r>
      <w:r>
        <w:rPr>
          <w:rFonts w:hint="eastAsia" w:ascii="宋体"/>
          <w:color w:val="auto"/>
          <w:sz w:val="24"/>
          <w:highlight w:val="none"/>
        </w:rPr>
        <w:t>。</w:t>
      </w:r>
    </w:p>
    <w:p w14:paraId="6E432245">
      <w:pPr>
        <w:spacing w:line="360" w:lineRule="auto"/>
        <w:rPr>
          <w:rFonts w:ascii="宋体"/>
          <w:b/>
          <w:color w:val="auto"/>
          <w:sz w:val="24"/>
          <w:highlight w:val="none"/>
        </w:rPr>
      </w:pPr>
      <w:r>
        <w:rPr>
          <w:rFonts w:hint="eastAsia" w:ascii="宋体"/>
          <w:b/>
          <w:color w:val="auto"/>
          <w:sz w:val="24"/>
          <w:highlight w:val="none"/>
        </w:rPr>
        <w:t>九、安全施工</w:t>
      </w:r>
    </w:p>
    <w:p w14:paraId="1600C306">
      <w:pPr>
        <w:tabs>
          <w:tab w:val="left" w:pos="0"/>
          <w:tab w:val="left" w:pos="720"/>
        </w:tabs>
        <w:spacing w:line="360" w:lineRule="auto"/>
        <w:ind w:firstLine="364" w:firstLineChars="152"/>
        <w:rPr>
          <w:rFonts w:ascii="宋体" w:hAnsi="宋体"/>
          <w:color w:val="auto"/>
          <w:sz w:val="24"/>
          <w:highlight w:val="none"/>
        </w:rPr>
      </w:pPr>
      <w:r>
        <w:rPr>
          <w:rFonts w:hint="eastAsia" w:ascii="宋体" w:hAnsi="宋体"/>
          <w:color w:val="auto"/>
          <w:sz w:val="24"/>
          <w:highlight w:val="none"/>
        </w:rPr>
        <w:t>1.乙方应遵守现行有关的国家和地方有关规范要求安全文明施工。</w:t>
      </w:r>
    </w:p>
    <w:p w14:paraId="7FF8AA02">
      <w:pPr>
        <w:tabs>
          <w:tab w:val="left" w:pos="0"/>
          <w:tab w:val="left" w:pos="720"/>
        </w:tabs>
        <w:spacing w:line="360" w:lineRule="auto"/>
        <w:ind w:firstLine="364" w:firstLineChars="152"/>
        <w:rPr>
          <w:rFonts w:ascii="宋体"/>
          <w:color w:val="auto"/>
          <w:sz w:val="24"/>
          <w:highlight w:val="none"/>
        </w:rPr>
      </w:pPr>
      <w:r>
        <w:rPr>
          <w:rFonts w:hint="eastAsia" w:ascii="宋体" w:hAnsi="宋体"/>
          <w:color w:val="auto"/>
          <w:sz w:val="24"/>
          <w:highlight w:val="none"/>
        </w:rPr>
        <w:t>2.乙方在施工过程中产生的施工人员人身伤亡或者第三方人身财产损失，乙方应承担全部责任及由此造成的全部损失</w:t>
      </w:r>
      <w:r>
        <w:rPr>
          <w:rFonts w:hint="eastAsia" w:ascii="宋体"/>
          <w:color w:val="auto"/>
          <w:sz w:val="24"/>
          <w:highlight w:val="none"/>
        </w:rPr>
        <w:t>。</w:t>
      </w:r>
    </w:p>
    <w:p w14:paraId="2498D62C">
      <w:pPr>
        <w:spacing w:line="500" w:lineRule="exact"/>
        <w:rPr>
          <w:rFonts w:ascii="宋体"/>
          <w:b/>
          <w:color w:val="auto"/>
          <w:sz w:val="24"/>
          <w:highlight w:val="none"/>
        </w:rPr>
      </w:pPr>
      <w:r>
        <w:rPr>
          <w:rFonts w:hint="eastAsia" w:ascii="宋体"/>
          <w:b/>
          <w:color w:val="auto"/>
          <w:sz w:val="24"/>
          <w:highlight w:val="none"/>
        </w:rPr>
        <w:t>十、</w:t>
      </w:r>
      <w:r>
        <w:rPr>
          <w:rFonts w:ascii="宋体"/>
          <w:b/>
          <w:color w:val="auto"/>
          <w:sz w:val="24"/>
          <w:highlight w:val="none"/>
        </w:rPr>
        <w:t>施工现场管理要求</w:t>
      </w:r>
    </w:p>
    <w:p w14:paraId="2F39DF08">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1.现场安全防护设施要求</w:t>
      </w:r>
    </w:p>
    <w:p w14:paraId="1ECEA386">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1）乙方应时刻关注和采取适当措施保障所有在场工作人员的安全，保证工程施工安全，现场施工应当保持有条不紊；负责已完工部分工程的保护工作；应做好防雷电、防火等的安全防护工作；应负责提供照明、护栅、警告标志等安全防护措施，承担施工现场和施工人员的治安、环境卫生、计生、外来人员暂住手续等管理工作和相关费用；若发生任何事故，均由乙方全部负责。</w:t>
      </w:r>
    </w:p>
    <w:p w14:paraId="1295713D">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乙方应按国家和地方有关部门的规定，结合工程实际情况，制定安全施工管理规章制度，采用适当有效的防护措施，加强施工安全管理，对施工现场人员安全以及防台风、防火、防爆、防汛和防盗等采取严格的安全防护措施，承担安全施工责任和费用，并承担由于措施不力造成的事故责任和因此发生的费用。由于工地现场施工时对工地周边建筑物、线路等造成破坏的由乙方负责。</w:t>
      </w:r>
    </w:p>
    <w:p w14:paraId="7FF7275F">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2.文明施工要求</w:t>
      </w:r>
    </w:p>
    <w:p w14:paraId="79A1BD4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（1）施工中使用的材料应严格堆放在正在施工场地内并设置围档，不得随意堆放占道。</w:t>
      </w:r>
    </w:p>
    <w:p w14:paraId="21861C32">
      <w:pPr>
        <w:spacing w:line="500" w:lineRule="exact"/>
        <w:ind w:firstLine="480" w:firstLineChars="200"/>
        <w:rPr>
          <w:rFonts w:ascii="宋体" w:hAnsi="宋体"/>
          <w:color w:val="auto"/>
          <w:sz w:val="24"/>
          <w:highlight w:val="none"/>
        </w:rPr>
      </w:pPr>
      <w:r>
        <w:rPr>
          <w:rFonts w:hint="eastAsia" w:ascii="宋体" w:hAnsi="宋体"/>
          <w:color w:val="auto"/>
          <w:sz w:val="24"/>
          <w:highlight w:val="none"/>
        </w:rPr>
        <w:t>（2）施工中现场工人必须统一戴安全帽穿安全服，不得穿拖鞋，光脚、光膀子施工。施工管理人员必须统一着装、佩戴工作牌、戴好安全帽。</w:t>
      </w:r>
    </w:p>
    <w:p w14:paraId="38D17D18">
      <w:pPr>
        <w:spacing w:line="360" w:lineRule="auto"/>
        <w:rPr>
          <w:rFonts w:ascii="宋体"/>
          <w:b/>
          <w:color w:val="auto"/>
          <w:sz w:val="24"/>
          <w:highlight w:val="none"/>
        </w:rPr>
      </w:pPr>
      <w:r>
        <w:rPr>
          <w:rFonts w:hint="eastAsia" w:ascii="宋体"/>
          <w:b/>
          <w:color w:val="auto"/>
          <w:sz w:val="24"/>
          <w:highlight w:val="none"/>
        </w:rPr>
        <w:t>十一、保密条款</w:t>
      </w:r>
    </w:p>
    <w:p w14:paraId="13DD671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未经甲方事先书面同意，乙方及乙方人员不得将由甲方为本合同提供的条文、规格、计划、资料提供给与本合同无关的任何第三方，不得将其用于履行本合同之外的其它用途。即使向与履行本合同有关的人员提供，也应注意保密并限于履行合同所必需的范围。</w:t>
      </w:r>
    </w:p>
    <w:p w14:paraId="02FFBF67">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2.除了合同本身之外，上款所列举的任何物件均是甲方的财产。如果甲方有要求，乙方在收到甲方的要求后10日内应将这些物件及全部复制件还给甲方，不得留存任何备份。</w:t>
      </w:r>
    </w:p>
    <w:p w14:paraId="1EC30A5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3.乙方违反本保密条款的，应支付合同总金额10%的违约金，并赔偿由此给甲方造成的任何损失。本条款在本合同履行期间至履行结束后均有效，</w:t>
      </w:r>
      <w:r>
        <w:rPr>
          <w:rFonts w:hint="eastAsia" w:ascii="宋体" w:hAnsi="宋体"/>
          <w:bCs/>
          <w:color w:val="auto"/>
          <w:sz w:val="24"/>
          <w:highlight w:val="none"/>
        </w:rPr>
        <w:t>甲方无需承担因履行保密义务而支出的费用</w:t>
      </w:r>
      <w:r>
        <w:rPr>
          <w:rFonts w:hint="eastAsia" w:ascii="宋体" w:hAnsi="宋体"/>
          <w:color w:val="auto"/>
          <w:sz w:val="24"/>
          <w:highlight w:val="none"/>
        </w:rPr>
        <w:t>。</w:t>
      </w:r>
    </w:p>
    <w:p w14:paraId="1AE1ABF2">
      <w:pPr>
        <w:spacing w:line="360" w:lineRule="auto"/>
        <w:rPr>
          <w:rFonts w:ascii="宋体"/>
          <w:b/>
          <w:color w:val="auto"/>
          <w:sz w:val="24"/>
          <w:highlight w:val="none"/>
        </w:rPr>
      </w:pPr>
      <w:r>
        <w:rPr>
          <w:rFonts w:hint="eastAsia" w:ascii="宋体"/>
          <w:b/>
          <w:color w:val="auto"/>
          <w:sz w:val="24"/>
          <w:highlight w:val="none"/>
        </w:rPr>
        <w:t>十二、</w:t>
      </w:r>
      <w:r>
        <w:rPr>
          <w:rFonts w:hint="eastAsia" w:ascii="宋体" w:hAnsi="宋体"/>
          <w:b/>
          <w:color w:val="auto"/>
          <w:sz w:val="24"/>
          <w:highlight w:val="none"/>
        </w:rPr>
        <w:t>缺陷责任期和</w:t>
      </w:r>
      <w:r>
        <w:rPr>
          <w:rFonts w:hint="eastAsia" w:ascii="宋体"/>
          <w:b/>
          <w:color w:val="auto"/>
          <w:sz w:val="24"/>
          <w:highlight w:val="none"/>
        </w:rPr>
        <w:t>保修</w:t>
      </w:r>
    </w:p>
    <w:p w14:paraId="209E7D2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 缺陷责任期的期限：缺陷责任期从工程通过竣工验收之日起计算，该期限为</w:t>
      </w:r>
      <w:r>
        <w:rPr>
          <w:rFonts w:hint="eastAsia" w:ascii="宋体" w:hAnsi="宋体"/>
          <w:color w:val="auto"/>
          <w:sz w:val="24"/>
          <w:highlight w:val="none"/>
          <w:lang w:val="en-US" w:eastAsia="zh-CN"/>
        </w:rPr>
        <w:t>1</w:t>
      </w:r>
      <w:r>
        <w:rPr>
          <w:rFonts w:hint="eastAsia" w:ascii="宋体" w:hAnsi="宋体"/>
          <w:color w:val="auto"/>
          <w:sz w:val="24"/>
          <w:highlight w:val="none"/>
        </w:rPr>
        <w:t>年。</w:t>
      </w:r>
    </w:p>
    <w:p w14:paraId="2C103BF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2.保修范围：合同约定的工程承包范围内的所有项目。</w:t>
      </w:r>
    </w:p>
    <w:p w14:paraId="554A288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3.保修期限：乙方按照合同约定对工程承担保修责任的期限，从工程竣工验收合格之日起计算</w:t>
      </w:r>
      <w:r>
        <w:rPr>
          <w:rFonts w:hint="eastAsia" w:ascii="宋体" w:hAnsi="宋体"/>
          <w:color w:val="auto"/>
          <w:sz w:val="24"/>
          <w:highlight w:val="none"/>
          <w:lang w:val="en-US" w:eastAsia="zh-CN"/>
        </w:rPr>
        <w:t>1年</w:t>
      </w:r>
      <w:r>
        <w:rPr>
          <w:rFonts w:hint="eastAsia" w:ascii="宋体" w:hAnsi="宋体"/>
          <w:color w:val="auto"/>
          <w:sz w:val="24"/>
          <w:highlight w:val="none"/>
        </w:rPr>
        <w:t>，具体详见附件“工程质量保修书”。</w:t>
      </w:r>
    </w:p>
    <w:p w14:paraId="010EC4AF">
      <w:pPr>
        <w:spacing w:line="360" w:lineRule="auto"/>
        <w:ind w:firstLine="480" w:firstLineChars="200"/>
        <w:rPr>
          <w:rFonts w:ascii="宋体"/>
          <w:color w:val="auto"/>
          <w:sz w:val="24"/>
          <w:highlight w:val="none"/>
        </w:rPr>
      </w:pPr>
      <w:r>
        <w:rPr>
          <w:rFonts w:hint="eastAsia" w:ascii="宋体" w:hAnsi="宋体"/>
          <w:color w:val="auto"/>
          <w:sz w:val="24"/>
          <w:highlight w:val="none"/>
        </w:rPr>
        <w:t>4.保修及违约责任：属于保修范围、内容的项目，乙方应当在接到甲方保修通知后2小时内派人到达现场并及时维修。乙方不在约定期限内派人保修的，甲方可以委托他人修理，费用由乙方承担，由甲方直接从质量保证金中扣除，如有不足的，甲方有权向乙方进行追偿。</w:t>
      </w:r>
      <w:r>
        <w:rPr>
          <w:rFonts w:hint="eastAsia" w:ascii="宋体"/>
          <w:color w:val="auto"/>
          <w:sz w:val="24"/>
          <w:highlight w:val="none"/>
        </w:rPr>
        <w:t>若质量保证金已返还，但质量保修期尚未届满的，维修费用仍由乙方承担。</w:t>
      </w:r>
      <w:r>
        <w:rPr>
          <w:rFonts w:hint="eastAsia" w:ascii="宋体" w:hAnsi="宋体"/>
          <w:color w:val="auto"/>
          <w:sz w:val="24"/>
          <w:highlight w:val="none"/>
        </w:rPr>
        <w:t>保修期内，如因工程质量不合格造成甲方或第三方人身或财产损害的，乙方应承担全部赔偿责任。</w:t>
      </w:r>
    </w:p>
    <w:p w14:paraId="5EF25AA2">
      <w:pPr>
        <w:pStyle w:val="41"/>
        <w:spacing w:line="360" w:lineRule="auto"/>
        <w:rPr>
          <w:rFonts w:ascii="宋体" w:hAnsi="宋体" w:cs="宋体"/>
          <w:b/>
          <w:color w:val="auto"/>
          <w:sz w:val="24"/>
          <w:szCs w:val="24"/>
          <w:highlight w:val="none"/>
        </w:rPr>
      </w:pPr>
      <w:r>
        <w:rPr>
          <w:rFonts w:hint="eastAsia" w:ascii="宋体"/>
          <w:b/>
          <w:color w:val="auto"/>
          <w:sz w:val="24"/>
          <w:highlight w:val="none"/>
        </w:rPr>
        <w:t>十三、</w:t>
      </w:r>
      <w:r>
        <w:rPr>
          <w:rFonts w:hint="eastAsia" w:ascii="宋体" w:hAnsi="宋体" w:cs="宋体"/>
          <w:b/>
          <w:color w:val="auto"/>
          <w:sz w:val="24"/>
          <w:szCs w:val="24"/>
          <w:highlight w:val="none"/>
        </w:rPr>
        <w:t>不可抗力及其免责</w:t>
      </w:r>
    </w:p>
    <w:p w14:paraId="57A97DBE">
      <w:pPr>
        <w:pStyle w:val="41"/>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1.乙方因不可抗力而导致合同实施延误或不能履行合同义务，在不可抗力影响的范围内不承担逾期赔偿或终止合同的责任。</w:t>
      </w:r>
    </w:p>
    <w:p w14:paraId="59ED90F2">
      <w:pPr>
        <w:pStyle w:val="41"/>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延续超过日历天一百二十日的，双方应通过友好协商在合理的时间内就进一步履行合同达成协议。</w:t>
      </w:r>
    </w:p>
    <w:p w14:paraId="0DCA5729">
      <w:pPr>
        <w:pStyle w:val="41"/>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3.乙方在逾期履行合同期间由于不可抗力而不能履行合同的，不免除违约责任。</w:t>
      </w:r>
    </w:p>
    <w:p w14:paraId="449C117B">
      <w:pPr>
        <w:pStyle w:val="41"/>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4.甲方如遇不可抗力，应尽快以书面形式通知乙方，并尽实际可能履行不受不可抗力影响的其他事项。甲方不承担因不可抗力不能履行合同所造成的损失。</w:t>
      </w:r>
    </w:p>
    <w:p w14:paraId="345420BF">
      <w:pPr>
        <w:spacing w:line="360" w:lineRule="auto"/>
        <w:ind w:firstLine="480" w:firstLineChars="200"/>
        <w:rPr>
          <w:rFonts w:ascii="宋体"/>
          <w:color w:val="auto"/>
          <w:sz w:val="24"/>
          <w:highlight w:val="none"/>
        </w:rPr>
      </w:pPr>
      <w:r>
        <w:rPr>
          <w:rFonts w:hint="eastAsia" w:ascii="宋体" w:hAnsi="宋体"/>
          <w:color w:val="auto"/>
          <w:sz w:val="24"/>
          <w:highlight w:val="none"/>
        </w:rPr>
        <w:t>5.本条所述的“不可抗力”是指不能预见、不能避免并不能克服的客观情况，包括但不限于战争、动乱、严重火灾、洪水、台风、地震、政策变更、法律变更等及其他双方同意的情况，但不包括违约或疏忽。遭受不可抗力的一方应在不可抗力消除后的次日立即恢复履行。</w:t>
      </w:r>
    </w:p>
    <w:p w14:paraId="4987BE9E">
      <w:pPr>
        <w:spacing w:line="360" w:lineRule="auto"/>
        <w:rPr>
          <w:rFonts w:ascii="宋体"/>
          <w:b/>
          <w:color w:val="auto"/>
          <w:sz w:val="24"/>
          <w:highlight w:val="none"/>
        </w:rPr>
      </w:pPr>
      <w:r>
        <w:rPr>
          <w:rFonts w:hint="eastAsia" w:ascii="宋体"/>
          <w:b/>
          <w:color w:val="auto"/>
          <w:sz w:val="24"/>
          <w:highlight w:val="none"/>
        </w:rPr>
        <w:t>十四、争议解决方式</w:t>
      </w:r>
    </w:p>
    <w:p w14:paraId="327C7E84">
      <w:pPr>
        <w:spacing w:line="360" w:lineRule="auto"/>
        <w:ind w:firstLine="487" w:firstLineChars="203"/>
        <w:rPr>
          <w:rFonts w:ascii="宋体"/>
          <w:color w:val="auto"/>
          <w:sz w:val="24"/>
          <w:highlight w:val="none"/>
        </w:rPr>
      </w:pPr>
      <w:r>
        <w:rPr>
          <w:rFonts w:hint="eastAsia" w:ascii="宋体"/>
          <w:color w:val="auto"/>
          <w:sz w:val="24"/>
          <w:highlight w:val="none"/>
        </w:rPr>
        <w:t>本合同在履行过程中发生的争议，由双方当事人协商解决，协商不成的，双方同意向本项目工程所在地人民法院诉讼解决。</w:t>
      </w:r>
    </w:p>
    <w:p w14:paraId="6FF7BD17">
      <w:pPr>
        <w:spacing w:line="360" w:lineRule="auto"/>
        <w:rPr>
          <w:rFonts w:ascii="宋体"/>
          <w:b/>
          <w:color w:val="auto"/>
          <w:sz w:val="24"/>
          <w:highlight w:val="none"/>
        </w:rPr>
      </w:pPr>
      <w:r>
        <w:rPr>
          <w:rFonts w:hint="eastAsia" w:ascii="宋体"/>
          <w:b/>
          <w:color w:val="auto"/>
          <w:sz w:val="24"/>
          <w:highlight w:val="none"/>
        </w:rPr>
        <w:t>十五、其他约定</w:t>
      </w:r>
    </w:p>
    <w:p w14:paraId="6D984BC9">
      <w:pPr>
        <w:spacing w:line="360" w:lineRule="auto"/>
        <w:ind w:firstLine="364" w:firstLineChars="152"/>
        <w:rPr>
          <w:rFonts w:ascii="宋体"/>
          <w:color w:val="auto"/>
          <w:sz w:val="24"/>
          <w:highlight w:val="none"/>
        </w:rPr>
      </w:pPr>
      <w:r>
        <w:rPr>
          <w:rFonts w:hint="eastAsia" w:ascii="宋体"/>
          <w:color w:val="auto"/>
          <w:sz w:val="24"/>
          <w:highlight w:val="none"/>
        </w:rPr>
        <w:t>1.乙方不能以任何名义和理由进行分包或转包，如进行分包或转包的，乙方应按合同暂定总金额10%支付违约金，且甲方有权单方解除合同，要求乙方退场，由此给甲方造成的全部损失由乙方承担，同时上报行政主管部门。</w:t>
      </w:r>
    </w:p>
    <w:p w14:paraId="43D35B40">
      <w:pPr>
        <w:spacing w:line="360" w:lineRule="auto"/>
        <w:ind w:firstLine="364" w:firstLineChars="152"/>
        <w:rPr>
          <w:rFonts w:ascii="宋体"/>
          <w:color w:val="auto"/>
          <w:sz w:val="24"/>
          <w:highlight w:val="none"/>
        </w:rPr>
      </w:pPr>
      <w:r>
        <w:rPr>
          <w:rFonts w:hint="eastAsia" w:ascii="宋体"/>
          <w:color w:val="auto"/>
          <w:sz w:val="24"/>
          <w:highlight w:val="none"/>
        </w:rPr>
        <w:t>2.</w:t>
      </w:r>
      <w:r>
        <w:rPr>
          <w:rFonts w:hint="eastAsia" w:ascii="宋体"/>
          <w:bCs/>
          <w:color w:val="auto"/>
          <w:sz w:val="24"/>
          <w:highlight w:val="none"/>
        </w:rPr>
        <w:t>在执行本合同的过程中，所有经甲乙双方签署确认的文件【如</w:t>
      </w:r>
      <w:r>
        <w:rPr>
          <w:rFonts w:hint="eastAsia" w:ascii="宋体"/>
          <w:color w:val="auto"/>
          <w:sz w:val="24"/>
          <w:highlight w:val="none"/>
        </w:rPr>
        <w:t>比选文件、乙方的响应文件</w:t>
      </w:r>
      <w:r>
        <w:rPr>
          <w:rFonts w:hint="eastAsia" w:ascii="宋体"/>
          <w:bCs/>
          <w:color w:val="auto"/>
          <w:sz w:val="24"/>
          <w:highlight w:val="none"/>
        </w:rPr>
        <w:t>、会议纪要、补充协议、合同修改书、往来信函等】均为本合同的有效组成部分，与本合同不一致的，以本合同为准。</w:t>
      </w:r>
    </w:p>
    <w:p w14:paraId="14E2BEBB">
      <w:pPr>
        <w:spacing w:line="360" w:lineRule="auto"/>
        <w:ind w:firstLine="364" w:firstLineChars="152"/>
        <w:rPr>
          <w:rFonts w:ascii="宋体"/>
          <w:color w:val="auto"/>
          <w:sz w:val="24"/>
          <w:highlight w:val="none"/>
        </w:rPr>
      </w:pPr>
      <w:r>
        <w:rPr>
          <w:rFonts w:hint="eastAsia" w:ascii="宋体"/>
          <w:color w:val="auto"/>
          <w:sz w:val="24"/>
          <w:highlight w:val="none"/>
        </w:rPr>
        <w:t>3.本合同未尽事宜，双方以书面形式另行补充。补充协议与本合同具有同等效力。补充协议与本合同不一致的地方，以补充协议为准。</w:t>
      </w:r>
    </w:p>
    <w:p w14:paraId="610F8429">
      <w:pPr>
        <w:spacing w:line="360" w:lineRule="auto"/>
        <w:ind w:firstLine="364" w:firstLineChars="152"/>
        <w:rPr>
          <w:rFonts w:ascii="宋体"/>
          <w:color w:val="auto"/>
          <w:sz w:val="24"/>
          <w:highlight w:val="none"/>
        </w:rPr>
      </w:pPr>
      <w:r>
        <w:rPr>
          <w:rFonts w:hint="eastAsia" w:ascii="宋体"/>
          <w:color w:val="auto"/>
          <w:sz w:val="24"/>
          <w:highlight w:val="none"/>
        </w:rPr>
        <w:t>4.</w:t>
      </w:r>
      <w:r>
        <w:rPr>
          <w:rFonts w:hint="eastAsia" w:ascii="宋体" w:hAnsi="宋体"/>
          <w:color w:val="auto"/>
          <w:sz w:val="24"/>
          <w:highlight w:val="none"/>
        </w:rPr>
        <w:t>本合同约定的通讯地址为送达地址，任一方及司法机关以快递方式向对方通讯地址发出书面函件及诉讼、仲裁文书的，自到达对方通讯地址之日起送达。任一方通讯地址发生变化的，应及时通知对方。因双方约定的送达地址不准确、变更后未及时告知对方或拒绝签收等原因，导致文书未能被当事人实际接收时，以交邮后第7日视为送达。</w:t>
      </w:r>
    </w:p>
    <w:p w14:paraId="3D666BE1">
      <w:pPr>
        <w:spacing w:line="360" w:lineRule="auto"/>
        <w:ind w:firstLine="364" w:firstLineChars="152"/>
        <w:rPr>
          <w:rFonts w:ascii="宋体"/>
          <w:color w:val="auto"/>
          <w:sz w:val="24"/>
          <w:highlight w:val="none"/>
        </w:rPr>
      </w:pPr>
      <w:r>
        <w:rPr>
          <w:rFonts w:hint="eastAsia" w:ascii="宋体"/>
          <w:color w:val="auto"/>
          <w:sz w:val="24"/>
          <w:highlight w:val="none"/>
        </w:rPr>
        <w:t>5.本合同一式伍份，甲方持叁份，乙方贰份，具有同等法律效力，自甲乙双方法人代表或授权代表人签字或盖章并加盖各自公章或合同专用章之日起生效</w:t>
      </w:r>
      <w:r>
        <w:rPr>
          <w:rFonts w:hint="eastAsia" w:ascii="宋体"/>
          <w:bCs/>
          <w:color w:val="auto"/>
          <w:sz w:val="24"/>
          <w:highlight w:val="none"/>
        </w:rPr>
        <w:t>，合同签署日期以较迟签字盖章的日期为准。对本合同的任何更改及补充，均需双方共同协商，并以书面形式盖章确认。</w:t>
      </w:r>
    </w:p>
    <w:p w14:paraId="1232AC52">
      <w:pPr>
        <w:spacing w:line="360" w:lineRule="auto"/>
        <w:ind w:firstLine="364" w:firstLineChars="152"/>
        <w:rPr>
          <w:rFonts w:ascii="宋体"/>
          <w:color w:val="auto"/>
          <w:sz w:val="24"/>
          <w:highlight w:val="none"/>
        </w:rPr>
      </w:pPr>
      <w:r>
        <w:rPr>
          <w:rFonts w:hint="eastAsia" w:ascii="宋体"/>
          <w:color w:val="auto"/>
          <w:sz w:val="24"/>
          <w:highlight w:val="none"/>
        </w:rPr>
        <w:t>6.附件：工程质量保修书</w:t>
      </w:r>
    </w:p>
    <w:p w14:paraId="2FA47A43">
      <w:pPr>
        <w:tabs>
          <w:tab w:val="left" w:pos="360"/>
          <w:tab w:val="left" w:pos="720"/>
        </w:tabs>
        <w:spacing w:line="360" w:lineRule="auto"/>
        <w:ind w:left="-424" w:leftChars="-202" w:firstLine="784" w:firstLineChars="327"/>
        <w:jc w:val="left"/>
        <w:rPr>
          <w:rFonts w:ascii="宋体"/>
          <w:color w:val="auto"/>
          <w:sz w:val="24"/>
          <w:highlight w:val="none"/>
        </w:rPr>
      </w:pPr>
      <w:r>
        <w:rPr>
          <w:rFonts w:hint="eastAsia" w:ascii="宋体"/>
          <w:color w:val="auto"/>
          <w:sz w:val="24"/>
          <w:highlight w:val="none"/>
        </w:rPr>
        <w:t>【以下无正文】</w:t>
      </w:r>
    </w:p>
    <w:p w14:paraId="2EBB8700">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 xml:space="preserve">甲方（盖章）：            </w:t>
      </w:r>
    </w:p>
    <w:p w14:paraId="3E47D0D8">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 xml:space="preserve">法人代表或授权代表人：        </w:t>
      </w:r>
    </w:p>
    <w:p w14:paraId="64AD0114">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签订日期：2024年    月   日</w:t>
      </w:r>
    </w:p>
    <w:p w14:paraId="6EC64137">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 xml:space="preserve">地  址： </w:t>
      </w:r>
    </w:p>
    <w:p w14:paraId="2365C64C">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联系人：</w:t>
      </w:r>
    </w:p>
    <w:p w14:paraId="430ED403">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联系电话：</w:t>
      </w:r>
    </w:p>
    <w:p w14:paraId="0B21ABDA">
      <w:pPr>
        <w:tabs>
          <w:tab w:val="left" w:pos="360"/>
          <w:tab w:val="left" w:pos="720"/>
        </w:tabs>
        <w:spacing w:line="360" w:lineRule="auto"/>
        <w:ind w:left="-424" w:leftChars="-202" w:firstLine="424" w:firstLineChars="177"/>
        <w:jc w:val="left"/>
        <w:rPr>
          <w:rFonts w:ascii="宋体"/>
          <w:color w:val="auto"/>
          <w:sz w:val="24"/>
          <w:highlight w:val="none"/>
        </w:rPr>
      </w:pPr>
    </w:p>
    <w:p w14:paraId="1BF65341">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乙方（盖章）:</w:t>
      </w:r>
    </w:p>
    <w:p w14:paraId="4D61850D">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法人代表或授权代表人：</w:t>
      </w:r>
    </w:p>
    <w:p w14:paraId="7A9A4E17">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签订日期：2024年   月   日    </w:t>
      </w:r>
    </w:p>
    <w:p w14:paraId="252DA1AA">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 xml:space="preserve">地  址： </w:t>
      </w:r>
    </w:p>
    <w:p w14:paraId="2842ACFA">
      <w:pPr>
        <w:tabs>
          <w:tab w:val="left" w:pos="360"/>
          <w:tab w:val="left" w:pos="720"/>
        </w:tabs>
        <w:spacing w:line="360" w:lineRule="auto"/>
        <w:ind w:left="-424" w:leftChars="-202" w:firstLine="424" w:firstLineChars="177"/>
        <w:jc w:val="left"/>
        <w:rPr>
          <w:rFonts w:ascii="宋体"/>
          <w:color w:val="auto"/>
          <w:sz w:val="24"/>
          <w:highlight w:val="none"/>
        </w:rPr>
      </w:pPr>
      <w:r>
        <w:rPr>
          <w:rFonts w:hint="eastAsia" w:ascii="宋体"/>
          <w:color w:val="auto"/>
          <w:sz w:val="24"/>
          <w:highlight w:val="none"/>
        </w:rPr>
        <w:t xml:space="preserve">联系人： </w:t>
      </w:r>
    </w:p>
    <w:p w14:paraId="7CB8A79F">
      <w:pPr>
        <w:tabs>
          <w:tab w:val="left" w:pos="360"/>
          <w:tab w:val="left" w:pos="720"/>
        </w:tabs>
        <w:spacing w:line="360" w:lineRule="auto"/>
        <w:ind w:firstLine="1"/>
        <w:jc w:val="left"/>
        <w:rPr>
          <w:rFonts w:ascii="宋体" w:hAnsi="宋体"/>
          <w:bCs/>
          <w:color w:val="auto"/>
          <w:kern w:val="0"/>
          <w:sz w:val="24"/>
          <w:highlight w:val="none"/>
        </w:rPr>
      </w:pPr>
      <w:r>
        <w:rPr>
          <w:rFonts w:hint="eastAsia" w:ascii="宋体"/>
          <w:color w:val="auto"/>
          <w:sz w:val="24"/>
          <w:highlight w:val="none"/>
        </w:rPr>
        <w:t xml:space="preserve">联系电话： </w:t>
      </w:r>
    </w:p>
    <w:p w14:paraId="5916A041">
      <w:pPr>
        <w:tabs>
          <w:tab w:val="left" w:pos="360"/>
          <w:tab w:val="left" w:pos="720"/>
        </w:tabs>
        <w:spacing w:line="360" w:lineRule="auto"/>
        <w:ind w:left="-424" w:leftChars="-202" w:firstLine="640" w:firstLineChars="177"/>
        <w:jc w:val="center"/>
        <w:rPr>
          <w:rFonts w:ascii="宋体"/>
          <w:b/>
          <w:bCs/>
          <w:color w:val="auto"/>
          <w:sz w:val="36"/>
          <w:szCs w:val="36"/>
          <w:highlight w:val="none"/>
        </w:rPr>
      </w:pPr>
    </w:p>
    <w:p w14:paraId="0847E8E9">
      <w:pPr>
        <w:tabs>
          <w:tab w:val="left" w:pos="360"/>
          <w:tab w:val="left" w:pos="720"/>
        </w:tabs>
        <w:spacing w:line="360" w:lineRule="auto"/>
        <w:ind w:left="-424" w:leftChars="-202" w:firstLine="640" w:firstLineChars="177"/>
        <w:jc w:val="center"/>
        <w:rPr>
          <w:rFonts w:ascii="宋体"/>
          <w:b/>
          <w:bCs/>
          <w:color w:val="auto"/>
          <w:sz w:val="36"/>
          <w:szCs w:val="36"/>
          <w:highlight w:val="none"/>
        </w:rPr>
      </w:pPr>
      <w:r>
        <w:rPr>
          <w:rFonts w:hint="eastAsia" w:ascii="宋体"/>
          <w:b/>
          <w:bCs/>
          <w:color w:val="auto"/>
          <w:sz w:val="36"/>
          <w:szCs w:val="36"/>
          <w:highlight w:val="none"/>
        </w:rPr>
        <w:t>工程质量保修书</w:t>
      </w:r>
    </w:p>
    <w:p w14:paraId="56907505">
      <w:pPr>
        <w:tabs>
          <w:tab w:val="left" w:pos="360"/>
          <w:tab w:val="left" w:pos="720"/>
        </w:tabs>
        <w:spacing w:line="560" w:lineRule="exact"/>
        <w:ind w:left="-424" w:leftChars="-202" w:firstLine="424" w:firstLineChars="177"/>
        <w:jc w:val="left"/>
        <w:rPr>
          <w:rFonts w:ascii="宋体"/>
          <w:color w:val="auto"/>
          <w:sz w:val="24"/>
          <w:highlight w:val="none"/>
        </w:rPr>
      </w:pPr>
      <w:r>
        <w:rPr>
          <w:rFonts w:hint="eastAsia" w:ascii="宋体"/>
          <w:color w:val="auto"/>
          <w:sz w:val="24"/>
          <w:highlight w:val="none"/>
        </w:rPr>
        <w:t>甲方（采购人）：</w:t>
      </w:r>
    </w:p>
    <w:p w14:paraId="5E00AA9E">
      <w:pPr>
        <w:tabs>
          <w:tab w:val="left" w:pos="360"/>
          <w:tab w:val="left" w:pos="720"/>
        </w:tabs>
        <w:spacing w:line="560" w:lineRule="exact"/>
        <w:ind w:left="-424" w:leftChars="-202" w:firstLine="424" w:firstLineChars="177"/>
        <w:jc w:val="left"/>
        <w:rPr>
          <w:rFonts w:ascii="宋体"/>
          <w:color w:val="auto"/>
          <w:sz w:val="24"/>
          <w:highlight w:val="none"/>
        </w:rPr>
      </w:pPr>
      <w:r>
        <w:rPr>
          <w:rFonts w:hint="eastAsia" w:ascii="宋体"/>
          <w:color w:val="auto"/>
          <w:sz w:val="24"/>
          <w:highlight w:val="none"/>
        </w:rPr>
        <w:t>乙方（成交供应商）：</w:t>
      </w:r>
    </w:p>
    <w:p w14:paraId="66CF785F">
      <w:pPr>
        <w:spacing w:line="560" w:lineRule="exact"/>
        <w:ind w:firstLine="319" w:firstLineChars="133"/>
        <w:rPr>
          <w:rFonts w:ascii="宋体"/>
          <w:color w:val="auto"/>
          <w:sz w:val="24"/>
          <w:highlight w:val="none"/>
        </w:rPr>
      </w:pPr>
      <w:r>
        <w:rPr>
          <w:rFonts w:hint="eastAsia" w:ascii="宋体"/>
          <w:color w:val="auto"/>
          <w:sz w:val="24"/>
          <w:highlight w:val="none"/>
        </w:rPr>
        <w:t xml:space="preserve">  为保证项目在合理使用期限内正常使用，双方协商一致签订工程质量保修书。乙方在质量保修期内按照有关管理规定及双方约定承担工程质量保修责任。</w:t>
      </w:r>
    </w:p>
    <w:p w14:paraId="09D2BC34">
      <w:pPr>
        <w:spacing w:line="560" w:lineRule="exact"/>
        <w:rPr>
          <w:rFonts w:ascii="宋体"/>
          <w:b/>
          <w:color w:val="auto"/>
          <w:sz w:val="24"/>
          <w:highlight w:val="none"/>
        </w:rPr>
      </w:pPr>
      <w:r>
        <w:rPr>
          <w:rFonts w:hint="eastAsia" w:ascii="宋体"/>
          <w:b/>
          <w:color w:val="auto"/>
          <w:sz w:val="24"/>
          <w:highlight w:val="none"/>
        </w:rPr>
        <w:t xml:space="preserve">    一、工程质量保修范围和内容</w:t>
      </w:r>
    </w:p>
    <w:p w14:paraId="3717A141">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1.质量保修范围：为乙方承包范围内（含签证确认的）所有施工项目。</w:t>
      </w:r>
    </w:p>
    <w:p w14:paraId="6BCE4256">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2.具体质量保修内容双方约定如下：承包范围内因施工质量原因造成的各部位、部件、整件或单件的损坏、脱落、变质、开裂等均属乙方保修责任范围。甲方使用过程中人为损坏、第三者故意、自然灾害及人力不可抗力因素损坏不在保修范围内。</w:t>
      </w:r>
    </w:p>
    <w:p w14:paraId="127695C3">
      <w:pPr>
        <w:tabs>
          <w:tab w:val="left" w:pos="360"/>
          <w:tab w:val="left" w:pos="720"/>
        </w:tabs>
        <w:spacing w:line="560" w:lineRule="exact"/>
        <w:ind w:firstLine="354" w:firstLineChars="147"/>
        <w:jc w:val="left"/>
        <w:rPr>
          <w:rFonts w:ascii="宋体"/>
          <w:b/>
          <w:color w:val="auto"/>
          <w:sz w:val="24"/>
          <w:highlight w:val="none"/>
        </w:rPr>
      </w:pPr>
      <w:r>
        <w:rPr>
          <w:rFonts w:hint="eastAsia" w:ascii="宋体"/>
          <w:b/>
          <w:color w:val="auto"/>
          <w:sz w:val="24"/>
          <w:highlight w:val="none"/>
        </w:rPr>
        <w:t>二、</w:t>
      </w:r>
      <w:r>
        <w:rPr>
          <w:rFonts w:ascii="宋体"/>
          <w:b/>
          <w:color w:val="auto"/>
          <w:sz w:val="24"/>
          <w:highlight w:val="none"/>
        </w:rPr>
        <w:t>根据《建设工程质量管理条例》及有关规定，工程的质量保修期如下：</w:t>
      </w:r>
    </w:p>
    <w:p w14:paraId="296C513E">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1．地基基础工程和主体结构工程为设计文件规定的工程合理使用年限；</w:t>
      </w:r>
    </w:p>
    <w:p w14:paraId="1AD4A029">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2．</w:t>
      </w:r>
      <w:r>
        <w:rPr>
          <w:rFonts w:ascii="宋体"/>
          <w:color w:val="auto"/>
          <w:sz w:val="24"/>
          <w:highlight w:val="none"/>
        </w:rPr>
        <w:t>屋面防水工程、有防水要求的卫生间、房间和外墙面的防渗</w:t>
      </w:r>
      <w:r>
        <w:rPr>
          <w:rFonts w:hint="eastAsia" w:ascii="宋体"/>
          <w:color w:val="auto"/>
          <w:sz w:val="24"/>
          <w:highlight w:val="none"/>
        </w:rPr>
        <w:t>为5</w:t>
      </w:r>
      <w:r>
        <w:rPr>
          <w:rFonts w:ascii="宋体"/>
          <w:color w:val="auto"/>
          <w:sz w:val="24"/>
          <w:highlight w:val="none"/>
        </w:rPr>
        <w:t>年；</w:t>
      </w:r>
    </w:p>
    <w:p w14:paraId="2A180C4D">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3．</w:t>
      </w:r>
      <w:r>
        <w:rPr>
          <w:rFonts w:ascii="宋体"/>
          <w:color w:val="auto"/>
          <w:sz w:val="24"/>
          <w:highlight w:val="none"/>
        </w:rPr>
        <w:t>装修工程为</w:t>
      </w:r>
      <w:r>
        <w:rPr>
          <w:rFonts w:hint="eastAsia" w:ascii="宋体"/>
          <w:color w:val="auto"/>
          <w:sz w:val="24"/>
          <w:highlight w:val="none"/>
        </w:rPr>
        <w:t>2</w:t>
      </w:r>
      <w:r>
        <w:rPr>
          <w:rFonts w:ascii="宋体"/>
          <w:color w:val="auto"/>
          <w:sz w:val="24"/>
          <w:highlight w:val="none"/>
        </w:rPr>
        <w:t>年；</w:t>
      </w:r>
    </w:p>
    <w:p w14:paraId="70AA18DF">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4．</w:t>
      </w:r>
      <w:r>
        <w:rPr>
          <w:rFonts w:ascii="宋体"/>
          <w:color w:val="auto"/>
          <w:sz w:val="24"/>
          <w:highlight w:val="none"/>
        </w:rPr>
        <w:t>电气管线、给排水管道、设备安装工程为</w:t>
      </w:r>
      <w:r>
        <w:rPr>
          <w:rFonts w:hint="eastAsia" w:ascii="宋体"/>
          <w:color w:val="auto"/>
          <w:sz w:val="24"/>
          <w:highlight w:val="none"/>
        </w:rPr>
        <w:t>2</w:t>
      </w:r>
      <w:r>
        <w:rPr>
          <w:rFonts w:ascii="宋体"/>
          <w:color w:val="auto"/>
          <w:sz w:val="24"/>
          <w:highlight w:val="none"/>
        </w:rPr>
        <w:t>年；</w:t>
      </w:r>
    </w:p>
    <w:p w14:paraId="3B15B1EF">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5．</w:t>
      </w:r>
      <w:r>
        <w:rPr>
          <w:rFonts w:ascii="宋体"/>
          <w:color w:val="auto"/>
          <w:sz w:val="24"/>
          <w:highlight w:val="none"/>
        </w:rPr>
        <w:t>供热与供冷系统为</w:t>
      </w:r>
      <w:r>
        <w:rPr>
          <w:rFonts w:hint="eastAsia" w:ascii="宋体"/>
          <w:color w:val="auto"/>
          <w:sz w:val="24"/>
          <w:highlight w:val="none"/>
        </w:rPr>
        <w:t>2</w:t>
      </w:r>
      <w:r>
        <w:rPr>
          <w:rFonts w:ascii="宋体"/>
          <w:color w:val="auto"/>
          <w:sz w:val="24"/>
          <w:highlight w:val="none"/>
        </w:rPr>
        <w:t>个采暖期、供冷期；</w:t>
      </w:r>
    </w:p>
    <w:p w14:paraId="651D9653">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6．</w:t>
      </w:r>
      <w:r>
        <w:rPr>
          <w:rFonts w:ascii="宋体"/>
          <w:color w:val="auto"/>
          <w:sz w:val="24"/>
          <w:highlight w:val="none"/>
        </w:rPr>
        <w:t>住宅小区内的给排水设施、道路等配套工程为</w:t>
      </w:r>
      <w:r>
        <w:rPr>
          <w:rFonts w:hint="eastAsia" w:ascii="宋体"/>
          <w:color w:val="auto"/>
          <w:sz w:val="24"/>
          <w:highlight w:val="none"/>
        </w:rPr>
        <w:t>2</w:t>
      </w:r>
      <w:r>
        <w:rPr>
          <w:rFonts w:ascii="宋体"/>
          <w:color w:val="auto"/>
          <w:sz w:val="24"/>
          <w:highlight w:val="none"/>
        </w:rPr>
        <w:t>年；</w:t>
      </w:r>
    </w:p>
    <w:p w14:paraId="4B9E5503">
      <w:pPr>
        <w:tabs>
          <w:tab w:val="left" w:pos="360"/>
          <w:tab w:val="left" w:pos="720"/>
        </w:tabs>
        <w:spacing w:line="560" w:lineRule="exact"/>
        <w:ind w:firstLine="530" w:firstLineChars="221"/>
        <w:jc w:val="left"/>
        <w:rPr>
          <w:rFonts w:ascii="宋体"/>
          <w:color w:val="auto"/>
          <w:sz w:val="24"/>
          <w:highlight w:val="none"/>
        </w:rPr>
      </w:pPr>
      <w:r>
        <w:rPr>
          <w:rFonts w:hint="eastAsia" w:ascii="宋体"/>
          <w:color w:val="auto"/>
          <w:sz w:val="24"/>
          <w:highlight w:val="none"/>
        </w:rPr>
        <w:t>7．</w:t>
      </w:r>
      <w:r>
        <w:rPr>
          <w:rFonts w:ascii="宋体"/>
          <w:color w:val="auto"/>
          <w:sz w:val="24"/>
          <w:highlight w:val="none"/>
        </w:rPr>
        <w:t>其他项目保修期限约定如下：</w:t>
      </w:r>
      <w:r>
        <w:rPr>
          <w:rFonts w:hint="eastAsia" w:ascii="宋体"/>
          <w:color w:val="auto"/>
          <w:sz w:val="24"/>
          <w:highlight w:val="none"/>
          <w:u w:val="single"/>
        </w:rPr>
        <w:t xml:space="preserve"> 无  </w:t>
      </w:r>
      <w:r>
        <w:rPr>
          <w:rFonts w:ascii="宋体"/>
          <w:color w:val="auto"/>
          <w:sz w:val="24"/>
          <w:highlight w:val="none"/>
        </w:rPr>
        <w:t>。</w:t>
      </w:r>
    </w:p>
    <w:p w14:paraId="3FE3DE70">
      <w:pPr>
        <w:tabs>
          <w:tab w:val="left" w:pos="360"/>
          <w:tab w:val="left" w:pos="720"/>
        </w:tabs>
        <w:spacing w:line="560" w:lineRule="exact"/>
        <w:ind w:firstLine="480" w:firstLineChars="200"/>
        <w:jc w:val="left"/>
        <w:rPr>
          <w:rFonts w:ascii="宋体"/>
          <w:color w:val="auto"/>
          <w:sz w:val="24"/>
          <w:highlight w:val="none"/>
        </w:rPr>
      </w:pPr>
      <w:r>
        <w:rPr>
          <w:rFonts w:ascii="宋体"/>
          <w:color w:val="auto"/>
          <w:sz w:val="24"/>
          <w:highlight w:val="none"/>
        </w:rPr>
        <w:t>质量保修期自工程竣工验收合格之日起计算。</w:t>
      </w:r>
    </w:p>
    <w:p w14:paraId="69FDA1F8">
      <w:pPr>
        <w:tabs>
          <w:tab w:val="left" w:pos="360"/>
          <w:tab w:val="left" w:pos="720"/>
        </w:tabs>
        <w:spacing w:line="560" w:lineRule="exact"/>
        <w:ind w:firstLine="472" w:firstLineChars="196"/>
        <w:jc w:val="left"/>
        <w:rPr>
          <w:rFonts w:ascii="宋体"/>
          <w:b/>
          <w:color w:val="auto"/>
          <w:sz w:val="24"/>
          <w:highlight w:val="none"/>
        </w:rPr>
      </w:pPr>
      <w:r>
        <w:rPr>
          <w:rFonts w:ascii="宋体"/>
          <w:b/>
          <w:color w:val="auto"/>
          <w:sz w:val="24"/>
          <w:highlight w:val="none"/>
        </w:rPr>
        <w:t>三、缺陷责任期</w:t>
      </w:r>
    </w:p>
    <w:p w14:paraId="10407430">
      <w:pPr>
        <w:tabs>
          <w:tab w:val="left" w:pos="360"/>
          <w:tab w:val="left" w:pos="720"/>
        </w:tabs>
        <w:spacing w:line="560" w:lineRule="exact"/>
        <w:ind w:firstLine="530" w:firstLineChars="221"/>
        <w:jc w:val="left"/>
        <w:rPr>
          <w:rFonts w:ascii="宋体"/>
          <w:color w:val="auto"/>
          <w:sz w:val="24"/>
          <w:highlight w:val="none"/>
        </w:rPr>
      </w:pPr>
      <w:r>
        <w:rPr>
          <w:rFonts w:ascii="宋体"/>
          <w:color w:val="auto"/>
          <w:sz w:val="24"/>
          <w:highlight w:val="none"/>
        </w:rPr>
        <w:t>工程缺陷责任期为</w:t>
      </w:r>
      <w:r>
        <w:rPr>
          <w:rFonts w:hint="eastAsia" w:ascii="宋体"/>
          <w:color w:val="auto"/>
          <w:sz w:val="24"/>
          <w:highlight w:val="none"/>
        </w:rPr>
        <w:t>1年</w:t>
      </w:r>
      <w:r>
        <w:rPr>
          <w:rFonts w:ascii="宋体"/>
          <w:color w:val="auto"/>
          <w:sz w:val="24"/>
          <w:highlight w:val="none"/>
        </w:rPr>
        <w:t>，缺陷责任期自工程</w:t>
      </w:r>
      <w:r>
        <w:rPr>
          <w:rFonts w:hint="eastAsia" w:ascii="宋体"/>
          <w:color w:val="auto"/>
          <w:sz w:val="24"/>
          <w:highlight w:val="none"/>
        </w:rPr>
        <w:t>通过竣工验收</w:t>
      </w:r>
      <w:r>
        <w:rPr>
          <w:rFonts w:ascii="宋体"/>
          <w:color w:val="auto"/>
          <w:sz w:val="24"/>
          <w:highlight w:val="none"/>
        </w:rPr>
        <w:t>之日起计算。</w:t>
      </w:r>
    </w:p>
    <w:p w14:paraId="280B5999">
      <w:pPr>
        <w:tabs>
          <w:tab w:val="left" w:pos="360"/>
          <w:tab w:val="left" w:pos="720"/>
        </w:tabs>
        <w:spacing w:line="560" w:lineRule="exact"/>
        <w:ind w:firstLine="530" w:firstLineChars="221"/>
        <w:jc w:val="left"/>
        <w:rPr>
          <w:rFonts w:ascii="宋体"/>
          <w:color w:val="auto"/>
          <w:sz w:val="24"/>
          <w:highlight w:val="none"/>
        </w:rPr>
      </w:pPr>
      <w:r>
        <w:rPr>
          <w:rFonts w:ascii="宋体"/>
          <w:color w:val="auto"/>
          <w:sz w:val="24"/>
          <w:highlight w:val="none"/>
        </w:rPr>
        <w:t>缺陷责任期终止后，</w:t>
      </w:r>
      <w:r>
        <w:rPr>
          <w:rFonts w:hint="eastAsia" w:ascii="宋体"/>
          <w:color w:val="auto"/>
          <w:sz w:val="24"/>
          <w:highlight w:val="none"/>
        </w:rPr>
        <w:t>甲方</w:t>
      </w:r>
      <w:r>
        <w:rPr>
          <w:rFonts w:ascii="宋体"/>
          <w:color w:val="auto"/>
          <w:sz w:val="24"/>
          <w:highlight w:val="none"/>
        </w:rPr>
        <w:t>应退还剩余的质量保证金。</w:t>
      </w:r>
    </w:p>
    <w:p w14:paraId="45357261">
      <w:pPr>
        <w:spacing w:line="560" w:lineRule="exact"/>
        <w:ind w:firstLine="472" w:firstLineChars="196"/>
        <w:rPr>
          <w:rFonts w:ascii="宋体"/>
          <w:b/>
          <w:color w:val="auto"/>
          <w:sz w:val="24"/>
          <w:highlight w:val="none"/>
        </w:rPr>
      </w:pPr>
      <w:r>
        <w:rPr>
          <w:rFonts w:hint="eastAsia" w:ascii="宋体"/>
          <w:b/>
          <w:color w:val="auto"/>
          <w:sz w:val="24"/>
          <w:highlight w:val="none"/>
        </w:rPr>
        <w:t>四、质量保修责任</w:t>
      </w:r>
    </w:p>
    <w:p w14:paraId="23086409">
      <w:pPr>
        <w:tabs>
          <w:tab w:val="left" w:pos="360"/>
          <w:tab w:val="left" w:pos="720"/>
        </w:tabs>
        <w:spacing w:line="560" w:lineRule="exact"/>
        <w:ind w:firstLine="424" w:firstLineChars="177"/>
        <w:jc w:val="left"/>
        <w:rPr>
          <w:rFonts w:ascii="宋体"/>
          <w:color w:val="auto"/>
          <w:sz w:val="24"/>
          <w:highlight w:val="none"/>
        </w:rPr>
      </w:pPr>
      <w:r>
        <w:rPr>
          <w:rFonts w:hint="eastAsia" w:ascii="宋体"/>
          <w:color w:val="auto"/>
          <w:sz w:val="24"/>
          <w:highlight w:val="none"/>
        </w:rPr>
        <w:t>1.属于保修范围内容的项目，乙方应当在接到甲方维修通知后2小时内派人到达现场并及时维修。乙方不在约定期限内派人维修的，甲方可以委托他人维修。维修费用(以甲方审核为准)从质量保证金内扣除，不足部分由乙方支付。若质量保证金已返还，但质量保修期尚未届满的，维修费用仍由乙方承担。如发生工程质量原因引起的投诉、索赔等情况，乙方应承担一切经济、法律及连带责任。</w:t>
      </w:r>
    </w:p>
    <w:p w14:paraId="37AFF7A9">
      <w:pPr>
        <w:tabs>
          <w:tab w:val="left" w:pos="360"/>
          <w:tab w:val="left" w:pos="720"/>
        </w:tabs>
        <w:spacing w:line="560" w:lineRule="exact"/>
        <w:ind w:firstLine="424" w:firstLineChars="177"/>
        <w:jc w:val="left"/>
        <w:rPr>
          <w:rFonts w:ascii="宋体"/>
          <w:color w:val="auto"/>
          <w:sz w:val="24"/>
          <w:highlight w:val="none"/>
        </w:rPr>
      </w:pPr>
      <w:r>
        <w:rPr>
          <w:rFonts w:hint="eastAsia" w:ascii="宋体"/>
          <w:color w:val="auto"/>
          <w:sz w:val="24"/>
          <w:highlight w:val="none"/>
        </w:rPr>
        <w:t>2.发生须紧急抢修事故的，乙方在接到事故通知后，应当立即到达事故现场抢修。</w:t>
      </w:r>
    </w:p>
    <w:p w14:paraId="5D28DBD3">
      <w:pPr>
        <w:tabs>
          <w:tab w:val="left" w:pos="360"/>
          <w:tab w:val="left" w:pos="720"/>
        </w:tabs>
        <w:spacing w:line="560" w:lineRule="exact"/>
        <w:ind w:firstLine="424" w:firstLineChars="177"/>
        <w:jc w:val="left"/>
        <w:rPr>
          <w:rFonts w:ascii="宋体"/>
          <w:color w:val="auto"/>
          <w:sz w:val="24"/>
          <w:highlight w:val="none"/>
        </w:rPr>
      </w:pPr>
      <w:r>
        <w:rPr>
          <w:rFonts w:hint="eastAsia" w:ascii="宋体"/>
          <w:color w:val="auto"/>
          <w:sz w:val="24"/>
          <w:highlight w:val="none"/>
        </w:rPr>
        <w:t>3.对于涉及结构安全的质量问题，应当按照《房屋建筑工程质量保修办法》的规定，立即向当地建设行政主管部门报告，采取安全防范措施；由原设计单位或者具有相应资质等级的设计单位提出保修方案，乙方实施保修。</w:t>
      </w:r>
    </w:p>
    <w:p w14:paraId="621CADD7">
      <w:pPr>
        <w:tabs>
          <w:tab w:val="left" w:pos="360"/>
          <w:tab w:val="left" w:pos="720"/>
        </w:tabs>
        <w:spacing w:line="560" w:lineRule="exact"/>
        <w:ind w:firstLine="424" w:firstLineChars="177"/>
        <w:jc w:val="left"/>
        <w:rPr>
          <w:rFonts w:ascii="宋体"/>
          <w:color w:val="auto"/>
          <w:sz w:val="24"/>
          <w:highlight w:val="none"/>
        </w:rPr>
      </w:pPr>
      <w:r>
        <w:rPr>
          <w:rFonts w:hint="eastAsia" w:ascii="宋体"/>
          <w:color w:val="auto"/>
          <w:sz w:val="24"/>
          <w:highlight w:val="none"/>
        </w:rPr>
        <w:t>4.在国家规定的工程合理使用期限内，乙方确保地基基础工程和主体工程结构的质量和安全。因乙方原因致使工程在合理使用期限内造成人身和财产损害的，乙方应承担损害赔偿责任。</w:t>
      </w:r>
    </w:p>
    <w:p w14:paraId="70785563">
      <w:pPr>
        <w:tabs>
          <w:tab w:val="left" w:pos="360"/>
          <w:tab w:val="left" w:pos="720"/>
        </w:tabs>
        <w:spacing w:line="560" w:lineRule="exact"/>
        <w:ind w:firstLine="354" w:firstLineChars="147"/>
        <w:jc w:val="left"/>
        <w:rPr>
          <w:color w:val="auto"/>
          <w:highlight w:val="none"/>
        </w:rPr>
      </w:pPr>
      <w:r>
        <w:rPr>
          <w:rFonts w:hint="eastAsia" w:ascii="宋体"/>
          <w:b/>
          <w:color w:val="auto"/>
          <w:sz w:val="24"/>
          <w:highlight w:val="none"/>
        </w:rPr>
        <w:t>五、其他双方约定的其他工程质量保修事项：</w:t>
      </w:r>
      <w:r>
        <w:rPr>
          <w:rFonts w:hint="eastAsia" w:ascii="宋体"/>
          <w:color w:val="auto"/>
          <w:sz w:val="24"/>
          <w:highlight w:val="none"/>
          <w:u w:val="single"/>
        </w:rPr>
        <w:t>/</w:t>
      </w:r>
      <w:r>
        <w:rPr>
          <w:rFonts w:hint="eastAsia" w:ascii="宋体"/>
          <w:color w:val="auto"/>
          <w:sz w:val="24"/>
          <w:highlight w:val="none"/>
        </w:rPr>
        <w:t>。</w:t>
      </w:r>
    </w:p>
    <w:p w14:paraId="17B81A3E">
      <w:pPr>
        <w:pStyle w:val="17"/>
        <w:widowControl/>
        <w:spacing w:before="75" w:beforeAutospacing="0" w:after="75" w:afterAutospacing="0" w:line="435" w:lineRule="atLeast"/>
        <w:jc w:val="both"/>
        <w:rPr>
          <w:rStyle w:val="23"/>
          <w:rFonts w:ascii="宋体" w:hAnsi="宋体" w:cs="宋体"/>
          <w:bCs/>
          <w:color w:val="auto"/>
          <w:sz w:val="36"/>
          <w:szCs w:val="36"/>
          <w:highlight w:val="none"/>
        </w:rPr>
      </w:pPr>
    </w:p>
    <w:p w14:paraId="1C13F552">
      <w:pPr>
        <w:rPr>
          <w:rStyle w:val="23"/>
          <w:rFonts w:hint="eastAsia" w:ascii="宋体" w:hAnsi="宋体"/>
          <w:bCs/>
          <w:color w:val="auto"/>
          <w:sz w:val="36"/>
          <w:szCs w:val="36"/>
          <w:highlight w:val="none"/>
        </w:rPr>
      </w:pPr>
      <w:r>
        <w:rPr>
          <w:rStyle w:val="23"/>
          <w:rFonts w:hint="eastAsia" w:ascii="宋体" w:hAnsi="宋体"/>
          <w:bCs/>
          <w:color w:val="auto"/>
          <w:sz w:val="36"/>
          <w:szCs w:val="36"/>
          <w:highlight w:val="none"/>
        </w:rPr>
        <w:br w:type="page"/>
      </w:r>
    </w:p>
    <w:p w14:paraId="046D06E4">
      <w:pPr>
        <w:jc w:val="center"/>
        <w:rPr>
          <w:color w:val="auto"/>
          <w:highlight w:val="none"/>
        </w:rPr>
      </w:pPr>
      <w:r>
        <w:rPr>
          <w:rStyle w:val="23"/>
          <w:rFonts w:hint="eastAsia" w:ascii="宋体" w:hAnsi="宋体"/>
          <w:bCs/>
          <w:color w:val="auto"/>
          <w:sz w:val="36"/>
          <w:szCs w:val="36"/>
          <w:highlight w:val="none"/>
        </w:rPr>
        <w:t>第五章  首次响应文件格式</w:t>
      </w:r>
    </w:p>
    <w:p w14:paraId="47A71BFC">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 </w:t>
      </w:r>
    </w:p>
    <w:p w14:paraId="68931D44">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编制说明</w:t>
      </w:r>
    </w:p>
    <w:p w14:paraId="78CD24E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本附件所有格式为响应文件的组成部分，供采购人或代理机构编制磋商文件时参考使用。由于新增政策、行业管理规定或者不同项目实际特点需要,则采购人或代理机构可以对有关表格进行必要的补充或修改，以满足实际项目的使用。</w:t>
      </w:r>
    </w:p>
    <w:p w14:paraId="2428276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除磋商文件另有规定外，磋商文件要求原件的，供应商在纸质响应文件正本中应提供原件；磋商文件要求复印件的，供应商在纸质响应文件中可提供原件、复印件或扫描件；磋商文件对原件、复印件未作要求的，供应商可自行确定在纸质响应文件中提供原件、复印件或扫描件（若供应商提供注明“复印件无效”的材料或资料，供应商在纸质响应文件正本中应提供原件）。</w:t>
      </w:r>
    </w:p>
    <w:p w14:paraId="284D7E01">
      <w:pPr>
        <w:pStyle w:val="17"/>
        <w:widowControl/>
        <w:spacing w:before="75" w:beforeAutospacing="0" w:after="75" w:afterAutospacing="0" w:line="435" w:lineRule="atLeast"/>
        <w:rPr>
          <w:color w:val="auto"/>
          <w:highlight w:val="none"/>
        </w:rPr>
      </w:pPr>
      <w:r>
        <w:rPr>
          <w:color w:val="auto"/>
          <w:highlight w:val="none"/>
        </w:rPr>
        <w:t> </w:t>
      </w:r>
    </w:p>
    <w:p w14:paraId="6BCF8246">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1AE3A0AD">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1656259D">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22E7226A">
      <w:pPr>
        <w:pStyle w:val="17"/>
        <w:widowControl/>
        <w:spacing w:before="75" w:beforeAutospacing="0" w:after="75" w:afterAutospacing="0"/>
        <w:rPr>
          <w:rStyle w:val="23"/>
          <w:rFonts w:ascii="宋体" w:hAnsi="宋体" w:cs="宋体"/>
          <w:bCs/>
          <w:color w:val="auto"/>
          <w:sz w:val="36"/>
          <w:szCs w:val="36"/>
          <w:highlight w:val="none"/>
        </w:rPr>
      </w:pPr>
      <w:r>
        <w:rPr>
          <w:rStyle w:val="23"/>
          <w:rFonts w:hint="eastAsia" w:ascii="宋体" w:hAnsi="宋体" w:cs="宋体"/>
          <w:bCs/>
          <w:color w:val="auto"/>
          <w:sz w:val="36"/>
          <w:szCs w:val="36"/>
          <w:highlight w:val="none"/>
        </w:rPr>
        <w:t xml:space="preserve">            </w:t>
      </w:r>
    </w:p>
    <w:p w14:paraId="089085D1">
      <w:pPr>
        <w:pStyle w:val="17"/>
        <w:widowControl/>
        <w:spacing w:before="75" w:beforeAutospacing="0" w:after="75" w:afterAutospacing="0"/>
        <w:rPr>
          <w:rStyle w:val="23"/>
          <w:rFonts w:ascii="宋体" w:hAnsi="宋体" w:cs="宋体"/>
          <w:bCs/>
          <w:color w:val="auto"/>
          <w:sz w:val="36"/>
          <w:szCs w:val="36"/>
          <w:highlight w:val="none"/>
        </w:rPr>
      </w:pPr>
    </w:p>
    <w:p w14:paraId="1D6749C2">
      <w:pPr>
        <w:pStyle w:val="17"/>
        <w:widowControl/>
        <w:spacing w:before="75" w:beforeAutospacing="0" w:after="75" w:afterAutospacing="0"/>
        <w:rPr>
          <w:rStyle w:val="23"/>
          <w:rFonts w:ascii="宋体" w:hAnsi="宋体" w:cs="宋体"/>
          <w:bCs/>
          <w:color w:val="auto"/>
          <w:sz w:val="36"/>
          <w:szCs w:val="36"/>
          <w:highlight w:val="none"/>
        </w:rPr>
      </w:pPr>
    </w:p>
    <w:p w14:paraId="7A728097">
      <w:pPr>
        <w:pStyle w:val="17"/>
        <w:widowControl/>
        <w:spacing w:before="75" w:beforeAutospacing="0" w:after="75" w:afterAutospacing="0"/>
        <w:rPr>
          <w:rStyle w:val="23"/>
          <w:rFonts w:ascii="宋体" w:hAnsi="宋体" w:cs="宋体"/>
          <w:bCs/>
          <w:color w:val="auto"/>
          <w:sz w:val="36"/>
          <w:szCs w:val="36"/>
          <w:highlight w:val="none"/>
        </w:rPr>
      </w:pPr>
    </w:p>
    <w:p w14:paraId="2EC7B97A">
      <w:pPr>
        <w:pStyle w:val="17"/>
        <w:widowControl/>
        <w:spacing w:before="75" w:beforeAutospacing="0" w:after="75" w:afterAutospacing="0"/>
        <w:rPr>
          <w:rStyle w:val="23"/>
          <w:rFonts w:ascii="宋体" w:hAnsi="宋体" w:cs="宋体"/>
          <w:bCs/>
          <w:color w:val="auto"/>
          <w:sz w:val="36"/>
          <w:szCs w:val="36"/>
          <w:highlight w:val="none"/>
        </w:rPr>
      </w:pPr>
    </w:p>
    <w:p w14:paraId="3B1DC462">
      <w:pPr>
        <w:pStyle w:val="17"/>
        <w:widowControl/>
        <w:spacing w:before="75" w:beforeAutospacing="0" w:after="75" w:afterAutospacing="0"/>
        <w:rPr>
          <w:rStyle w:val="23"/>
          <w:rFonts w:ascii="宋体" w:hAnsi="宋体" w:cs="宋体"/>
          <w:bCs/>
          <w:color w:val="auto"/>
          <w:sz w:val="36"/>
          <w:szCs w:val="36"/>
          <w:highlight w:val="none"/>
        </w:rPr>
      </w:pPr>
    </w:p>
    <w:p w14:paraId="388473EE">
      <w:pPr>
        <w:pStyle w:val="17"/>
        <w:widowControl/>
        <w:spacing w:before="75" w:beforeAutospacing="0" w:after="75" w:afterAutospacing="0"/>
        <w:rPr>
          <w:rStyle w:val="23"/>
          <w:rFonts w:ascii="宋体" w:hAnsi="宋体" w:cs="宋体"/>
          <w:bCs/>
          <w:color w:val="auto"/>
          <w:sz w:val="36"/>
          <w:szCs w:val="36"/>
          <w:highlight w:val="none"/>
        </w:rPr>
      </w:pPr>
    </w:p>
    <w:p w14:paraId="573CCC06">
      <w:pPr>
        <w:pStyle w:val="17"/>
        <w:widowControl/>
        <w:spacing w:before="75" w:beforeAutospacing="0" w:after="75" w:afterAutospacing="0"/>
        <w:rPr>
          <w:rStyle w:val="23"/>
          <w:rFonts w:ascii="宋体" w:hAnsi="宋体" w:cs="宋体"/>
          <w:bCs/>
          <w:color w:val="auto"/>
          <w:sz w:val="36"/>
          <w:szCs w:val="36"/>
          <w:highlight w:val="none"/>
        </w:rPr>
      </w:pPr>
    </w:p>
    <w:p w14:paraId="6D32D7DC">
      <w:pPr>
        <w:pStyle w:val="17"/>
        <w:widowControl/>
        <w:spacing w:before="75" w:beforeAutospacing="0" w:after="75" w:afterAutospacing="0"/>
        <w:jc w:val="center"/>
        <w:rPr>
          <w:rStyle w:val="23"/>
          <w:rFonts w:ascii="宋体" w:hAnsi="宋体" w:cs="宋体"/>
          <w:bCs/>
          <w:color w:val="auto"/>
          <w:sz w:val="48"/>
          <w:szCs w:val="48"/>
          <w:highlight w:val="none"/>
        </w:rPr>
      </w:pPr>
      <w:r>
        <w:rPr>
          <w:rStyle w:val="23"/>
          <w:rFonts w:hint="eastAsia" w:ascii="宋体" w:hAnsi="宋体" w:cs="宋体"/>
          <w:bCs/>
          <w:color w:val="auto"/>
          <w:sz w:val="48"/>
          <w:szCs w:val="48"/>
          <w:highlight w:val="none"/>
        </w:rPr>
        <w:t>中华人民共和国福州机场出入境边防检查站</w:t>
      </w:r>
    </w:p>
    <w:p w14:paraId="21249668">
      <w:pPr>
        <w:pStyle w:val="17"/>
        <w:widowControl/>
        <w:spacing w:before="75" w:beforeAutospacing="0" w:after="75" w:afterAutospacing="0"/>
        <w:jc w:val="center"/>
        <w:rPr>
          <w:color w:val="auto"/>
          <w:sz w:val="48"/>
          <w:szCs w:val="48"/>
          <w:highlight w:val="none"/>
        </w:rPr>
      </w:pPr>
      <w:r>
        <w:rPr>
          <w:rStyle w:val="23"/>
          <w:rFonts w:hint="eastAsia" w:ascii="宋体" w:hAnsi="宋体" w:cs="宋体"/>
          <w:bCs/>
          <w:color w:val="auto"/>
          <w:sz w:val="48"/>
          <w:szCs w:val="48"/>
          <w:highlight w:val="none"/>
        </w:rPr>
        <w:t>竞争性磋商</w:t>
      </w:r>
    </w:p>
    <w:p w14:paraId="54E0C9AE">
      <w:pPr>
        <w:pStyle w:val="17"/>
        <w:widowControl/>
        <w:spacing w:before="75" w:beforeAutospacing="0" w:after="75" w:afterAutospacing="0"/>
        <w:jc w:val="center"/>
        <w:rPr>
          <w:rStyle w:val="23"/>
          <w:rFonts w:ascii="宋体" w:hAnsi="宋体" w:cs="宋体"/>
          <w:bCs/>
          <w:color w:val="auto"/>
          <w:sz w:val="48"/>
          <w:szCs w:val="48"/>
          <w:highlight w:val="none"/>
        </w:rPr>
      </w:pPr>
      <w:r>
        <w:rPr>
          <w:rStyle w:val="23"/>
          <w:rFonts w:hint="eastAsia" w:ascii="宋体" w:hAnsi="宋体" w:cs="宋体"/>
          <w:bCs/>
          <w:color w:val="auto"/>
          <w:sz w:val="48"/>
          <w:szCs w:val="48"/>
          <w:highlight w:val="none"/>
        </w:rPr>
        <w:t>响应文件</w:t>
      </w:r>
    </w:p>
    <w:p w14:paraId="41D9F15F">
      <w:pPr>
        <w:pStyle w:val="17"/>
        <w:widowControl/>
        <w:spacing w:before="75" w:beforeAutospacing="0" w:after="75" w:afterAutospacing="0"/>
        <w:jc w:val="center"/>
        <w:rPr>
          <w:color w:val="auto"/>
          <w:sz w:val="48"/>
          <w:szCs w:val="48"/>
          <w:highlight w:val="none"/>
        </w:rPr>
      </w:pPr>
      <w:r>
        <w:rPr>
          <w:rStyle w:val="23"/>
          <w:rFonts w:hint="eastAsia" w:ascii="宋体" w:hAnsi="宋体" w:cs="宋体"/>
          <w:bCs/>
          <w:color w:val="auto"/>
          <w:sz w:val="48"/>
          <w:szCs w:val="48"/>
          <w:highlight w:val="none"/>
        </w:rPr>
        <w:t>（首次）</w:t>
      </w:r>
    </w:p>
    <w:p w14:paraId="655A03C3">
      <w:pPr>
        <w:pStyle w:val="17"/>
        <w:widowControl/>
        <w:spacing w:before="75" w:beforeAutospacing="0" w:after="75" w:afterAutospacing="0"/>
        <w:jc w:val="center"/>
        <w:rPr>
          <w:color w:val="auto"/>
          <w:highlight w:val="none"/>
        </w:rPr>
      </w:pPr>
      <w:r>
        <w:rPr>
          <w:rFonts w:hint="eastAsia" w:ascii="宋体" w:hAnsi="宋体" w:cs="宋体"/>
          <w:color w:val="auto"/>
          <w:sz w:val="30"/>
          <w:szCs w:val="30"/>
          <w:highlight w:val="none"/>
        </w:rPr>
        <w:t> </w:t>
      </w:r>
    </w:p>
    <w:p w14:paraId="7EB1138A">
      <w:pPr>
        <w:pStyle w:val="17"/>
        <w:widowControl/>
        <w:spacing w:before="75" w:beforeAutospacing="0" w:after="75" w:afterAutospacing="0"/>
        <w:jc w:val="center"/>
        <w:rPr>
          <w:color w:val="auto"/>
          <w:highlight w:val="none"/>
        </w:rPr>
      </w:pPr>
      <w:r>
        <w:rPr>
          <w:rFonts w:hint="eastAsia" w:ascii="宋体" w:hAnsi="宋体" w:cs="宋体"/>
          <w:color w:val="auto"/>
          <w:sz w:val="30"/>
          <w:szCs w:val="30"/>
          <w:highlight w:val="none"/>
        </w:rPr>
        <w:t> </w:t>
      </w:r>
    </w:p>
    <w:p w14:paraId="0CCCE561">
      <w:pPr>
        <w:pStyle w:val="17"/>
        <w:widowControl/>
        <w:spacing w:before="75" w:beforeAutospacing="0" w:after="75" w:afterAutospacing="0"/>
        <w:ind w:firstLine="1260"/>
        <w:rPr>
          <w:color w:val="auto"/>
          <w:highlight w:val="none"/>
        </w:rPr>
      </w:pPr>
      <w:r>
        <w:rPr>
          <w:rStyle w:val="23"/>
          <w:rFonts w:hint="eastAsia" w:ascii="宋体" w:hAnsi="宋体" w:cs="宋体"/>
          <w:bCs/>
          <w:color w:val="auto"/>
          <w:highlight w:val="none"/>
        </w:rPr>
        <w:t>项目名称：</w:t>
      </w:r>
      <w:r>
        <w:rPr>
          <w:rStyle w:val="23"/>
          <w:rFonts w:hint="eastAsia" w:ascii="宋体" w:hAnsi="宋体" w:cs="宋体"/>
          <w:bCs/>
          <w:color w:val="auto"/>
          <w:sz w:val="36"/>
          <w:szCs w:val="36"/>
          <w:highlight w:val="none"/>
          <w:u w:val="single"/>
        </w:rPr>
        <w:t>               </w:t>
      </w:r>
    </w:p>
    <w:p w14:paraId="7DBE9361">
      <w:pPr>
        <w:pStyle w:val="17"/>
        <w:widowControl/>
        <w:spacing w:before="75" w:beforeAutospacing="0" w:after="75" w:afterAutospacing="0"/>
        <w:ind w:firstLine="1260"/>
        <w:rPr>
          <w:color w:val="auto"/>
          <w:highlight w:val="none"/>
        </w:rPr>
      </w:pPr>
      <w:r>
        <w:rPr>
          <w:rStyle w:val="23"/>
          <w:rFonts w:hint="eastAsia" w:ascii="宋体" w:hAnsi="宋体" w:cs="宋体"/>
          <w:bCs/>
          <w:color w:val="auto"/>
          <w:highlight w:val="none"/>
        </w:rPr>
        <w:t>项目编号：</w:t>
      </w:r>
      <w:r>
        <w:rPr>
          <w:rStyle w:val="23"/>
          <w:rFonts w:hint="eastAsia" w:ascii="宋体" w:hAnsi="宋体" w:cs="宋体"/>
          <w:bCs/>
          <w:color w:val="auto"/>
          <w:sz w:val="36"/>
          <w:szCs w:val="36"/>
          <w:highlight w:val="none"/>
          <w:u w:val="single"/>
        </w:rPr>
        <w:t>                    </w:t>
      </w:r>
    </w:p>
    <w:p w14:paraId="764BD808">
      <w:pPr>
        <w:pStyle w:val="17"/>
        <w:widowControl/>
        <w:spacing w:before="75" w:beforeAutospacing="0" w:after="75" w:afterAutospacing="0"/>
        <w:ind w:firstLine="1260"/>
        <w:rPr>
          <w:color w:val="auto"/>
          <w:highlight w:val="none"/>
        </w:rPr>
      </w:pPr>
      <w:r>
        <w:rPr>
          <w:rStyle w:val="23"/>
          <w:rFonts w:hint="eastAsia" w:ascii="宋体" w:hAnsi="宋体" w:cs="宋体"/>
          <w:bCs/>
          <w:color w:val="auto"/>
          <w:highlight w:val="none"/>
        </w:rPr>
        <w:t>合同包</w:t>
      </w:r>
      <w:r>
        <w:rPr>
          <w:rStyle w:val="23"/>
          <w:rFonts w:hint="eastAsia" w:ascii="宋体" w:hAnsi="宋体" w:cs="宋体"/>
          <w:bCs/>
          <w:color w:val="auto"/>
          <w:sz w:val="36"/>
          <w:szCs w:val="36"/>
          <w:highlight w:val="none"/>
        </w:rPr>
        <w:t>: </w:t>
      </w:r>
      <w:r>
        <w:rPr>
          <w:rStyle w:val="23"/>
          <w:rFonts w:hint="eastAsia" w:ascii="宋体" w:hAnsi="宋体" w:cs="宋体"/>
          <w:bCs/>
          <w:color w:val="auto"/>
          <w:sz w:val="36"/>
          <w:szCs w:val="36"/>
          <w:highlight w:val="none"/>
          <w:u w:val="single"/>
        </w:rPr>
        <w:t>                    </w:t>
      </w:r>
    </w:p>
    <w:p w14:paraId="2250859A">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 </w:t>
      </w:r>
    </w:p>
    <w:p w14:paraId="214AD593">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 </w:t>
      </w:r>
    </w:p>
    <w:p w14:paraId="352CD9E6">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 </w:t>
      </w:r>
    </w:p>
    <w:p w14:paraId="4DE138F3">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2F793DA2">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6CAAD44D">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p>
    <w:p w14:paraId="6BB4262C">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r>
        <w:rPr>
          <w:rStyle w:val="23"/>
          <w:rFonts w:hint="eastAsia" w:ascii="宋体" w:hAnsi="宋体" w:cs="宋体"/>
          <w:bCs/>
          <w:color w:val="auto"/>
          <w:highlight w:val="none"/>
        </w:rPr>
        <w:t>供应商名称 ：</w:t>
      </w:r>
      <w:r>
        <w:rPr>
          <w:rStyle w:val="23"/>
          <w:rFonts w:hint="eastAsia" w:ascii="宋体" w:hAnsi="宋体" w:cs="宋体"/>
          <w:bCs/>
          <w:color w:val="auto"/>
          <w:highlight w:val="none"/>
          <w:u w:val="single"/>
        </w:rPr>
        <w:t>               </w:t>
      </w:r>
    </w:p>
    <w:p w14:paraId="5D3C3166">
      <w:pPr>
        <w:pStyle w:val="17"/>
        <w:widowControl/>
        <w:spacing w:before="75" w:beforeAutospacing="0" w:after="75" w:afterAutospacing="0"/>
        <w:rPr>
          <w:color w:val="auto"/>
          <w:highlight w:val="none"/>
        </w:rPr>
      </w:pPr>
      <w:r>
        <w:rPr>
          <w:rStyle w:val="23"/>
          <w:rFonts w:hint="eastAsia" w:ascii="宋体" w:hAnsi="宋体" w:cs="宋体"/>
          <w:bCs/>
          <w:color w:val="auto"/>
          <w:sz w:val="36"/>
          <w:szCs w:val="36"/>
          <w:highlight w:val="none"/>
        </w:rPr>
        <w:t>    </w:t>
      </w:r>
      <w:r>
        <w:rPr>
          <w:rStyle w:val="23"/>
          <w:rFonts w:hint="eastAsia" w:ascii="宋体" w:hAnsi="宋体" w:cs="宋体"/>
          <w:bCs/>
          <w:color w:val="auto"/>
          <w:highlight w:val="none"/>
        </w:rPr>
        <w:t>日   期 ：</w:t>
      </w:r>
      <w:r>
        <w:rPr>
          <w:rStyle w:val="23"/>
          <w:rFonts w:hint="eastAsia" w:ascii="宋体" w:hAnsi="宋体" w:cs="宋体"/>
          <w:bCs/>
          <w:color w:val="auto"/>
          <w:highlight w:val="none"/>
          <w:u w:val="single"/>
        </w:rPr>
        <w:t>               </w:t>
      </w:r>
    </w:p>
    <w:p w14:paraId="640FAF0A">
      <w:pPr>
        <w:pStyle w:val="17"/>
        <w:widowControl/>
        <w:spacing w:before="75" w:beforeAutospacing="0" w:after="75" w:afterAutospacing="0"/>
        <w:jc w:val="center"/>
        <w:rPr>
          <w:rStyle w:val="23"/>
          <w:rFonts w:ascii="宋体" w:hAnsi="宋体" w:cs="宋体"/>
          <w:bCs/>
          <w:color w:val="auto"/>
          <w:highlight w:val="none"/>
          <w:u w:val="single"/>
        </w:rPr>
      </w:pPr>
    </w:p>
    <w:p w14:paraId="4771B4A9">
      <w:pPr>
        <w:pStyle w:val="17"/>
        <w:widowControl/>
        <w:spacing w:before="75" w:beforeAutospacing="0" w:after="75" w:afterAutospacing="0"/>
        <w:jc w:val="center"/>
        <w:rPr>
          <w:rStyle w:val="23"/>
          <w:rFonts w:ascii="宋体" w:hAnsi="宋体" w:cs="宋体"/>
          <w:bCs/>
          <w:color w:val="auto"/>
          <w:highlight w:val="none"/>
          <w:u w:val="single"/>
        </w:rPr>
      </w:pPr>
    </w:p>
    <w:p w14:paraId="19BFD925">
      <w:pPr>
        <w:pStyle w:val="17"/>
        <w:widowControl/>
        <w:spacing w:before="75" w:beforeAutospacing="0" w:after="75" w:afterAutospacing="0"/>
        <w:jc w:val="center"/>
        <w:rPr>
          <w:rStyle w:val="23"/>
          <w:rFonts w:ascii="宋体" w:hAnsi="宋体" w:cs="宋体"/>
          <w:bCs/>
          <w:color w:val="auto"/>
          <w:highlight w:val="none"/>
          <w:u w:val="single"/>
        </w:rPr>
      </w:pPr>
    </w:p>
    <w:p w14:paraId="13AEF8CB">
      <w:pPr>
        <w:pStyle w:val="17"/>
        <w:widowControl/>
        <w:spacing w:before="75" w:beforeAutospacing="0" w:after="75" w:afterAutospacing="0"/>
        <w:jc w:val="center"/>
        <w:rPr>
          <w:rStyle w:val="23"/>
          <w:rFonts w:ascii="宋体" w:hAnsi="宋体" w:cs="宋体"/>
          <w:bCs/>
          <w:color w:val="auto"/>
          <w:highlight w:val="none"/>
          <w:u w:val="single"/>
        </w:rPr>
      </w:pPr>
    </w:p>
    <w:p w14:paraId="538E417C">
      <w:pPr>
        <w:pStyle w:val="17"/>
        <w:widowControl/>
        <w:spacing w:before="75" w:beforeAutospacing="0" w:after="75" w:afterAutospacing="0"/>
        <w:jc w:val="center"/>
        <w:rPr>
          <w:rStyle w:val="23"/>
          <w:rFonts w:ascii="宋体" w:hAnsi="宋体" w:cs="宋体"/>
          <w:bCs/>
          <w:color w:val="auto"/>
          <w:highlight w:val="none"/>
          <w:u w:val="single"/>
        </w:rPr>
      </w:pPr>
    </w:p>
    <w:p w14:paraId="6B162FB2">
      <w:pPr>
        <w:pStyle w:val="17"/>
        <w:widowControl/>
        <w:spacing w:before="75" w:beforeAutospacing="0" w:after="75" w:afterAutospacing="0"/>
        <w:jc w:val="center"/>
        <w:rPr>
          <w:rStyle w:val="23"/>
          <w:rFonts w:ascii="宋体" w:hAnsi="宋体" w:cs="宋体"/>
          <w:bCs/>
          <w:color w:val="auto"/>
          <w:highlight w:val="none"/>
          <w:u w:val="single"/>
        </w:rPr>
      </w:pPr>
    </w:p>
    <w:p w14:paraId="03259031">
      <w:pPr>
        <w:pStyle w:val="17"/>
        <w:widowControl/>
        <w:spacing w:before="75" w:beforeAutospacing="0" w:after="75" w:afterAutospacing="0"/>
        <w:jc w:val="center"/>
        <w:rPr>
          <w:rStyle w:val="23"/>
          <w:rFonts w:ascii="宋体" w:hAnsi="宋体" w:cs="宋体"/>
          <w:bCs/>
          <w:color w:val="auto"/>
          <w:highlight w:val="none"/>
          <w:u w:val="single"/>
        </w:rPr>
      </w:pPr>
    </w:p>
    <w:p w14:paraId="46E8C490">
      <w:pPr>
        <w:pStyle w:val="17"/>
        <w:widowControl/>
        <w:spacing w:before="75" w:beforeAutospacing="0" w:after="75" w:afterAutospacing="0"/>
        <w:jc w:val="center"/>
        <w:rPr>
          <w:rStyle w:val="23"/>
          <w:rFonts w:ascii="宋体" w:hAnsi="宋体" w:cs="宋体"/>
          <w:bCs/>
          <w:color w:val="auto"/>
          <w:highlight w:val="none"/>
          <w:u w:val="single"/>
        </w:rPr>
      </w:pPr>
    </w:p>
    <w:p w14:paraId="4DA5B0F7">
      <w:pPr>
        <w:pStyle w:val="17"/>
        <w:widowControl/>
        <w:spacing w:before="75" w:beforeAutospacing="0" w:after="75" w:afterAutospacing="0"/>
        <w:jc w:val="center"/>
        <w:rPr>
          <w:rStyle w:val="23"/>
          <w:rFonts w:ascii="宋体" w:hAnsi="宋体" w:cs="宋体"/>
          <w:bCs/>
          <w:color w:val="auto"/>
          <w:highlight w:val="none"/>
          <w:u w:val="single"/>
        </w:rPr>
      </w:pPr>
    </w:p>
    <w:p w14:paraId="33CD9ECA">
      <w:pPr>
        <w:pStyle w:val="17"/>
        <w:widowControl/>
        <w:spacing w:before="75" w:beforeAutospacing="0" w:after="75" w:afterAutospacing="0"/>
        <w:jc w:val="center"/>
        <w:rPr>
          <w:color w:val="auto"/>
          <w:highlight w:val="none"/>
        </w:rPr>
      </w:pPr>
      <w:r>
        <w:rPr>
          <w:rStyle w:val="23"/>
          <w:rFonts w:hint="eastAsia" w:ascii="宋体" w:hAnsi="宋体" w:cs="宋体"/>
          <w:bCs/>
          <w:color w:val="auto"/>
          <w:sz w:val="36"/>
          <w:szCs w:val="36"/>
          <w:highlight w:val="none"/>
        </w:rPr>
        <w:t>目  录</w:t>
      </w:r>
    </w:p>
    <w:p w14:paraId="192FE052">
      <w:pPr>
        <w:pStyle w:val="17"/>
        <w:widowControl/>
        <w:spacing w:before="75" w:beforeAutospacing="0" w:after="75" w:afterAutospacing="0" w:line="465" w:lineRule="atLeast"/>
        <w:rPr>
          <w:color w:val="auto"/>
          <w:highlight w:val="none"/>
        </w:rPr>
      </w:pPr>
      <w:r>
        <w:rPr>
          <w:color w:val="auto"/>
          <w:highlight w:val="none"/>
        </w:rPr>
        <w:t> </w:t>
      </w:r>
    </w:p>
    <w:p w14:paraId="6B0E0E0C">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附件1：响应函</w:t>
      </w:r>
    </w:p>
    <w:p w14:paraId="0CE086FB">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附件2：报价一览表（含详细报价书）</w:t>
      </w:r>
    </w:p>
    <w:p w14:paraId="53123A9E">
      <w:pPr>
        <w:pStyle w:val="17"/>
        <w:widowControl/>
        <w:spacing w:before="75" w:beforeAutospacing="0" w:after="75" w:afterAutospacing="0" w:line="465" w:lineRule="atLeast"/>
        <w:rPr>
          <w:rFonts w:ascii="宋体" w:hAnsi="宋体" w:cs="宋体"/>
          <w:color w:val="auto"/>
          <w:highlight w:val="none"/>
        </w:rPr>
      </w:pPr>
      <w:r>
        <w:rPr>
          <w:rFonts w:hint="eastAsia" w:ascii="宋体" w:hAnsi="宋体" w:cs="宋体"/>
          <w:color w:val="auto"/>
          <w:highlight w:val="none"/>
        </w:rPr>
        <w:t>附件3：资格证明文件</w:t>
      </w:r>
    </w:p>
    <w:p w14:paraId="57ADBB9D">
      <w:pPr>
        <w:pStyle w:val="17"/>
        <w:widowControl/>
        <w:spacing w:before="75" w:beforeAutospacing="0" w:after="75" w:afterAutospacing="0" w:line="465" w:lineRule="atLeast"/>
        <w:rPr>
          <w:rFonts w:ascii="宋体" w:hAnsi="宋体" w:cs="宋体"/>
          <w:color w:val="auto"/>
          <w:highlight w:val="none"/>
        </w:rPr>
      </w:pPr>
      <w:r>
        <w:rPr>
          <w:rFonts w:hint="eastAsia" w:ascii="宋体" w:hAnsi="宋体" w:cs="宋体"/>
          <w:color w:val="auto"/>
          <w:highlight w:val="none"/>
        </w:rPr>
        <w:t>附件4：磋商保证金凭证</w:t>
      </w:r>
    </w:p>
    <w:p w14:paraId="67ADA3B2">
      <w:pPr>
        <w:pStyle w:val="17"/>
        <w:widowControl/>
        <w:spacing w:before="75" w:beforeAutospacing="0" w:after="75" w:afterAutospacing="0" w:line="465" w:lineRule="atLeast"/>
        <w:rPr>
          <w:rFonts w:ascii="宋体" w:hAnsi="宋体" w:cs="宋体"/>
          <w:color w:val="auto"/>
          <w:highlight w:val="none"/>
        </w:rPr>
      </w:pPr>
      <w:r>
        <w:rPr>
          <w:rFonts w:hint="eastAsia" w:ascii="宋体" w:hAnsi="宋体" w:cs="宋体"/>
          <w:color w:val="auto"/>
          <w:highlight w:val="none"/>
        </w:rPr>
        <w:t>附件5：技术商务部分评分内容对应表</w:t>
      </w:r>
    </w:p>
    <w:p w14:paraId="6E34EA61">
      <w:pPr>
        <w:pStyle w:val="17"/>
        <w:widowControl/>
        <w:spacing w:before="75" w:beforeAutospacing="0" w:after="75" w:afterAutospacing="0" w:line="465" w:lineRule="atLeast"/>
        <w:rPr>
          <w:rFonts w:ascii="宋体" w:hAnsi="宋体" w:cs="宋体"/>
          <w:color w:val="auto"/>
          <w:highlight w:val="none"/>
        </w:rPr>
      </w:pPr>
      <w:r>
        <w:rPr>
          <w:rFonts w:hint="eastAsia" w:ascii="宋体" w:hAnsi="宋体" w:cs="宋体"/>
          <w:color w:val="auto"/>
          <w:highlight w:val="none"/>
        </w:rPr>
        <w:t>附件6：技术和商务偏离表</w:t>
      </w:r>
    </w:p>
    <w:p w14:paraId="37778222">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附件7：相关技术、商务、服务响应承诺及资料</w:t>
      </w:r>
    </w:p>
    <w:p w14:paraId="3EF12A8A">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附件8：供应商提交的其他资料</w:t>
      </w:r>
    </w:p>
    <w:p w14:paraId="288CEBA5">
      <w:pPr>
        <w:pStyle w:val="17"/>
        <w:widowControl/>
        <w:spacing w:before="75" w:beforeAutospacing="0" w:after="75" w:afterAutospacing="0" w:line="465" w:lineRule="atLeast"/>
        <w:rPr>
          <w:rFonts w:hint="eastAsia" w:ascii="宋体" w:hAnsi="宋体" w:cs="宋体"/>
          <w:color w:val="auto"/>
          <w:highlight w:val="none"/>
        </w:rPr>
      </w:pPr>
      <w:r>
        <w:rPr>
          <w:rFonts w:hint="eastAsia" w:ascii="宋体" w:hAnsi="宋体" w:cs="宋体"/>
          <w:color w:val="auto"/>
          <w:highlight w:val="none"/>
        </w:rPr>
        <w:t>附件9：要求作为响应文件组成部分的其他内容（若有）</w:t>
      </w:r>
    </w:p>
    <w:p w14:paraId="4405B1FF">
      <w:pPr>
        <w:pStyle w:val="17"/>
        <w:widowControl/>
        <w:spacing w:before="75" w:beforeAutospacing="0" w:after="75" w:afterAutospacing="0" w:line="465" w:lineRule="atLeast"/>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10</w:t>
      </w:r>
      <w:r>
        <w:rPr>
          <w:rFonts w:hint="eastAsia" w:ascii="宋体" w:hAnsi="宋体" w:cs="宋体"/>
          <w:color w:val="auto"/>
          <w:highlight w:val="none"/>
        </w:rPr>
        <w:t>：</w:t>
      </w:r>
      <w:r>
        <w:rPr>
          <w:rFonts w:hint="eastAsia" w:ascii="宋体" w:hAnsi="宋体" w:eastAsia="宋体" w:cs="宋体"/>
          <w:color w:val="auto"/>
          <w:sz w:val="21"/>
          <w:szCs w:val="21"/>
          <w:highlight w:val="none"/>
        </w:rPr>
        <w:t>投标人项目经理常驻现场承诺书</w:t>
      </w:r>
    </w:p>
    <w:p w14:paraId="062D2655">
      <w:pPr>
        <w:pStyle w:val="17"/>
        <w:widowControl/>
        <w:spacing w:before="75" w:beforeAutospacing="0" w:after="240" w:afterAutospacing="0" w:line="495" w:lineRule="atLeast"/>
        <w:rPr>
          <w:color w:val="auto"/>
          <w:highlight w:val="none"/>
        </w:rPr>
      </w:pPr>
      <w:r>
        <w:rPr>
          <w:rFonts w:hint="eastAsia" w:ascii="宋体" w:hAnsi="宋体" w:cs="宋体"/>
          <w:color w:val="auto"/>
          <w:highlight w:val="none"/>
        </w:rPr>
        <w:t> </w:t>
      </w:r>
    </w:p>
    <w:p w14:paraId="62186992">
      <w:pPr>
        <w:rPr>
          <w:rFonts w:ascii="宋体" w:hAnsi="宋体"/>
          <w:color w:val="auto"/>
          <w:sz w:val="24"/>
          <w:highlight w:val="none"/>
        </w:rPr>
      </w:pPr>
      <w:r>
        <w:rPr>
          <w:rFonts w:hint="eastAsia" w:ascii="宋体" w:hAnsi="宋体"/>
          <w:color w:val="auto"/>
          <w:sz w:val="24"/>
          <w:highlight w:val="none"/>
        </w:rPr>
        <w:br w:type="page"/>
      </w:r>
    </w:p>
    <w:p w14:paraId="71798EFC">
      <w:pPr>
        <w:pStyle w:val="17"/>
        <w:widowControl/>
        <w:spacing w:before="75" w:beforeAutospacing="0" w:after="75" w:afterAutospacing="0" w:line="495" w:lineRule="atLeast"/>
        <w:rPr>
          <w:color w:val="auto"/>
          <w:highlight w:val="none"/>
        </w:rPr>
      </w:pPr>
      <w:r>
        <w:rPr>
          <w:rFonts w:hint="eastAsia" w:ascii="宋体" w:hAnsi="宋体" w:cs="宋体"/>
          <w:color w:val="auto"/>
          <w:highlight w:val="none"/>
        </w:rPr>
        <w:t>附件1</w:t>
      </w:r>
      <w:r>
        <w:rPr>
          <w:rFonts w:hint="eastAsia" w:ascii="宋体" w:hAnsi="宋体" w:cs="宋体"/>
          <w:color w:val="auto"/>
          <w:sz w:val="21"/>
          <w:szCs w:val="21"/>
          <w:highlight w:val="none"/>
        </w:rPr>
        <w:t> </w:t>
      </w:r>
      <w:r>
        <w:rPr>
          <w:rFonts w:hint="eastAsia" w:ascii="宋体" w:hAnsi="宋体" w:cs="宋体"/>
          <w:color w:val="auto"/>
          <w:sz w:val="28"/>
          <w:szCs w:val="28"/>
          <w:highlight w:val="none"/>
        </w:rPr>
        <w:t>          </w:t>
      </w:r>
      <w:r>
        <w:rPr>
          <w:rStyle w:val="23"/>
          <w:rFonts w:hint="eastAsia" w:ascii="宋体" w:hAnsi="宋体" w:cs="宋体"/>
          <w:bCs/>
          <w:color w:val="auto"/>
          <w:sz w:val="36"/>
          <w:szCs w:val="36"/>
          <w:highlight w:val="none"/>
        </w:rPr>
        <w:t>磋商响应声明</w:t>
      </w:r>
    </w:p>
    <w:p w14:paraId="6E73DCA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7532D10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6C13AC6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1.根据贵方为</w:t>
      </w:r>
      <w:r>
        <w:rPr>
          <w:rFonts w:hint="eastAsia" w:ascii="宋体" w:hAnsi="宋体" w:cs="宋体"/>
          <w:color w:val="auto"/>
          <w:highlight w:val="none"/>
          <w:u w:val="single"/>
        </w:rPr>
        <w:t>     </w:t>
      </w:r>
      <w:r>
        <w:rPr>
          <w:rFonts w:hint="eastAsia" w:ascii="宋体" w:hAnsi="宋体" w:cs="宋体"/>
          <w:color w:val="auto"/>
          <w:highlight w:val="none"/>
        </w:rPr>
        <w:t>项目（项目编号:</w:t>
      </w:r>
      <w:r>
        <w:rPr>
          <w:rFonts w:hint="eastAsia" w:ascii="宋体" w:hAnsi="宋体" w:cs="宋体"/>
          <w:color w:val="auto"/>
          <w:highlight w:val="none"/>
          <w:u w:val="single"/>
        </w:rPr>
        <w:t>   </w:t>
      </w:r>
      <w:r>
        <w:rPr>
          <w:rFonts w:hint="eastAsia" w:ascii="宋体" w:hAnsi="宋体" w:cs="宋体"/>
          <w:color w:val="auto"/>
          <w:highlight w:val="none"/>
        </w:rPr>
        <w:t>）的采购公告（或采购邀请书），我方签字代表</w:t>
      </w:r>
      <w:r>
        <w:rPr>
          <w:rFonts w:hint="eastAsia" w:ascii="宋体" w:hAnsi="宋体" w:cs="宋体"/>
          <w:color w:val="auto"/>
          <w:highlight w:val="none"/>
          <w:u w:val="single"/>
        </w:rPr>
        <w:t>    （全名、职务）   </w:t>
      </w:r>
      <w:r>
        <w:rPr>
          <w:rFonts w:hint="eastAsia" w:ascii="宋体" w:hAnsi="宋体" w:cs="宋体"/>
          <w:color w:val="auto"/>
          <w:highlight w:val="none"/>
        </w:rPr>
        <w:t>经正式授权并代表的供应商</w:t>
      </w:r>
      <w:r>
        <w:rPr>
          <w:rFonts w:hint="eastAsia" w:ascii="宋体" w:hAnsi="宋体" w:cs="宋体"/>
          <w:color w:val="auto"/>
          <w:highlight w:val="none"/>
          <w:u w:val="single"/>
        </w:rPr>
        <w:t>     （供应商名称、地址）   </w:t>
      </w:r>
      <w:r>
        <w:rPr>
          <w:rFonts w:hint="eastAsia" w:ascii="宋体" w:hAnsi="宋体" w:cs="宋体"/>
          <w:color w:val="auto"/>
          <w:highlight w:val="none"/>
        </w:rPr>
        <w:t>提交包含下述内容的首次响应文件纸质文本正本</w:t>
      </w:r>
      <w:r>
        <w:rPr>
          <w:rFonts w:hint="eastAsia" w:ascii="宋体" w:hAnsi="宋体" w:cs="宋体"/>
          <w:color w:val="auto"/>
          <w:highlight w:val="none"/>
          <w:u w:val="single"/>
        </w:rPr>
        <w:t>     </w:t>
      </w:r>
      <w:r>
        <w:rPr>
          <w:rFonts w:hint="eastAsia" w:ascii="宋体" w:hAnsi="宋体" w:cs="宋体"/>
          <w:color w:val="auto"/>
          <w:highlight w:val="none"/>
        </w:rPr>
        <w:t>套，副本</w:t>
      </w:r>
      <w:r>
        <w:rPr>
          <w:rFonts w:hint="eastAsia" w:ascii="宋体" w:hAnsi="宋体" w:cs="宋体"/>
          <w:color w:val="auto"/>
          <w:highlight w:val="none"/>
          <w:u w:val="single"/>
        </w:rPr>
        <w:t>  </w:t>
      </w:r>
      <w:r>
        <w:rPr>
          <w:rFonts w:hint="eastAsia" w:ascii="宋体" w:hAnsi="宋体" w:cs="宋体"/>
          <w:color w:val="auto"/>
          <w:highlight w:val="none"/>
        </w:rPr>
        <w:t>套及电子文档</w:t>
      </w:r>
      <w:r>
        <w:rPr>
          <w:rFonts w:hint="eastAsia" w:ascii="宋体" w:hAnsi="宋体" w:cs="宋体"/>
          <w:color w:val="auto"/>
          <w:highlight w:val="none"/>
          <w:u w:val="single"/>
        </w:rPr>
        <w:t>   </w:t>
      </w:r>
      <w:r>
        <w:rPr>
          <w:rFonts w:hint="eastAsia" w:ascii="宋体" w:hAnsi="宋体" w:cs="宋体"/>
          <w:color w:val="auto"/>
          <w:highlight w:val="none"/>
        </w:rPr>
        <w:t>套。</w:t>
      </w:r>
    </w:p>
    <w:p w14:paraId="3FB330B5">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（1）响应函</w:t>
      </w:r>
    </w:p>
    <w:p w14:paraId="7B38AB4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（2）报价一览表（含详细报价书）</w:t>
      </w:r>
    </w:p>
    <w:p w14:paraId="07CD9A2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（3）资格证明文件</w:t>
      </w:r>
    </w:p>
    <w:p w14:paraId="708E487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（4）磋商保证金凭证</w:t>
      </w:r>
    </w:p>
    <w:p w14:paraId="3B134A18">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（5）技术和商务偏离表</w:t>
      </w:r>
    </w:p>
    <w:p w14:paraId="654C027A">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（6）相关技术、商务、服务响应承诺及资料</w:t>
      </w:r>
    </w:p>
    <w:p w14:paraId="7C4A98D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（7）供应商提交的其他资料</w:t>
      </w:r>
    </w:p>
    <w:p w14:paraId="61E3313B">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（8）按照磋商文件规定，要求作为响应文件组成部分的其他内容（若有）</w:t>
      </w:r>
    </w:p>
    <w:p w14:paraId="551E3B0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2.据此函，我方宣布响应承诺如下：</w:t>
      </w:r>
    </w:p>
    <w:p w14:paraId="14A31E0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2.1我方已详细审查全部竞争性磋商文件，包括澄清、修改、补充或更正文件（如有的话）和有关附件，我方完全熟悉和理解其中的要求、条款和条件，且无任何异议。除了我方已在技术和商务偏离表中列出的负偏差和不响应外，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p>
    <w:p w14:paraId="6629BE8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2.2一旦我方获得成交，我方将按照竞争性磋商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p>
    <w:p w14:paraId="17A4899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2.3我方承诺：递交的所有响应文件（包括首次响应文件、补充澄清、最后报价等响应文件）在竞争性磋商须知前附表第4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5EE4554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2.4我方已经按照磋商文件要求提交磋商保证金。我方如果发生任何竞争性磋商文件中所述不予退还磋商保证金的情况，则我方的磋商保证金将被贵方不予退还，我方对此无异议。</w:t>
      </w:r>
    </w:p>
    <w:p w14:paraId="5AD5F9E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2.5我方愿意向贵方提供任何与本项目磋商采购有关的数据或资料。若贵方需要，我方愿意提供我方作出的一切承诺的证明材料。</w:t>
      </w:r>
    </w:p>
    <w:p w14:paraId="1A4395F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60C290BF">
      <w:pPr>
        <w:pStyle w:val="17"/>
        <w:widowControl/>
        <w:spacing w:before="75" w:beforeAutospacing="0" w:after="75" w:afterAutospacing="0" w:line="435" w:lineRule="atLeast"/>
        <w:rPr>
          <w:color w:val="auto"/>
          <w:highlight w:val="none"/>
        </w:rPr>
      </w:pPr>
      <w:r>
        <w:rPr>
          <w:color w:val="auto"/>
          <w:highlight w:val="none"/>
        </w:rPr>
        <w:t> </w:t>
      </w:r>
    </w:p>
    <w:p w14:paraId="773E5E71">
      <w:pPr>
        <w:pStyle w:val="17"/>
        <w:widowControl/>
        <w:spacing w:before="75" w:beforeAutospacing="0" w:after="75" w:afterAutospacing="0" w:line="435" w:lineRule="atLeast"/>
        <w:ind w:firstLine="720"/>
        <w:rPr>
          <w:color w:val="auto"/>
          <w:highlight w:val="none"/>
        </w:rPr>
      </w:pPr>
      <w:r>
        <w:rPr>
          <w:rFonts w:hint="eastAsia" w:ascii="宋体" w:hAnsi="宋体" w:cs="宋体"/>
          <w:color w:val="auto"/>
          <w:highlight w:val="none"/>
        </w:rPr>
        <w:t> </w:t>
      </w:r>
    </w:p>
    <w:p w14:paraId="2A2C3BD4">
      <w:pPr>
        <w:pStyle w:val="17"/>
        <w:widowControl/>
        <w:spacing w:before="75" w:beforeAutospacing="0" w:after="75" w:afterAutospacing="0" w:line="435" w:lineRule="atLeast"/>
        <w:ind w:firstLine="720"/>
        <w:rPr>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w:t>
      </w:r>
    </w:p>
    <w:p w14:paraId="44AB303D">
      <w:pPr>
        <w:pStyle w:val="17"/>
        <w:widowControl/>
        <w:spacing w:before="75" w:beforeAutospacing="0" w:after="75" w:afterAutospacing="0" w:line="435" w:lineRule="atLeast"/>
        <w:ind w:firstLine="720"/>
        <w:rPr>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rPr>
        <w:t>   传真号：</w:t>
      </w:r>
      <w:r>
        <w:rPr>
          <w:rFonts w:hint="eastAsia" w:ascii="宋体" w:hAnsi="宋体" w:cs="宋体"/>
          <w:color w:val="auto"/>
          <w:highlight w:val="none"/>
          <w:u w:val="single"/>
        </w:rPr>
        <w:t>               .</w:t>
      </w:r>
    </w:p>
    <w:p w14:paraId="7A136C2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联系电话（固定电话和移动电话）：</w:t>
      </w:r>
      <w:r>
        <w:rPr>
          <w:rFonts w:hint="eastAsia" w:ascii="宋体" w:hAnsi="宋体" w:cs="宋体"/>
          <w:color w:val="auto"/>
          <w:highlight w:val="none"/>
          <w:u w:val="single"/>
        </w:rPr>
        <w:t>       </w:t>
      </w:r>
      <w:r>
        <w:rPr>
          <w:rFonts w:hint="eastAsia" w:ascii="宋体" w:hAnsi="宋体" w:cs="宋体"/>
          <w:color w:val="auto"/>
          <w:highlight w:val="none"/>
        </w:rPr>
        <w:t>.</w:t>
      </w:r>
    </w:p>
    <w:p w14:paraId="763E56A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供应商代表：</w:t>
      </w:r>
      <w:r>
        <w:rPr>
          <w:rFonts w:hint="eastAsia" w:ascii="宋体" w:hAnsi="宋体" w:cs="宋体"/>
          <w:color w:val="auto"/>
          <w:highlight w:val="none"/>
          <w:u w:val="single"/>
        </w:rPr>
        <w:t>      （签字）                  </w:t>
      </w:r>
    </w:p>
    <w:p w14:paraId="0EF483FB">
      <w:pPr>
        <w:pStyle w:val="17"/>
        <w:widowControl/>
        <w:spacing w:before="75" w:beforeAutospacing="0" w:after="75" w:afterAutospacing="0" w:line="435" w:lineRule="atLeast"/>
        <w:ind w:firstLine="720"/>
        <w:rPr>
          <w:color w:val="auto"/>
          <w:highlight w:val="none"/>
        </w:rPr>
      </w:pPr>
      <w:r>
        <w:rPr>
          <w:rFonts w:hint="eastAsia" w:ascii="宋体" w:hAnsi="宋体" w:cs="宋体"/>
          <w:color w:val="auto"/>
          <w:highlight w:val="none"/>
        </w:rPr>
        <w:t>供应商代表电子信箱：</w:t>
      </w:r>
      <w:r>
        <w:rPr>
          <w:rFonts w:hint="eastAsia" w:ascii="宋体" w:hAnsi="宋体" w:cs="宋体"/>
          <w:color w:val="auto"/>
          <w:highlight w:val="none"/>
          <w:u w:val="single"/>
        </w:rPr>
        <w:t>                    .</w:t>
      </w:r>
    </w:p>
    <w:p w14:paraId="4861814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供应商：</w:t>
      </w:r>
      <w:r>
        <w:rPr>
          <w:rFonts w:hint="eastAsia" w:ascii="宋体" w:hAnsi="宋体" w:cs="宋体"/>
          <w:color w:val="auto"/>
          <w:highlight w:val="none"/>
          <w:u w:val="single"/>
        </w:rPr>
        <w:t>         （全称并加盖公章）      .</w:t>
      </w:r>
    </w:p>
    <w:p w14:paraId="32AC68FD">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56D9C78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39B1F203">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 </w:t>
      </w:r>
    </w:p>
    <w:p w14:paraId="4C2CCDF0">
      <w:pPr>
        <w:pStyle w:val="17"/>
        <w:widowControl/>
        <w:spacing w:before="75" w:beforeAutospacing="0" w:after="75" w:afterAutospacing="0" w:line="375" w:lineRule="atLeast"/>
        <w:rPr>
          <w:color w:val="auto"/>
          <w:highlight w:val="none"/>
        </w:rPr>
      </w:pPr>
      <w:r>
        <w:rPr>
          <w:rStyle w:val="23"/>
          <w:rFonts w:ascii="仿宋_GB2312" w:eastAsia="仿宋_GB2312" w:cs="仿宋_GB2312"/>
          <w:bCs/>
          <w:color w:val="auto"/>
          <w:highlight w:val="none"/>
        </w:rPr>
        <w:t> </w:t>
      </w:r>
    </w:p>
    <w:p w14:paraId="5B729D25">
      <w:pPr>
        <w:pStyle w:val="17"/>
        <w:widowControl/>
        <w:spacing w:before="75" w:beforeAutospacing="0" w:after="75" w:afterAutospacing="0"/>
        <w:rPr>
          <w:color w:val="auto"/>
          <w:highlight w:val="none"/>
        </w:rPr>
      </w:pPr>
      <w:r>
        <w:rPr>
          <w:color w:val="auto"/>
          <w:highlight w:val="none"/>
        </w:rPr>
        <w:t> </w:t>
      </w:r>
    </w:p>
    <w:p w14:paraId="32ECF895">
      <w:pPr>
        <w:rPr>
          <w:rFonts w:ascii="宋体" w:hAnsi="宋体"/>
          <w:color w:val="auto"/>
          <w:sz w:val="24"/>
          <w:highlight w:val="none"/>
        </w:rPr>
      </w:pPr>
      <w:r>
        <w:rPr>
          <w:rFonts w:hint="eastAsia" w:ascii="宋体" w:hAnsi="宋体"/>
          <w:color w:val="auto"/>
          <w:sz w:val="24"/>
          <w:highlight w:val="none"/>
        </w:rPr>
        <w:br w:type="page"/>
      </w:r>
    </w:p>
    <w:p w14:paraId="14612A65">
      <w:pPr>
        <w:pStyle w:val="17"/>
        <w:widowControl/>
        <w:spacing w:before="75" w:beforeAutospacing="0" w:after="75" w:afterAutospacing="0"/>
        <w:rPr>
          <w:color w:val="auto"/>
          <w:highlight w:val="none"/>
        </w:rPr>
      </w:pPr>
      <w:r>
        <w:rPr>
          <w:rFonts w:hint="eastAsia" w:ascii="宋体" w:hAnsi="宋体" w:cs="宋体"/>
          <w:color w:val="auto"/>
          <w:highlight w:val="none"/>
        </w:rPr>
        <w:t>附件2</w:t>
      </w:r>
      <w:r>
        <w:rPr>
          <w:rFonts w:hint="eastAsia" w:ascii="宋体" w:hAnsi="宋体" w:cs="宋体"/>
          <w:color w:val="auto"/>
          <w:sz w:val="28"/>
          <w:szCs w:val="28"/>
          <w:highlight w:val="none"/>
        </w:rPr>
        <w:t>         </w:t>
      </w:r>
      <w:r>
        <w:rPr>
          <w:rStyle w:val="23"/>
          <w:rFonts w:hint="eastAsia" w:ascii="宋体" w:hAnsi="宋体" w:cs="宋体"/>
          <w:bCs/>
          <w:color w:val="auto"/>
          <w:sz w:val="36"/>
          <w:szCs w:val="36"/>
          <w:highlight w:val="none"/>
        </w:rPr>
        <w:t>报价一览表</w:t>
      </w:r>
    </w:p>
    <w:p w14:paraId="7971C877">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 </w:t>
      </w:r>
    </w:p>
    <w:p w14:paraId="281748C2">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（全称加盖单位公章）</w:t>
      </w:r>
      <w:r>
        <w:rPr>
          <w:rFonts w:hint="eastAsia" w:ascii="宋体" w:hAnsi="宋体" w:cs="宋体"/>
          <w:color w:val="auto"/>
          <w:highlight w:val="none"/>
        </w:rPr>
        <w:t>项目编号∶</w:t>
      </w:r>
      <w:r>
        <w:rPr>
          <w:rFonts w:hint="eastAsia" w:ascii="宋体" w:hAnsi="宋体" w:cs="宋体"/>
          <w:color w:val="auto"/>
          <w:highlight w:val="none"/>
          <w:u w:val="single"/>
        </w:rPr>
        <w:t>         </w:t>
      </w:r>
      <w:r>
        <w:rPr>
          <w:rFonts w:hint="eastAsia" w:ascii="宋体" w:hAnsi="宋体" w:cs="宋体"/>
          <w:color w:val="auto"/>
          <w:highlight w:val="none"/>
        </w:rPr>
        <w:t> 货币单位：元人民币</w:t>
      </w:r>
    </w:p>
    <w:tbl>
      <w:tblPr>
        <w:tblStyle w:val="20"/>
        <w:tblW w:w="8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37"/>
        <w:gridCol w:w="2038"/>
        <w:gridCol w:w="3521"/>
        <w:gridCol w:w="1007"/>
        <w:gridCol w:w="1172"/>
      </w:tblGrid>
      <w:tr w14:paraId="1464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3EBFD62E">
            <w:pPr>
              <w:pStyle w:val="17"/>
              <w:widowControl/>
              <w:spacing w:beforeAutospacing="0" w:afterAutospacing="0" w:line="465" w:lineRule="atLeast"/>
              <w:rPr>
                <w:color w:val="auto"/>
                <w:highlight w:val="none"/>
              </w:rPr>
            </w:pPr>
            <w:r>
              <w:rPr>
                <w:rFonts w:hint="eastAsia" w:ascii="宋体" w:hAnsi="宋体" w:cs="宋体"/>
                <w:color w:val="auto"/>
                <w:highlight w:val="none"/>
              </w:rPr>
              <w:t>合同包</w:t>
            </w:r>
          </w:p>
        </w:tc>
        <w:tc>
          <w:tcPr>
            <w:tcW w:w="2038" w:type="dxa"/>
            <w:shd w:val="clear" w:color="auto" w:fill="auto"/>
            <w:tcMar>
              <w:top w:w="0" w:type="dxa"/>
              <w:left w:w="105" w:type="dxa"/>
              <w:bottom w:w="0" w:type="dxa"/>
              <w:right w:w="105" w:type="dxa"/>
            </w:tcMar>
            <w:vAlign w:val="center"/>
          </w:tcPr>
          <w:p w14:paraId="0C425FA7">
            <w:pPr>
              <w:pStyle w:val="17"/>
              <w:widowControl/>
              <w:spacing w:beforeAutospacing="0" w:afterAutospacing="0" w:line="465" w:lineRule="atLeast"/>
              <w:rPr>
                <w:color w:val="auto"/>
                <w:highlight w:val="none"/>
              </w:rPr>
            </w:pPr>
            <w:r>
              <w:rPr>
                <w:rFonts w:hint="eastAsia" w:ascii="宋体" w:hAnsi="宋体" w:cs="宋体"/>
                <w:color w:val="auto"/>
                <w:highlight w:val="none"/>
              </w:rPr>
              <w:t>首次报价</w:t>
            </w:r>
          </w:p>
        </w:tc>
        <w:tc>
          <w:tcPr>
            <w:tcW w:w="3521" w:type="dxa"/>
            <w:shd w:val="clear" w:color="auto" w:fill="auto"/>
            <w:tcMar>
              <w:top w:w="0" w:type="dxa"/>
              <w:left w:w="105" w:type="dxa"/>
              <w:bottom w:w="0" w:type="dxa"/>
              <w:right w:w="105" w:type="dxa"/>
            </w:tcMar>
            <w:vAlign w:val="center"/>
          </w:tcPr>
          <w:p w14:paraId="748B0F47">
            <w:pPr>
              <w:pStyle w:val="17"/>
              <w:widowControl/>
              <w:spacing w:beforeAutospacing="0" w:afterAutospacing="0" w:line="465" w:lineRule="atLeast"/>
              <w:rPr>
                <w:color w:val="auto"/>
                <w:highlight w:val="none"/>
              </w:rPr>
            </w:pPr>
            <w:r>
              <w:rPr>
                <w:rFonts w:hint="eastAsia" w:ascii="宋体" w:hAnsi="宋体" w:cs="宋体"/>
                <w:color w:val="auto"/>
                <w:highlight w:val="none"/>
              </w:rPr>
              <w:t>交货期/工期/项目完成时间/服务时间</w:t>
            </w:r>
          </w:p>
        </w:tc>
        <w:tc>
          <w:tcPr>
            <w:tcW w:w="1007" w:type="dxa"/>
            <w:shd w:val="clear" w:color="auto" w:fill="auto"/>
            <w:tcMar>
              <w:top w:w="0" w:type="dxa"/>
              <w:left w:w="105" w:type="dxa"/>
              <w:bottom w:w="0" w:type="dxa"/>
              <w:right w:w="105" w:type="dxa"/>
            </w:tcMar>
            <w:vAlign w:val="center"/>
          </w:tcPr>
          <w:p w14:paraId="5F09F4E1">
            <w:pPr>
              <w:pStyle w:val="17"/>
              <w:widowControl/>
              <w:spacing w:beforeAutospacing="0" w:afterAutospacing="0" w:line="465" w:lineRule="atLeast"/>
              <w:rPr>
                <w:color w:val="auto"/>
                <w:highlight w:val="none"/>
              </w:rPr>
            </w:pPr>
            <w:r>
              <w:rPr>
                <w:rFonts w:hint="eastAsia" w:ascii="宋体" w:hAnsi="宋体" w:cs="宋体"/>
                <w:color w:val="auto"/>
                <w:highlight w:val="none"/>
              </w:rPr>
              <w:t>磋商保证金</w:t>
            </w:r>
          </w:p>
        </w:tc>
        <w:tc>
          <w:tcPr>
            <w:tcW w:w="1172" w:type="dxa"/>
            <w:shd w:val="clear" w:color="auto" w:fill="auto"/>
            <w:tcMar>
              <w:top w:w="0" w:type="dxa"/>
              <w:left w:w="105" w:type="dxa"/>
              <w:bottom w:w="0" w:type="dxa"/>
              <w:right w:w="105" w:type="dxa"/>
            </w:tcMar>
            <w:vAlign w:val="center"/>
          </w:tcPr>
          <w:p w14:paraId="23E9D54F">
            <w:pPr>
              <w:pStyle w:val="17"/>
              <w:widowControl/>
              <w:spacing w:beforeAutospacing="0" w:afterAutospacing="0" w:line="465" w:lineRule="atLeast"/>
              <w:rPr>
                <w:color w:val="auto"/>
                <w:highlight w:val="none"/>
              </w:rPr>
            </w:pPr>
            <w:r>
              <w:rPr>
                <w:rFonts w:hint="eastAsia" w:ascii="宋体" w:hAnsi="宋体" w:cs="宋体"/>
                <w:color w:val="auto"/>
                <w:highlight w:val="none"/>
              </w:rPr>
              <w:t>备注</w:t>
            </w:r>
          </w:p>
        </w:tc>
      </w:tr>
      <w:tr w14:paraId="398F7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4FB9BFA0">
            <w:pPr>
              <w:pStyle w:val="17"/>
              <w:widowControl/>
              <w:spacing w:beforeAutospacing="0" w:afterAutospacing="0" w:line="465" w:lineRule="atLeast"/>
              <w:rPr>
                <w:color w:val="auto"/>
                <w:highlight w:val="none"/>
              </w:rPr>
            </w:pPr>
            <w:r>
              <w:rPr>
                <w:rFonts w:hint="eastAsia" w:ascii="宋体" w:hAnsi="宋体" w:cs="宋体"/>
                <w:color w:val="auto"/>
                <w:sz w:val="21"/>
                <w:szCs w:val="21"/>
                <w:highlight w:val="none"/>
              </w:rPr>
              <w:t>*</w:t>
            </w:r>
          </w:p>
        </w:tc>
        <w:tc>
          <w:tcPr>
            <w:tcW w:w="2038" w:type="dxa"/>
            <w:shd w:val="clear" w:color="auto" w:fill="auto"/>
            <w:tcMar>
              <w:top w:w="0" w:type="dxa"/>
              <w:left w:w="105" w:type="dxa"/>
              <w:bottom w:w="0" w:type="dxa"/>
              <w:right w:w="105" w:type="dxa"/>
            </w:tcMar>
            <w:vAlign w:val="center"/>
          </w:tcPr>
          <w:p w14:paraId="18D924AA">
            <w:pPr>
              <w:widowControl/>
              <w:jc w:val="left"/>
              <w:rPr>
                <w:color w:val="auto"/>
                <w:highlight w:val="none"/>
              </w:rPr>
            </w:pPr>
          </w:p>
        </w:tc>
        <w:tc>
          <w:tcPr>
            <w:tcW w:w="3521" w:type="dxa"/>
            <w:shd w:val="clear" w:color="auto" w:fill="auto"/>
            <w:tcMar>
              <w:top w:w="0" w:type="dxa"/>
              <w:left w:w="105" w:type="dxa"/>
              <w:bottom w:w="0" w:type="dxa"/>
              <w:right w:w="105" w:type="dxa"/>
            </w:tcMar>
            <w:vAlign w:val="center"/>
          </w:tcPr>
          <w:p w14:paraId="4DEF2B2B">
            <w:pPr>
              <w:widowControl/>
              <w:jc w:val="left"/>
              <w:rPr>
                <w:color w:val="auto"/>
                <w:highlight w:val="none"/>
              </w:rPr>
            </w:pPr>
          </w:p>
        </w:tc>
        <w:tc>
          <w:tcPr>
            <w:tcW w:w="1007" w:type="dxa"/>
            <w:shd w:val="clear" w:color="auto" w:fill="auto"/>
            <w:tcMar>
              <w:top w:w="0" w:type="dxa"/>
              <w:left w:w="105" w:type="dxa"/>
              <w:bottom w:w="0" w:type="dxa"/>
              <w:right w:w="105" w:type="dxa"/>
            </w:tcMar>
            <w:vAlign w:val="center"/>
          </w:tcPr>
          <w:p w14:paraId="3ACFF9AA">
            <w:pPr>
              <w:widowControl/>
              <w:jc w:val="left"/>
              <w:rPr>
                <w:color w:val="auto"/>
                <w:highlight w:val="none"/>
              </w:rPr>
            </w:pPr>
          </w:p>
        </w:tc>
        <w:tc>
          <w:tcPr>
            <w:tcW w:w="1172" w:type="dxa"/>
            <w:shd w:val="clear" w:color="auto" w:fill="auto"/>
            <w:tcMar>
              <w:top w:w="0" w:type="dxa"/>
              <w:left w:w="105" w:type="dxa"/>
              <w:bottom w:w="0" w:type="dxa"/>
              <w:right w:w="105" w:type="dxa"/>
            </w:tcMar>
            <w:vAlign w:val="center"/>
          </w:tcPr>
          <w:p w14:paraId="17C04479">
            <w:pPr>
              <w:widowControl/>
              <w:jc w:val="left"/>
              <w:rPr>
                <w:color w:val="auto"/>
                <w:highlight w:val="none"/>
              </w:rPr>
            </w:pPr>
          </w:p>
        </w:tc>
      </w:tr>
      <w:tr w14:paraId="2D9B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66E750C5">
            <w:pPr>
              <w:pStyle w:val="17"/>
              <w:widowControl/>
              <w:spacing w:beforeAutospacing="0" w:afterAutospacing="0" w:line="465" w:lineRule="atLeast"/>
              <w:rPr>
                <w:color w:val="auto"/>
                <w:highlight w:val="none"/>
              </w:rPr>
            </w:pPr>
            <w:r>
              <w:rPr>
                <w:rFonts w:cs="Calibri"/>
                <w:color w:val="auto"/>
                <w:sz w:val="21"/>
                <w:szCs w:val="21"/>
                <w:highlight w:val="none"/>
              </w:rPr>
              <w:t>…</w:t>
            </w:r>
          </w:p>
        </w:tc>
        <w:tc>
          <w:tcPr>
            <w:tcW w:w="2038" w:type="dxa"/>
            <w:shd w:val="clear" w:color="auto" w:fill="auto"/>
            <w:tcMar>
              <w:top w:w="0" w:type="dxa"/>
              <w:left w:w="105" w:type="dxa"/>
              <w:bottom w:w="0" w:type="dxa"/>
              <w:right w:w="105" w:type="dxa"/>
            </w:tcMar>
            <w:vAlign w:val="center"/>
          </w:tcPr>
          <w:p w14:paraId="0B0FC489">
            <w:pPr>
              <w:widowControl/>
              <w:jc w:val="left"/>
              <w:rPr>
                <w:color w:val="auto"/>
                <w:highlight w:val="none"/>
              </w:rPr>
            </w:pPr>
          </w:p>
        </w:tc>
        <w:tc>
          <w:tcPr>
            <w:tcW w:w="3521" w:type="dxa"/>
            <w:shd w:val="clear" w:color="auto" w:fill="auto"/>
            <w:tcMar>
              <w:top w:w="0" w:type="dxa"/>
              <w:left w:w="105" w:type="dxa"/>
              <w:bottom w:w="0" w:type="dxa"/>
              <w:right w:w="105" w:type="dxa"/>
            </w:tcMar>
            <w:vAlign w:val="center"/>
          </w:tcPr>
          <w:p w14:paraId="7929E482">
            <w:pPr>
              <w:widowControl/>
              <w:jc w:val="left"/>
              <w:rPr>
                <w:color w:val="auto"/>
                <w:highlight w:val="none"/>
              </w:rPr>
            </w:pPr>
          </w:p>
        </w:tc>
        <w:tc>
          <w:tcPr>
            <w:tcW w:w="1007" w:type="dxa"/>
            <w:shd w:val="clear" w:color="auto" w:fill="auto"/>
            <w:tcMar>
              <w:top w:w="0" w:type="dxa"/>
              <w:left w:w="105" w:type="dxa"/>
              <w:bottom w:w="0" w:type="dxa"/>
              <w:right w:w="105" w:type="dxa"/>
            </w:tcMar>
            <w:vAlign w:val="center"/>
          </w:tcPr>
          <w:p w14:paraId="00E6261D">
            <w:pPr>
              <w:widowControl/>
              <w:jc w:val="left"/>
              <w:rPr>
                <w:color w:val="auto"/>
                <w:highlight w:val="none"/>
              </w:rPr>
            </w:pPr>
          </w:p>
        </w:tc>
        <w:tc>
          <w:tcPr>
            <w:tcW w:w="1172" w:type="dxa"/>
            <w:shd w:val="clear" w:color="auto" w:fill="auto"/>
            <w:tcMar>
              <w:top w:w="0" w:type="dxa"/>
              <w:left w:w="105" w:type="dxa"/>
              <w:bottom w:w="0" w:type="dxa"/>
              <w:right w:w="105" w:type="dxa"/>
            </w:tcMar>
            <w:vAlign w:val="center"/>
          </w:tcPr>
          <w:p w14:paraId="09539E3E">
            <w:pPr>
              <w:widowControl/>
              <w:jc w:val="left"/>
              <w:rPr>
                <w:color w:val="auto"/>
                <w:highlight w:val="none"/>
              </w:rPr>
            </w:pPr>
          </w:p>
        </w:tc>
      </w:tr>
      <w:tr w14:paraId="00E3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0C3042EF">
            <w:pPr>
              <w:pStyle w:val="17"/>
              <w:widowControl/>
              <w:spacing w:beforeAutospacing="0" w:afterAutospacing="0" w:line="465" w:lineRule="atLeast"/>
              <w:rPr>
                <w:color w:val="auto"/>
                <w:highlight w:val="none"/>
              </w:rPr>
            </w:pPr>
            <w:r>
              <w:rPr>
                <w:rFonts w:cs="Calibri"/>
                <w:color w:val="auto"/>
                <w:sz w:val="21"/>
                <w:szCs w:val="21"/>
                <w:highlight w:val="none"/>
              </w:rPr>
              <w:t>…</w:t>
            </w:r>
          </w:p>
        </w:tc>
        <w:tc>
          <w:tcPr>
            <w:tcW w:w="2038" w:type="dxa"/>
            <w:shd w:val="clear" w:color="auto" w:fill="auto"/>
            <w:tcMar>
              <w:top w:w="0" w:type="dxa"/>
              <w:left w:w="105" w:type="dxa"/>
              <w:bottom w:w="0" w:type="dxa"/>
              <w:right w:w="105" w:type="dxa"/>
            </w:tcMar>
            <w:vAlign w:val="center"/>
          </w:tcPr>
          <w:p w14:paraId="1CF3014D">
            <w:pPr>
              <w:widowControl/>
              <w:jc w:val="left"/>
              <w:rPr>
                <w:color w:val="auto"/>
                <w:highlight w:val="none"/>
              </w:rPr>
            </w:pPr>
          </w:p>
        </w:tc>
        <w:tc>
          <w:tcPr>
            <w:tcW w:w="3521" w:type="dxa"/>
            <w:shd w:val="clear" w:color="auto" w:fill="auto"/>
            <w:tcMar>
              <w:top w:w="0" w:type="dxa"/>
              <w:left w:w="105" w:type="dxa"/>
              <w:bottom w:w="0" w:type="dxa"/>
              <w:right w:w="105" w:type="dxa"/>
            </w:tcMar>
            <w:vAlign w:val="center"/>
          </w:tcPr>
          <w:p w14:paraId="6AC5441B">
            <w:pPr>
              <w:widowControl/>
              <w:jc w:val="left"/>
              <w:rPr>
                <w:color w:val="auto"/>
                <w:highlight w:val="none"/>
              </w:rPr>
            </w:pPr>
          </w:p>
        </w:tc>
        <w:tc>
          <w:tcPr>
            <w:tcW w:w="1007" w:type="dxa"/>
            <w:shd w:val="clear" w:color="auto" w:fill="auto"/>
            <w:tcMar>
              <w:top w:w="0" w:type="dxa"/>
              <w:left w:w="105" w:type="dxa"/>
              <w:bottom w:w="0" w:type="dxa"/>
              <w:right w:w="105" w:type="dxa"/>
            </w:tcMar>
            <w:vAlign w:val="center"/>
          </w:tcPr>
          <w:p w14:paraId="3FBAEA2D">
            <w:pPr>
              <w:widowControl/>
              <w:jc w:val="left"/>
              <w:rPr>
                <w:color w:val="auto"/>
                <w:highlight w:val="none"/>
              </w:rPr>
            </w:pPr>
          </w:p>
        </w:tc>
        <w:tc>
          <w:tcPr>
            <w:tcW w:w="1172" w:type="dxa"/>
            <w:shd w:val="clear" w:color="auto" w:fill="auto"/>
            <w:tcMar>
              <w:top w:w="0" w:type="dxa"/>
              <w:left w:w="105" w:type="dxa"/>
              <w:bottom w:w="0" w:type="dxa"/>
              <w:right w:w="105" w:type="dxa"/>
            </w:tcMar>
            <w:vAlign w:val="center"/>
          </w:tcPr>
          <w:p w14:paraId="04E18A2F">
            <w:pPr>
              <w:widowControl/>
              <w:jc w:val="left"/>
              <w:rPr>
                <w:color w:val="auto"/>
                <w:highlight w:val="none"/>
              </w:rPr>
            </w:pPr>
          </w:p>
        </w:tc>
      </w:tr>
      <w:tr w14:paraId="52DE2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0B243D9A">
            <w:pPr>
              <w:pStyle w:val="17"/>
              <w:widowControl/>
              <w:spacing w:beforeAutospacing="0" w:afterAutospacing="0" w:line="465" w:lineRule="atLeast"/>
              <w:rPr>
                <w:color w:val="auto"/>
                <w:highlight w:val="none"/>
              </w:rPr>
            </w:pPr>
            <w:r>
              <w:rPr>
                <w:rFonts w:cs="Calibri"/>
                <w:color w:val="auto"/>
                <w:sz w:val="21"/>
                <w:szCs w:val="21"/>
                <w:highlight w:val="none"/>
              </w:rPr>
              <w:t>…</w:t>
            </w:r>
          </w:p>
        </w:tc>
        <w:tc>
          <w:tcPr>
            <w:tcW w:w="2038" w:type="dxa"/>
            <w:shd w:val="clear" w:color="auto" w:fill="auto"/>
            <w:tcMar>
              <w:top w:w="0" w:type="dxa"/>
              <w:left w:w="105" w:type="dxa"/>
              <w:bottom w:w="0" w:type="dxa"/>
              <w:right w:w="105" w:type="dxa"/>
            </w:tcMar>
            <w:vAlign w:val="center"/>
          </w:tcPr>
          <w:p w14:paraId="419172B0">
            <w:pPr>
              <w:widowControl/>
              <w:jc w:val="left"/>
              <w:rPr>
                <w:color w:val="auto"/>
                <w:highlight w:val="none"/>
              </w:rPr>
            </w:pPr>
          </w:p>
        </w:tc>
        <w:tc>
          <w:tcPr>
            <w:tcW w:w="3521" w:type="dxa"/>
            <w:shd w:val="clear" w:color="auto" w:fill="auto"/>
            <w:tcMar>
              <w:top w:w="0" w:type="dxa"/>
              <w:left w:w="105" w:type="dxa"/>
              <w:bottom w:w="0" w:type="dxa"/>
              <w:right w:w="105" w:type="dxa"/>
            </w:tcMar>
            <w:vAlign w:val="center"/>
          </w:tcPr>
          <w:p w14:paraId="0E161438">
            <w:pPr>
              <w:widowControl/>
              <w:jc w:val="left"/>
              <w:rPr>
                <w:color w:val="auto"/>
                <w:highlight w:val="none"/>
              </w:rPr>
            </w:pPr>
          </w:p>
        </w:tc>
        <w:tc>
          <w:tcPr>
            <w:tcW w:w="1007" w:type="dxa"/>
            <w:shd w:val="clear" w:color="auto" w:fill="auto"/>
            <w:tcMar>
              <w:top w:w="0" w:type="dxa"/>
              <w:left w:w="105" w:type="dxa"/>
              <w:bottom w:w="0" w:type="dxa"/>
              <w:right w:w="105" w:type="dxa"/>
            </w:tcMar>
            <w:vAlign w:val="center"/>
          </w:tcPr>
          <w:p w14:paraId="3FDD6BD0">
            <w:pPr>
              <w:widowControl/>
              <w:jc w:val="left"/>
              <w:rPr>
                <w:color w:val="auto"/>
                <w:highlight w:val="none"/>
              </w:rPr>
            </w:pPr>
          </w:p>
        </w:tc>
        <w:tc>
          <w:tcPr>
            <w:tcW w:w="1172" w:type="dxa"/>
            <w:shd w:val="clear" w:color="auto" w:fill="auto"/>
            <w:tcMar>
              <w:top w:w="0" w:type="dxa"/>
              <w:left w:w="105" w:type="dxa"/>
              <w:bottom w:w="0" w:type="dxa"/>
              <w:right w:w="105" w:type="dxa"/>
            </w:tcMar>
            <w:vAlign w:val="center"/>
          </w:tcPr>
          <w:p w14:paraId="5C5ADED6">
            <w:pPr>
              <w:widowControl/>
              <w:jc w:val="left"/>
              <w:rPr>
                <w:color w:val="auto"/>
                <w:highlight w:val="none"/>
              </w:rPr>
            </w:pPr>
          </w:p>
        </w:tc>
      </w:tr>
      <w:tr w14:paraId="7380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trPr>
        <w:tc>
          <w:tcPr>
            <w:tcW w:w="1037" w:type="dxa"/>
            <w:shd w:val="clear" w:color="auto" w:fill="auto"/>
            <w:tcMar>
              <w:top w:w="0" w:type="dxa"/>
              <w:left w:w="105" w:type="dxa"/>
              <w:bottom w:w="0" w:type="dxa"/>
              <w:right w:w="105" w:type="dxa"/>
            </w:tcMar>
            <w:vAlign w:val="center"/>
          </w:tcPr>
          <w:p w14:paraId="20A0D945">
            <w:pPr>
              <w:pStyle w:val="17"/>
              <w:widowControl/>
              <w:spacing w:beforeAutospacing="0" w:afterAutospacing="0" w:line="465" w:lineRule="atLeast"/>
              <w:rPr>
                <w:color w:val="auto"/>
                <w:highlight w:val="none"/>
              </w:rPr>
            </w:pPr>
            <w:r>
              <w:rPr>
                <w:rFonts w:cs="Calibri"/>
                <w:color w:val="auto"/>
                <w:sz w:val="21"/>
                <w:szCs w:val="21"/>
                <w:highlight w:val="none"/>
              </w:rPr>
              <w:t>…</w:t>
            </w:r>
          </w:p>
        </w:tc>
        <w:tc>
          <w:tcPr>
            <w:tcW w:w="2038" w:type="dxa"/>
            <w:shd w:val="clear" w:color="auto" w:fill="auto"/>
            <w:tcMar>
              <w:top w:w="0" w:type="dxa"/>
              <w:left w:w="105" w:type="dxa"/>
              <w:bottom w:w="0" w:type="dxa"/>
              <w:right w:w="105" w:type="dxa"/>
            </w:tcMar>
            <w:vAlign w:val="center"/>
          </w:tcPr>
          <w:p w14:paraId="5C70632C">
            <w:pPr>
              <w:widowControl/>
              <w:jc w:val="left"/>
              <w:rPr>
                <w:color w:val="auto"/>
                <w:highlight w:val="none"/>
              </w:rPr>
            </w:pPr>
          </w:p>
        </w:tc>
        <w:tc>
          <w:tcPr>
            <w:tcW w:w="3521" w:type="dxa"/>
            <w:shd w:val="clear" w:color="auto" w:fill="auto"/>
            <w:tcMar>
              <w:top w:w="0" w:type="dxa"/>
              <w:left w:w="105" w:type="dxa"/>
              <w:bottom w:w="0" w:type="dxa"/>
              <w:right w:w="105" w:type="dxa"/>
            </w:tcMar>
            <w:vAlign w:val="center"/>
          </w:tcPr>
          <w:p w14:paraId="1FDD1B27">
            <w:pPr>
              <w:widowControl/>
              <w:jc w:val="left"/>
              <w:rPr>
                <w:color w:val="auto"/>
                <w:highlight w:val="none"/>
              </w:rPr>
            </w:pPr>
          </w:p>
        </w:tc>
        <w:tc>
          <w:tcPr>
            <w:tcW w:w="1007" w:type="dxa"/>
            <w:shd w:val="clear" w:color="auto" w:fill="auto"/>
            <w:tcMar>
              <w:top w:w="0" w:type="dxa"/>
              <w:left w:w="105" w:type="dxa"/>
              <w:bottom w:w="0" w:type="dxa"/>
              <w:right w:w="105" w:type="dxa"/>
            </w:tcMar>
            <w:vAlign w:val="center"/>
          </w:tcPr>
          <w:p w14:paraId="57B8994D">
            <w:pPr>
              <w:widowControl/>
              <w:jc w:val="left"/>
              <w:rPr>
                <w:color w:val="auto"/>
                <w:highlight w:val="none"/>
              </w:rPr>
            </w:pPr>
          </w:p>
        </w:tc>
        <w:tc>
          <w:tcPr>
            <w:tcW w:w="1172" w:type="dxa"/>
            <w:shd w:val="clear" w:color="auto" w:fill="auto"/>
            <w:tcMar>
              <w:top w:w="0" w:type="dxa"/>
              <w:left w:w="105" w:type="dxa"/>
              <w:bottom w:w="0" w:type="dxa"/>
              <w:right w:w="105" w:type="dxa"/>
            </w:tcMar>
            <w:vAlign w:val="center"/>
          </w:tcPr>
          <w:p w14:paraId="5878F6E4">
            <w:pPr>
              <w:widowControl/>
              <w:jc w:val="left"/>
              <w:rPr>
                <w:color w:val="auto"/>
                <w:highlight w:val="none"/>
              </w:rPr>
            </w:pPr>
          </w:p>
        </w:tc>
      </w:tr>
    </w:tbl>
    <w:p w14:paraId="56F98E27">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 </w:t>
      </w:r>
    </w:p>
    <w:p w14:paraId="76CE71DE">
      <w:pPr>
        <w:pStyle w:val="17"/>
        <w:widowControl/>
        <w:spacing w:before="75" w:beforeAutospacing="0" w:after="75" w:afterAutospacing="0"/>
        <w:rPr>
          <w:color w:val="auto"/>
          <w:highlight w:val="none"/>
        </w:rPr>
      </w:pPr>
      <w:r>
        <w:rPr>
          <w:rFonts w:hint="eastAsia" w:ascii="宋体" w:hAnsi="宋体" w:cs="宋体"/>
          <w:color w:val="auto"/>
          <w:highlight w:val="none"/>
        </w:rPr>
        <w:t>备注：详细报价书另纸详列，格式自拟。</w:t>
      </w:r>
    </w:p>
    <w:p w14:paraId="61B5BC7C">
      <w:pPr>
        <w:pStyle w:val="17"/>
        <w:widowControl/>
        <w:spacing w:before="75" w:beforeAutospacing="0" w:after="75" w:afterAutospacing="0" w:line="375" w:lineRule="atLeast"/>
        <w:rPr>
          <w:color w:val="auto"/>
          <w:highlight w:val="none"/>
        </w:rPr>
      </w:pPr>
      <w:r>
        <w:rPr>
          <w:rFonts w:hint="eastAsia" w:ascii="宋体" w:hAnsi="宋体" w:cs="宋体"/>
          <w:color w:val="auto"/>
          <w:sz w:val="21"/>
          <w:szCs w:val="21"/>
          <w:highlight w:val="none"/>
        </w:rPr>
        <w:t>                                                        </w:t>
      </w:r>
      <w:r>
        <w:rPr>
          <w:rFonts w:hint="eastAsia" w:ascii="宋体" w:hAnsi="宋体" w:cs="宋体"/>
          <w:color w:val="auto"/>
          <w:highlight w:val="none"/>
        </w:rPr>
        <w:t>供应商代表：</w:t>
      </w:r>
      <w:r>
        <w:rPr>
          <w:rFonts w:hint="eastAsia" w:ascii="宋体" w:hAnsi="宋体" w:cs="宋体"/>
          <w:color w:val="auto"/>
          <w:highlight w:val="none"/>
          <w:u w:val="single"/>
        </w:rPr>
        <w:t>      （签字）</w:t>
      </w:r>
      <w:r>
        <w:rPr>
          <w:rFonts w:hint="eastAsia" w:ascii="宋体" w:hAnsi="宋体" w:cs="宋体"/>
          <w:color w:val="auto"/>
          <w:highlight w:val="none"/>
        </w:rPr>
        <w:t>   </w:t>
      </w:r>
    </w:p>
    <w:p w14:paraId="5C178BDD">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 </w:t>
      </w:r>
    </w:p>
    <w:p w14:paraId="44982B34">
      <w:pPr>
        <w:pStyle w:val="17"/>
        <w:widowControl/>
        <w:spacing w:before="75" w:beforeAutospacing="0" w:after="75" w:afterAutospacing="0"/>
        <w:rPr>
          <w:rFonts w:ascii="宋体" w:hAnsi="宋体" w:cs="宋体"/>
          <w:color w:val="auto"/>
          <w:highlight w:val="none"/>
        </w:rPr>
      </w:pPr>
    </w:p>
    <w:p w14:paraId="75907913">
      <w:pPr>
        <w:pStyle w:val="17"/>
        <w:widowControl/>
        <w:spacing w:before="75" w:beforeAutospacing="0" w:after="75" w:afterAutospacing="0"/>
        <w:rPr>
          <w:rFonts w:ascii="宋体" w:hAnsi="宋体" w:cs="宋体"/>
          <w:color w:val="auto"/>
          <w:highlight w:val="none"/>
        </w:rPr>
      </w:pPr>
    </w:p>
    <w:p w14:paraId="0C2E3D20">
      <w:pPr>
        <w:rPr>
          <w:rFonts w:ascii="宋体" w:hAnsi="宋体"/>
          <w:color w:val="auto"/>
          <w:sz w:val="24"/>
          <w:highlight w:val="none"/>
        </w:rPr>
      </w:pPr>
      <w:r>
        <w:rPr>
          <w:rFonts w:hint="eastAsia" w:ascii="宋体" w:hAnsi="宋体"/>
          <w:color w:val="auto"/>
          <w:sz w:val="24"/>
          <w:highlight w:val="none"/>
        </w:rPr>
        <w:br w:type="page"/>
      </w:r>
    </w:p>
    <w:p w14:paraId="36A5AE1C">
      <w:pPr>
        <w:pStyle w:val="17"/>
        <w:widowControl/>
        <w:spacing w:before="75" w:beforeAutospacing="0" w:after="75" w:afterAutospacing="0"/>
        <w:rPr>
          <w:color w:val="auto"/>
          <w:highlight w:val="none"/>
        </w:rPr>
      </w:pPr>
      <w:r>
        <w:rPr>
          <w:rFonts w:hint="eastAsia" w:ascii="宋体" w:hAnsi="宋体" w:cs="宋体"/>
          <w:color w:val="auto"/>
          <w:highlight w:val="none"/>
        </w:rPr>
        <w:t>附件2-1 </w:t>
      </w:r>
      <w:r>
        <w:rPr>
          <w:rFonts w:hint="eastAsia" w:ascii="宋体" w:hAnsi="宋体" w:cs="宋体"/>
          <w:color w:val="auto"/>
          <w:sz w:val="28"/>
          <w:szCs w:val="28"/>
          <w:highlight w:val="none"/>
        </w:rPr>
        <w:t>        </w:t>
      </w:r>
      <w:r>
        <w:rPr>
          <w:rStyle w:val="23"/>
          <w:rFonts w:hint="eastAsia" w:ascii="宋体" w:hAnsi="宋体" w:cs="宋体"/>
          <w:bCs/>
          <w:color w:val="auto"/>
          <w:sz w:val="36"/>
          <w:szCs w:val="36"/>
          <w:highlight w:val="none"/>
        </w:rPr>
        <w:t>详细报价书</w:t>
      </w:r>
    </w:p>
    <w:p w14:paraId="15FDD9F4">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按工程量清单，提交定额自动升成的报价书（便于决算审计），第二次报价，只需按总价报价，单价结算时按比例下浮。</w:t>
      </w:r>
    </w:p>
    <w:p w14:paraId="490543B8">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说明：</w:t>
      </w:r>
    </w:p>
    <w:p w14:paraId="1BE24442">
      <w:pPr>
        <w:pStyle w:val="17"/>
        <w:widowControl/>
        <w:spacing w:before="75" w:beforeAutospacing="0" w:after="75" w:afterAutospacing="0" w:line="465" w:lineRule="atLeast"/>
        <w:ind w:firstLine="480"/>
        <w:rPr>
          <w:color w:val="auto"/>
          <w:highlight w:val="none"/>
        </w:rPr>
      </w:pPr>
      <w:r>
        <w:rPr>
          <w:rFonts w:hint="eastAsia" w:ascii="宋体" w:hAnsi="宋体" w:cs="宋体"/>
          <w:color w:val="auto"/>
          <w:highlight w:val="none"/>
        </w:rPr>
        <w:t>1.各供应商应根据竞争性磋商文件的要求，在响应文件中提出为完成本项目相应合同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21EC1925">
      <w:pPr>
        <w:pStyle w:val="17"/>
        <w:widowControl/>
        <w:spacing w:before="75" w:beforeAutospacing="0" w:after="75" w:afterAutospacing="0" w:line="495" w:lineRule="atLeast"/>
        <w:ind w:firstLine="480"/>
        <w:rPr>
          <w:rFonts w:ascii="宋体" w:hAnsi="宋体" w:cs="宋体"/>
          <w:color w:val="auto"/>
          <w:highlight w:val="none"/>
        </w:rPr>
      </w:pPr>
      <w:r>
        <w:rPr>
          <w:rFonts w:hint="eastAsia" w:ascii="宋体" w:hAnsi="宋体" w:cs="宋体"/>
          <w:color w:val="auto"/>
          <w:highlight w:val="none"/>
        </w:rPr>
        <w:t>2.为完成相应合同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3842F079">
      <w:pPr>
        <w:pStyle w:val="17"/>
        <w:widowControl/>
        <w:spacing w:before="75" w:beforeAutospacing="0" w:after="75" w:afterAutospacing="0" w:line="495" w:lineRule="atLeast"/>
        <w:ind w:firstLine="480"/>
        <w:rPr>
          <w:color w:val="auto"/>
          <w:highlight w:val="none"/>
        </w:rPr>
      </w:pPr>
      <w:r>
        <w:rPr>
          <w:rFonts w:hint="eastAsia" w:ascii="宋体" w:hAnsi="宋体" w:cs="宋体"/>
          <w:color w:val="auto"/>
          <w:highlight w:val="none"/>
        </w:rPr>
        <w:t>  3.对于不能详细列明采购标的的技术、服务要求的磋商采购项目或者如优惠率磋商、单价磋商等特殊类型的磋商采购项目，由供应商根据磋商文件的具体规定和项目特点提交详细报价书，采购人或采购代理机构如果对详细报价书有统一格式要求的，可以进行规定或附表。如果没有特别要求的，则格式由供应商根据项目特点自行拟制。</w:t>
      </w:r>
    </w:p>
    <w:p w14:paraId="7812975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37D2E0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2B2957D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5F77A34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61288716">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 </w:t>
      </w:r>
    </w:p>
    <w:p w14:paraId="4B7E7CB6">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188100E7">
      <w:pPr>
        <w:rPr>
          <w:rFonts w:ascii="宋体" w:hAnsi="宋体"/>
          <w:color w:val="auto"/>
          <w:highlight w:val="none"/>
        </w:rPr>
      </w:pPr>
      <w:r>
        <w:rPr>
          <w:rFonts w:hint="eastAsia" w:ascii="宋体" w:hAnsi="宋体"/>
          <w:color w:val="auto"/>
          <w:highlight w:val="none"/>
        </w:rPr>
        <w:br w:type="page"/>
      </w:r>
    </w:p>
    <w:p w14:paraId="4094565A">
      <w:pPr>
        <w:pStyle w:val="17"/>
        <w:widowControl/>
        <w:spacing w:before="75" w:beforeAutospacing="0" w:after="75" w:afterAutospacing="0"/>
        <w:rPr>
          <w:color w:val="auto"/>
          <w:highlight w:val="none"/>
        </w:rPr>
      </w:pPr>
      <w:r>
        <w:rPr>
          <w:rFonts w:hint="eastAsia" w:ascii="宋体" w:hAnsi="宋体" w:cs="宋体"/>
          <w:color w:val="auto"/>
          <w:highlight w:val="none"/>
        </w:rPr>
        <w:t>附件3         </w:t>
      </w:r>
      <w:r>
        <w:rPr>
          <w:rStyle w:val="23"/>
          <w:rFonts w:hint="eastAsia" w:ascii="宋体" w:hAnsi="宋体" w:cs="宋体"/>
          <w:bCs/>
          <w:color w:val="auto"/>
          <w:highlight w:val="none"/>
        </w:rPr>
        <w:t>资格证明文件</w:t>
      </w:r>
      <w:r>
        <w:rPr>
          <w:rFonts w:hint="eastAsia" w:ascii="宋体" w:hAnsi="宋体" w:cs="宋体"/>
          <w:color w:val="auto"/>
          <w:highlight w:val="none"/>
        </w:rPr>
        <w:t> </w:t>
      </w:r>
    </w:p>
    <w:p w14:paraId="3E3D1A5A">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38934FB1">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附件3-1       </w:t>
      </w:r>
      <w:r>
        <w:rPr>
          <w:rStyle w:val="23"/>
          <w:rFonts w:hint="eastAsia" w:ascii="宋体" w:hAnsi="宋体" w:cs="宋体"/>
          <w:bCs/>
          <w:color w:val="auto"/>
          <w:highlight w:val="none"/>
        </w:rPr>
        <w:t>参加竞争性磋商的声明函</w:t>
      </w:r>
      <w:r>
        <w:rPr>
          <w:rFonts w:hint="eastAsia" w:ascii="宋体" w:hAnsi="宋体" w:cs="宋体"/>
          <w:color w:val="auto"/>
          <w:highlight w:val="none"/>
        </w:rPr>
        <w:t> </w:t>
      </w:r>
    </w:p>
    <w:p w14:paraId="480AAC38">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23FD45E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w:t>
      </w:r>
      <w:r>
        <w:rPr>
          <w:rFonts w:cs="Calibri"/>
          <w:color w:val="auto"/>
          <w:highlight w:val="none"/>
          <w:u w:val="single"/>
        </w:rPr>
        <w:t>)       </w:t>
      </w:r>
      <w:r>
        <w:rPr>
          <w:rFonts w:hint="eastAsia" w:ascii="宋体" w:hAnsi="宋体" w:cs="宋体"/>
          <w:color w:val="auto"/>
          <w:highlight w:val="none"/>
        </w:rPr>
        <w:t> </w:t>
      </w:r>
    </w:p>
    <w:p w14:paraId="393078C3">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1、关于贵方______年______月______日</w:t>
      </w:r>
      <w:r>
        <w:rPr>
          <w:rFonts w:hint="eastAsia" w:ascii="宋体" w:hAnsi="宋体" w:cs="宋体"/>
          <w:color w:val="auto"/>
          <w:highlight w:val="none"/>
          <w:u w:val="single"/>
        </w:rPr>
        <w:t>     </w:t>
      </w:r>
      <w:r>
        <w:rPr>
          <w:rFonts w:hint="eastAsia" w:ascii="宋体" w:hAnsi="宋体" w:cs="宋体"/>
          <w:color w:val="auto"/>
          <w:highlight w:val="none"/>
        </w:rPr>
        <w:t>项目（项目编号:</w:t>
      </w:r>
      <w:r>
        <w:rPr>
          <w:rFonts w:hint="eastAsia" w:ascii="宋体" w:hAnsi="宋体" w:cs="宋体"/>
          <w:color w:val="auto"/>
          <w:highlight w:val="none"/>
          <w:u w:val="single"/>
        </w:rPr>
        <w:t>     </w:t>
      </w:r>
      <w:r>
        <w:rPr>
          <w:rFonts w:hint="eastAsia" w:ascii="宋体" w:hAnsi="宋体" w:cs="宋体"/>
          <w:color w:val="auto"/>
          <w:highlight w:val="none"/>
        </w:rPr>
        <w:t>）的采购公告（或采购邀请），本签字人代表供应商参加竞争性磋商，我方提供竞争性磋商文件中规定的相应资料和说明。本签字人确认响应文件中所有提交的文件、声明或资料（包括但不限于资格证明文件）是真实的、合法的、准确的、有效的。</w:t>
      </w:r>
    </w:p>
    <w:p w14:paraId="3E82F29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34DB8D7">
      <w:pPr>
        <w:pStyle w:val="17"/>
        <w:widowControl/>
        <w:spacing w:before="75" w:beforeAutospacing="0" w:after="75" w:afterAutospacing="0" w:line="360" w:lineRule="atLeast"/>
        <w:ind w:left="540"/>
        <w:rPr>
          <w:rFonts w:ascii="宋体" w:hAnsi="宋体" w:cs="宋体"/>
          <w:color w:val="auto"/>
          <w:highlight w:val="none"/>
        </w:rPr>
      </w:pPr>
      <w:r>
        <w:rPr>
          <w:rFonts w:hint="eastAsia" w:ascii="宋体" w:hAnsi="宋体" w:cs="宋体"/>
          <w:color w:val="auto"/>
          <w:highlight w:val="none"/>
        </w:rPr>
        <w:t>2、供应商的基本概况：</w:t>
      </w:r>
    </w:p>
    <w:p w14:paraId="695A9013">
      <w:pPr>
        <w:pStyle w:val="17"/>
        <w:widowControl/>
        <w:spacing w:before="75" w:beforeAutospacing="0" w:after="75" w:afterAutospacing="0" w:line="360" w:lineRule="atLeast"/>
        <w:ind w:left="540"/>
        <w:rPr>
          <w:rFonts w:ascii="宋体" w:hAnsi="宋体" w:cs="宋体"/>
          <w:color w:val="auto"/>
          <w:highlight w:val="none"/>
          <w:u w:val="single"/>
        </w:rPr>
      </w:pPr>
      <w:r>
        <w:rPr>
          <w:rFonts w:hint="eastAsia" w:ascii="宋体" w:hAnsi="宋体" w:cs="宋体"/>
          <w:color w:val="auto"/>
          <w:highlight w:val="none"/>
        </w:rPr>
        <w:t>2.1供应商单位名称：</w:t>
      </w:r>
      <w:r>
        <w:rPr>
          <w:rFonts w:hint="eastAsia" w:ascii="宋体" w:hAnsi="宋体" w:cs="宋体"/>
          <w:color w:val="auto"/>
          <w:highlight w:val="none"/>
          <w:u w:val="single"/>
        </w:rPr>
        <w:t>                   </w:t>
      </w:r>
    </w:p>
    <w:p w14:paraId="731D2F3F">
      <w:pPr>
        <w:pStyle w:val="17"/>
        <w:widowControl/>
        <w:spacing w:before="75" w:beforeAutospacing="0" w:after="75" w:afterAutospacing="0" w:line="360" w:lineRule="atLeast"/>
        <w:ind w:left="540"/>
        <w:rPr>
          <w:rFonts w:ascii="宋体" w:hAnsi="宋体" w:cs="宋体"/>
          <w:color w:val="auto"/>
          <w:highlight w:val="none"/>
          <w:u w:val="single"/>
        </w:rPr>
      </w:pPr>
      <w:r>
        <w:rPr>
          <w:rFonts w:hint="eastAsia" w:ascii="宋体" w:hAnsi="宋体" w:cs="宋体"/>
          <w:color w:val="auto"/>
          <w:highlight w:val="none"/>
        </w:rPr>
        <w:t>2.2注册地址：</w:t>
      </w:r>
      <w:r>
        <w:rPr>
          <w:rFonts w:hint="eastAsia" w:ascii="宋体" w:hAnsi="宋体" w:cs="宋体"/>
          <w:color w:val="auto"/>
          <w:highlight w:val="none"/>
          <w:u w:val="single"/>
        </w:rPr>
        <w:t>                               </w:t>
      </w:r>
    </w:p>
    <w:p w14:paraId="48751B28">
      <w:pPr>
        <w:pStyle w:val="17"/>
        <w:widowControl/>
        <w:spacing w:before="75" w:beforeAutospacing="0" w:after="75" w:afterAutospacing="0" w:line="360" w:lineRule="atLeast"/>
        <w:ind w:left="540"/>
        <w:rPr>
          <w:color w:val="auto"/>
          <w:highlight w:val="none"/>
        </w:rPr>
      </w:pPr>
      <w:r>
        <w:rPr>
          <w:rFonts w:hint="eastAsia" w:ascii="宋体" w:hAnsi="宋体" w:cs="宋体"/>
          <w:color w:val="auto"/>
          <w:highlight w:val="none"/>
        </w:rPr>
        <w:t>2.3单位负责人姓名：</w:t>
      </w:r>
      <w:r>
        <w:rPr>
          <w:rFonts w:hint="eastAsia" w:ascii="宋体" w:hAnsi="宋体" w:cs="宋体"/>
          <w:color w:val="auto"/>
          <w:highlight w:val="none"/>
          <w:u w:val="single"/>
        </w:rPr>
        <w:t>        </w:t>
      </w:r>
      <w:r>
        <w:rPr>
          <w:rFonts w:hint="eastAsia" w:ascii="宋体" w:hAnsi="宋体" w:cs="宋体"/>
          <w:color w:val="auto"/>
          <w:highlight w:val="none"/>
        </w:rPr>
        <w:t>性别：</w:t>
      </w:r>
      <w:r>
        <w:rPr>
          <w:rFonts w:hint="eastAsia" w:ascii="宋体" w:hAnsi="宋体" w:cs="宋体"/>
          <w:color w:val="auto"/>
          <w:highlight w:val="none"/>
          <w:u w:val="single"/>
        </w:rPr>
        <w:t>     </w:t>
      </w:r>
      <w:r>
        <w:rPr>
          <w:rFonts w:hint="eastAsia" w:ascii="宋体" w:hAnsi="宋体" w:cs="宋体"/>
          <w:color w:val="auto"/>
          <w:highlight w:val="none"/>
        </w:rPr>
        <w:t>年龄：</w:t>
      </w:r>
      <w:r>
        <w:rPr>
          <w:rFonts w:hint="eastAsia" w:ascii="宋体" w:hAnsi="宋体" w:cs="宋体"/>
          <w:color w:val="auto"/>
          <w:highlight w:val="none"/>
          <w:u w:val="single"/>
        </w:rPr>
        <w:t>     </w:t>
      </w:r>
      <w:r>
        <w:rPr>
          <w:rFonts w:hint="eastAsia" w:ascii="宋体" w:hAnsi="宋体" w:cs="宋体"/>
          <w:color w:val="auto"/>
          <w:highlight w:val="none"/>
        </w:rPr>
        <w:t>职务：</w:t>
      </w:r>
      <w:r>
        <w:rPr>
          <w:rFonts w:hint="eastAsia" w:ascii="宋体" w:hAnsi="宋体" w:cs="宋体"/>
          <w:color w:val="auto"/>
          <w:highlight w:val="none"/>
          <w:u w:val="single"/>
        </w:rPr>
        <w:t>      </w:t>
      </w:r>
      <w:r>
        <w:rPr>
          <w:rFonts w:hint="eastAsia" w:ascii="宋体" w:hAnsi="宋体" w:cs="宋体"/>
          <w:color w:val="auto"/>
          <w:highlight w:val="none"/>
        </w:rPr>
        <w:t>。</w:t>
      </w:r>
    </w:p>
    <w:p w14:paraId="76523EF6">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备注：“单位负责人”指单位法定代表人（供应商为法人的）或法律、法规规定代表单位行使职权的主要负责人（供应商为其他组织的）。</w:t>
      </w:r>
    </w:p>
    <w:p w14:paraId="4D283DF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对于接受联合体形式的磋商且供应商是联合体的，则联合体各成员都应当提交本资格证明文件。</w:t>
      </w:r>
    </w:p>
    <w:p w14:paraId="78F7CEC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160A160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4B873B8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47AD4192">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2742EBA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2C032B1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3798E229">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7FB67FD0">
      <w:pPr>
        <w:pStyle w:val="17"/>
        <w:widowControl/>
        <w:spacing w:before="75" w:beforeAutospacing="0" w:after="75" w:afterAutospacing="0" w:line="375" w:lineRule="atLeast"/>
        <w:rPr>
          <w:color w:val="auto"/>
          <w:highlight w:val="none"/>
        </w:rPr>
      </w:pPr>
      <w:r>
        <w:rPr>
          <w:color w:val="auto"/>
          <w:highlight w:val="none"/>
        </w:rPr>
        <w:t> </w:t>
      </w:r>
    </w:p>
    <w:p w14:paraId="32CD77A2">
      <w:pPr>
        <w:pStyle w:val="17"/>
        <w:widowControl/>
        <w:spacing w:before="75" w:beforeAutospacing="0" w:after="75" w:afterAutospacing="0" w:line="375" w:lineRule="atLeast"/>
        <w:rPr>
          <w:rFonts w:ascii="宋体" w:hAnsi="宋体" w:cs="宋体"/>
          <w:color w:val="auto"/>
          <w:highlight w:val="none"/>
        </w:rPr>
      </w:pPr>
    </w:p>
    <w:p w14:paraId="6891BD11">
      <w:pPr>
        <w:rPr>
          <w:rFonts w:ascii="宋体" w:hAnsi="宋体"/>
          <w:color w:val="auto"/>
          <w:highlight w:val="none"/>
        </w:rPr>
      </w:pPr>
      <w:r>
        <w:rPr>
          <w:rFonts w:hint="eastAsia" w:ascii="宋体" w:hAnsi="宋体"/>
          <w:color w:val="auto"/>
          <w:highlight w:val="none"/>
        </w:rPr>
        <w:br w:type="page"/>
      </w:r>
    </w:p>
    <w:p w14:paraId="7068C1B3">
      <w:pPr>
        <w:rPr>
          <w:color w:val="auto"/>
          <w:highlight w:val="none"/>
        </w:rPr>
      </w:pPr>
      <w:r>
        <w:rPr>
          <w:rFonts w:hint="eastAsia" w:ascii="宋体" w:hAnsi="宋体"/>
          <w:color w:val="auto"/>
          <w:highlight w:val="none"/>
        </w:rPr>
        <w:t>附件3-2        </w:t>
      </w:r>
      <w:r>
        <w:rPr>
          <w:rStyle w:val="23"/>
          <w:rFonts w:hint="eastAsia" w:ascii="宋体" w:hAnsi="宋体"/>
          <w:bCs/>
          <w:color w:val="auto"/>
          <w:highlight w:val="none"/>
        </w:rPr>
        <w:t>供应商的资格声明</w:t>
      </w:r>
      <w:r>
        <w:rPr>
          <w:rFonts w:hint="eastAsia" w:ascii="宋体" w:hAnsi="宋体"/>
          <w:color w:val="auto"/>
          <w:highlight w:val="none"/>
        </w:rPr>
        <w:t> </w:t>
      </w:r>
    </w:p>
    <w:p w14:paraId="5F0FF688">
      <w:pPr>
        <w:pStyle w:val="17"/>
        <w:widowControl/>
        <w:spacing w:before="75" w:beforeAutospacing="0" w:after="75" w:afterAutospacing="0" w:line="375" w:lineRule="atLeast"/>
        <w:jc w:val="both"/>
        <w:rPr>
          <w:color w:val="auto"/>
          <w:highlight w:val="none"/>
        </w:rPr>
      </w:pPr>
      <w:r>
        <w:rPr>
          <w:rFonts w:hint="eastAsia" w:ascii="宋体" w:hAnsi="宋体" w:cs="宋体"/>
          <w:color w:val="auto"/>
          <w:highlight w:val="none"/>
        </w:rPr>
        <w:t> </w:t>
      </w:r>
    </w:p>
    <w:p w14:paraId="3293FBE7">
      <w:pPr>
        <w:pStyle w:val="17"/>
        <w:widowControl/>
        <w:spacing w:before="75" w:beforeAutospacing="0" w:after="75" w:afterAutospacing="0" w:line="375" w:lineRule="atLeast"/>
        <w:jc w:val="both"/>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68338B4E">
      <w:pPr>
        <w:pStyle w:val="17"/>
        <w:widowControl/>
        <w:spacing w:before="75" w:beforeAutospacing="0" w:after="75" w:afterAutospacing="0" w:line="375" w:lineRule="atLeast"/>
        <w:jc w:val="both"/>
        <w:rPr>
          <w:color w:val="auto"/>
          <w:highlight w:val="none"/>
        </w:rPr>
      </w:pPr>
      <w:r>
        <w:rPr>
          <w:rStyle w:val="23"/>
          <w:rFonts w:hint="eastAsia" w:ascii="宋体" w:hAnsi="宋体" w:cs="宋体"/>
          <w:bCs/>
          <w:color w:val="auto"/>
          <w:highlight w:val="none"/>
        </w:rPr>
        <w:t>    1、</w:t>
      </w:r>
      <w:r>
        <w:rPr>
          <w:rFonts w:hint="eastAsia" w:ascii="宋体" w:hAnsi="宋体" w:cs="宋体"/>
          <w:color w:val="auto"/>
          <w:highlight w:val="none"/>
        </w:rPr>
        <w:t>我方已知晓竞争性磋商文件要求并认真审核自身情况，在此郑重声明，我方具备并满足下列各项条款的规定。本声明如有虚假或不实之处，我方将失去合格供应商资格且我方的磋商保证金将不予退还。</w:t>
      </w:r>
    </w:p>
    <w:tbl>
      <w:tblPr>
        <w:tblStyle w:val="2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40"/>
        <w:gridCol w:w="2880"/>
      </w:tblGrid>
      <w:tr w14:paraId="6500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7CF2AD11">
            <w:pPr>
              <w:pStyle w:val="17"/>
              <w:widowControl/>
              <w:spacing w:beforeAutospacing="0" w:afterAutospacing="0" w:line="375" w:lineRule="atLeast"/>
              <w:jc w:val="both"/>
              <w:rPr>
                <w:color w:val="auto"/>
                <w:highlight w:val="none"/>
              </w:rPr>
            </w:pPr>
            <w:r>
              <w:rPr>
                <w:rStyle w:val="23"/>
                <w:rFonts w:hint="eastAsia" w:ascii="宋体" w:hAnsi="宋体" w:cs="宋体"/>
                <w:bCs/>
                <w:color w:val="auto"/>
                <w:highlight w:val="none"/>
              </w:rPr>
              <w:t>《中华人民共和国政府采购法》第二十二条对供应商的要求</w:t>
            </w:r>
          </w:p>
        </w:tc>
        <w:tc>
          <w:tcPr>
            <w:tcW w:w="2880" w:type="dxa"/>
            <w:shd w:val="clear" w:color="auto" w:fill="auto"/>
            <w:tcMar>
              <w:top w:w="0" w:type="dxa"/>
              <w:left w:w="105" w:type="dxa"/>
              <w:bottom w:w="0" w:type="dxa"/>
              <w:right w:w="105" w:type="dxa"/>
            </w:tcMar>
            <w:vAlign w:val="center"/>
          </w:tcPr>
          <w:p w14:paraId="7C741C9F">
            <w:pPr>
              <w:pStyle w:val="17"/>
              <w:widowControl/>
              <w:spacing w:beforeAutospacing="0" w:afterAutospacing="0" w:line="375" w:lineRule="atLeast"/>
              <w:jc w:val="both"/>
              <w:rPr>
                <w:color w:val="auto"/>
                <w:highlight w:val="none"/>
              </w:rPr>
            </w:pPr>
            <w:r>
              <w:rPr>
                <w:rStyle w:val="23"/>
                <w:rFonts w:hint="eastAsia" w:ascii="宋体" w:hAnsi="宋体" w:cs="宋体"/>
                <w:bCs/>
                <w:color w:val="auto"/>
                <w:highlight w:val="none"/>
              </w:rPr>
              <w:t>供应商对是否符合要求做如实声明</w:t>
            </w:r>
          </w:p>
        </w:tc>
      </w:tr>
      <w:tr w14:paraId="6D73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444B4514">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（1）具有独立承担民事责任的能力</w:t>
            </w:r>
          </w:p>
        </w:tc>
        <w:tc>
          <w:tcPr>
            <w:tcW w:w="2880" w:type="dxa"/>
            <w:shd w:val="clear" w:color="auto" w:fill="auto"/>
            <w:tcMar>
              <w:top w:w="0" w:type="dxa"/>
              <w:left w:w="105" w:type="dxa"/>
              <w:bottom w:w="0" w:type="dxa"/>
              <w:right w:w="105" w:type="dxa"/>
            </w:tcMar>
            <w:vAlign w:val="center"/>
          </w:tcPr>
          <w:p w14:paraId="41011FE5">
            <w:pPr>
              <w:widowControl/>
              <w:jc w:val="left"/>
              <w:rPr>
                <w:color w:val="auto"/>
                <w:highlight w:val="none"/>
              </w:rPr>
            </w:pPr>
          </w:p>
        </w:tc>
      </w:tr>
      <w:tr w14:paraId="2554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5CBC537E">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（2）具有良好的商业信誉和健全的财务会计制度</w:t>
            </w:r>
          </w:p>
        </w:tc>
        <w:tc>
          <w:tcPr>
            <w:tcW w:w="2880" w:type="dxa"/>
            <w:shd w:val="clear" w:color="auto" w:fill="auto"/>
            <w:tcMar>
              <w:top w:w="0" w:type="dxa"/>
              <w:left w:w="105" w:type="dxa"/>
              <w:bottom w:w="0" w:type="dxa"/>
              <w:right w:w="105" w:type="dxa"/>
            </w:tcMar>
            <w:vAlign w:val="center"/>
          </w:tcPr>
          <w:p w14:paraId="4C39D779">
            <w:pPr>
              <w:widowControl/>
              <w:jc w:val="left"/>
              <w:rPr>
                <w:color w:val="auto"/>
                <w:highlight w:val="none"/>
              </w:rPr>
            </w:pPr>
          </w:p>
        </w:tc>
      </w:tr>
      <w:tr w14:paraId="4B90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3A2F7611">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（3）具有履行合同所必需的设备和专业技术能力</w:t>
            </w:r>
          </w:p>
        </w:tc>
        <w:tc>
          <w:tcPr>
            <w:tcW w:w="2880" w:type="dxa"/>
            <w:shd w:val="clear" w:color="auto" w:fill="auto"/>
            <w:tcMar>
              <w:top w:w="0" w:type="dxa"/>
              <w:left w:w="105" w:type="dxa"/>
              <w:bottom w:w="0" w:type="dxa"/>
              <w:right w:w="105" w:type="dxa"/>
            </w:tcMar>
            <w:vAlign w:val="center"/>
          </w:tcPr>
          <w:p w14:paraId="42D189FD">
            <w:pPr>
              <w:widowControl/>
              <w:jc w:val="left"/>
              <w:rPr>
                <w:color w:val="auto"/>
                <w:highlight w:val="none"/>
              </w:rPr>
            </w:pPr>
          </w:p>
        </w:tc>
      </w:tr>
      <w:tr w14:paraId="3A9B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1D191F15">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（4）有依法缴纳税收和社会保障资金的良好记录</w:t>
            </w:r>
          </w:p>
        </w:tc>
        <w:tc>
          <w:tcPr>
            <w:tcW w:w="2880" w:type="dxa"/>
            <w:shd w:val="clear" w:color="auto" w:fill="auto"/>
            <w:tcMar>
              <w:top w:w="0" w:type="dxa"/>
              <w:left w:w="105" w:type="dxa"/>
              <w:bottom w:w="0" w:type="dxa"/>
              <w:right w:w="105" w:type="dxa"/>
            </w:tcMar>
            <w:vAlign w:val="center"/>
          </w:tcPr>
          <w:p w14:paraId="7FD00D3B">
            <w:pPr>
              <w:widowControl/>
              <w:jc w:val="left"/>
              <w:rPr>
                <w:color w:val="auto"/>
                <w:highlight w:val="none"/>
              </w:rPr>
            </w:pPr>
          </w:p>
        </w:tc>
      </w:tr>
      <w:tr w14:paraId="0E3C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1D810C19">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（5）参加政府采购活动前三年内，在经营活动中没有重大违法记录</w:t>
            </w:r>
          </w:p>
        </w:tc>
        <w:tc>
          <w:tcPr>
            <w:tcW w:w="2880" w:type="dxa"/>
            <w:shd w:val="clear" w:color="auto" w:fill="auto"/>
            <w:tcMar>
              <w:top w:w="0" w:type="dxa"/>
              <w:left w:w="105" w:type="dxa"/>
              <w:bottom w:w="0" w:type="dxa"/>
              <w:right w:w="105" w:type="dxa"/>
            </w:tcMar>
            <w:vAlign w:val="center"/>
          </w:tcPr>
          <w:p w14:paraId="0A24E189">
            <w:pPr>
              <w:widowControl/>
              <w:jc w:val="left"/>
              <w:rPr>
                <w:color w:val="auto"/>
                <w:highlight w:val="none"/>
              </w:rPr>
            </w:pPr>
          </w:p>
        </w:tc>
      </w:tr>
      <w:tr w14:paraId="0383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2BBD7C81">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（6）法律、行政法规规定的其他条件。</w:t>
            </w:r>
          </w:p>
        </w:tc>
        <w:tc>
          <w:tcPr>
            <w:tcW w:w="2880" w:type="dxa"/>
            <w:shd w:val="clear" w:color="auto" w:fill="auto"/>
            <w:tcMar>
              <w:top w:w="0" w:type="dxa"/>
              <w:left w:w="105" w:type="dxa"/>
              <w:bottom w:w="0" w:type="dxa"/>
              <w:right w:w="105" w:type="dxa"/>
            </w:tcMar>
            <w:vAlign w:val="center"/>
          </w:tcPr>
          <w:p w14:paraId="04D02C7D">
            <w:pPr>
              <w:widowControl/>
              <w:jc w:val="left"/>
              <w:rPr>
                <w:color w:val="auto"/>
                <w:highlight w:val="none"/>
              </w:rPr>
            </w:pPr>
          </w:p>
        </w:tc>
      </w:tr>
      <w:tr w14:paraId="52AF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56198C78">
            <w:pPr>
              <w:pStyle w:val="17"/>
              <w:widowControl/>
              <w:spacing w:beforeAutospacing="0" w:afterAutospacing="0" w:line="375" w:lineRule="atLeast"/>
              <w:jc w:val="both"/>
              <w:rPr>
                <w:color w:val="auto"/>
                <w:highlight w:val="none"/>
              </w:rPr>
            </w:pPr>
            <w:r>
              <w:rPr>
                <w:rStyle w:val="23"/>
                <w:rFonts w:hint="eastAsia" w:ascii="宋体" w:hAnsi="宋体" w:cs="宋体"/>
                <w:bCs/>
                <w:color w:val="auto"/>
                <w:highlight w:val="none"/>
              </w:rPr>
              <w:t>磋商文件对合格供应商的一般规定</w:t>
            </w:r>
          </w:p>
        </w:tc>
        <w:tc>
          <w:tcPr>
            <w:tcW w:w="2880" w:type="dxa"/>
            <w:shd w:val="clear" w:color="auto" w:fill="auto"/>
            <w:tcMar>
              <w:top w:w="0" w:type="dxa"/>
              <w:left w:w="105" w:type="dxa"/>
              <w:bottom w:w="0" w:type="dxa"/>
              <w:right w:w="105" w:type="dxa"/>
            </w:tcMar>
            <w:vAlign w:val="center"/>
          </w:tcPr>
          <w:p w14:paraId="3B6CD4C1">
            <w:pPr>
              <w:pStyle w:val="17"/>
              <w:widowControl/>
              <w:spacing w:beforeAutospacing="0" w:afterAutospacing="0" w:line="375" w:lineRule="atLeast"/>
              <w:jc w:val="both"/>
              <w:rPr>
                <w:color w:val="auto"/>
                <w:highlight w:val="none"/>
              </w:rPr>
            </w:pPr>
            <w:r>
              <w:rPr>
                <w:rStyle w:val="23"/>
                <w:rFonts w:hint="eastAsia" w:ascii="宋体" w:hAnsi="宋体" w:cs="宋体"/>
                <w:bCs/>
                <w:color w:val="auto"/>
                <w:highlight w:val="none"/>
              </w:rPr>
              <w:t>供应商对是否违反一般规定做如实声明</w:t>
            </w:r>
          </w:p>
        </w:tc>
      </w:tr>
      <w:tr w14:paraId="7075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56F7E2FF">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供应商应当遵守中国的有关法律、法规和规章的规定，参加政府采购活动时已经自觉检查并按照政府采购相关法律规定，主动回避相应利害关系。</w:t>
            </w:r>
          </w:p>
        </w:tc>
        <w:tc>
          <w:tcPr>
            <w:tcW w:w="2880" w:type="dxa"/>
            <w:shd w:val="clear" w:color="auto" w:fill="auto"/>
            <w:tcMar>
              <w:top w:w="0" w:type="dxa"/>
              <w:left w:w="105" w:type="dxa"/>
              <w:bottom w:w="0" w:type="dxa"/>
              <w:right w:w="105" w:type="dxa"/>
            </w:tcMar>
            <w:vAlign w:val="center"/>
          </w:tcPr>
          <w:p w14:paraId="37D09910">
            <w:pPr>
              <w:widowControl/>
              <w:jc w:val="left"/>
              <w:rPr>
                <w:color w:val="auto"/>
                <w:highlight w:val="none"/>
              </w:rPr>
            </w:pPr>
          </w:p>
        </w:tc>
      </w:tr>
      <w:tr w14:paraId="44BB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4933D41D">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为采购项目提供整体设计、规范编制或项目管理、监理、检测等服务的供应商，不得再参加该采购项目除整体设计、规范编制和项目管理、监理、检测等服务之外的其他采购活动。</w:t>
            </w:r>
          </w:p>
        </w:tc>
        <w:tc>
          <w:tcPr>
            <w:tcW w:w="2880" w:type="dxa"/>
            <w:shd w:val="clear" w:color="auto" w:fill="auto"/>
            <w:tcMar>
              <w:top w:w="0" w:type="dxa"/>
              <w:left w:w="105" w:type="dxa"/>
              <w:bottom w:w="0" w:type="dxa"/>
              <w:right w:w="105" w:type="dxa"/>
            </w:tcMar>
            <w:vAlign w:val="center"/>
          </w:tcPr>
          <w:p w14:paraId="15201DC0">
            <w:pPr>
              <w:widowControl/>
              <w:jc w:val="left"/>
              <w:rPr>
                <w:color w:val="auto"/>
                <w:highlight w:val="none"/>
              </w:rPr>
            </w:pPr>
          </w:p>
        </w:tc>
      </w:tr>
      <w:tr w14:paraId="2EF2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40" w:type="dxa"/>
            <w:shd w:val="clear" w:color="auto" w:fill="auto"/>
            <w:tcMar>
              <w:top w:w="0" w:type="dxa"/>
              <w:left w:w="105" w:type="dxa"/>
              <w:bottom w:w="0" w:type="dxa"/>
              <w:right w:w="105" w:type="dxa"/>
            </w:tcMar>
            <w:vAlign w:val="center"/>
          </w:tcPr>
          <w:p w14:paraId="5A2C1A76">
            <w:pPr>
              <w:pStyle w:val="17"/>
              <w:widowControl/>
              <w:spacing w:beforeAutospacing="0" w:afterAutospacing="0" w:line="375" w:lineRule="atLeast"/>
              <w:jc w:val="both"/>
              <w:rPr>
                <w:color w:val="auto"/>
                <w:highlight w:val="none"/>
              </w:rPr>
            </w:pPr>
            <w:r>
              <w:rPr>
                <w:rFonts w:hint="eastAsia" w:ascii="宋体" w:hAnsi="宋体" w:cs="宋体"/>
                <w:color w:val="auto"/>
                <w:highlight w:val="none"/>
              </w:rPr>
              <w:t>列入失信被执行人、重大税收违法案件当事人名单、政府采购严重违法失信行为记录名单的供应商，不得参加政府采购活动。</w:t>
            </w:r>
          </w:p>
        </w:tc>
        <w:tc>
          <w:tcPr>
            <w:tcW w:w="2880" w:type="dxa"/>
            <w:shd w:val="clear" w:color="auto" w:fill="auto"/>
            <w:tcMar>
              <w:top w:w="0" w:type="dxa"/>
              <w:left w:w="105" w:type="dxa"/>
              <w:bottom w:w="0" w:type="dxa"/>
              <w:right w:w="105" w:type="dxa"/>
            </w:tcMar>
            <w:vAlign w:val="center"/>
          </w:tcPr>
          <w:p w14:paraId="7BDDD362">
            <w:pPr>
              <w:widowControl/>
              <w:jc w:val="left"/>
              <w:rPr>
                <w:color w:val="auto"/>
                <w:highlight w:val="none"/>
              </w:rPr>
            </w:pPr>
          </w:p>
        </w:tc>
      </w:tr>
    </w:tbl>
    <w:p w14:paraId="787DD867">
      <w:pPr>
        <w:pStyle w:val="17"/>
        <w:widowControl/>
        <w:spacing w:before="75" w:beforeAutospacing="0" w:after="75" w:afterAutospacing="0" w:line="375" w:lineRule="atLeast"/>
        <w:ind w:firstLine="480"/>
        <w:jc w:val="both"/>
        <w:rPr>
          <w:color w:val="auto"/>
          <w:highlight w:val="none"/>
        </w:rPr>
      </w:pPr>
      <w:r>
        <w:rPr>
          <w:rFonts w:hint="eastAsia" w:ascii="宋体" w:hAnsi="宋体" w:cs="宋体"/>
          <w:color w:val="auto"/>
          <w:highlight w:val="none"/>
        </w:rPr>
        <w:t>2、我方对上述声明的真实性、合法性、准确性、有效性负责，并愿意根据磋商文件和磋商过程中贵方要求提供全部现有资料、数据、文件等予以证实。</w:t>
      </w:r>
    </w:p>
    <w:p w14:paraId="785ABF9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备注：对于接受联合体形式的磋商且供应商是联合体的，则联合体各成员都应当提交本资格证明文件。</w:t>
      </w:r>
    </w:p>
    <w:p w14:paraId="0A8AA9C5">
      <w:pPr>
        <w:pStyle w:val="17"/>
        <w:widowControl/>
        <w:spacing w:before="75" w:beforeAutospacing="0" w:after="75" w:afterAutospacing="0" w:line="37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0A95A396">
      <w:pPr>
        <w:pStyle w:val="17"/>
        <w:widowControl/>
        <w:spacing w:before="75" w:beforeAutospacing="0" w:after="75" w:afterAutospacing="0" w:line="37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1847ECBF">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60F1012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附件3-3             </w:t>
      </w:r>
      <w:r>
        <w:rPr>
          <w:rStyle w:val="23"/>
          <w:rFonts w:hint="eastAsia" w:ascii="宋体" w:hAnsi="宋体" w:cs="宋体"/>
          <w:bCs/>
          <w:color w:val="auto"/>
          <w:highlight w:val="none"/>
        </w:rPr>
        <w:t>单位负责人授权书</w:t>
      </w:r>
      <w:r>
        <w:rPr>
          <w:rFonts w:hint="eastAsia" w:ascii="宋体" w:hAnsi="宋体" w:cs="宋体"/>
          <w:color w:val="auto"/>
          <w:highlight w:val="none"/>
        </w:rPr>
        <w:t> </w:t>
      </w:r>
    </w:p>
    <w:p w14:paraId="54013B7C">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w:t>
      </w:r>
      <w:r>
        <w:rPr>
          <w:rFonts w:cs="Calibri"/>
          <w:color w:val="auto"/>
          <w:highlight w:val="none"/>
          <w:u w:val="single"/>
        </w:rPr>
        <w:t>)      </w:t>
      </w:r>
      <w:r>
        <w:rPr>
          <w:rFonts w:hint="eastAsia" w:ascii="宋体" w:hAnsi="宋体" w:cs="宋体"/>
          <w:color w:val="auto"/>
          <w:highlight w:val="none"/>
          <w:u w:val="single"/>
        </w:rPr>
        <w:t> </w:t>
      </w:r>
    </w:p>
    <w:p w14:paraId="5D20A764">
      <w:pPr>
        <w:pStyle w:val="17"/>
        <w:widowControl/>
        <w:spacing w:before="75" w:beforeAutospacing="0" w:after="75" w:afterAutospacing="0" w:line="360" w:lineRule="atLeast"/>
        <w:ind w:firstLine="480"/>
        <w:rPr>
          <w:color w:val="auto"/>
          <w:highlight w:val="none"/>
        </w:rPr>
      </w:pPr>
      <w:r>
        <w:rPr>
          <w:rFonts w:hint="eastAsia" w:ascii="宋体" w:hAnsi="宋体" w:cs="宋体"/>
          <w:color w:val="auto"/>
          <w:highlight w:val="none"/>
        </w:rPr>
        <w:t>我方的单位负责人</w:t>
      </w:r>
      <w:r>
        <w:rPr>
          <w:rFonts w:hint="eastAsia" w:ascii="宋体" w:hAnsi="宋体" w:cs="宋体"/>
          <w:color w:val="auto"/>
          <w:highlight w:val="none"/>
          <w:u w:val="single"/>
        </w:rPr>
        <w:t>（填写“单位负责人全名”）</w:t>
      </w:r>
      <w:r>
        <w:rPr>
          <w:rFonts w:hint="eastAsia" w:ascii="宋体" w:hAnsi="宋体" w:cs="宋体"/>
          <w:color w:val="auto"/>
          <w:highlight w:val="none"/>
        </w:rPr>
        <w:t>授权</w:t>
      </w:r>
      <w:r>
        <w:rPr>
          <w:rFonts w:hint="eastAsia" w:ascii="宋体" w:hAnsi="宋体" w:cs="宋体"/>
          <w:color w:val="auto"/>
          <w:highlight w:val="none"/>
          <w:u w:val="single"/>
        </w:rPr>
        <w:t>（填写“供应商代表全名”）</w:t>
      </w:r>
      <w:r>
        <w:rPr>
          <w:rFonts w:hint="eastAsia" w:ascii="宋体" w:hAnsi="宋体" w:cs="宋体"/>
          <w:color w:val="auto"/>
          <w:highlight w:val="none"/>
        </w:rPr>
        <w:t>为我方的供应商代表，代表我方参加</w:t>
      </w:r>
      <w:r>
        <w:rPr>
          <w:rFonts w:hint="eastAsia" w:ascii="宋体" w:hAnsi="宋体" w:cs="宋体"/>
          <w:color w:val="auto"/>
          <w:highlight w:val="none"/>
          <w:u w:val="single"/>
        </w:rPr>
        <w:t>  （填写“项目名称”）   </w:t>
      </w:r>
      <w:r>
        <w:rPr>
          <w:rFonts w:hint="eastAsia" w:ascii="宋体" w:hAnsi="宋体" w:cs="宋体"/>
          <w:color w:val="auto"/>
          <w:highlight w:val="none"/>
        </w:rPr>
        <w:t>项目（项目编号：</w:t>
      </w:r>
      <w:r>
        <w:rPr>
          <w:rFonts w:hint="eastAsia" w:ascii="宋体" w:hAnsi="宋体" w:cs="宋体"/>
          <w:color w:val="auto"/>
          <w:highlight w:val="none"/>
          <w:u w:val="single"/>
        </w:rPr>
        <w:t>         </w:t>
      </w:r>
      <w:r>
        <w:rPr>
          <w:rFonts w:hint="eastAsia" w:ascii="宋体" w:hAnsi="宋体" w:cs="宋体"/>
          <w:color w:val="auto"/>
          <w:highlight w:val="none"/>
        </w:rPr>
        <w:t>）的响应磋商，全权代表我方处理响应磋商过程的一切事宜，包括但不限于：递交响应文件、参与磋商、澄清、签约等工作。供应商代表在响应磋商过程中所签署的一切文件和处理与之有关的一切事务，我方均予以认可并对此承担责任。</w:t>
      </w:r>
    </w:p>
    <w:p w14:paraId="7BB3A9CD">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    供应商代表无转委权。特此授权。</w:t>
      </w:r>
    </w:p>
    <w:p w14:paraId="31730588">
      <w:pPr>
        <w:pStyle w:val="17"/>
        <w:widowControl/>
        <w:spacing w:before="75" w:beforeAutospacing="0" w:after="75" w:afterAutospacing="0" w:line="360" w:lineRule="atLeast"/>
        <w:jc w:val="center"/>
        <w:rPr>
          <w:color w:val="auto"/>
          <w:highlight w:val="none"/>
        </w:rPr>
      </w:pPr>
      <w:r>
        <w:rPr>
          <w:rFonts w:hint="eastAsia" w:ascii="宋体" w:hAnsi="宋体" w:cs="宋体"/>
          <w:color w:val="auto"/>
          <w:highlight w:val="none"/>
        </w:rPr>
        <w:t>（以下无正文）</w:t>
      </w:r>
    </w:p>
    <w:p w14:paraId="73B6D1E9">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单位负责人：</w:t>
      </w:r>
      <w:r>
        <w:rPr>
          <w:rFonts w:hint="eastAsia" w:ascii="宋体" w:hAnsi="宋体" w:cs="宋体"/>
          <w:color w:val="auto"/>
          <w:highlight w:val="none"/>
          <w:u w:val="single"/>
        </w:rPr>
        <w:t>      </w:t>
      </w:r>
      <w:r>
        <w:rPr>
          <w:rFonts w:hint="eastAsia" w:ascii="宋体" w:hAnsi="宋体" w:cs="宋体"/>
          <w:color w:val="auto"/>
          <w:highlight w:val="none"/>
        </w:rPr>
        <w:t>身份证号：</w:t>
      </w:r>
      <w:r>
        <w:rPr>
          <w:rFonts w:hint="eastAsia" w:ascii="宋体" w:hAnsi="宋体" w:cs="宋体"/>
          <w:color w:val="auto"/>
          <w:highlight w:val="none"/>
          <w:u w:val="single"/>
        </w:rPr>
        <w:t>         </w:t>
      </w:r>
      <w:r>
        <w:rPr>
          <w:rFonts w:hint="eastAsia" w:ascii="宋体" w:hAnsi="宋体" w:cs="宋体"/>
          <w:color w:val="auto"/>
          <w:highlight w:val="none"/>
        </w:rPr>
        <w:t>手机：</w:t>
      </w:r>
      <w:r>
        <w:rPr>
          <w:rFonts w:hint="eastAsia" w:ascii="宋体" w:hAnsi="宋体" w:cs="宋体"/>
          <w:color w:val="auto"/>
          <w:highlight w:val="none"/>
          <w:u w:val="single"/>
        </w:rPr>
        <w:t xml:space="preserve">        </w:t>
      </w:r>
    </w:p>
    <w:p w14:paraId="520CA67F">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w:t>
      </w:r>
      <w:r>
        <w:rPr>
          <w:rFonts w:hint="eastAsia" w:ascii="宋体" w:hAnsi="宋体" w:cs="宋体"/>
          <w:color w:val="auto"/>
          <w:highlight w:val="none"/>
        </w:rPr>
        <w:t>身份证号：</w:t>
      </w:r>
      <w:r>
        <w:rPr>
          <w:rFonts w:hint="eastAsia" w:ascii="宋体" w:hAnsi="宋体" w:cs="宋体"/>
          <w:color w:val="auto"/>
          <w:highlight w:val="none"/>
          <w:u w:val="single"/>
        </w:rPr>
        <w:t>        </w:t>
      </w:r>
      <w:r>
        <w:rPr>
          <w:rFonts w:hint="eastAsia" w:ascii="宋体" w:hAnsi="宋体" w:cs="宋体"/>
          <w:color w:val="auto"/>
          <w:highlight w:val="none"/>
        </w:rPr>
        <w:t>手机：</w:t>
      </w:r>
      <w:r>
        <w:rPr>
          <w:rFonts w:hint="eastAsia" w:ascii="宋体" w:hAnsi="宋体" w:cs="宋体"/>
          <w:color w:val="auto"/>
          <w:highlight w:val="none"/>
          <w:u w:val="single"/>
        </w:rPr>
        <w:t>        </w:t>
      </w:r>
    </w:p>
    <w:p w14:paraId="4249108E">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 </w:t>
      </w:r>
    </w:p>
    <w:p w14:paraId="6190A968">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授权方</w:t>
      </w:r>
    </w:p>
    <w:p w14:paraId="2AACE55D">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（全称并加盖单位公章）</w:t>
      </w:r>
    </w:p>
    <w:p w14:paraId="54AC2098">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单位负责人签字或盖章：</w:t>
      </w:r>
      <w:r>
        <w:rPr>
          <w:rFonts w:hint="eastAsia" w:ascii="宋体" w:hAnsi="宋体" w:cs="宋体"/>
          <w:color w:val="auto"/>
          <w:highlight w:val="none"/>
          <w:u w:val="single"/>
        </w:rPr>
        <w:t>                   </w:t>
      </w:r>
    </w:p>
    <w:p w14:paraId="205880AE">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 </w:t>
      </w:r>
    </w:p>
    <w:p w14:paraId="6B817FD1">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接受授权方</w:t>
      </w:r>
    </w:p>
    <w:p w14:paraId="0BF940C1">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供应商代表签字：</w:t>
      </w:r>
      <w:r>
        <w:rPr>
          <w:rFonts w:hint="eastAsia" w:ascii="宋体" w:hAnsi="宋体" w:cs="宋体"/>
          <w:color w:val="auto"/>
          <w:highlight w:val="none"/>
          <w:u w:val="single"/>
        </w:rPr>
        <w:t>                   </w:t>
      </w:r>
    </w:p>
    <w:p w14:paraId="02D1722D">
      <w:pPr>
        <w:pStyle w:val="17"/>
        <w:widowControl/>
        <w:spacing w:before="75" w:beforeAutospacing="0" w:after="75" w:afterAutospacing="0" w:line="360" w:lineRule="atLeast"/>
        <w:jc w:val="right"/>
        <w:rPr>
          <w:color w:val="auto"/>
          <w:highlight w:val="none"/>
        </w:rPr>
      </w:pPr>
      <w:r>
        <w:rPr>
          <w:rFonts w:hint="eastAsia" w:ascii="宋体" w:hAnsi="宋体" w:cs="宋体"/>
          <w:color w:val="auto"/>
          <w:highlight w:val="none"/>
        </w:rPr>
        <w:t>签署日期：</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 </w:t>
      </w:r>
    </w:p>
    <w:p w14:paraId="5AE49EE5">
      <w:pPr>
        <w:pStyle w:val="17"/>
        <w:widowControl/>
        <w:spacing w:before="75" w:beforeAutospacing="0" w:after="75" w:afterAutospacing="0" w:line="405" w:lineRule="atLeast"/>
        <w:rPr>
          <w:color w:val="auto"/>
          <w:highlight w:val="none"/>
        </w:rPr>
      </w:pPr>
      <w:r>
        <w:rPr>
          <w:rFonts w:hint="eastAsia" w:ascii="宋体" w:hAnsi="宋体" w:cs="宋体"/>
          <w:color w:val="auto"/>
          <w:highlight w:val="none"/>
        </w:rPr>
        <w:t>附：单位负责人、供应商代表的身份证正反面复印件</w:t>
      </w:r>
    </w:p>
    <w:tbl>
      <w:tblPr>
        <w:tblStyle w:val="20"/>
        <w:tblW w:w="856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565"/>
      </w:tblGrid>
      <w:tr w14:paraId="25E8C9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45" w:hRule="atLeast"/>
        </w:trPr>
        <w:tc>
          <w:tcPr>
            <w:tcW w:w="8565" w:type="dxa"/>
            <w:tcBorders>
              <w:top w:val="nil"/>
              <w:left w:val="nil"/>
              <w:bottom w:val="nil"/>
              <w:right w:val="nil"/>
            </w:tcBorders>
            <w:shd w:val="clear" w:color="auto" w:fill="auto"/>
            <w:tcMar>
              <w:top w:w="0" w:type="dxa"/>
              <w:left w:w="105" w:type="dxa"/>
              <w:bottom w:w="0" w:type="dxa"/>
              <w:right w:w="105" w:type="dxa"/>
            </w:tcMar>
            <w:vAlign w:val="center"/>
          </w:tcPr>
          <w:p w14:paraId="17A94F7F">
            <w:pPr>
              <w:pStyle w:val="17"/>
              <w:widowControl/>
              <w:spacing w:beforeAutospacing="0" w:afterAutospacing="0" w:line="405" w:lineRule="atLeast"/>
              <w:jc w:val="center"/>
              <w:rPr>
                <w:color w:val="auto"/>
                <w:highlight w:val="none"/>
              </w:rPr>
            </w:pPr>
            <w:r>
              <w:rPr>
                <w:rStyle w:val="23"/>
                <w:rFonts w:hint="eastAsia" w:ascii="宋体" w:hAnsi="宋体" w:cs="宋体"/>
                <w:bCs/>
                <w:color w:val="auto"/>
                <w:highlight w:val="none"/>
              </w:rPr>
              <w:t> </w:t>
            </w:r>
          </w:p>
          <w:p w14:paraId="73AF1132">
            <w:pPr>
              <w:pStyle w:val="17"/>
              <w:widowControl/>
              <w:spacing w:beforeAutospacing="0" w:afterAutospacing="0" w:line="405" w:lineRule="atLeast"/>
              <w:jc w:val="center"/>
              <w:rPr>
                <w:color w:val="auto"/>
                <w:highlight w:val="none"/>
              </w:rPr>
            </w:pPr>
            <w:r>
              <w:rPr>
                <w:rStyle w:val="23"/>
                <w:rFonts w:hint="eastAsia" w:ascii="宋体" w:hAnsi="宋体" w:cs="宋体"/>
                <w:bCs/>
                <w:color w:val="auto"/>
                <w:highlight w:val="none"/>
              </w:rPr>
              <w:t>要求：真实、有效、清晰</w:t>
            </w:r>
          </w:p>
          <w:p w14:paraId="113472D5">
            <w:pPr>
              <w:pStyle w:val="17"/>
              <w:widowControl/>
              <w:spacing w:beforeAutospacing="0" w:afterAutospacing="0" w:line="405" w:lineRule="atLeast"/>
              <w:jc w:val="center"/>
              <w:rPr>
                <w:color w:val="auto"/>
                <w:highlight w:val="none"/>
              </w:rPr>
            </w:pPr>
            <w:r>
              <w:rPr>
                <w:rStyle w:val="23"/>
                <w:rFonts w:hint="eastAsia" w:ascii="宋体" w:hAnsi="宋体" w:cs="宋体"/>
                <w:bCs/>
                <w:color w:val="auto"/>
                <w:highlight w:val="none"/>
              </w:rPr>
              <w:t> </w:t>
            </w:r>
          </w:p>
        </w:tc>
      </w:tr>
    </w:tbl>
    <w:p w14:paraId="57A55B53">
      <w:pPr>
        <w:pStyle w:val="17"/>
        <w:widowControl/>
        <w:spacing w:before="75" w:beforeAutospacing="0" w:after="75" w:afterAutospacing="0" w:line="285" w:lineRule="atLeast"/>
        <w:jc w:val="both"/>
        <w:rPr>
          <w:color w:val="auto"/>
          <w:highlight w:val="none"/>
        </w:rPr>
      </w:pPr>
      <w:r>
        <w:rPr>
          <w:rFonts w:hint="eastAsia" w:ascii="宋体" w:hAnsi="宋体" w:cs="宋体"/>
          <w:color w:val="auto"/>
          <w:sz w:val="21"/>
          <w:szCs w:val="21"/>
          <w:highlight w:val="none"/>
        </w:rPr>
        <w:t>★注意：</w:t>
      </w:r>
    </w:p>
    <w:p w14:paraId="05F651E0">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1、企业（银行、保险、石油石化、电力、电信等行业除外）、事业单位和社会团体法人的“单位负责人”指</w:t>
      </w:r>
      <w:r>
        <w:rPr>
          <w:rStyle w:val="23"/>
          <w:rFonts w:hint="eastAsia" w:ascii="宋体" w:hAnsi="宋体" w:cs="宋体"/>
          <w:bCs/>
          <w:color w:val="auto"/>
          <w:sz w:val="21"/>
          <w:szCs w:val="21"/>
          <w:highlight w:val="none"/>
        </w:rPr>
        <w:t>法定代表人</w:t>
      </w:r>
      <w:r>
        <w:rPr>
          <w:rFonts w:hint="eastAsia" w:ascii="宋体" w:hAnsi="宋体" w:cs="宋体"/>
          <w:color w:val="auto"/>
          <w:sz w:val="21"/>
          <w:szCs w:val="21"/>
          <w:highlight w:val="none"/>
        </w:rPr>
        <w:t>，即与实际提交的“营业执照等证明文件”载明的一致。</w:t>
      </w:r>
    </w:p>
    <w:p w14:paraId="22B2037B">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2、银行、保险、石油石化、电力、电信等行业：以法人身份参加磋商的，“单位负责人”指</w:t>
      </w:r>
      <w:r>
        <w:rPr>
          <w:rStyle w:val="23"/>
          <w:rFonts w:hint="eastAsia" w:ascii="宋体" w:hAnsi="宋体" w:cs="宋体"/>
          <w:bCs/>
          <w:color w:val="auto"/>
          <w:sz w:val="21"/>
          <w:szCs w:val="21"/>
          <w:highlight w:val="none"/>
        </w:rPr>
        <w:t>法定代表人</w:t>
      </w:r>
      <w:r>
        <w:rPr>
          <w:rFonts w:hint="eastAsia" w:ascii="宋体" w:hAnsi="宋体" w:cs="宋体"/>
          <w:color w:val="auto"/>
          <w:sz w:val="21"/>
          <w:szCs w:val="21"/>
          <w:highlight w:val="none"/>
        </w:rPr>
        <w:t>，即与实际提交的“营业执照等证明文件”载明的一致；以非法人身份参加磋商的，“单位负责人”指</w:t>
      </w:r>
      <w:r>
        <w:rPr>
          <w:rStyle w:val="23"/>
          <w:rFonts w:hint="eastAsia" w:ascii="宋体" w:hAnsi="宋体" w:cs="宋体"/>
          <w:bCs/>
          <w:color w:val="auto"/>
          <w:sz w:val="21"/>
          <w:szCs w:val="21"/>
          <w:highlight w:val="none"/>
        </w:rPr>
        <w:t>代表单位行使职权的主要负责人</w:t>
      </w:r>
      <w:r>
        <w:rPr>
          <w:rFonts w:hint="eastAsia" w:ascii="宋体" w:hAnsi="宋体" w:cs="宋体"/>
          <w:color w:val="auto"/>
          <w:sz w:val="21"/>
          <w:szCs w:val="21"/>
          <w:highlight w:val="none"/>
        </w:rPr>
        <w:t>，即与实际提交的“营业执照等证明文件”载明的一致。</w:t>
      </w:r>
    </w:p>
    <w:p w14:paraId="4A3BC34D">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48224C1F">
      <w:pPr>
        <w:pStyle w:val="17"/>
        <w:widowControl/>
        <w:spacing w:before="75" w:beforeAutospacing="0" w:after="240" w:afterAutospacing="0" w:line="285" w:lineRule="atLeast"/>
        <w:jc w:val="both"/>
        <w:rPr>
          <w:color w:val="auto"/>
          <w:highlight w:val="none"/>
        </w:rPr>
      </w:pPr>
      <w:r>
        <w:rPr>
          <w:rFonts w:hint="eastAsia" w:ascii="宋体" w:hAnsi="宋体" w:cs="宋体"/>
          <w:color w:val="auto"/>
          <w:sz w:val="21"/>
          <w:szCs w:val="21"/>
          <w:highlight w:val="none"/>
        </w:rPr>
        <w:t>4、对于接受联合体形式的磋商且供应商是联合体的，则只需要联合体的牵头方提交本授权书，在纸质响应文件正本中的本授权书应为原件。</w:t>
      </w:r>
    </w:p>
    <w:p w14:paraId="33C436AF">
      <w:pPr>
        <w:rPr>
          <w:rFonts w:ascii="宋体" w:hAnsi="宋体"/>
          <w:color w:val="auto"/>
          <w:sz w:val="24"/>
          <w:highlight w:val="none"/>
        </w:rPr>
      </w:pPr>
      <w:r>
        <w:rPr>
          <w:rFonts w:hint="eastAsia" w:ascii="宋体" w:hAnsi="宋体"/>
          <w:color w:val="auto"/>
          <w:sz w:val="24"/>
          <w:highlight w:val="none"/>
        </w:rPr>
        <w:br w:type="page"/>
      </w:r>
    </w:p>
    <w:p w14:paraId="4257910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附件3-4 </w:t>
      </w:r>
      <w:r>
        <w:rPr>
          <w:rStyle w:val="23"/>
          <w:rFonts w:hint="eastAsia" w:ascii="宋体" w:hAnsi="宋体" w:cs="宋体"/>
          <w:bCs/>
          <w:color w:val="auto"/>
          <w:highlight w:val="none"/>
        </w:rPr>
        <w:t>            营业执照等证明文件</w:t>
      </w:r>
    </w:p>
    <w:p w14:paraId="2E03D31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F836EFF">
      <w:pPr>
        <w:pStyle w:val="17"/>
        <w:widowControl/>
        <w:spacing w:before="75" w:beforeAutospacing="0" w:after="75" w:afterAutospacing="0"/>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3B8BED32">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）供应商为法人（包括企业、事业单位和社会团体）的</w:t>
      </w:r>
    </w:p>
    <w:p w14:paraId="61FAA1C0">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现附上由</w:t>
      </w:r>
      <w:r>
        <w:rPr>
          <w:rFonts w:hint="eastAsia" w:ascii="宋体" w:hAnsi="宋体" w:cs="宋体"/>
          <w:color w:val="auto"/>
          <w:highlight w:val="none"/>
          <w:u w:val="single"/>
        </w:rPr>
        <w:t>（填写“签发机关全称”）</w:t>
      </w:r>
      <w:r>
        <w:rPr>
          <w:rFonts w:hint="eastAsia" w:ascii="宋体" w:hAnsi="宋体" w:cs="宋体"/>
          <w:color w:val="auto"/>
          <w:highlight w:val="none"/>
        </w:rPr>
        <w:t>签发的我方统一社会信用代码</w:t>
      </w:r>
      <w:r>
        <w:rPr>
          <w:rFonts w:hint="eastAsia" w:ascii="宋体" w:hAnsi="宋体" w:cs="宋体"/>
          <w:color w:val="auto"/>
          <w:highlight w:val="none"/>
          <w:u w:val="single"/>
        </w:rPr>
        <w:t>（请填写法人的具体证照名称）</w:t>
      </w:r>
      <w:r>
        <w:rPr>
          <w:rFonts w:hint="eastAsia" w:ascii="宋体" w:hAnsi="宋体" w:cs="宋体"/>
          <w:color w:val="auto"/>
          <w:highlight w:val="none"/>
        </w:rPr>
        <w:t>复印件，该证明材料真实有效，否则我方负全部责任。</w:t>
      </w:r>
    </w:p>
    <w:p w14:paraId="04D24389">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）供应商为非法人（包括其他组织、自然人）的</w:t>
      </w:r>
    </w:p>
    <w:p w14:paraId="644E29F4">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□现附上由</w:t>
      </w:r>
      <w:r>
        <w:rPr>
          <w:rFonts w:hint="eastAsia" w:ascii="宋体" w:hAnsi="宋体" w:cs="宋体"/>
          <w:color w:val="auto"/>
          <w:highlight w:val="none"/>
          <w:u w:val="single"/>
        </w:rPr>
        <w:t>（填写“签发机关全称”）</w:t>
      </w:r>
      <w:r>
        <w:rPr>
          <w:rFonts w:hint="eastAsia" w:ascii="宋体" w:hAnsi="宋体" w:cs="宋体"/>
          <w:color w:val="auto"/>
          <w:highlight w:val="none"/>
        </w:rPr>
        <w:t>签发的我方</w:t>
      </w:r>
      <w:r>
        <w:rPr>
          <w:rFonts w:hint="eastAsia" w:ascii="宋体" w:hAnsi="宋体" w:cs="宋体"/>
          <w:color w:val="auto"/>
          <w:highlight w:val="none"/>
          <w:u w:val="single"/>
        </w:rPr>
        <w:t>（请填写非自然人的非法人的具体证照名称）</w:t>
      </w:r>
      <w:r>
        <w:rPr>
          <w:rFonts w:hint="eastAsia" w:ascii="宋体" w:hAnsi="宋体" w:cs="宋体"/>
          <w:color w:val="auto"/>
          <w:highlight w:val="none"/>
        </w:rPr>
        <w:t>复印件，该证明材料真实有效，否则我方负全部责任。</w:t>
      </w:r>
    </w:p>
    <w:p w14:paraId="0DABAA4E">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□现附上由</w:t>
      </w:r>
      <w:r>
        <w:rPr>
          <w:rFonts w:hint="eastAsia" w:ascii="宋体" w:hAnsi="宋体" w:cs="宋体"/>
          <w:color w:val="auto"/>
          <w:highlight w:val="none"/>
          <w:u w:val="single"/>
        </w:rPr>
        <w:t>（填写“签发机关全称”）</w:t>
      </w:r>
      <w:r>
        <w:rPr>
          <w:rFonts w:hint="eastAsia" w:ascii="宋体" w:hAnsi="宋体" w:cs="宋体"/>
          <w:color w:val="auto"/>
          <w:highlight w:val="none"/>
        </w:rPr>
        <w:t>签发的我方</w:t>
      </w:r>
      <w:r>
        <w:rPr>
          <w:rFonts w:hint="eastAsia" w:ascii="宋体" w:hAnsi="宋体" w:cs="宋体"/>
          <w:color w:val="auto"/>
          <w:highlight w:val="none"/>
          <w:u w:val="single"/>
        </w:rPr>
        <w:t>（请填写自然人的身份证件名称）</w:t>
      </w:r>
      <w:r>
        <w:rPr>
          <w:rFonts w:hint="eastAsia" w:ascii="宋体" w:hAnsi="宋体" w:cs="宋体"/>
          <w:color w:val="auto"/>
          <w:highlight w:val="none"/>
        </w:rPr>
        <w:t>复印件，该证明材料真实有效，否则我方负全部责任。</w:t>
      </w:r>
    </w:p>
    <w:p w14:paraId="4EB26FD9">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290A5757">
      <w:pPr>
        <w:pStyle w:val="17"/>
        <w:widowControl/>
        <w:spacing w:before="75" w:beforeAutospacing="0" w:after="75" w:afterAutospacing="0"/>
        <w:rPr>
          <w:color w:val="auto"/>
          <w:highlight w:val="none"/>
        </w:rPr>
      </w:pPr>
      <w:r>
        <w:rPr>
          <w:rFonts w:hint="eastAsia" w:ascii="宋体" w:hAnsi="宋体" w:cs="宋体"/>
          <w:color w:val="auto"/>
          <w:highlight w:val="none"/>
        </w:rPr>
        <w:t>★注意：</w:t>
      </w:r>
    </w:p>
    <w:p w14:paraId="6B066D7E">
      <w:pPr>
        <w:pStyle w:val="17"/>
        <w:widowControl/>
        <w:spacing w:before="75" w:beforeAutospacing="0" w:after="75" w:afterAutospacing="0"/>
        <w:rPr>
          <w:color w:val="auto"/>
          <w:highlight w:val="none"/>
        </w:rPr>
      </w:pPr>
      <w:r>
        <w:rPr>
          <w:rFonts w:hint="eastAsia" w:ascii="宋体" w:hAnsi="宋体" w:cs="宋体"/>
          <w:color w:val="auto"/>
          <w:highlight w:val="none"/>
        </w:rPr>
        <w:t>1、请供应商根据实际情况填写，在相应的（）中打“√”并选择相应的“□”（若有）后，再按照本格式的要求提供相应证明材料的复印件。</w:t>
      </w:r>
    </w:p>
    <w:p w14:paraId="6FFFA088">
      <w:pPr>
        <w:pStyle w:val="17"/>
        <w:widowControl/>
        <w:spacing w:before="75" w:beforeAutospacing="0" w:after="75" w:afterAutospacing="0"/>
        <w:rPr>
          <w:color w:val="auto"/>
          <w:highlight w:val="none"/>
        </w:rPr>
      </w:pPr>
      <w:r>
        <w:rPr>
          <w:rFonts w:hint="eastAsia" w:ascii="宋体" w:hAnsi="宋体" w:cs="宋体"/>
          <w:color w:val="auto"/>
          <w:highlight w:val="none"/>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2C25F453">
      <w:pPr>
        <w:pStyle w:val="17"/>
        <w:widowControl/>
        <w:spacing w:before="75" w:beforeAutospacing="0" w:after="75" w:afterAutospacing="0"/>
        <w:rPr>
          <w:color w:val="auto"/>
          <w:highlight w:val="none"/>
        </w:rPr>
      </w:pPr>
      <w:r>
        <w:rPr>
          <w:rFonts w:hint="eastAsia" w:ascii="宋体" w:hAnsi="宋体" w:cs="宋体"/>
          <w:color w:val="auto"/>
          <w:highlight w:val="none"/>
        </w:rPr>
        <w:t>3、供应商提供的相应证明材料复印件均应符合：内容完整、清晰、整洁，并由供应商加盖其单位公章。</w:t>
      </w:r>
    </w:p>
    <w:p w14:paraId="511AC4F4">
      <w:pPr>
        <w:pStyle w:val="17"/>
        <w:widowControl/>
        <w:spacing w:before="75" w:beforeAutospacing="0" w:after="75" w:afterAutospacing="0"/>
        <w:rPr>
          <w:color w:val="auto"/>
          <w:highlight w:val="none"/>
        </w:rPr>
      </w:pPr>
      <w:r>
        <w:rPr>
          <w:rFonts w:hint="eastAsia" w:ascii="宋体" w:hAnsi="宋体" w:cs="宋体"/>
          <w:color w:val="auto"/>
          <w:highlight w:val="none"/>
        </w:rPr>
        <w:t>4、对于接受联合体形式的磋商且供应商是联合体的，则联合体各成员都应当提交本资格证明文件。</w:t>
      </w:r>
    </w:p>
    <w:p w14:paraId="43D23E1F">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69E66D45">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68F28E8F">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6DFDFB06">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679609B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13859DD9">
      <w:pPr>
        <w:pStyle w:val="17"/>
        <w:widowControl/>
        <w:spacing w:before="75" w:beforeAutospacing="0" w:after="75" w:afterAutospacing="0" w:line="435" w:lineRule="atLeast"/>
        <w:rPr>
          <w:color w:val="auto"/>
          <w:highlight w:val="none"/>
        </w:rPr>
      </w:pPr>
      <w:r>
        <w:rPr>
          <w:color w:val="auto"/>
          <w:highlight w:val="none"/>
        </w:rPr>
        <w:t> </w:t>
      </w:r>
    </w:p>
    <w:p w14:paraId="7C70886F">
      <w:pPr>
        <w:pStyle w:val="17"/>
        <w:widowControl/>
        <w:spacing w:before="75" w:beforeAutospacing="0" w:after="75" w:afterAutospacing="0" w:line="435" w:lineRule="atLeast"/>
        <w:rPr>
          <w:rFonts w:ascii="宋体" w:hAnsi="宋体" w:cs="宋体"/>
          <w:color w:val="auto"/>
          <w:highlight w:val="none"/>
        </w:rPr>
      </w:pPr>
    </w:p>
    <w:p w14:paraId="6CA1A458">
      <w:pPr>
        <w:pStyle w:val="17"/>
        <w:widowControl/>
        <w:spacing w:before="75" w:beforeAutospacing="0" w:after="75" w:afterAutospacing="0" w:line="435" w:lineRule="atLeast"/>
        <w:rPr>
          <w:rFonts w:ascii="宋体" w:hAnsi="宋体" w:cs="宋体"/>
          <w:color w:val="auto"/>
          <w:highlight w:val="none"/>
        </w:rPr>
      </w:pPr>
    </w:p>
    <w:p w14:paraId="46E022F1">
      <w:pPr>
        <w:rPr>
          <w:rFonts w:ascii="宋体" w:hAnsi="宋体"/>
          <w:color w:val="auto"/>
          <w:sz w:val="24"/>
          <w:highlight w:val="none"/>
        </w:rPr>
      </w:pPr>
      <w:r>
        <w:rPr>
          <w:rFonts w:hint="eastAsia" w:ascii="宋体" w:hAnsi="宋体"/>
          <w:color w:val="auto"/>
          <w:sz w:val="24"/>
          <w:highlight w:val="none"/>
        </w:rPr>
        <w:br w:type="page"/>
      </w:r>
    </w:p>
    <w:p w14:paraId="6B15640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附件3-5             </w:t>
      </w:r>
      <w:r>
        <w:rPr>
          <w:rStyle w:val="23"/>
          <w:rFonts w:hint="eastAsia" w:ascii="宋体" w:hAnsi="宋体" w:cs="宋体"/>
          <w:bCs/>
          <w:color w:val="auto"/>
          <w:highlight w:val="none"/>
        </w:rPr>
        <w:t>财务状况报告</w:t>
      </w:r>
    </w:p>
    <w:p w14:paraId="05C8EE8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41898B63">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w:t>
      </w:r>
      <w:r>
        <w:rPr>
          <w:rFonts w:cs="Calibri"/>
          <w:color w:val="auto"/>
          <w:highlight w:val="none"/>
          <w:u w:val="single"/>
        </w:rPr>
        <w:t>)      </w:t>
      </w:r>
      <w:r>
        <w:rPr>
          <w:rFonts w:hint="eastAsia" w:ascii="宋体" w:hAnsi="宋体" w:cs="宋体"/>
          <w:color w:val="auto"/>
          <w:highlight w:val="none"/>
          <w:u w:val="single"/>
        </w:rPr>
        <w:t>   </w:t>
      </w:r>
    </w:p>
    <w:p w14:paraId="56C23C94">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 ）供应商提供财务报告的</w:t>
      </w:r>
    </w:p>
    <w:p w14:paraId="7ECE05A4">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□企业适用：现附上我方</w:t>
      </w:r>
      <w:r>
        <w:rPr>
          <w:rFonts w:hint="eastAsia" w:ascii="宋体" w:hAnsi="宋体" w:cs="宋体"/>
          <w:color w:val="auto"/>
          <w:highlight w:val="none"/>
          <w:u w:val="single"/>
        </w:rPr>
        <w:t>（填写“具体的年度、或半年度、或季度”）</w:t>
      </w:r>
      <w:r>
        <w:rPr>
          <w:rFonts w:hint="eastAsia" w:ascii="宋体" w:hAnsi="宋体" w:cs="宋体"/>
          <w:color w:val="auto"/>
          <w:highlight w:val="none"/>
        </w:rPr>
        <w:t>财务报告复印件，包括资产负债表、利润表、现金流量表、所有者权益变动表及其附注（若有），上述证明材料真实有效，否则我方负全部责任。</w:t>
      </w:r>
    </w:p>
    <w:p w14:paraId="149D7F84">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□事业单位适用：现附上我方</w:t>
      </w:r>
      <w:r>
        <w:rPr>
          <w:rFonts w:hint="eastAsia" w:ascii="宋体" w:hAnsi="宋体" w:cs="宋体"/>
          <w:color w:val="auto"/>
          <w:highlight w:val="none"/>
          <w:u w:val="single"/>
        </w:rPr>
        <w:t>（填写“具体的年度、或半年度、或季度”）</w:t>
      </w:r>
      <w:r>
        <w:rPr>
          <w:rFonts w:hint="eastAsia" w:ascii="宋体" w:hAnsi="宋体" w:cs="宋体"/>
          <w:color w:val="auto"/>
          <w:highlight w:val="none"/>
        </w:rPr>
        <w:t>财务报告复印件，包括资产负债表、收入支出表或收入费用表、财政补助收入支出表（若有），上述证明材料真实有效，否则我方负全部责任。</w:t>
      </w:r>
    </w:p>
    <w:p w14:paraId="10EF54BA">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□社会团体适用：现附上我方</w:t>
      </w:r>
      <w:r>
        <w:rPr>
          <w:rFonts w:hint="eastAsia" w:ascii="宋体" w:hAnsi="宋体" w:cs="宋体"/>
          <w:color w:val="auto"/>
          <w:highlight w:val="none"/>
          <w:u w:val="single"/>
        </w:rPr>
        <w:t>（填写“具体的年度、或半年度、或季度”）</w:t>
      </w:r>
      <w:r>
        <w:rPr>
          <w:rFonts w:hint="eastAsia" w:ascii="宋体" w:hAnsi="宋体" w:cs="宋体"/>
          <w:color w:val="auto"/>
          <w:highlight w:val="none"/>
        </w:rPr>
        <w:t>财务报告复印件，包括资产负债表、业务活动表、现金流量表，上述证明材料真实有效，否则我方负全部责任。</w:t>
      </w:r>
    </w:p>
    <w:p w14:paraId="5A1D6C7D">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 ）供应商提供资信证明的</w:t>
      </w:r>
    </w:p>
    <w:p w14:paraId="4D0FD1ED">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□非自然人适用：现附上我方银行：</w:t>
      </w:r>
      <w:r>
        <w:rPr>
          <w:rFonts w:hint="eastAsia" w:ascii="宋体" w:hAnsi="宋体" w:cs="宋体"/>
          <w:color w:val="auto"/>
          <w:highlight w:val="none"/>
          <w:u w:val="single"/>
        </w:rPr>
        <w:t>（填写“开户银行全称”）</w:t>
      </w:r>
      <w:r>
        <w:rPr>
          <w:rFonts w:hint="eastAsia" w:ascii="宋体" w:hAnsi="宋体" w:cs="宋体"/>
          <w:color w:val="auto"/>
          <w:highlight w:val="none"/>
        </w:rPr>
        <w:t>出具的资信证明复印件，上述证明材料真实有效，否则我方负全部责任。</w:t>
      </w:r>
    </w:p>
    <w:p w14:paraId="75699B8C">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□自然人适用：现附上我方银行：</w:t>
      </w:r>
      <w:r>
        <w:rPr>
          <w:rFonts w:hint="eastAsia" w:ascii="宋体" w:hAnsi="宋体" w:cs="宋体"/>
          <w:color w:val="auto"/>
          <w:highlight w:val="none"/>
          <w:u w:val="single"/>
        </w:rPr>
        <w:t>（填写自然人的“个人账户的开户银行全称”）</w:t>
      </w:r>
      <w:r>
        <w:rPr>
          <w:rFonts w:hint="eastAsia" w:ascii="宋体" w:hAnsi="宋体" w:cs="宋体"/>
          <w:color w:val="auto"/>
          <w:highlight w:val="none"/>
        </w:rPr>
        <w:t>出具的资信证明复印件，上述证明材料真实有效，否则我方负全部责任。</w:t>
      </w:r>
    </w:p>
    <w:p w14:paraId="19F9578C">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 ）供应商提供投标担保函的</w:t>
      </w:r>
    </w:p>
    <w:p w14:paraId="3EEDF112">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现附上由财政部门认可的政府采购专业担保机构：</w:t>
      </w:r>
      <w:r>
        <w:rPr>
          <w:rFonts w:hint="eastAsia" w:ascii="宋体" w:hAnsi="宋体" w:cs="宋体"/>
          <w:color w:val="auto"/>
          <w:highlight w:val="none"/>
          <w:u w:val="single"/>
        </w:rPr>
        <w:t>（填写“担保机构全称”）</w:t>
      </w:r>
      <w:r>
        <w:rPr>
          <w:rFonts w:hint="eastAsia" w:ascii="宋体" w:hAnsi="宋体" w:cs="宋体"/>
          <w:color w:val="auto"/>
          <w:highlight w:val="none"/>
        </w:rPr>
        <w:t>出具的投标担保函复印件，上述证明材料真实有效，否则我方负全部责任。</w:t>
      </w:r>
    </w:p>
    <w:p w14:paraId="55F8FB75">
      <w:pPr>
        <w:pStyle w:val="17"/>
        <w:widowControl/>
        <w:spacing w:before="75" w:beforeAutospacing="0" w:after="75" w:afterAutospacing="0"/>
        <w:rPr>
          <w:color w:val="auto"/>
          <w:highlight w:val="none"/>
        </w:rPr>
      </w:pPr>
      <w:r>
        <w:rPr>
          <w:rStyle w:val="23"/>
          <w:rFonts w:hint="eastAsia" w:ascii="宋体" w:hAnsi="宋体" w:cs="宋体"/>
          <w:bCs/>
          <w:color w:val="auto"/>
          <w:highlight w:val="none"/>
        </w:rPr>
        <w:t> </w:t>
      </w:r>
    </w:p>
    <w:p w14:paraId="6C39C7D4">
      <w:pPr>
        <w:pStyle w:val="17"/>
        <w:widowControl/>
        <w:spacing w:before="75" w:beforeAutospacing="0" w:after="75" w:afterAutospacing="0"/>
        <w:rPr>
          <w:color w:val="auto"/>
          <w:highlight w:val="none"/>
        </w:rPr>
      </w:pPr>
      <w:r>
        <w:rPr>
          <w:rFonts w:hint="eastAsia" w:ascii="宋体" w:hAnsi="宋体" w:cs="宋体"/>
          <w:color w:val="auto"/>
          <w:sz w:val="21"/>
          <w:szCs w:val="21"/>
          <w:highlight w:val="none"/>
        </w:rPr>
        <w:t>★注意事项：</w:t>
      </w:r>
    </w:p>
    <w:p w14:paraId="5EB3DA6A">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1、上文提供财务报告、资信证明、担保函共三大类型，请供应商按照自身实际情况编制填写，在其中相应的（）中打“√”并选择相应的“□”（若有）后，再按照本格式的要求提供相应证明材料的复印件即可。即供应商符合上述三大类型其中一种，并按要求提供相应证明资料即为满足。</w:t>
      </w:r>
    </w:p>
    <w:p w14:paraId="138B5235">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2、供应商提供的财务报告复印件（成立年限按照首次响应文件递交截止时间推算）应符合下列规定：</w:t>
      </w:r>
    </w:p>
    <w:p w14:paraId="2E2DA18D">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2.1成立年限满1年及以上的供应商，提供经审计的上一年度的年度财务报告。</w:t>
      </w:r>
    </w:p>
    <w:p w14:paraId="41BBD135">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2.2成立年限满半年但不足1年的供应商，提供该半年度中任一季度的季度财务报告或该半年度的半年度财务报告。</w:t>
      </w:r>
    </w:p>
    <w:p w14:paraId="35ABEA5F">
      <w:pPr>
        <w:pStyle w:val="17"/>
        <w:widowControl/>
        <w:spacing w:before="75" w:beforeAutospacing="0" w:after="75" w:afterAutospacing="0"/>
        <w:ind w:firstLine="420"/>
        <w:rPr>
          <w:color w:val="auto"/>
          <w:highlight w:val="none"/>
        </w:rPr>
      </w:pPr>
      <w:r>
        <w:rPr>
          <w:rStyle w:val="23"/>
          <w:rFonts w:hint="eastAsia" w:ascii="宋体" w:hAnsi="宋体" w:cs="宋体"/>
          <w:bCs/>
          <w:color w:val="auto"/>
          <w:highlight w:val="none"/>
        </w:rPr>
        <w:t>※无法按照本格式注意事项第2.1、2.2条规定提供财务报告复印件的供应商，应按照本格式注意事项的要求选择提供资信证明复印件或投标担保函复印件。</w:t>
      </w:r>
    </w:p>
    <w:p w14:paraId="1631677D">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3、“财政部门认可的政府采购专业担保机构”应符合《财政部关于开展政府采购信用担保试点工作方案》（财库[2011]124号）的规定。</w:t>
      </w:r>
    </w:p>
    <w:p w14:paraId="33275E31">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4、供应商提供的相应证明材料复印件均应符合：内容完整、清晰、整洁，并由供应商加盖其单位公章。</w:t>
      </w:r>
    </w:p>
    <w:p w14:paraId="037AC001">
      <w:pPr>
        <w:pStyle w:val="17"/>
        <w:widowControl/>
        <w:spacing w:before="75" w:beforeAutospacing="0" w:after="75" w:afterAutospacing="0" w:line="315" w:lineRule="atLeast"/>
        <w:ind w:firstLine="420"/>
        <w:rPr>
          <w:color w:val="auto"/>
          <w:highlight w:val="none"/>
        </w:rPr>
      </w:pPr>
      <w:r>
        <w:rPr>
          <w:rFonts w:hint="eastAsia" w:ascii="宋体" w:hAnsi="宋体" w:cs="宋体"/>
          <w:color w:val="auto"/>
          <w:highlight w:val="none"/>
        </w:rPr>
        <w:t>5、对于接受联合体形式的磋商且供应商是联合体的，则联合体各成员都应当提交本资格证明文件。</w:t>
      </w:r>
    </w:p>
    <w:p w14:paraId="071157C9">
      <w:pPr>
        <w:pStyle w:val="17"/>
        <w:widowControl/>
        <w:spacing w:before="75" w:beforeAutospacing="0" w:after="75" w:afterAutospacing="0" w:line="435" w:lineRule="atLeast"/>
        <w:jc w:val="both"/>
        <w:rPr>
          <w:color w:val="auto"/>
          <w:highlight w:val="none"/>
        </w:rPr>
      </w:pPr>
      <w:r>
        <w:rPr>
          <w:rStyle w:val="23"/>
          <w:rFonts w:hint="eastAsia" w:ascii="宋体" w:hAnsi="宋体" w:cs="宋体"/>
          <w:bCs/>
          <w:color w:val="auto"/>
          <w:sz w:val="21"/>
          <w:szCs w:val="21"/>
          <w:highlight w:val="none"/>
        </w:rPr>
        <w:t> </w:t>
      </w:r>
    </w:p>
    <w:p w14:paraId="6BCCA113">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 </w:t>
      </w:r>
    </w:p>
    <w:p w14:paraId="7EFD446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D1ACD7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014EFD97">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61B8F6A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08EE1D6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64D382F5">
      <w:pPr>
        <w:pStyle w:val="17"/>
        <w:widowControl/>
        <w:spacing w:before="75" w:beforeAutospacing="0" w:after="75" w:afterAutospacing="0" w:line="435" w:lineRule="atLeast"/>
        <w:rPr>
          <w:color w:val="auto"/>
          <w:highlight w:val="none"/>
        </w:rPr>
      </w:pPr>
      <w:r>
        <w:rPr>
          <w:color w:val="auto"/>
          <w:highlight w:val="none"/>
        </w:rPr>
        <w:t> </w:t>
      </w:r>
    </w:p>
    <w:p w14:paraId="55E41193">
      <w:pPr>
        <w:pStyle w:val="17"/>
        <w:widowControl/>
        <w:spacing w:before="75" w:beforeAutospacing="0" w:after="75" w:afterAutospacing="0" w:line="435" w:lineRule="atLeast"/>
        <w:rPr>
          <w:rFonts w:ascii="宋体" w:hAnsi="宋体" w:cs="宋体"/>
          <w:color w:val="auto"/>
          <w:highlight w:val="none"/>
        </w:rPr>
      </w:pPr>
    </w:p>
    <w:p w14:paraId="63B06CE4">
      <w:pPr>
        <w:pStyle w:val="17"/>
        <w:widowControl/>
        <w:spacing w:before="75" w:beforeAutospacing="0" w:after="75" w:afterAutospacing="0" w:line="435" w:lineRule="atLeast"/>
        <w:rPr>
          <w:rFonts w:ascii="宋体" w:hAnsi="宋体" w:cs="宋体"/>
          <w:color w:val="auto"/>
          <w:highlight w:val="none"/>
        </w:rPr>
      </w:pPr>
    </w:p>
    <w:p w14:paraId="1B4B9773">
      <w:pPr>
        <w:rPr>
          <w:rFonts w:ascii="宋体" w:hAnsi="宋体"/>
          <w:color w:val="auto"/>
          <w:sz w:val="24"/>
          <w:highlight w:val="none"/>
        </w:rPr>
      </w:pPr>
      <w:r>
        <w:rPr>
          <w:rFonts w:hint="eastAsia" w:ascii="宋体" w:hAnsi="宋体"/>
          <w:color w:val="auto"/>
          <w:sz w:val="24"/>
          <w:highlight w:val="none"/>
        </w:rPr>
        <w:br w:type="page"/>
      </w:r>
    </w:p>
    <w:p w14:paraId="69A6B21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附件3-6          </w:t>
      </w:r>
      <w:r>
        <w:rPr>
          <w:rStyle w:val="23"/>
          <w:rFonts w:hint="eastAsia" w:ascii="宋体" w:hAnsi="宋体" w:cs="宋体"/>
          <w:bCs/>
          <w:color w:val="auto"/>
          <w:highlight w:val="none"/>
        </w:rPr>
        <w:t>依法缴纳税收证明材料</w:t>
      </w:r>
    </w:p>
    <w:p w14:paraId="301741B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C994660">
      <w:pPr>
        <w:pStyle w:val="17"/>
        <w:widowControl/>
        <w:spacing w:before="75" w:beforeAutospacing="0" w:after="75" w:afterAutospacing="0"/>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w:t>
      </w:r>
      <w:r>
        <w:rPr>
          <w:rFonts w:cs="Calibri"/>
          <w:color w:val="auto"/>
          <w:highlight w:val="none"/>
          <w:u w:val="single"/>
        </w:rPr>
        <w:t>)   </w:t>
      </w:r>
      <w:r>
        <w:rPr>
          <w:rFonts w:hint="eastAsia" w:ascii="宋体" w:hAnsi="宋体" w:cs="宋体"/>
          <w:color w:val="auto"/>
          <w:sz w:val="21"/>
          <w:szCs w:val="21"/>
          <w:highlight w:val="none"/>
          <w:u w:val="single"/>
        </w:rPr>
        <w:t>   </w:t>
      </w:r>
    </w:p>
    <w:p w14:paraId="53DDF4A9">
      <w:pPr>
        <w:pStyle w:val="17"/>
        <w:widowControl/>
        <w:spacing w:before="75" w:beforeAutospacing="0" w:after="75" w:afterAutospacing="0"/>
        <w:ind w:firstLine="420"/>
        <w:rPr>
          <w:color w:val="auto"/>
          <w:highlight w:val="none"/>
        </w:rPr>
      </w:pPr>
      <w:r>
        <w:rPr>
          <w:rStyle w:val="23"/>
          <w:rFonts w:hint="eastAsia" w:ascii="宋体" w:hAnsi="宋体" w:cs="宋体"/>
          <w:bCs/>
          <w:color w:val="auto"/>
          <w:highlight w:val="none"/>
        </w:rPr>
        <w:t>1、依法缴纳税收的供应商</w:t>
      </w:r>
    </w:p>
    <w:p w14:paraId="6B27DBF0">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）法人（包括企业、事业单位和社会团体）的</w:t>
      </w:r>
    </w:p>
    <w:p w14:paraId="2C124A18">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现附上自</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日期间我方缴纳的</w:t>
      </w:r>
      <w:r>
        <w:rPr>
          <w:rFonts w:hint="eastAsia" w:ascii="宋体" w:hAnsi="宋体" w:cs="宋体"/>
          <w:color w:val="auto"/>
          <w:highlight w:val="none"/>
          <w:u w:val="single"/>
        </w:rPr>
        <w:t>（按照供应商实际缴纳的税种名称填写，如：增值税、所得税等）</w:t>
      </w:r>
      <w:r>
        <w:rPr>
          <w:rFonts w:hint="eastAsia" w:ascii="宋体" w:hAnsi="宋体" w:cs="宋体"/>
          <w:color w:val="auto"/>
          <w:highlight w:val="none"/>
        </w:rPr>
        <w:t>税收凭据复印件，上述证明材料真实有效，否则我方负全部责任。</w:t>
      </w:r>
    </w:p>
    <w:p w14:paraId="65605BD1">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）非法人（包括其他组织、自然人）的</w:t>
      </w:r>
    </w:p>
    <w:p w14:paraId="47B7484C">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现附上自</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日期间我方缴纳的</w:t>
      </w:r>
      <w:r>
        <w:rPr>
          <w:rFonts w:hint="eastAsia" w:ascii="宋体" w:hAnsi="宋体" w:cs="宋体"/>
          <w:color w:val="auto"/>
          <w:highlight w:val="none"/>
          <w:u w:val="single"/>
        </w:rPr>
        <w:t>（按照供应商实际缴纳的税种名称填写）</w:t>
      </w:r>
      <w:r>
        <w:rPr>
          <w:rFonts w:hint="eastAsia" w:ascii="宋体" w:hAnsi="宋体" w:cs="宋体"/>
          <w:color w:val="auto"/>
          <w:highlight w:val="none"/>
        </w:rPr>
        <w:t>税收凭据复印件，上述证明材料真实有效，否则我方负全部责任。</w:t>
      </w:r>
    </w:p>
    <w:p w14:paraId="40F6510E">
      <w:pPr>
        <w:pStyle w:val="17"/>
        <w:widowControl/>
        <w:spacing w:before="75" w:beforeAutospacing="0" w:after="75" w:afterAutospacing="0"/>
        <w:ind w:firstLine="420"/>
        <w:rPr>
          <w:color w:val="auto"/>
          <w:highlight w:val="none"/>
        </w:rPr>
      </w:pPr>
      <w:r>
        <w:rPr>
          <w:rStyle w:val="23"/>
          <w:rFonts w:hint="eastAsia" w:ascii="宋体" w:hAnsi="宋体" w:cs="宋体"/>
          <w:bCs/>
          <w:color w:val="auto"/>
          <w:highlight w:val="none"/>
        </w:rPr>
        <w:t>2、依法免税的供应商</w:t>
      </w:r>
    </w:p>
    <w:p w14:paraId="2E985988">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）现附上我方依法免税证明材料复印件，上述证明材料真实有效，否则我方负全部责任。</w:t>
      </w:r>
    </w:p>
    <w:p w14:paraId="1194A80B">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7E5229DA">
      <w:pPr>
        <w:pStyle w:val="17"/>
        <w:widowControl/>
        <w:spacing w:before="75" w:beforeAutospacing="0" w:after="75" w:afterAutospacing="0"/>
        <w:rPr>
          <w:color w:val="auto"/>
          <w:highlight w:val="none"/>
        </w:rPr>
      </w:pPr>
      <w:r>
        <w:rPr>
          <w:rFonts w:hint="eastAsia" w:ascii="宋体" w:hAnsi="宋体" w:cs="宋体"/>
          <w:color w:val="auto"/>
          <w:highlight w:val="none"/>
        </w:rPr>
        <w:t>★注意：</w:t>
      </w:r>
    </w:p>
    <w:p w14:paraId="11E2E083">
      <w:pPr>
        <w:pStyle w:val="17"/>
        <w:widowControl/>
        <w:spacing w:before="75" w:beforeAutospacing="0" w:after="75" w:afterAutospacing="0"/>
        <w:rPr>
          <w:color w:val="auto"/>
          <w:highlight w:val="none"/>
        </w:rPr>
      </w:pPr>
      <w:r>
        <w:rPr>
          <w:rFonts w:hint="eastAsia" w:ascii="宋体" w:hAnsi="宋体" w:cs="宋体"/>
          <w:color w:val="auto"/>
          <w:highlight w:val="none"/>
        </w:rPr>
        <w:t>1、请供应商根据实际情况填写，在相应的（）中打“√”，并按照本格式的要求提供相应证明材料的复印件。</w:t>
      </w:r>
    </w:p>
    <w:p w14:paraId="2FDA5BA5">
      <w:pPr>
        <w:pStyle w:val="17"/>
        <w:widowControl/>
        <w:spacing w:before="75" w:beforeAutospacing="0" w:after="75" w:afterAutospacing="0"/>
        <w:rPr>
          <w:color w:val="auto"/>
          <w:highlight w:val="none"/>
        </w:rPr>
      </w:pPr>
      <w:r>
        <w:rPr>
          <w:rFonts w:hint="eastAsia" w:ascii="宋体" w:hAnsi="宋体" w:cs="宋体"/>
          <w:color w:val="auto"/>
          <w:highlight w:val="none"/>
        </w:rPr>
        <w:t>2、供应商提供的税收凭据复印件应符合下列规定：</w:t>
      </w:r>
    </w:p>
    <w:p w14:paraId="15C8B112">
      <w:pPr>
        <w:pStyle w:val="17"/>
        <w:widowControl/>
        <w:spacing w:before="75" w:beforeAutospacing="0" w:after="75" w:afterAutospacing="0"/>
        <w:rPr>
          <w:color w:val="auto"/>
          <w:highlight w:val="none"/>
        </w:rPr>
      </w:pPr>
      <w:r>
        <w:rPr>
          <w:rFonts w:hint="eastAsia" w:ascii="宋体" w:hAnsi="宋体" w:cs="宋体"/>
          <w:color w:val="auto"/>
          <w:highlight w:val="none"/>
        </w:rPr>
        <w:t>2.1首次响应文件递交截止时间前（不含截止时间的当月）已依法缴纳税收的供应商，提供首次响应文件递交截止时间前六个月（不含截止时间的当月）中任一月份的税收凭据复印件。</w:t>
      </w:r>
    </w:p>
    <w:p w14:paraId="40166D7C">
      <w:pPr>
        <w:pStyle w:val="17"/>
        <w:widowControl/>
        <w:spacing w:before="75" w:beforeAutospacing="0" w:after="75" w:afterAutospacing="0"/>
        <w:rPr>
          <w:color w:val="auto"/>
          <w:highlight w:val="none"/>
        </w:rPr>
      </w:pPr>
      <w:r>
        <w:rPr>
          <w:rFonts w:hint="eastAsia" w:ascii="宋体" w:hAnsi="宋体" w:cs="宋体"/>
          <w:color w:val="auto"/>
          <w:highlight w:val="none"/>
        </w:rPr>
        <w:t>2.2首次响应文件递交截止时间的当月成立且已依法缴纳税收的供应商，提供截止时间当月的税收凭据复印件。</w:t>
      </w:r>
    </w:p>
    <w:p w14:paraId="4B2BB0B9">
      <w:pPr>
        <w:pStyle w:val="17"/>
        <w:widowControl/>
        <w:spacing w:before="75" w:beforeAutospacing="0" w:after="75" w:afterAutospacing="0"/>
        <w:rPr>
          <w:color w:val="auto"/>
          <w:highlight w:val="none"/>
        </w:rPr>
      </w:pPr>
      <w:r>
        <w:rPr>
          <w:rFonts w:hint="eastAsia" w:ascii="宋体" w:hAnsi="宋体" w:cs="宋体"/>
          <w:color w:val="auto"/>
          <w:highlight w:val="none"/>
        </w:rPr>
        <w:t>2.3首次响应文件递交截止时间的当月成立但因税务机关原因而尚未依法缴纳税收的供应商，提供依法缴纳税收承诺书原件（格式自拟），该承诺书视同税收凭据。</w:t>
      </w:r>
    </w:p>
    <w:p w14:paraId="610F126A">
      <w:pPr>
        <w:pStyle w:val="17"/>
        <w:widowControl/>
        <w:spacing w:before="75" w:beforeAutospacing="0" w:after="75" w:afterAutospacing="0"/>
        <w:rPr>
          <w:color w:val="auto"/>
          <w:highlight w:val="none"/>
        </w:rPr>
      </w:pPr>
      <w:r>
        <w:rPr>
          <w:rFonts w:hint="eastAsia" w:ascii="宋体" w:hAnsi="宋体" w:cs="宋体"/>
          <w:color w:val="auto"/>
          <w:highlight w:val="none"/>
        </w:rPr>
        <w:t>3、供应商提供的相应证明材料复印件均应符合：内容完整、清晰、整洁，并由供应商加盖其单位公章。</w:t>
      </w:r>
    </w:p>
    <w:p w14:paraId="55C8FB7B">
      <w:pPr>
        <w:pStyle w:val="17"/>
        <w:widowControl/>
        <w:spacing w:before="75" w:beforeAutospacing="0" w:after="75" w:afterAutospacing="0"/>
        <w:rPr>
          <w:color w:val="auto"/>
          <w:highlight w:val="none"/>
        </w:rPr>
      </w:pPr>
      <w:r>
        <w:rPr>
          <w:rFonts w:hint="eastAsia" w:ascii="宋体" w:hAnsi="宋体" w:cs="宋体"/>
          <w:color w:val="auto"/>
          <w:highlight w:val="none"/>
        </w:rPr>
        <w:t>4、</w:t>
      </w:r>
      <w:r>
        <w:rPr>
          <w:rStyle w:val="23"/>
          <w:rFonts w:hint="eastAsia" w:ascii="宋体" w:hAnsi="宋体" w:cs="宋体"/>
          <w:bCs/>
          <w:color w:val="auto"/>
          <w:highlight w:val="none"/>
        </w:rPr>
        <w:t>“依法缴纳税收证明材料”</w:t>
      </w:r>
      <w:r>
        <w:rPr>
          <w:rFonts w:hint="eastAsia" w:ascii="宋体" w:hAnsi="宋体" w:cs="宋体"/>
          <w:color w:val="auto"/>
          <w:highlight w:val="none"/>
        </w:rPr>
        <w:t>有欠缴记录的，视为</w:t>
      </w:r>
      <w:r>
        <w:rPr>
          <w:rStyle w:val="23"/>
          <w:rFonts w:hint="eastAsia" w:ascii="宋体" w:hAnsi="宋体" w:cs="宋体"/>
          <w:bCs/>
          <w:color w:val="auto"/>
          <w:highlight w:val="none"/>
        </w:rPr>
        <w:t>未依法缴纳税收</w:t>
      </w:r>
      <w:r>
        <w:rPr>
          <w:rFonts w:hint="eastAsia" w:ascii="宋体" w:hAnsi="宋体" w:cs="宋体"/>
          <w:color w:val="auto"/>
          <w:highlight w:val="none"/>
        </w:rPr>
        <w:t>。</w:t>
      </w:r>
    </w:p>
    <w:p w14:paraId="63C3C8D6">
      <w:pPr>
        <w:pStyle w:val="17"/>
        <w:widowControl/>
        <w:spacing w:before="75" w:beforeAutospacing="0" w:after="75" w:afterAutospacing="0" w:line="315" w:lineRule="atLeast"/>
        <w:rPr>
          <w:color w:val="auto"/>
          <w:highlight w:val="none"/>
        </w:rPr>
      </w:pPr>
      <w:r>
        <w:rPr>
          <w:rFonts w:hint="eastAsia" w:ascii="宋体" w:hAnsi="宋体" w:cs="宋体"/>
          <w:color w:val="auto"/>
          <w:highlight w:val="none"/>
        </w:rPr>
        <w:t>5、对于接受联合体形式的磋商且供应商是联合体的，则联合体各成员都应当提交本资格证明文件。</w:t>
      </w:r>
    </w:p>
    <w:p w14:paraId="4F04B49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0820F4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35689A9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44B2CAA7">
      <w:pPr>
        <w:pStyle w:val="17"/>
        <w:widowControl/>
        <w:spacing w:before="75" w:beforeAutospacing="0" w:after="75" w:afterAutospacing="0"/>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09E0DD71">
      <w:pPr>
        <w:rPr>
          <w:rFonts w:ascii="宋体" w:hAnsi="宋体"/>
          <w:color w:val="auto"/>
          <w:highlight w:val="none"/>
        </w:rPr>
      </w:pPr>
      <w:r>
        <w:rPr>
          <w:rFonts w:hint="eastAsia" w:ascii="宋体" w:hAnsi="宋体"/>
          <w:color w:val="auto"/>
          <w:highlight w:val="none"/>
        </w:rPr>
        <w:br w:type="page"/>
      </w:r>
    </w:p>
    <w:p w14:paraId="0DDAC3A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附件3-7       </w:t>
      </w:r>
      <w:r>
        <w:rPr>
          <w:rStyle w:val="23"/>
          <w:rFonts w:hint="eastAsia" w:ascii="宋体" w:hAnsi="宋体" w:cs="宋体"/>
          <w:bCs/>
          <w:color w:val="auto"/>
          <w:highlight w:val="none"/>
        </w:rPr>
        <w:t>依法缴纳社会保障资金证明材料</w:t>
      </w:r>
    </w:p>
    <w:p w14:paraId="637134E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5A74B7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1B6B1B15">
      <w:pPr>
        <w:pStyle w:val="17"/>
        <w:widowControl/>
        <w:spacing w:before="75" w:beforeAutospacing="0" w:after="75" w:afterAutospacing="0"/>
        <w:ind w:firstLine="480"/>
        <w:rPr>
          <w:color w:val="auto"/>
          <w:highlight w:val="none"/>
        </w:rPr>
      </w:pPr>
      <w:r>
        <w:rPr>
          <w:rStyle w:val="23"/>
          <w:rFonts w:hint="eastAsia" w:ascii="宋体" w:hAnsi="宋体" w:cs="宋体"/>
          <w:bCs/>
          <w:color w:val="auto"/>
          <w:highlight w:val="none"/>
        </w:rPr>
        <w:t>1、依法缴纳社会保障资金的供应商</w:t>
      </w:r>
    </w:p>
    <w:p w14:paraId="554EC407">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）法人（包括企业、事业单位和社会团体）的</w:t>
      </w:r>
    </w:p>
    <w:p w14:paraId="3D42096B">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现附上自</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412BDD36">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）非法人（包括其他组织、自然人）的</w:t>
      </w:r>
    </w:p>
    <w:p w14:paraId="4C35462F">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自</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471AC1CC">
      <w:pPr>
        <w:pStyle w:val="17"/>
        <w:widowControl/>
        <w:spacing w:before="75" w:beforeAutospacing="0" w:after="75" w:afterAutospacing="0"/>
        <w:ind w:firstLine="480"/>
        <w:rPr>
          <w:color w:val="auto"/>
          <w:highlight w:val="none"/>
        </w:rPr>
      </w:pPr>
      <w:r>
        <w:rPr>
          <w:rStyle w:val="23"/>
          <w:rFonts w:hint="eastAsia" w:ascii="宋体" w:hAnsi="宋体" w:cs="宋体"/>
          <w:bCs/>
          <w:color w:val="auto"/>
          <w:highlight w:val="none"/>
        </w:rPr>
        <w:t>2、依法不需要缴纳社会保障资金的供应商</w:t>
      </w:r>
    </w:p>
    <w:p w14:paraId="45B04ACA">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）现附上我方依法不需要缴纳社会保障资金证明材料复印件，上述证明材料真实有效，否则我方负全部责任。</w:t>
      </w:r>
    </w:p>
    <w:p w14:paraId="4CB06275">
      <w:pPr>
        <w:pStyle w:val="17"/>
        <w:widowControl/>
        <w:spacing w:beforeAutospacing="0" w:afterAutospacing="0" w:line="285" w:lineRule="atLeast"/>
        <w:rPr>
          <w:color w:val="auto"/>
          <w:highlight w:val="none"/>
        </w:rPr>
      </w:pPr>
      <w:r>
        <w:rPr>
          <w:rFonts w:hint="eastAsia" w:ascii="宋体" w:hAnsi="宋体" w:cs="宋体"/>
          <w:color w:val="auto"/>
          <w:highlight w:val="none"/>
        </w:rPr>
        <w:t> </w:t>
      </w:r>
    </w:p>
    <w:p w14:paraId="33CB89B6">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★注意：</w:t>
      </w:r>
    </w:p>
    <w:p w14:paraId="7AAB7B9E">
      <w:pPr>
        <w:pStyle w:val="17"/>
        <w:widowControl/>
        <w:spacing w:beforeAutospacing="0" w:afterAutospacing="0" w:line="285" w:lineRule="atLeast"/>
        <w:rPr>
          <w:color w:val="auto"/>
          <w:highlight w:val="none"/>
        </w:rPr>
      </w:pPr>
      <w:r>
        <w:rPr>
          <w:rFonts w:hint="eastAsia" w:ascii="宋体" w:hAnsi="宋体" w:cs="宋体"/>
          <w:color w:val="auto"/>
          <w:highlight w:val="none"/>
        </w:rPr>
        <w:t>1、请供应商根据实际情况填写，在相应的（）中打“√”，并按照本格式的要求提供相应证明材料的复印件。</w:t>
      </w:r>
    </w:p>
    <w:p w14:paraId="6E87104D">
      <w:pPr>
        <w:pStyle w:val="17"/>
        <w:widowControl/>
        <w:spacing w:beforeAutospacing="0" w:afterAutospacing="0" w:line="285" w:lineRule="atLeast"/>
        <w:rPr>
          <w:color w:val="auto"/>
          <w:highlight w:val="none"/>
        </w:rPr>
      </w:pPr>
      <w:r>
        <w:rPr>
          <w:rFonts w:hint="eastAsia" w:ascii="宋体" w:hAnsi="宋体" w:cs="宋体"/>
          <w:color w:val="auto"/>
          <w:highlight w:val="none"/>
        </w:rPr>
        <w:t>2、供应商提供的社会保险凭据复印件应符合下列规定：</w:t>
      </w:r>
    </w:p>
    <w:p w14:paraId="451B48FC">
      <w:pPr>
        <w:pStyle w:val="17"/>
        <w:widowControl/>
        <w:spacing w:beforeAutospacing="0" w:afterAutospacing="0" w:line="285" w:lineRule="atLeast"/>
        <w:rPr>
          <w:color w:val="auto"/>
          <w:highlight w:val="none"/>
        </w:rPr>
      </w:pPr>
      <w:r>
        <w:rPr>
          <w:rFonts w:hint="eastAsia" w:ascii="宋体" w:hAnsi="宋体" w:cs="宋体"/>
          <w:color w:val="auto"/>
          <w:highlight w:val="none"/>
        </w:rPr>
        <w:t>2.1首次响应文件递交截止时间前（不含截止时间的当月）已依法缴纳社会保障资金的投供应商，提供首次响应文件递交截止时间前六个月（不含截止时间的当月）中任一月份的社会保险凭据复印件。</w:t>
      </w:r>
    </w:p>
    <w:p w14:paraId="239CF0FA">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2.2首次响应文件递交截止时间的当月成立且已依法缴纳社会保障资金的供应商，提供首次响应文件递交截止时间当月的社会保险凭据复印件。</w:t>
      </w:r>
    </w:p>
    <w:p w14:paraId="411B9F3B">
      <w:pPr>
        <w:pStyle w:val="17"/>
        <w:widowControl/>
        <w:spacing w:beforeAutospacing="0" w:afterAutospacing="0" w:line="285" w:lineRule="atLeast"/>
        <w:rPr>
          <w:color w:val="auto"/>
          <w:highlight w:val="none"/>
        </w:rPr>
      </w:pPr>
      <w:r>
        <w:rPr>
          <w:rFonts w:hint="eastAsia" w:ascii="宋体" w:hAnsi="宋体" w:cs="宋体"/>
          <w:color w:val="auto"/>
          <w:sz w:val="21"/>
          <w:szCs w:val="21"/>
          <w:highlight w:val="none"/>
        </w:rPr>
        <w:t>2.3</w:t>
      </w:r>
      <w:r>
        <w:rPr>
          <w:rFonts w:hint="eastAsia" w:ascii="宋体" w:hAnsi="宋体" w:cs="宋体"/>
          <w:color w:val="auto"/>
          <w:highlight w:val="none"/>
        </w:rPr>
        <w:t>首次响应文件递交截止时间的当月成立但因税务机关</w:t>
      </w:r>
      <w:r>
        <w:rPr>
          <w:rFonts w:hint="eastAsia" w:ascii="宋体" w:hAnsi="宋体" w:cs="宋体"/>
          <w:color w:val="auto"/>
          <w:sz w:val="21"/>
          <w:szCs w:val="21"/>
          <w:highlight w:val="none"/>
        </w:rPr>
        <w:t>/社会保障资金管理机关原因而尚未依法缴纳社会保障资金的</w:t>
      </w:r>
      <w:r>
        <w:rPr>
          <w:rFonts w:hint="eastAsia" w:ascii="宋体" w:hAnsi="宋体" w:cs="宋体"/>
          <w:color w:val="auto"/>
          <w:highlight w:val="none"/>
        </w:rPr>
        <w:t>供应商，提供依法缴纳社会保障资金承诺书原件（格式自拟），该承诺书视同社会保险凭据。</w:t>
      </w:r>
    </w:p>
    <w:p w14:paraId="5B359E2E">
      <w:pPr>
        <w:pStyle w:val="17"/>
        <w:widowControl/>
        <w:spacing w:beforeAutospacing="0" w:afterAutospacing="0" w:line="285" w:lineRule="atLeast"/>
        <w:rPr>
          <w:color w:val="auto"/>
          <w:highlight w:val="none"/>
        </w:rPr>
      </w:pPr>
      <w:r>
        <w:rPr>
          <w:rFonts w:hint="eastAsia" w:ascii="宋体" w:hAnsi="宋体" w:cs="宋体"/>
          <w:color w:val="auto"/>
          <w:highlight w:val="none"/>
        </w:rPr>
        <w:t>3、供应商提供的相应证明材料复印件均应符合：内容完整、清晰、整洁，并由供应商加盖其单位公章。</w:t>
      </w:r>
    </w:p>
    <w:p w14:paraId="1A3D6A12">
      <w:pPr>
        <w:pStyle w:val="17"/>
        <w:widowControl/>
        <w:spacing w:beforeAutospacing="0" w:afterAutospacing="0" w:line="285" w:lineRule="atLeast"/>
        <w:rPr>
          <w:color w:val="auto"/>
          <w:highlight w:val="none"/>
        </w:rPr>
      </w:pPr>
      <w:r>
        <w:rPr>
          <w:rFonts w:hint="eastAsia" w:ascii="宋体" w:hAnsi="宋体" w:cs="宋体"/>
          <w:color w:val="auto"/>
          <w:highlight w:val="none"/>
        </w:rPr>
        <w:t>4、“</w:t>
      </w:r>
      <w:r>
        <w:rPr>
          <w:rStyle w:val="23"/>
          <w:rFonts w:hint="eastAsia" w:ascii="宋体" w:hAnsi="宋体" w:cs="宋体"/>
          <w:bCs/>
          <w:color w:val="auto"/>
          <w:highlight w:val="none"/>
        </w:rPr>
        <w:t>依法缴纳社会保障资金证明材料</w:t>
      </w:r>
      <w:r>
        <w:rPr>
          <w:rFonts w:hint="eastAsia" w:ascii="宋体" w:hAnsi="宋体" w:cs="宋体"/>
          <w:color w:val="auto"/>
          <w:highlight w:val="none"/>
        </w:rPr>
        <w:t>”有欠缴记录的，视为</w:t>
      </w:r>
      <w:r>
        <w:rPr>
          <w:rStyle w:val="23"/>
          <w:rFonts w:hint="eastAsia" w:ascii="宋体" w:hAnsi="宋体" w:cs="宋体"/>
          <w:bCs/>
          <w:color w:val="auto"/>
          <w:highlight w:val="none"/>
        </w:rPr>
        <w:t>未依法缴纳社会保障资金</w:t>
      </w:r>
      <w:r>
        <w:rPr>
          <w:rFonts w:hint="eastAsia" w:ascii="宋体" w:hAnsi="宋体" w:cs="宋体"/>
          <w:color w:val="auto"/>
          <w:highlight w:val="none"/>
        </w:rPr>
        <w:t>。</w:t>
      </w:r>
    </w:p>
    <w:p w14:paraId="65C0239F">
      <w:pPr>
        <w:pStyle w:val="17"/>
        <w:widowControl/>
        <w:spacing w:before="75" w:beforeAutospacing="0" w:after="75" w:afterAutospacing="0" w:line="285" w:lineRule="atLeast"/>
        <w:rPr>
          <w:color w:val="auto"/>
          <w:highlight w:val="none"/>
        </w:rPr>
      </w:pPr>
      <w:r>
        <w:rPr>
          <w:rFonts w:hint="eastAsia" w:ascii="宋体" w:hAnsi="宋体" w:cs="宋体"/>
          <w:color w:val="auto"/>
          <w:highlight w:val="none"/>
        </w:rPr>
        <w:t>5、对于接受联合体形式的磋商且供应商是联合体的，则联合体各成员都应当提交本资格证明文件。</w:t>
      </w:r>
    </w:p>
    <w:p w14:paraId="57430D24">
      <w:pPr>
        <w:pStyle w:val="17"/>
        <w:widowControl/>
        <w:spacing w:beforeAutospacing="0" w:afterAutospacing="0" w:line="285" w:lineRule="atLeast"/>
        <w:rPr>
          <w:color w:val="auto"/>
          <w:highlight w:val="none"/>
        </w:rPr>
      </w:pPr>
      <w:r>
        <w:rPr>
          <w:rFonts w:hint="eastAsia" w:ascii="宋体" w:hAnsi="宋体" w:cs="宋体"/>
          <w:color w:val="auto"/>
          <w:highlight w:val="none"/>
        </w:rPr>
        <w:t> </w:t>
      </w:r>
    </w:p>
    <w:p w14:paraId="6C30CB8A">
      <w:pPr>
        <w:pStyle w:val="17"/>
        <w:widowControl/>
        <w:spacing w:beforeAutospacing="0" w:afterAutospacing="0" w:line="285" w:lineRule="atLeast"/>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50E0A9FE">
      <w:pPr>
        <w:pStyle w:val="17"/>
        <w:widowControl/>
        <w:spacing w:before="75" w:beforeAutospacing="0" w:after="75" w:afterAutospacing="0" w:line="28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32BA4E3B">
      <w:pPr>
        <w:pStyle w:val="17"/>
        <w:widowControl/>
        <w:spacing w:beforeAutospacing="0" w:afterAutospacing="0" w:line="28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40D740D3">
      <w:pPr>
        <w:rPr>
          <w:rFonts w:ascii="宋体" w:hAnsi="宋体"/>
          <w:color w:val="auto"/>
          <w:highlight w:val="none"/>
        </w:rPr>
      </w:pPr>
      <w:r>
        <w:rPr>
          <w:rFonts w:hint="eastAsia" w:ascii="宋体" w:hAnsi="宋体"/>
          <w:color w:val="auto"/>
          <w:highlight w:val="none"/>
        </w:rPr>
        <w:br w:type="page"/>
      </w:r>
    </w:p>
    <w:p w14:paraId="67FAC4A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附件3-8   </w:t>
      </w:r>
      <w:r>
        <w:rPr>
          <w:rStyle w:val="23"/>
          <w:rFonts w:hint="eastAsia" w:ascii="宋体" w:hAnsi="宋体" w:cs="宋体"/>
          <w:bCs/>
          <w:color w:val="auto"/>
          <w:highlight w:val="none"/>
        </w:rPr>
        <w:t>具备履行合同所必需设备和专业技术能力证明材料</w:t>
      </w:r>
    </w:p>
    <w:p w14:paraId="1973357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3FA0D275">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声明函</w:t>
      </w:r>
    </w:p>
    <w:p w14:paraId="6F81F28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49F0EA25">
      <w:pPr>
        <w:pStyle w:val="17"/>
        <w:widowControl/>
        <w:spacing w:before="75" w:beforeAutospacing="0" w:after="75" w:afterAutospacing="0"/>
        <w:ind w:firstLine="480"/>
        <w:rPr>
          <w:color w:val="auto"/>
          <w:highlight w:val="none"/>
        </w:rPr>
      </w:pPr>
      <w:r>
        <w:rPr>
          <w:rFonts w:hint="eastAsia" w:ascii="宋体" w:hAnsi="宋体" w:cs="宋体"/>
          <w:color w:val="auto"/>
          <w:highlight w:val="none"/>
        </w:rPr>
        <w:t>我方具备履行合同所必需的设备和专业技术能力，并对本声明承诺的真实性负责，否则产生不利后果由我方承担责任。</w:t>
      </w:r>
    </w:p>
    <w:p w14:paraId="424EF511">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特此声明。</w:t>
      </w:r>
    </w:p>
    <w:p w14:paraId="36163C6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65405A8">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★注意：</w:t>
      </w:r>
    </w:p>
    <w:p w14:paraId="79D6BCD1">
      <w:pPr>
        <w:pStyle w:val="17"/>
        <w:widowControl/>
        <w:spacing w:before="75" w:beforeAutospacing="0" w:after="75" w:afterAutospacing="0" w:line="435" w:lineRule="atLeast"/>
        <w:ind w:firstLine="480"/>
        <w:rPr>
          <w:color w:val="auto"/>
          <w:highlight w:val="none"/>
        </w:rPr>
      </w:pPr>
      <w:r>
        <w:rPr>
          <w:rStyle w:val="23"/>
          <w:rFonts w:hint="eastAsia" w:ascii="宋体" w:hAnsi="宋体" w:cs="宋体"/>
          <w:bCs/>
          <w:color w:val="auto"/>
          <w:highlight w:val="none"/>
        </w:rPr>
        <w:t>1.磋商文件“供应商的资格”中特定资格条件如果没有特别规定，则由供应商在响应文件中按上述格式提供其具备履行合同所必需的设备和专业技术能力的声明即可，声明函应加盖供应商单位公章。</w:t>
      </w:r>
    </w:p>
    <w:p w14:paraId="355D503A">
      <w:pPr>
        <w:pStyle w:val="17"/>
        <w:widowControl/>
        <w:spacing w:before="75" w:beforeAutospacing="0" w:after="75" w:afterAutospacing="0" w:line="435" w:lineRule="atLeast"/>
        <w:ind w:firstLine="480"/>
        <w:rPr>
          <w:color w:val="auto"/>
          <w:highlight w:val="none"/>
        </w:rPr>
      </w:pPr>
      <w:r>
        <w:rPr>
          <w:rStyle w:val="23"/>
          <w:rFonts w:hint="eastAsia" w:ascii="宋体" w:hAnsi="宋体" w:cs="宋体"/>
          <w:bCs/>
          <w:color w:val="auto"/>
          <w:highlight w:val="none"/>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6D68354C">
      <w:pPr>
        <w:pStyle w:val="17"/>
        <w:widowControl/>
        <w:spacing w:before="75" w:beforeAutospacing="0" w:after="75" w:afterAutospacing="0" w:line="435" w:lineRule="atLeast"/>
        <w:jc w:val="both"/>
        <w:rPr>
          <w:color w:val="auto"/>
          <w:highlight w:val="none"/>
        </w:rPr>
      </w:pPr>
      <w:r>
        <w:rPr>
          <w:rStyle w:val="23"/>
          <w:rFonts w:hint="eastAsia" w:ascii="宋体" w:hAnsi="宋体" w:cs="宋体"/>
          <w:bCs/>
          <w:color w:val="auto"/>
          <w:highlight w:val="none"/>
        </w:rPr>
        <w:t>  3.对于接受联合体形式的磋商且供应商是联合体的，则联合体各成员都应当提交本资格证明文件。</w:t>
      </w:r>
    </w:p>
    <w:p w14:paraId="571F3C8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2521A4B5">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3E2FFCA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1BF20F10">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20FB668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5397C7A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62EE2FE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775B9653">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2692E49C">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5090224">
      <w:pPr>
        <w:pStyle w:val="17"/>
        <w:widowControl/>
        <w:spacing w:before="75" w:beforeAutospacing="0" w:after="75" w:afterAutospacing="0" w:line="435" w:lineRule="atLeast"/>
        <w:rPr>
          <w:rFonts w:ascii="宋体" w:hAnsi="宋体" w:cs="宋体"/>
          <w:color w:val="auto"/>
          <w:highlight w:val="none"/>
        </w:rPr>
      </w:pPr>
    </w:p>
    <w:p w14:paraId="2374D577">
      <w:pPr>
        <w:rPr>
          <w:rFonts w:ascii="宋体" w:hAnsi="宋体"/>
          <w:color w:val="auto"/>
          <w:highlight w:val="none"/>
        </w:rPr>
      </w:pPr>
      <w:r>
        <w:rPr>
          <w:rFonts w:hint="eastAsia" w:ascii="宋体" w:hAnsi="宋体"/>
          <w:color w:val="auto"/>
          <w:highlight w:val="none"/>
        </w:rPr>
        <w:br w:type="page"/>
      </w:r>
    </w:p>
    <w:p w14:paraId="21F3928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附件3-9    </w:t>
      </w:r>
      <w:r>
        <w:rPr>
          <w:rStyle w:val="23"/>
          <w:rFonts w:hint="eastAsia" w:ascii="宋体" w:hAnsi="宋体" w:cs="宋体"/>
          <w:bCs/>
          <w:color w:val="auto"/>
          <w:highlight w:val="none"/>
        </w:rPr>
        <w:t>参加采购活动前三年内在经营活动中</w:t>
      </w:r>
    </w:p>
    <w:p w14:paraId="37DF1121">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         </w:t>
      </w:r>
    </w:p>
    <w:p w14:paraId="194ADB53">
      <w:pPr>
        <w:pStyle w:val="17"/>
        <w:widowControl/>
        <w:spacing w:before="75" w:beforeAutospacing="0" w:after="75" w:afterAutospacing="0" w:line="435" w:lineRule="atLeast"/>
        <w:ind w:firstLine="1935"/>
        <w:rPr>
          <w:color w:val="auto"/>
          <w:highlight w:val="none"/>
        </w:rPr>
      </w:pPr>
      <w:r>
        <w:rPr>
          <w:rStyle w:val="23"/>
          <w:rFonts w:hint="eastAsia" w:ascii="宋体" w:hAnsi="宋体" w:cs="宋体"/>
          <w:bCs/>
          <w:color w:val="auto"/>
          <w:highlight w:val="none"/>
        </w:rPr>
        <w:t>没有重大违法记录书面声明</w:t>
      </w:r>
    </w:p>
    <w:p w14:paraId="4566C62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6CD5DB07">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致：（采购人或采购代理机构）</w:t>
      </w:r>
    </w:p>
    <w:p w14:paraId="751EFDD5">
      <w:pPr>
        <w:pStyle w:val="17"/>
        <w:widowControl/>
        <w:spacing w:before="75" w:beforeAutospacing="0" w:after="75" w:afterAutospacing="0" w:line="435" w:lineRule="atLeast"/>
        <w:ind w:firstLine="720" w:firstLineChars="300"/>
        <w:rPr>
          <w:rFonts w:ascii="宋体" w:hAnsi="宋体" w:cs="宋体"/>
          <w:color w:val="auto"/>
          <w:highlight w:val="none"/>
        </w:rPr>
      </w:pPr>
      <w:r>
        <w:rPr>
          <w:rFonts w:hint="eastAsia" w:ascii="宋体" w:hAnsi="宋体" w:cs="宋体"/>
          <w:color w:val="auto"/>
          <w:highlight w:val="none"/>
        </w:rPr>
        <w:t>参加采购活动前三年内，我方在经营活动中没有重大违法记录，即没有因违法经营受到刑事处罚或责令停产停业、吊销许可证或执照、较大数额罚款等行政处罚。否则产生不利后果由我方承担责任。</w:t>
      </w:r>
      <w:r>
        <w:rPr>
          <w:rFonts w:hint="eastAsia" w:ascii="宋体" w:hAnsi="宋体" w:cs="宋体"/>
          <w:color w:val="auto"/>
          <w:highlight w:val="none"/>
        </w:rPr>
        <w:br w:type="textWrapping"/>
      </w:r>
    </w:p>
    <w:p w14:paraId="4612BAB8">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特此申明。</w:t>
      </w:r>
      <w:r>
        <w:rPr>
          <w:rFonts w:hint="eastAsia" w:ascii="宋体" w:hAnsi="宋体" w:cs="宋体"/>
          <w:color w:val="auto"/>
          <w:highlight w:val="none"/>
        </w:rPr>
        <w:br w:type="textWrapping"/>
      </w:r>
    </w:p>
    <w:p w14:paraId="6CFCAFCC">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供应商名称　　　　　（全称并加盖公章）</w:t>
      </w:r>
    </w:p>
    <w:p w14:paraId="11316DE6">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日期：　　年　　月　　日</w:t>
      </w:r>
    </w:p>
    <w:p w14:paraId="70416723">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※注意：</w:t>
      </w:r>
    </w:p>
    <w:p w14:paraId="3B470C13">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1、“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50F3EDA4">
      <w:pPr>
        <w:pStyle w:val="17"/>
        <w:widowControl/>
        <w:spacing w:before="75" w:beforeAutospacing="0" w:after="75" w:afterAutospacing="0" w:line="435" w:lineRule="atLeast"/>
        <w:rPr>
          <w:rFonts w:ascii="宋体" w:hAnsi="宋体" w:cs="宋体"/>
          <w:color w:val="auto"/>
          <w:highlight w:val="none"/>
        </w:rPr>
      </w:pPr>
      <w:r>
        <w:rPr>
          <w:rFonts w:hint="eastAsia" w:ascii="宋体" w:hAnsi="宋体" w:cs="宋体"/>
          <w:color w:val="auto"/>
          <w:highlight w:val="none"/>
        </w:rPr>
        <w:t>2、请供应商根据实际情况如实声明，否则视为提供虚假材料。</w:t>
      </w:r>
    </w:p>
    <w:p w14:paraId="38107A2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br w:type="textWrapping"/>
      </w:r>
      <w:r>
        <w:rPr>
          <w:rFonts w:hint="eastAsia" w:ascii="宋体" w:hAnsi="宋体" w:cs="宋体"/>
          <w:color w:val="auto"/>
          <w:highlight w:val="none"/>
        </w:rPr>
        <w:t> </w:t>
      </w:r>
    </w:p>
    <w:p w14:paraId="3B7A25C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7C8FCDF1">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761A3D5C">
      <w:pPr>
        <w:pStyle w:val="17"/>
        <w:widowControl/>
        <w:spacing w:before="75" w:beforeAutospacing="0" w:after="75" w:afterAutospacing="0" w:line="435" w:lineRule="atLeast"/>
        <w:rPr>
          <w:color w:val="auto"/>
          <w:highlight w:val="none"/>
        </w:rPr>
      </w:pPr>
      <w:r>
        <w:rPr>
          <w:color w:val="auto"/>
          <w:highlight w:val="none"/>
        </w:rPr>
        <w:t> </w:t>
      </w:r>
    </w:p>
    <w:p w14:paraId="0FD2848C">
      <w:pPr>
        <w:pStyle w:val="17"/>
        <w:widowControl/>
        <w:spacing w:before="75" w:beforeAutospacing="0" w:after="75" w:afterAutospacing="0" w:line="435" w:lineRule="atLeast"/>
        <w:rPr>
          <w:rFonts w:ascii="宋体" w:hAnsi="宋体" w:cs="宋体"/>
          <w:color w:val="auto"/>
          <w:highlight w:val="none"/>
        </w:rPr>
      </w:pPr>
    </w:p>
    <w:p w14:paraId="5998F223">
      <w:pPr>
        <w:pStyle w:val="17"/>
        <w:widowControl/>
        <w:spacing w:before="75" w:beforeAutospacing="0" w:after="75" w:afterAutospacing="0" w:line="435" w:lineRule="atLeast"/>
        <w:rPr>
          <w:rFonts w:ascii="宋体" w:hAnsi="宋体" w:cs="宋体"/>
          <w:color w:val="auto"/>
          <w:highlight w:val="none"/>
        </w:rPr>
      </w:pPr>
    </w:p>
    <w:p w14:paraId="275CF7FC">
      <w:pPr>
        <w:rPr>
          <w:rFonts w:ascii="宋体" w:hAnsi="宋体"/>
          <w:color w:val="auto"/>
          <w:sz w:val="24"/>
          <w:highlight w:val="none"/>
        </w:rPr>
      </w:pPr>
      <w:r>
        <w:rPr>
          <w:rFonts w:hint="eastAsia" w:ascii="宋体" w:hAnsi="宋体"/>
          <w:color w:val="auto"/>
          <w:sz w:val="24"/>
          <w:highlight w:val="none"/>
        </w:rPr>
        <w:br w:type="page"/>
      </w:r>
    </w:p>
    <w:p w14:paraId="7D34F3E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附件3-10       </w:t>
      </w:r>
      <w:r>
        <w:rPr>
          <w:rStyle w:val="23"/>
          <w:rFonts w:hint="eastAsia" w:ascii="宋体" w:hAnsi="宋体" w:cs="宋体"/>
          <w:bCs/>
          <w:color w:val="auto"/>
          <w:highlight w:val="none"/>
        </w:rPr>
        <w:t>信用记录查询结果</w:t>
      </w:r>
    </w:p>
    <w:p w14:paraId="164D0D1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AF95BF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     </w:t>
      </w:r>
    </w:p>
    <w:p w14:paraId="514E0CB3">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现附上截至</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w:t>
      </w:r>
      <w:r>
        <w:rPr>
          <w:rFonts w:hint="eastAsia" w:ascii="宋体" w:hAnsi="宋体" w:cs="宋体"/>
          <w:color w:val="auto"/>
          <w:highlight w:val="none"/>
          <w:u w:val="single"/>
        </w:rPr>
        <w:t>   </w:t>
      </w:r>
      <w:r>
        <w:rPr>
          <w:rFonts w:hint="eastAsia" w:ascii="宋体" w:hAnsi="宋体" w:cs="宋体"/>
          <w:color w:val="auto"/>
          <w:highlight w:val="none"/>
        </w:rPr>
        <w:t>时我方通过“信用中国”网站（www.creditchina.gov.cn）获取的我方信用信息查询结果</w:t>
      </w:r>
      <w:r>
        <w:rPr>
          <w:rFonts w:hint="eastAsia" w:ascii="宋体" w:hAnsi="宋体" w:cs="宋体"/>
          <w:color w:val="auto"/>
          <w:highlight w:val="none"/>
          <w:u w:val="single"/>
        </w:rPr>
        <w:t>（填写具体份数）</w:t>
      </w:r>
      <w:r>
        <w:rPr>
          <w:rFonts w:hint="eastAsia" w:ascii="宋体" w:hAnsi="宋体" w:cs="宋体"/>
          <w:color w:val="auto"/>
          <w:highlight w:val="none"/>
        </w:rPr>
        <w:t>份、通过中国政府采购网（www.ccgp.gov.cn）获取的我方信用信息查询结果</w:t>
      </w:r>
      <w:r>
        <w:rPr>
          <w:rFonts w:hint="eastAsia" w:ascii="宋体" w:hAnsi="宋体" w:cs="宋体"/>
          <w:color w:val="auto"/>
          <w:highlight w:val="none"/>
          <w:u w:val="single"/>
        </w:rPr>
        <w:t>（填写具体份数）</w:t>
      </w:r>
      <w:r>
        <w:rPr>
          <w:rFonts w:hint="eastAsia" w:ascii="宋体" w:hAnsi="宋体" w:cs="宋体"/>
          <w:color w:val="auto"/>
          <w:highlight w:val="none"/>
        </w:rPr>
        <w:t>份，上述信用信息查询结果真实有效，否则我方负全部责任。</w:t>
      </w:r>
    </w:p>
    <w:p w14:paraId="462C054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6E7530B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★注意：</w:t>
      </w:r>
    </w:p>
    <w:p w14:paraId="1B3432FE">
      <w:pPr>
        <w:pStyle w:val="17"/>
        <w:widowControl/>
        <w:numPr>
          <w:ilvl w:val="0"/>
          <w:numId w:val="3"/>
        </w:numPr>
        <w:spacing w:before="75" w:beforeAutospacing="0" w:after="75" w:afterAutospacing="0" w:line="435" w:lineRule="atLeast"/>
        <w:rPr>
          <w:rStyle w:val="23"/>
          <w:rFonts w:ascii="宋体" w:hAnsi="宋体" w:cs="宋体"/>
          <w:bCs/>
          <w:color w:val="auto"/>
          <w:highlight w:val="none"/>
        </w:rPr>
      </w:pPr>
      <w:r>
        <w:rPr>
          <w:rFonts w:hint="eastAsia" w:ascii="宋体" w:hAnsi="宋体" w:cs="宋体"/>
          <w:color w:val="auto"/>
          <w:highlight w:val="none"/>
        </w:rPr>
        <w:t>供应商应</w:t>
      </w:r>
      <w:r>
        <w:rPr>
          <w:rStyle w:val="23"/>
          <w:rFonts w:hint="eastAsia" w:ascii="宋体" w:hAnsi="宋体" w:cs="宋体"/>
          <w:bCs/>
          <w:color w:val="auto"/>
          <w:highlight w:val="none"/>
        </w:rPr>
        <w:t>同时提供</w:t>
      </w:r>
      <w:r>
        <w:rPr>
          <w:rFonts w:hint="eastAsia" w:ascii="宋体" w:hAnsi="宋体" w:cs="宋体"/>
          <w:color w:val="auto"/>
          <w:highlight w:val="none"/>
        </w:rPr>
        <w:t>在磋商文件要求的首次响应文件递交截止时点前通过上述2个网站获取的信用信息查询结果，信用信息查询结果应为从上述网站获取的查询结果原始页面的打印件或完整截图，</w:t>
      </w:r>
      <w:r>
        <w:rPr>
          <w:rStyle w:val="23"/>
          <w:rFonts w:hint="eastAsia" w:ascii="宋体" w:hAnsi="宋体" w:cs="宋体"/>
          <w:bCs/>
          <w:color w:val="auto"/>
          <w:highlight w:val="none"/>
        </w:rPr>
        <w:t>否则其响应文件将被否决。</w:t>
      </w:r>
    </w:p>
    <w:p w14:paraId="70BF1349">
      <w:pPr>
        <w:pStyle w:val="17"/>
        <w:widowControl/>
        <w:spacing w:before="75" w:beforeAutospacing="0" w:after="75" w:afterAutospacing="0" w:line="435" w:lineRule="atLeast"/>
        <w:rPr>
          <w:rStyle w:val="23"/>
          <w:rFonts w:ascii="宋体" w:hAnsi="宋体" w:cs="宋体"/>
          <w:b w:val="0"/>
          <w:color w:val="auto"/>
          <w:highlight w:val="none"/>
        </w:rPr>
      </w:pPr>
      <w:r>
        <w:rPr>
          <w:rStyle w:val="23"/>
          <w:rFonts w:hint="eastAsia" w:ascii="宋体" w:hAnsi="宋体" w:cs="宋体"/>
          <w:b w:val="0"/>
          <w:color w:val="auto"/>
          <w:highlight w:val="none"/>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 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434C9029">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3、若本项目接受联合体响应磋商且供应商为联合体，则联合体各成员均应</w:t>
      </w:r>
      <w:r>
        <w:rPr>
          <w:rStyle w:val="23"/>
          <w:rFonts w:hint="eastAsia" w:ascii="宋体" w:hAnsi="宋体" w:cs="宋体"/>
          <w:bCs/>
          <w:color w:val="auto"/>
          <w:highlight w:val="none"/>
        </w:rPr>
        <w:t>同时提供</w:t>
      </w:r>
      <w:r>
        <w:rPr>
          <w:rFonts w:hint="eastAsia" w:ascii="宋体" w:hAnsi="宋体" w:cs="宋体"/>
          <w:color w:val="auto"/>
          <w:highlight w:val="none"/>
        </w:rPr>
        <w:t>在磋商文件要求的首次响应文件截止时点前通过上述2个网站获取的联合体各方的信用信息查询结果，信用信息查询结果应为从上述网站获取的查询结果原始页面的完整截图或打印件，否则其响应文件将被否决。</w:t>
      </w:r>
    </w:p>
    <w:p w14:paraId="08C418ED">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4、联合体成员存在不良信用记录的，视同联合体存在不良信用记录，</w:t>
      </w:r>
      <w:r>
        <w:rPr>
          <w:rStyle w:val="23"/>
          <w:rFonts w:hint="eastAsia" w:ascii="宋体" w:hAnsi="宋体" w:cs="宋体"/>
          <w:bCs/>
          <w:color w:val="auto"/>
          <w:highlight w:val="none"/>
        </w:rPr>
        <w:t>其响应文件将被否决。</w:t>
      </w:r>
    </w:p>
    <w:p w14:paraId="3A4DBCE6">
      <w:pPr>
        <w:pStyle w:val="17"/>
        <w:widowControl/>
        <w:spacing w:before="75" w:beforeAutospacing="0" w:after="75" w:afterAutospacing="0" w:line="435" w:lineRule="atLeast"/>
        <w:rPr>
          <w:color w:val="auto"/>
          <w:highlight w:val="none"/>
        </w:rPr>
      </w:pPr>
      <w:r>
        <w:rPr>
          <w:rStyle w:val="23"/>
          <w:rFonts w:hint="eastAsia" w:ascii="宋体" w:hAnsi="宋体" w:cs="宋体"/>
          <w:bCs/>
          <w:color w:val="auto"/>
          <w:highlight w:val="none"/>
        </w:rPr>
        <w:t>※除上述规定外，信用记录的其他有关规定（包括但不限于：信用信息的查询渠道及截止时点、查询记录和证据留存的具体方式、使用规则等内容）详见磋商文件第一章。 </w:t>
      </w:r>
    </w:p>
    <w:p w14:paraId="6A5B09FC">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供应商代表：</w:t>
      </w:r>
      <w:r>
        <w:rPr>
          <w:rFonts w:hint="eastAsia" w:ascii="宋体" w:hAnsi="宋体" w:cs="宋体"/>
          <w:color w:val="auto"/>
          <w:highlight w:val="none"/>
          <w:u w:val="single"/>
        </w:rPr>
        <w:t>             （签字） </w:t>
      </w:r>
    </w:p>
    <w:p w14:paraId="59E062A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5E6621C4">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 </w:t>
      </w:r>
    </w:p>
    <w:p w14:paraId="1065003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r>
        <w:rPr>
          <w:color w:val="auto"/>
          <w:highlight w:val="none"/>
        </w:rPr>
        <w:t> </w:t>
      </w:r>
    </w:p>
    <w:p w14:paraId="56B16787">
      <w:pPr>
        <w:rPr>
          <w:color w:val="auto"/>
          <w:highlight w:val="none"/>
        </w:rPr>
      </w:pPr>
      <w:r>
        <w:rPr>
          <w:color w:val="auto"/>
          <w:highlight w:val="none"/>
        </w:rPr>
        <w:br w:type="page"/>
      </w:r>
    </w:p>
    <w:p w14:paraId="11DABF0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附件3-11   </w:t>
      </w:r>
      <w:r>
        <w:rPr>
          <w:rStyle w:val="23"/>
          <w:rFonts w:hint="eastAsia" w:ascii="宋体" w:hAnsi="宋体" w:cs="宋体"/>
          <w:bCs/>
          <w:color w:val="auto"/>
          <w:highlight w:val="none"/>
        </w:rPr>
        <w:t> 联合体协议</w:t>
      </w:r>
    </w:p>
    <w:p w14:paraId="77BEA726">
      <w:pPr>
        <w:pStyle w:val="17"/>
        <w:widowControl/>
        <w:spacing w:before="75" w:beforeAutospacing="0" w:after="75" w:afterAutospacing="0" w:line="435" w:lineRule="atLeast"/>
        <w:jc w:val="center"/>
        <w:rPr>
          <w:color w:val="auto"/>
          <w:highlight w:val="none"/>
        </w:rPr>
      </w:pPr>
      <w:r>
        <w:rPr>
          <w:rStyle w:val="23"/>
          <w:rFonts w:hint="eastAsia" w:ascii="宋体" w:hAnsi="宋体" w:cs="宋体"/>
          <w:bCs/>
          <w:color w:val="auto"/>
          <w:highlight w:val="none"/>
        </w:rPr>
        <w:t>（接受联合体的项目使用）</w:t>
      </w:r>
    </w:p>
    <w:p w14:paraId="295B86E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2A4572A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(采购人或采购代理机构</w:t>
      </w:r>
      <w:r>
        <w:rPr>
          <w:rFonts w:cs="Calibri"/>
          <w:color w:val="auto"/>
          <w:highlight w:val="none"/>
          <w:u w:val="single"/>
        </w:rPr>
        <w:t>)    </w:t>
      </w:r>
      <w:r>
        <w:rPr>
          <w:rFonts w:hint="eastAsia" w:ascii="宋体" w:hAnsi="宋体" w:cs="宋体"/>
          <w:color w:val="auto"/>
          <w:highlight w:val="none"/>
        </w:rPr>
        <w:t> </w:t>
      </w:r>
    </w:p>
    <w:p w14:paraId="540E7B0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兹有（</w:t>
      </w:r>
      <w:r>
        <w:rPr>
          <w:rFonts w:hint="eastAsia" w:ascii="宋体" w:hAnsi="宋体" w:cs="宋体"/>
          <w:color w:val="auto"/>
          <w:highlight w:val="none"/>
          <w:u w:val="single"/>
        </w:rPr>
        <w:t>填写“联合体中各方的全称”，各方的全称之间请用“、”分割</w:t>
      </w:r>
      <w:r>
        <w:rPr>
          <w:rFonts w:hint="eastAsia" w:ascii="宋体" w:hAnsi="宋体" w:cs="宋体"/>
          <w:color w:val="auto"/>
          <w:highlight w:val="none"/>
        </w:rPr>
        <w:t>）自愿组成联合体，共同参加（填写</w:t>
      </w:r>
      <w:r>
        <w:rPr>
          <w:rFonts w:hint="eastAsia" w:ascii="宋体" w:hAnsi="宋体" w:cs="宋体"/>
          <w:color w:val="auto"/>
          <w:highlight w:val="none"/>
          <w:u w:val="single"/>
        </w:rPr>
        <w:t>         “项目名称”           </w:t>
      </w:r>
      <w:r>
        <w:rPr>
          <w:rFonts w:hint="eastAsia" w:ascii="宋体" w:hAnsi="宋体" w:cs="宋体"/>
          <w:color w:val="auto"/>
          <w:highlight w:val="none"/>
        </w:rPr>
        <w:t>） 项目（项目编号：</w:t>
      </w:r>
      <w:r>
        <w:rPr>
          <w:rFonts w:hint="eastAsia" w:ascii="宋体" w:hAnsi="宋体" w:cs="宋体"/>
          <w:color w:val="auto"/>
          <w:highlight w:val="none"/>
          <w:u w:val="single"/>
        </w:rPr>
        <w:t>         </w:t>
      </w:r>
      <w:r>
        <w:rPr>
          <w:rFonts w:hint="eastAsia" w:ascii="宋体" w:hAnsi="宋体" w:cs="宋体"/>
          <w:color w:val="auto"/>
          <w:highlight w:val="none"/>
        </w:rPr>
        <w:t>）的响应磋商。现就联合体参加本项目响应磋商的有关事宜达成下列协议：</w:t>
      </w:r>
    </w:p>
    <w:p w14:paraId="12BA4E40">
      <w:pPr>
        <w:pStyle w:val="17"/>
        <w:widowControl/>
        <w:spacing w:before="75" w:beforeAutospacing="0" w:after="75" w:afterAutospacing="0" w:line="435" w:lineRule="atLeast"/>
        <w:jc w:val="both"/>
        <w:rPr>
          <w:rFonts w:ascii="宋体" w:hAnsi="宋体" w:cs="宋体"/>
          <w:color w:val="auto"/>
          <w:highlight w:val="none"/>
        </w:rPr>
      </w:pPr>
      <w:r>
        <w:rPr>
          <w:rFonts w:hint="eastAsia" w:ascii="宋体" w:hAnsi="宋体" w:cs="宋体"/>
          <w:color w:val="auto"/>
          <w:highlight w:val="none"/>
        </w:rPr>
        <w:t>一、联合体各方应承担的工作和义务具体如下：</w:t>
      </w:r>
    </w:p>
    <w:p w14:paraId="64B75BFD">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1联合体牵头方单位名称：  </w:t>
      </w:r>
    </w:p>
    <w:p w14:paraId="08D440B8">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u w:val="single"/>
        </w:rPr>
        <w:t>      （填写“工作及义务的具体内容”）          </w:t>
      </w:r>
      <w:r>
        <w:rPr>
          <w:rFonts w:hint="eastAsia" w:ascii="宋体" w:hAnsi="宋体" w:cs="宋体"/>
          <w:color w:val="auto"/>
          <w:highlight w:val="none"/>
        </w:rPr>
        <w:t> ；</w:t>
      </w:r>
    </w:p>
    <w:p w14:paraId="7C40A91D">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2、联合体成员方单位名称：                       </w:t>
      </w:r>
    </w:p>
    <w:p w14:paraId="724D3BCF">
      <w:pPr>
        <w:pStyle w:val="17"/>
        <w:widowControl/>
        <w:spacing w:before="75" w:beforeAutospacing="0" w:after="75" w:afterAutospacing="0" w:line="435" w:lineRule="atLeast"/>
        <w:ind w:firstLine="480"/>
        <w:jc w:val="both"/>
        <w:rPr>
          <w:rFonts w:ascii="宋体" w:hAnsi="宋体" w:cs="宋体"/>
          <w:color w:val="auto"/>
          <w:highlight w:val="none"/>
        </w:rPr>
      </w:pPr>
      <w:r>
        <w:rPr>
          <w:rFonts w:hint="eastAsia" w:ascii="宋体" w:hAnsi="宋体" w:cs="宋体"/>
          <w:color w:val="auto"/>
          <w:highlight w:val="none"/>
        </w:rPr>
        <w:t>2.1（成员一的全称）：</w:t>
      </w:r>
      <w:r>
        <w:rPr>
          <w:rFonts w:hint="eastAsia" w:ascii="宋体" w:hAnsi="宋体" w:cs="宋体"/>
          <w:color w:val="auto"/>
          <w:highlight w:val="none"/>
          <w:u w:val="single"/>
        </w:rPr>
        <w:t> （填写“工作及义务的具体内容”）      </w:t>
      </w:r>
      <w:r>
        <w:rPr>
          <w:rFonts w:hint="eastAsia" w:ascii="宋体" w:hAnsi="宋体" w:cs="宋体"/>
          <w:color w:val="auto"/>
          <w:highlight w:val="none"/>
        </w:rPr>
        <w:t>；  </w:t>
      </w:r>
    </w:p>
    <w:p w14:paraId="567790F4">
      <w:pPr>
        <w:pStyle w:val="17"/>
        <w:widowControl/>
        <w:spacing w:before="75" w:beforeAutospacing="0" w:after="75" w:afterAutospacing="0" w:line="435" w:lineRule="atLeast"/>
        <w:ind w:firstLine="480"/>
        <w:jc w:val="both"/>
        <w:rPr>
          <w:color w:val="auto"/>
          <w:highlight w:val="none"/>
        </w:rPr>
      </w:pPr>
      <w:r>
        <w:rPr>
          <w:rFonts w:hint="eastAsia" w:ascii="宋体" w:hAnsi="宋体" w:cs="宋体"/>
          <w:color w:val="auto"/>
          <w:highlight w:val="none"/>
        </w:rPr>
        <w:t> ……</w:t>
      </w:r>
    </w:p>
    <w:p w14:paraId="5D064D7D">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75B5C725">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二、联合体各方约定由（</w:t>
      </w:r>
      <w:r>
        <w:rPr>
          <w:rFonts w:hint="eastAsia" w:ascii="宋体" w:hAnsi="宋体" w:cs="宋体"/>
          <w:color w:val="auto"/>
          <w:highlight w:val="none"/>
          <w:u w:val="single"/>
        </w:rPr>
        <w:t>填写“牵头方的全称”</w:t>
      </w:r>
      <w:r>
        <w:rPr>
          <w:rFonts w:hint="eastAsia" w:ascii="宋体" w:hAnsi="宋体" w:cs="宋体"/>
          <w:color w:val="auto"/>
          <w:highlight w:val="none"/>
        </w:rPr>
        <w:t>）代表联合体办理参加本项目响应磋商的有关事宜（包括但不限于：派出供应商代表、提交响应文件及参加磋商、澄清等工作），在此过程中，供应商代表签署的一切文件和处理结果，联合体各方均予以认可并对此承担责任。</w:t>
      </w:r>
    </w:p>
    <w:p w14:paraId="5B0D1FF1">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三、联合体各方约定由（填写</w:t>
      </w:r>
      <w:r>
        <w:rPr>
          <w:rFonts w:hint="eastAsia" w:ascii="宋体" w:hAnsi="宋体" w:cs="宋体"/>
          <w:color w:val="auto"/>
          <w:highlight w:val="none"/>
          <w:u w:val="single"/>
        </w:rPr>
        <w:t>填写“牵头方的全称”</w:t>
      </w:r>
      <w:r>
        <w:rPr>
          <w:rFonts w:hint="eastAsia" w:ascii="宋体" w:hAnsi="宋体" w:cs="宋体"/>
          <w:color w:val="auto"/>
          <w:highlight w:val="none"/>
        </w:rPr>
        <w:t>）代表联合体办理磋商保证金事宜。</w:t>
      </w:r>
    </w:p>
    <w:p w14:paraId="2CAD7C43">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四、若成交，牵头方将代表联合体与采购人就合同签订事宜进行协商；若协商一致，则联合体各方将共同与采购人签订政府采购合同，并就政府采购合同约定的事项对采购人承担连带责任。</w:t>
      </w:r>
    </w:p>
    <w:p w14:paraId="1C824C2C">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五、本协议自签署之日起生效，政府采购合同履行完毕后自动失效。</w:t>
      </w:r>
    </w:p>
    <w:p w14:paraId="27DFB41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六、本协议一式（填写具体份数）份，联合体各方各执一份，响应文件中提交一份。</w:t>
      </w:r>
    </w:p>
    <w:p w14:paraId="58087C0A">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（以下无正文）</w:t>
      </w:r>
    </w:p>
    <w:p w14:paraId="1C06298A">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3945D3AE">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牵头方：</w:t>
      </w:r>
      <w:r>
        <w:rPr>
          <w:rFonts w:hint="eastAsia" w:ascii="宋体" w:hAnsi="宋体" w:cs="宋体"/>
          <w:color w:val="auto"/>
          <w:highlight w:val="none"/>
          <w:u w:val="single"/>
        </w:rPr>
        <w:t>（全称并加盖单位公章）</w:t>
      </w:r>
    </w:p>
    <w:p w14:paraId="7EEDE509">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（签字或盖章）  </w:t>
      </w:r>
    </w:p>
    <w:p w14:paraId="772741BB">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3D93AAD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成员一：</w:t>
      </w:r>
      <w:r>
        <w:rPr>
          <w:rFonts w:hint="eastAsia" w:ascii="宋体" w:hAnsi="宋体" w:cs="宋体"/>
          <w:color w:val="auto"/>
          <w:highlight w:val="none"/>
          <w:u w:val="single"/>
        </w:rPr>
        <w:t>（全称并加盖成员一的单位公章）</w:t>
      </w:r>
    </w:p>
    <w:p w14:paraId="7C6202CC">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（签字或盖章）  </w:t>
      </w:r>
    </w:p>
    <w:p w14:paraId="178A67E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w:t>
      </w:r>
    </w:p>
    <w:p w14:paraId="0F9B6A8A">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1F85A286">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成员**：</w:t>
      </w:r>
      <w:r>
        <w:rPr>
          <w:rFonts w:hint="eastAsia" w:ascii="宋体" w:hAnsi="宋体" w:cs="宋体"/>
          <w:color w:val="auto"/>
          <w:highlight w:val="none"/>
          <w:u w:val="single"/>
        </w:rPr>
        <w:t>（全称并加盖成员**的单位公章）</w:t>
      </w:r>
    </w:p>
    <w:p w14:paraId="6D9AE1D7">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（签字或盖章）  </w:t>
      </w:r>
    </w:p>
    <w:p w14:paraId="3B6FD154">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60D3B3EF">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7F4720EC">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签署日期：</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w:t>
      </w:r>
    </w:p>
    <w:p w14:paraId="14003B5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F364F2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31E686D">
      <w:pPr>
        <w:pStyle w:val="17"/>
        <w:widowControl/>
        <w:spacing w:before="75" w:beforeAutospacing="0" w:after="75" w:afterAutospacing="0" w:line="435" w:lineRule="atLeast"/>
        <w:rPr>
          <w:color w:val="auto"/>
          <w:highlight w:val="none"/>
        </w:rPr>
      </w:pPr>
      <w:r>
        <w:rPr>
          <w:rFonts w:hint="eastAsia" w:ascii="宋体" w:hAnsi="宋体" w:cs="宋体"/>
          <w:color w:val="auto"/>
          <w:sz w:val="21"/>
          <w:szCs w:val="21"/>
          <w:highlight w:val="none"/>
        </w:rPr>
        <w:t>★注意：</w:t>
      </w:r>
    </w:p>
    <w:p w14:paraId="7BBDDF33">
      <w:pPr>
        <w:pStyle w:val="17"/>
        <w:widowControl/>
        <w:spacing w:before="75" w:beforeAutospacing="0" w:after="75" w:afterAutospacing="0"/>
        <w:rPr>
          <w:color w:val="auto"/>
          <w:highlight w:val="none"/>
        </w:rPr>
      </w:pPr>
      <w:r>
        <w:rPr>
          <w:rFonts w:hint="eastAsia" w:ascii="宋体" w:hAnsi="宋体" w:cs="宋体"/>
          <w:color w:val="auto"/>
          <w:highlight w:val="none"/>
        </w:rPr>
        <w:t>1、若磋商文件规定接受联合体形式且供应商为联合体的，则供应商应提供本协议；否则无须提供。</w:t>
      </w:r>
    </w:p>
    <w:p w14:paraId="203EAEE8">
      <w:pPr>
        <w:pStyle w:val="17"/>
        <w:widowControl/>
        <w:spacing w:before="75" w:beforeAutospacing="0" w:after="75" w:afterAutospacing="0"/>
        <w:rPr>
          <w:color w:val="auto"/>
          <w:highlight w:val="none"/>
        </w:rPr>
      </w:pPr>
      <w:r>
        <w:rPr>
          <w:rFonts w:hint="eastAsia" w:ascii="宋体" w:hAnsi="宋体" w:cs="宋体"/>
          <w:color w:val="auto"/>
          <w:highlight w:val="none"/>
        </w:rPr>
        <w:t>2、本协议中的供应商代表如果不是竞争性磋商须知中定义的“单位负责人”，则还必须提供“单位负责人授权书”。</w:t>
      </w:r>
    </w:p>
    <w:p w14:paraId="654B9A65">
      <w:pPr>
        <w:pStyle w:val="17"/>
        <w:widowControl/>
        <w:spacing w:before="75" w:beforeAutospacing="0" w:after="75" w:afterAutospacing="0"/>
        <w:rPr>
          <w:color w:val="auto"/>
          <w:highlight w:val="none"/>
        </w:rPr>
      </w:pPr>
      <w:r>
        <w:rPr>
          <w:rFonts w:hint="eastAsia" w:ascii="宋体" w:hAnsi="宋体" w:cs="宋体"/>
          <w:color w:val="auto"/>
          <w:highlight w:val="none"/>
        </w:rPr>
        <w:t>3、若磋商文件规定接受联合体形式且供应商为联合体的，纸质响应文件正本中的本协议应为原件。</w:t>
      </w:r>
    </w:p>
    <w:p w14:paraId="1E578BD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606D36B3">
      <w:pPr>
        <w:pStyle w:val="17"/>
        <w:widowControl/>
        <w:spacing w:before="75" w:beforeAutospacing="0" w:after="75" w:afterAutospacing="0" w:line="435" w:lineRule="atLeast"/>
        <w:rPr>
          <w:color w:val="auto"/>
          <w:highlight w:val="none"/>
        </w:rPr>
      </w:pPr>
    </w:p>
    <w:p w14:paraId="1EB46A4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27255C74">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286D9EB3">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076D127A">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77CE5CB7">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462BDCF1">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38F4DF4D">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56FC6C2B">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323C5FC8">
      <w:pPr>
        <w:pStyle w:val="17"/>
        <w:widowControl/>
        <w:spacing w:before="75" w:beforeAutospacing="0" w:after="75" w:afterAutospacing="0" w:line="435" w:lineRule="atLeast"/>
        <w:rPr>
          <w:rFonts w:ascii="宋体" w:hAnsi="宋体" w:cs="宋体"/>
          <w:color w:val="auto"/>
          <w:highlight w:val="none"/>
        </w:rPr>
      </w:pPr>
    </w:p>
    <w:p w14:paraId="3160666B">
      <w:pPr>
        <w:pStyle w:val="5"/>
        <w:widowControl/>
        <w:spacing w:before="0" w:beforeAutospacing="0" w:after="0" w:afterAutospacing="0" w:line="360" w:lineRule="exact"/>
        <w:jc w:val="center"/>
        <w:rPr>
          <w:rFonts w:hint="default" w:cs="宋体"/>
          <w:color w:val="auto"/>
          <w:highlight w:val="none"/>
        </w:rPr>
      </w:pPr>
      <w:r>
        <w:rPr>
          <w:rFonts w:cs="宋体"/>
          <w:color w:val="auto"/>
          <w:highlight w:val="none"/>
        </w:rPr>
        <w:t>附件3-12       附件3-12分包意向协议（若有）</w:t>
      </w:r>
    </w:p>
    <w:p w14:paraId="57BEFE11">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甲方（总包方）：</w:t>
      </w:r>
      <w:r>
        <w:rPr>
          <w:rFonts w:hint="eastAsia" w:ascii="宋体" w:hAnsi="宋体" w:cs="宋体"/>
          <w:color w:val="auto"/>
          <w:highlight w:val="none"/>
          <w:u w:val="single"/>
        </w:rPr>
        <w:t>　　　　　　　</w:t>
      </w:r>
      <w:r>
        <w:rPr>
          <w:rFonts w:hint="eastAsia" w:ascii="宋体" w:hAnsi="宋体" w:cs="宋体"/>
          <w:color w:val="auto"/>
          <w:highlight w:val="none"/>
        </w:rPr>
        <w:t>（即本项目的供应商）</w:t>
      </w:r>
    </w:p>
    <w:p w14:paraId="5EE08BCE">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乙方（分包方）：</w:t>
      </w:r>
      <w:r>
        <w:rPr>
          <w:rFonts w:hint="eastAsia" w:ascii="宋体" w:hAnsi="宋体" w:cs="宋体"/>
          <w:color w:val="auto"/>
          <w:highlight w:val="none"/>
          <w:u w:val="single"/>
        </w:rPr>
        <w:t>　　　　　　　</w:t>
      </w:r>
    </w:p>
    <w:p w14:paraId="05CF1363">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兹有甲方参加</w:t>
      </w:r>
      <w:r>
        <w:rPr>
          <w:rFonts w:hint="eastAsia" w:ascii="宋体" w:hAnsi="宋体" w:cs="宋体"/>
          <w:color w:val="auto"/>
          <w:highlight w:val="none"/>
          <w:u w:val="single"/>
        </w:rPr>
        <w:t>（填写“项目名称”）</w:t>
      </w:r>
      <w:r>
        <w:rPr>
          <w:rFonts w:hint="eastAsia" w:ascii="宋体" w:hAnsi="宋体" w:cs="宋体"/>
          <w:color w:val="auto"/>
          <w:highlight w:val="none"/>
        </w:rPr>
        <w:t> 项目（项目编号：</w:t>
      </w:r>
      <w:r>
        <w:rPr>
          <w:rFonts w:hint="eastAsia" w:ascii="宋体" w:hAnsi="宋体" w:cs="宋体"/>
          <w:color w:val="auto"/>
          <w:highlight w:val="none"/>
          <w:u w:val="single"/>
        </w:rPr>
        <w:t>　　　　　　　</w:t>
      </w:r>
      <w:r>
        <w:rPr>
          <w:rFonts w:hint="eastAsia" w:ascii="宋体" w:hAnsi="宋体" w:cs="宋体"/>
          <w:color w:val="auto"/>
          <w:highlight w:val="none"/>
        </w:rPr>
        <w:t>）的政府采购活动。甲方期望将采购项目的部分采购标的分包给乙方完成，而乙方保证能够向甲方提供本协议项下的采购标的，甲、乙双方就合同分包的有关事宜达成下列协议：</w:t>
      </w:r>
    </w:p>
    <w:p w14:paraId="39D54A77">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一、分包标的</w:t>
      </w:r>
    </w:p>
    <w:p w14:paraId="68F7F4FF">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u w:val="single"/>
        </w:rPr>
        <w:t>（根据双方的意向填写，可以是表格或文字描述）。</w:t>
      </w:r>
    </w:p>
    <w:p w14:paraId="32060F79">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二、分包合同金额占比</w:t>
      </w:r>
    </w:p>
    <w:p w14:paraId="267CCC1B">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分包合同价占投标总价的比例：</w:t>
      </w:r>
      <w:r>
        <w:rPr>
          <w:rFonts w:hint="eastAsia" w:ascii="宋体" w:hAnsi="宋体" w:cs="宋体"/>
          <w:color w:val="auto"/>
          <w:highlight w:val="none"/>
          <w:u w:val="single"/>
        </w:rPr>
        <w:t>　　　　　</w:t>
      </w:r>
      <w:r>
        <w:rPr>
          <w:rFonts w:hint="eastAsia" w:ascii="宋体" w:hAnsi="宋体" w:cs="宋体"/>
          <w:color w:val="auto"/>
          <w:highlight w:val="none"/>
        </w:rPr>
        <w:t>%</w:t>
      </w:r>
    </w:p>
    <w:p w14:paraId="175D6C0A">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三、其他条款</w:t>
      </w:r>
    </w:p>
    <w:p w14:paraId="492C25D0">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0"/>
        <w:tblW w:w="5000" w:type="pct"/>
        <w:tblInd w:w="0" w:type="dxa"/>
        <w:tblLayout w:type="autofit"/>
        <w:tblCellMar>
          <w:top w:w="0" w:type="dxa"/>
          <w:left w:w="0" w:type="dxa"/>
          <w:bottom w:w="0" w:type="dxa"/>
          <w:right w:w="0" w:type="dxa"/>
        </w:tblCellMar>
      </w:tblPr>
      <w:tblGrid>
        <w:gridCol w:w="4993"/>
        <w:gridCol w:w="4993"/>
      </w:tblGrid>
      <w:tr w14:paraId="4D3D7A9F">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47F866DC">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甲方：</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6FA02FCF">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乙方：</w:t>
            </w:r>
          </w:p>
        </w:tc>
      </w:tr>
      <w:tr w14:paraId="32F96AA5">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187F47A5">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住所：</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68C31BEE">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住所：</w:t>
            </w:r>
          </w:p>
        </w:tc>
      </w:tr>
      <w:tr w14:paraId="0D0EB74A">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C2B8010">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单位负责人或委托代理人：</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37168457">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单位负责人或委托代理人：</w:t>
            </w:r>
          </w:p>
        </w:tc>
      </w:tr>
      <w:tr w14:paraId="60403E4B">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1C3FD684">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联系方法：</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40D5204">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联系方法：</w:t>
            </w:r>
          </w:p>
        </w:tc>
      </w:tr>
      <w:tr w14:paraId="3BAB9163">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4626E18">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开户银行：</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1E12295C">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开户银行：</w:t>
            </w:r>
          </w:p>
        </w:tc>
      </w:tr>
      <w:tr w14:paraId="4B037F50">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E8F60DC">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账号：</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56725BE">
            <w:pPr>
              <w:pStyle w:val="17"/>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账号：</w:t>
            </w:r>
          </w:p>
        </w:tc>
      </w:tr>
      <w:tr w14:paraId="5D6DD18F">
        <w:tblPrEx>
          <w:tblCellMar>
            <w:top w:w="0" w:type="dxa"/>
            <w:left w:w="0" w:type="dxa"/>
            <w:bottom w:w="0" w:type="dxa"/>
            <w:right w:w="0" w:type="dxa"/>
          </w:tblCellMar>
        </w:tblPrEx>
        <w:tc>
          <w:tcPr>
            <w:tcW w:w="5000" w:type="pct"/>
            <w:gridSpan w:val="2"/>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62F38763">
            <w:pPr>
              <w:pStyle w:val="17"/>
              <w:widowControl/>
              <w:wordWrap w:val="0"/>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rPr>
              <w:t>签订地点：</w:t>
            </w:r>
            <w:r>
              <w:rPr>
                <w:rFonts w:hint="eastAsia" w:ascii="宋体" w:hAnsi="宋体" w:cs="宋体"/>
                <w:color w:val="auto"/>
                <w:highlight w:val="none"/>
                <w:u w:val="single"/>
              </w:rPr>
              <w:t>　　　　　　　　　　</w:t>
            </w:r>
          </w:p>
          <w:p w14:paraId="1AC1221A">
            <w:pPr>
              <w:pStyle w:val="17"/>
              <w:widowControl/>
              <w:wordWrap w:val="0"/>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rPr>
              <w:t>签约日期：</w:t>
            </w:r>
            <w:r>
              <w:rPr>
                <w:rFonts w:hint="eastAsia" w:ascii="宋体" w:hAnsi="宋体" w:cs="宋体"/>
                <w:color w:val="auto"/>
                <w:highlight w:val="none"/>
                <w:u w:val="single"/>
              </w:rPr>
              <w:t>　　年　　月　　日</w:t>
            </w:r>
          </w:p>
        </w:tc>
      </w:tr>
    </w:tbl>
    <w:p w14:paraId="04DEF044">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※注意：</w:t>
      </w:r>
    </w:p>
    <w:p w14:paraId="2F478EF6">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1.竞争性磋商文件接受合同分包且供应商拟将合同分包的，应提供本协议；否则无须提供。</w:t>
      </w:r>
    </w:p>
    <w:p w14:paraId="315C0642">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2.本协议由委托代理人签字或盖章的，应按照本章载明的格式提供“单位授权书”。</w:t>
      </w:r>
    </w:p>
    <w:p w14:paraId="209CF7D6">
      <w:pPr>
        <w:pStyle w:val="17"/>
        <w:widowControl/>
        <w:spacing w:beforeAutospacing="0" w:afterAutospacing="0" w:line="360" w:lineRule="exact"/>
        <w:ind w:firstLine="420"/>
        <w:rPr>
          <w:color w:val="auto"/>
          <w:highlight w:val="none"/>
        </w:rPr>
      </w:pPr>
      <w:r>
        <w:rPr>
          <w:rFonts w:hint="eastAsia" w:ascii="宋体" w:hAnsi="宋体" w:cs="宋体"/>
          <w:color w:val="auto"/>
          <w:highlight w:val="none"/>
        </w:rPr>
        <w:t>3.在以合同分包形式落实中小企业预留份额项目中，供应商除了要提供《中小企业声明函》，还需提供本协议。</w:t>
      </w:r>
    </w:p>
    <w:p w14:paraId="1D90E1EA">
      <w:pPr>
        <w:pStyle w:val="17"/>
        <w:widowControl/>
        <w:spacing w:before="75" w:beforeAutospacing="0" w:after="75" w:afterAutospacing="0"/>
        <w:rPr>
          <w:color w:val="auto"/>
          <w:highlight w:val="none"/>
        </w:rPr>
      </w:pPr>
      <w:r>
        <w:rPr>
          <w:color w:val="auto"/>
          <w:highlight w:val="none"/>
        </w:rPr>
        <w:t> </w:t>
      </w:r>
    </w:p>
    <w:p w14:paraId="06B48607">
      <w:pPr>
        <w:pStyle w:val="17"/>
        <w:widowControl/>
        <w:spacing w:before="75" w:beforeAutospacing="0" w:after="75" w:afterAutospacing="0"/>
        <w:rPr>
          <w:rFonts w:ascii="宋体" w:hAnsi="宋体" w:cs="宋体"/>
          <w:color w:val="auto"/>
          <w:highlight w:val="none"/>
        </w:rPr>
      </w:pPr>
    </w:p>
    <w:p w14:paraId="0645B832">
      <w:pPr>
        <w:rPr>
          <w:rFonts w:ascii="宋体" w:hAnsi="宋体"/>
          <w:color w:val="auto"/>
          <w:highlight w:val="none"/>
        </w:rPr>
      </w:pPr>
      <w:r>
        <w:rPr>
          <w:rFonts w:hint="eastAsia" w:ascii="宋体" w:hAnsi="宋体"/>
          <w:color w:val="auto"/>
          <w:highlight w:val="none"/>
        </w:rPr>
        <w:br w:type="page"/>
      </w:r>
    </w:p>
    <w:p w14:paraId="76D283F1">
      <w:pPr>
        <w:pStyle w:val="17"/>
        <w:widowControl/>
        <w:spacing w:before="75" w:beforeAutospacing="0" w:after="75" w:afterAutospacing="0"/>
        <w:rPr>
          <w:rStyle w:val="23"/>
          <w:rFonts w:ascii="宋体" w:hAnsi="宋体" w:cs="宋体"/>
          <w:bCs/>
          <w:color w:val="auto"/>
          <w:highlight w:val="none"/>
        </w:rPr>
      </w:pPr>
      <w:r>
        <w:rPr>
          <w:rFonts w:hint="eastAsia" w:ascii="宋体" w:hAnsi="宋体" w:cs="宋体"/>
          <w:color w:val="auto"/>
          <w:highlight w:val="none"/>
        </w:rPr>
        <w:t>附件3-13          </w:t>
      </w:r>
      <w:r>
        <w:rPr>
          <w:rStyle w:val="23"/>
          <w:rFonts w:hint="eastAsia" w:ascii="宋体" w:hAnsi="宋体" w:cs="宋体"/>
          <w:bCs/>
          <w:color w:val="auto"/>
          <w:highlight w:val="none"/>
        </w:rPr>
        <w:t>其它资格证明文件</w:t>
      </w:r>
    </w:p>
    <w:p w14:paraId="379CAB4C">
      <w:pPr>
        <w:pStyle w:val="17"/>
        <w:widowControl/>
        <w:spacing w:before="75" w:beforeAutospacing="0" w:after="75" w:afterAutospacing="0"/>
        <w:rPr>
          <w:rStyle w:val="23"/>
          <w:rFonts w:ascii="宋体" w:hAnsi="宋体" w:cs="宋体"/>
          <w:bCs/>
          <w:color w:val="auto"/>
          <w:highlight w:val="none"/>
        </w:rPr>
      </w:pPr>
    </w:p>
    <w:p w14:paraId="7AA7F1C0">
      <w:pPr>
        <w:pStyle w:val="17"/>
        <w:widowControl/>
        <w:spacing w:before="75" w:beforeAutospacing="0" w:after="75" w:afterAutospacing="0"/>
        <w:rPr>
          <w:color w:val="auto"/>
          <w:highlight w:val="none"/>
        </w:rPr>
      </w:pPr>
      <w:r>
        <w:rPr>
          <w:rStyle w:val="23"/>
          <w:rFonts w:hint="eastAsia" w:ascii="宋体" w:hAnsi="宋体" w:cs="宋体"/>
          <w:bCs/>
          <w:color w:val="auto"/>
          <w:highlight w:val="none"/>
        </w:rPr>
        <w:t>                   （如果有的话）</w:t>
      </w:r>
    </w:p>
    <w:p w14:paraId="23D35A9A">
      <w:pPr>
        <w:pStyle w:val="17"/>
        <w:widowControl/>
        <w:spacing w:before="75" w:beforeAutospacing="0" w:after="75" w:afterAutospacing="0" w:line="435" w:lineRule="atLeast"/>
        <w:rPr>
          <w:rFonts w:ascii="宋体" w:hAnsi="宋体" w:cs="宋体"/>
          <w:color w:val="auto"/>
          <w:highlight w:val="none"/>
        </w:rPr>
      </w:pPr>
    </w:p>
    <w:p w14:paraId="3C6D7232">
      <w:pPr>
        <w:pStyle w:val="17"/>
        <w:widowControl/>
        <w:spacing w:before="75" w:beforeAutospacing="0" w:after="75" w:afterAutospacing="0" w:line="435" w:lineRule="atLeast"/>
        <w:ind w:firstLine="480"/>
        <w:rPr>
          <w:rFonts w:ascii="宋体" w:hAnsi="宋体" w:cs="宋体"/>
          <w:color w:val="auto"/>
          <w:highlight w:val="none"/>
        </w:rPr>
      </w:pPr>
      <w:r>
        <w:rPr>
          <w:rFonts w:hint="eastAsia" w:ascii="宋体" w:hAnsi="宋体" w:cs="宋体"/>
          <w:color w:val="auto"/>
          <w:highlight w:val="none"/>
        </w:rPr>
        <w:t>说明：</w:t>
      </w:r>
    </w:p>
    <w:p w14:paraId="5A42D73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采购人或采购代理机构可以根据项目的特点和需要，在磋商文件“供应商的资格”中特定资格条件，对其它资格证明文件进行具体规定，供应商应按照磋商文件要求，在此项下提供相关证明材料，并加盖供应商单位公章。</w:t>
      </w:r>
    </w:p>
    <w:p w14:paraId="6045648F">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2、若磋商文件规定接受联合体形式且供应商为联合体的，涉及联合体成员的其它资格证明文件在此处提供相关证明材料，并加盖供应商单位公章。</w:t>
      </w:r>
    </w:p>
    <w:p w14:paraId="028C40C4">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2101DE4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tbl>
      <w:tblPr>
        <w:tblStyle w:val="20"/>
        <w:tblW w:w="9776" w:type="dxa"/>
        <w:tblCellSpacing w:w="0" w:type="dxa"/>
        <w:tblInd w:w="1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808"/>
        <w:gridCol w:w="5968"/>
      </w:tblGrid>
      <w:tr w14:paraId="3ABAA0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2" w:hRule="atLeast"/>
          <w:tblCellSpacing w:w="0" w:type="dxa"/>
        </w:trPr>
        <w:tc>
          <w:tcPr>
            <w:tcW w:w="3808" w:type="dxa"/>
            <w:vAlign w:val="center"/>
          </w:tcPr>
          <w:p w14:paraId="31CAB668">
            <w:pPr>
              <w:widowControl/>
              <w:jc w:val="center"/>
              <w:rPr>
                <w:rFonts w:ascii="宋体" w:hAnsi="宋体"/>
                <w:b/>
                <w:color w:val="auto"/>
                <w:highlight w:val="none"/>
              </w:rPr>
            </w:pPr>
            <w:r>
              <w:rPr>
                <w:rFonts w:hint="eastAsia" w:ascii="宋体" w:hAnsi="宋体"/>
                <w:b/>
                <w:color w:val="auto"/>
                <w:kern w:val="0"/>
                <w:sz w:val="24"/>
                <w:highlight w:val="none"/>
              </w:rPr>
              <w:t>明细</w:t>
            </w:r>
          </w:p>
        </w:tc>
        <w:tc>
          <w:tcPr>
            <w:tcW w:w="5968" w:type="dxa"/>
            <w:vAlign w:val="center"/>
          </w:tcPr>
          <w:p w14:paraId="3D9778EC">
            <w:pPr>
              <w:widowControl/>
              <w:jc w:val="center"/>
              <w:rPr>
                <w:rFonts w:ascii="宋体" w:hAnsi="宋体"/>
                <w:b/>
                <w:color w:val="auto"/>
                <w:highlight w:val="none"/>
              </w:rPr>
            </w:pPr>
            <w:r>
              <w:rPr>
                <w:rFonts w:hint="eastAsia" w:ascii="宋体" w:hAnsi="宋体"/>
                <w:b/>
                <w:color w:val="auto"/>
                <w:kern w:val="0"/>
                <w:sz w:val="24"/>
                <w:highlight w:val="none"/>
              </w:rPr>
              <w:t>描述</w:t>
            </w:r>
          </w:p>
        </w:tc>
      </w:tr>
      <w:tr w14:paraId="3E0502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4" w:hRule="atLeast"/>
          <w:tblCellSpacing w:w="0" w:type="dxa"/>
        </w:trPr>
        <w:tc>
          <w:tcPr>
            <w:tcW w:w="3808" w:type="dxa"/>
            <w:vAlign w:val="center"/>
          </w:tcPr>
          <w:p w14:paraId="4B6E0D49">
            <w:pPr>
              <w:pStyle w:val="34"/>
              <w:jc w:val="center"/>
              <w:rPr>
                <w:rFonts w:hint="default" w:ascii="宋体" w:hAnsi="宋体"/>
                <w:b/>
                <w:color w:val="auto"/>
                <w:sz w:val="24"/>
                <w:highlight w:val="none"/>
              </w:rPr>
            </w:pPr>
            <w:r>
              <w:rPr>
                <w:rFonts w:ascii="宋体" w:hAnsi="宋体"/>
                <w:color w:val="auto"/>
                <w:sz w:val="24"/>
                <w:szCs w:val="24"/>
                <w:highlight w:val="none"/>
              </w:rPr>
              <w:t>其他资格要求1</w:t>
            </w:r>
          </w:p>
        </w:tc>
        <w:tc>
          <w:tcPr>
            <w:tcW w:w="5968" w:type="dxa"/>
            <w:vAlign w:val="center"/>
          </w:tcPr>
          <w:p w14:paraId="5C417C44">
            <w:pPr>
              <w:pStyle w:val="34"/>
              <w:jc w:val="both"/>
              <w:rPr>
                <w:rFonts w:hint="default" w:ascii="宋体" w:hAnsi="宋体"/>
                <w:b/>
                <w:color w:val="auto"/>
                <w:sz w:val="24"/>
                <w:highlight w:val="none"/>
              </w:rPr>
            </w:pPr>
            <w:r>
              <w:rPr>
                <w:rFonts w:ascii="宋体" w:hAnsi="宋体"/>
                <w:color w:val="auto"/>
                <w:sz w:val="24"/>
                <w:szCs w:val="24"/>
                <w:highlight w:val="none"/>
              </w:rPr>
              <w:t>供应商具备建筑装修装饰工程专业承包二级及以上资质和《施工企业安全生产许可证》复印件。</w:t>
            </w:r>
          </w:p>
        </w:tc>
      </w:tr>
      <w:tr w14:paraId="092439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195E7EDF">
            <w:pPr>
              <w:pStyle w:val="34"/>
              <w:jc w:val="center"/>
              <w:rPr>
                <w:rFonts w:hint="default" w:ascii="宋体" w:hAnsi="宋体"/>
                <w:b/>
                <w:color w:val="auto"/>
                <w:sz w:val="24"/>
                <w:highlight w:val="none"/>
              </w:rPr>
            </w:pPr>
            <w:r>
              <w:rPr>
                <w:rFonts w:ascii="宋体" w:hAnsi="宋体"/>
                <w:color w:val="auto"/>
                <w:sz w:val="24"/>
                <w:szCs w:val="24"/>
                <w:highlight w:val="none"/>
              </w:rPr>
              <w:t>其他资格要求2</w:t>
            </w:r>
          </w:p>
        </w:tc>
        <w:tc>
          <w:tcPr>
            <w:tcW w:w="5968" w:type="dxa"/>
            <w:vAlign w:val="center"/>
          </w:tcPr>
          <w:p w14:paraId="49C712A9">
            <w:pPr>
              <w:pStyle w:val="34"/>
              <w:jc w:val="both"/>
              <w:rPr>
                <w:rFonts w:hint="default" w:ascii="宋体" w:hAnsi="宋体"/>
                <w:b/>
                <w:color w:val="auto"/>
                <w:sz w:val="24"/>
                <w:highlight w:val="none"/>
              </w:rPr>
            </w:pPr>
            <w:r>
              <w:rPr>
                <w:rFonts w:ascii="宋体" w:hAnsi="宋体"/>
                <w:color w:val="auto"/>
                <w:sz w:val="24"/>
                <w:szCs w:val="24"/>
                <w:highlight w:val="none"/>
              </w:rPr>
              <w:t>供应商拟担任本项目的项目负责人（即项目经理）须具备有效的不低于二级建筑工程专业注册建造师执业资格，并具备有效的安全生产考核合格证书（B证）。拟派出项目负责人必须为供应商本企业在岗人员，以注册建造师证书上的注册单位为准。须提供注册建造师执业资格证书、安全生产考核合格证书B证及</w:t>
            </w:r>
            <w:r>
              <w:rPr>
                <w:rFonts w:ascii="宋体" w:hAnsi="宋体"/>
                <w:color w:val="auto"/>
                <w:sz w:val="22"/>
                <w:szCs w:val="22"/>
                <w:highlight w:val="none"/>
              </w:rPr>
              <w:t>提交响应文件前六个月（不含响应截止时间当月）内任一个月由供应商为其缴纳的社会保险凭据复印件</w:t>
            </w:r>
            <w:r>
              <w:rPr>
                <w:rFonts w:ascii="宋体" w:hAnsi="宋体"/>
                <w:color w:val="auto"/>
                <w:sz w:val="24"/>
                <w:szCs w:val="24"/>
                <w:highlight w:val="none"/>
              </w:rPr>
              <w:t>。</w:t>
            </w:r>
          </w:p>
        </w:tc>
      </w:tr>
      <w:tr w14:paraId="638E0C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37A499B7">
            <w:pPr>
              <w:widowControl/>
              <w:jc w:val="left"/>
              <w:rPr>
                <w:rFonts w:ascii="宋体" w:hAnsi="宋体"/>
                <w:color w:val="auto"/>
                <w:sz w:val="24"/>
                <w:highlight w:val="none"/>
              </w:rPr>
            </w:pPr>
            <w:r>
              <w:rPr>
                <w:rFonts w:ascii="宋体" w:hAnsi="宋体"/>
                <w:color w:val="auto"/>
                <w:kern w:val="0"/>
                <w:sz w:val="24"/>
                <w:highlight w:val="none"/>
              </w:rPr>
              <w:t>落实政府采购政策的证明材料（专门面向中小企业采购）</w:t>
            </w:r>
          </w:p>
        </w:tc>
        <w:tc>
          <w:tcPr>
            <w:tcW w:w="5968" w:type="dxa"/>
            <w:vAlign w:val="center"/>
          </w:tcPr>
          <w:p w14:paraId="3747DFC0">
            <w:pPr>
              <w:widowControl/>
              <w:jc w:val="left"/>
              <w:rPr>
                <w:rFonts w:ascii="宋体" w:hAnsi="宋体"/>
                <w:color w:val="auto"/>
                <w:sz w:val="24"/>
                <w:highlight w:val="none"/>
              </w:rPr>
            </w:pPr>
            <w:r>
              <w:rPr>
                <w:rFonts w:ascii="宋体" w:hAnsi="宋体"/>
                <w:color w:val="auto"/>
                <w:kern w:val="0"/>
                <w:sz w:val="24"/>
                <w:highlight w:val="none"/>
              </w:rPr>
              <w:t>①本项目专门面向符合财政部、工信部文件（财库〔2020〕46号）规定的中、小、微企业。</w:t>
            </w:r>
            <w:r>
              <w:rPr>
                <w:rFonts w:hint="eastAsia" w:ascii="宋体" w:hAnsi="宋体"/>
                <w:color w:val="auto"/>
                <w:kern w:val="0"/>
                <w:sz w:val="24"/>
                <w:highlight w:val="none"/>
              </w:rPr>
              <w:t>供应商</w:t>
            </w:r>
            <w:r>
              <w:rPr>
                <w:rFonts w:ascii="宋体" w:hAnsi="宋体"/>
                <w:color w:val="auto"/>
                <w:kern w:val="0"/>
                <w:sz w:val="24"/>
                <w:highlight w:val="none"/>
              </w:rPr>
              <w:t>须提供《中小企业声明函》。</w:t>
            </w:r>
            <w:r>
              <w:rPr>
                <w:rFonts w:hint="eastAsia" w:ascii="宋体" w:hAnsi="宋体"/>
                <w:color w:val="auto"/>
                <w:kern w:val="0"/>
                <w:sz w:val="24"/>
                <w:highlight w:val="none"/>
              </w:rPr>
              <w:t>供应商</w:t>
            </w:r>
            <w:r>
              <w:rPr>
                <w:rFonts w:ascii="宋体" w:hAnsi="宋体"/>
                <w:color w:val="auto"/>
                <w:kern w:val="0"/>
                <w:sz w:val="24"/>
                <w:highlight w:val="none"/>
              </w:rPr>
              <w:t>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②监狱企业视同小型、微型企业，</w:t>
            </w:r>
            <w:r>
              <w:rPr>
                <w:rFonts w:hint="eastAsia" w:ascii="宋体" w:hAnsi="宋体"/>
                <w:color w:val="auto"/>
                <w:kern w:val="0"/>
                <w:sz w:val="24"/>
                <w:highlight w:val="none"/>
              </w:rPr>
              <w:t>供应商</w:t>
            </w:r>
            <w:r>
              <w:rPr>
                <w:rFonts w:ascii="宋体" w:hAnsi="宋体"/>
                <w:color w:val="auto"/>
                <w:kern w:val="0"/>
                <w:sz w:val="24"/>
                <w:highlight w:val="none"/>
              </w:rPr>
              <w:t>为监狱企业的，可不提供中小企业声明函，但须提供由省级以上监狱管理局、戒毒管理局（含新疆生产建设兵团）出具的属于监狱企业的证明文件。③残疾人福利性单位视同小型、微型企业，</w:t>
            </w:r>
            <w:r>
              <w:rPr>
                <w:rFonts w:hint="eastAsia" w:ascii="宋体" w:hAnsi="宋体"/>
                <w:color w:val="auto"/>
                <w:kern w:val="0"/>
                <w:sz w:val="24"/>
                <w:highlight w:val="none"/>
              </w:rPr>
              <w:t>供应商</w:t>
            </w:r>
            <w:r>
              <w:rPr>
                <w:rFonts w:ascii="宋体" w:hAnsi="宋体"/>
                <w:color w:val="auto"/>
                <w:kern w:val="0"/>
                <w:sz w:val="24"/>
                <w:highlight w:val="none"/>
              </w:rPr>
              <w:t>为残疾人福利性单位的，可不提供中小企业声明函，但须提供的《残疾人福利性单位声明函》。注：本项目为</w:t>
            </w:r>
            <w:r>
              <w:rPr>
                <w:rFonts w:hint="eastAsia" w:ascii="宋体" w:hAnsi="宋体"/>
                <w:color w:val="auto"/>
                <w:kern w:val="0"/>
                <w:sz w:val="24"/>
                <w:highlight w:val="none"/>
              </w:rPr>
              <w:t>工程</w:t>
            </w:r>
            <w:r>
              <w:rPr>
                <w:rFonts w:ascii="宋体" w:hAnsi="宋体"/>
                <w:color w:val="auto"/>
                <w:kern w:val="0"/>
                <w:sz w:val="24"/>
                <w:highlight w:val="none"/>
              </w:rPr>
              <w:t>类采购项目，采购标的对应的中小企业划分标准所属行业为</w:t>
            </w:r>
            <w:r>
              <w:rPr>
                <w:rStyle w:val="23"/>
                <w:rFonts w:hint="eastAsia" w:ascii="宋体" w:hAnsi="宋体"/>
                <w:bCs/>
                <w:color w:val="auto"/>
                <w:kern w:val="0"/>
                <w:sz w:val="24"/>
                <w:highlight w:val="none"/>
              </w:rPr>
              <w:t>建筑业</w:t>
            </w:r>
            <w:r>
              <w:rPr>
                <w:rFonts w:ascii="宋体" w:hAnsi="宋体"/>
                <w:color w:val="auto"/>
                <w:kern w:val="0"/>
                <w:sz w:val="24"/>
                <w:highlight w:val="none"/>
              </w:rPr>
              <w:t>。</w:t>
            </w:r>
          </w:p>
        </w:tc>
      </w:tr>
      <w:tr w14:paraId="2448D8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808" w:type="dxa"/>
            <w:vAlign w:val="center"/>
          </w:tcPr>
          <w:p w14:paraId="3146EF63">
            <w:pPr>
              <w:widowControl/>
              <w:wordWrap w:val="0"/>
              <w:spacing w:line="400" w:lineRule="exact"/>
              <w:jc w:val="center"/>
              <w:rPr>
                <w:rFonts w:ascii="宋体" w:hAnsi="宋体"/>
                <w:color w:val="auto"/>
                <w:kern w:val="0"/>
                <w:sz w:val="24"/>
                <w:highlight w:val="none"/>
              </w:rPr>
            </w:pPr>
            <w:r>
              <w:rPr>
                <w:rFonts w:hint="eastAsia" w:ascii="宋体" w:hAnsi="宋体"/>
                <w:color w:val="auto"/>
                <w:kern w:val="0"/>
                <w:sz w:val="24"/>
                <w:highlight w:val="none"/>
              </w:rPr>
              <w:t>资格承诺函</w:t>
            </w:r>
          </w:p>
        </w:tc>
        <w:tc>
          <w:tcPr>
            <w:tcW w:w="5968" w:type="dxa"/>
            <w:vAlign w:val="center"/>
          </w:tcPr>
          <w:p w14:paraId="440AFE0A">
            <w:pPr>
              <w:snapToGrid w:val="0"/>
              <w:spacing w:line="360" w:lineRule="exact"/>
              <w:rPr>
                <w:rFonts w:ascii="宋体" w:hAnsi="宋体"/>
                <w:color w:val="auto"/>
                <w:kern w:val="0"/>
                <w:sz w:val="24"/>
                <w:highlight w:val="none"/>
              </w:rPr>
            </w:pPr>
            <w:r>
              <w:rPr>
                <w:rFonts w:hint="eastAsia" w:ascii="宋体" w:hAnsi="宋体"/>
                <w:color w:val="auto"/>
                <w:kern w:val="0"/>
                <w:sz w:val="24"/>
                <w:highlight w:val="none"/>
              </w:rPr>
              <w:t>根据《福建省财政厅关于印发推行政府采购供应商资格承诺制指导意见的通知》（闽财购(2024)6号）的规定，依法在福建省参与政府采购活动的供应商，鼓励提供《政府采购供应商资格承诺函》(格式见“</w:t>
            </w:r>
            <w:r>
              <w:rPr>
                <w:rFonts w:hint="eastAsia" w:ascii="宋体" w:hAnsi="宋体"/>
                <w:color w:val="auto"/>
                <w:sz w:val="24"/>
                <w:highlight w:val="none"/>
              </w:rPr>
              <w:t>第五章响应文件格式”</w:t>
            </w:r>
            <w:r>
              <w:rPr>
                <w:rFonts w:hint="eastAsia" w:ascii="宋体" w:hAnsi="宋体"/>
                <w:color w:val="auto"/>
                <w:kern w:val="0"/>
                <w:sz w:val="24"/>
                <w:highlight w:val="none"/>
              </w:rPr>
              <w:t>的“福建省政府采购供应商资格承诺函”)，在投标(响应)文件中可不提供《中华人民共和国政府采购法实施条例》第十七条第一款规定的资格条件证明材料（</w:t>
            </w:r>
            <w:r>
              <w:rPr>
                <w:rFonts w:hint="eastAsia" w:ascii="宋体" w:hAnsi="宋体"/>
                <w:color w:val="auto"/>
                <w:spacing w:val="-3"/>
                <w:sz w:val="24"/>
                <w:highlight w:val="none"/>
              </w:rPr>
              <w:t>证明材料指法人或者其他组织的营业执照等证明文件、财务状况报告证明文件、依法缴纳税收和社会保障资金的证明文件、</w:t>
            </w:r>
            <w:r>
              <w:rPr>
                <w:rFonts w:hint="eastAsia" w:ascii="宋体" w:hAnsi="宋体"/>
                <w:color w:val="auto"/>
                <w:kern w:val="0"/>
                <w:sz w:val="24"/>
                <w:highlight w:val="none"/>
              </w:rPr>
              <w:t>具备履行合同所必需设备和专业技术能力的声明函、参加政府采购活动前三</w:t>
            </w:r>
            <w:r>
              <w:rPr>
                <w:rFonts w:hint="eastAsia" w:ascii="宋体" w:hAnsi="宋体"/>
                <w:color w:val="auto"/>
                <w:spacing w:val="-5"/>
                <w:sz w:val="24"/>
                <w:highlight w:val="none"/>
              </w:rPr>
              <w:t>年内在经营活动中没有重大违法记录的书面声明</w:t>
            </w:r>
            <w:r>
              <w:rPr>
                <w:rFonts w:hint="eastAsia" w:ascii="宋体" w:hAnsi="宋体"/>
                <w:color w:val="auto"/>
                <w:spacing w:val="20"/>
                <w:sz w:val="24"/>
                <w:highlight w:val="none"/>
              </w:rPr>
              <w:t>）</w:t>
            </w:r>
            <w:r>
              <w:rPr>
                <w:rFonts w:hint="eastAsia" w:ascii="宋体" w:hAnsi="宋体"/>
                <w:color w:val="auto"/>
                <w:kern w:val="0"/>
                <w:sz w:val="24"/>
                <w:highlight w:val="none"/>
              </w:rPr>
              <w:t>。供应商应对其承诺内容的真实性、合法性、有效性负责。</w:t>
            </w:r>
          </w:p>
        </w:tc>
      </w:tr>
    </w:tbl>
    <w:p w14:paraId="398E4395">
      <w:pPr>
        <w:pStyle w:val="17"/>
        <w:widowControl/>
        <w:spacing w:before="75" w:beforeAutospacing="0" w:after="75" w:afterAutospacing="0" w:line="435" w:lineRule="atLeast"/>
        <w:ind w:firstLine="480"/>
        <w:rPr>
          <w:color w:val="auto"/>
          <w:highlight w:val="none"/>
        </w:rPr>
      </w:pPr>
    </w:p>
    <w:p w14:paraId="0A08B400">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 </w:t>
      </w:r>
    </w:p>
    <w:p w14:paraId="5DC4F18B">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4D9F82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A675AE3">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29083365">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65630DC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3FE62290">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3D2737D2">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D7E922F">
      <w:pPr>
        <w:rPr>
          <w:rFonts w:ascii="宋体" w:hAnsi="宋体"/>
          <w:color w:val="auto"/>
          <w:sz w:val="24"/>
          <w:highlight w:val="none"/>
        </w:rPr>
      </w:pPr>
      <w:r>
        <w:rPr>
          <w:rFonts w:hint="eastAsia" w:ascii="宋体" w:hAnsi="宋体"/>
          <w:color w:val="auto"/>
          <w:sz w:val="24"/>
          <w:highlight w:val="none"/>
        </w:rPr>
        <w:br w:type="page"/>
      </w:r>
    </w:p>
    <w:p w14:paraId="2BAAD518">
      <w:pPr>
        <w:pStyle w:val="17"/>
        <w:widowControl/>
        <w:spacing w:before="75" w:beforeAutospacing="0" w:after="75" w:afterAutospacing="0"/>
        <w:rPr>
          <w:color w:val="auto"/>
          <w:highlight w:val="none"/>
        </w:rPr>
      </w:pPr>
      <w:r>
        <w:rPr>
          <w:rFonts w:hint="eastAsia" w:ascii="宋体" w:hAnsi="宋体" w:cs="宋体"/>
          <w:color w:val="auto"/>
          <w:highlight w:val="none"/>
        </w:rPr>
        <w:t> 附件4        </w:t>
      </w:r>
      <w:r>
        <w:rPr>
          <w:rStyle w:val="23"/>
          <w:rFonts w:hint="eastAsia" w:ascii="宋体" w:hAnsi="宋体" w:cs="宋体"/>
          <w:bCs/>
          <w:color w:val="auto"/>
          <w:highlight w:val="none"/>
        </w:rPr>
        <w:t>磋商保证金凭证</w:t>
      </w:r>
    </w:p>
    <w:p w14:paraId="4031E9E0">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6D2DC839">
      <w:pPr>
        <w:pStyle w:val="17"/>
        <w:widowControl/>
        <w:spacing w:before="75" w:beforeAutospacing="0" w:after="75" w:afterAutospacing="0"/>
        <w:ind w:firstLine="3360"/>
        <w:jc w:val="both"/>
        <w:rPr>
          <w:color w:val="auto"/>
          <w:highlight w:val="none"/>
        </w:rPr>
      </w:pPr>
      <w:r>
        <w:rPr>
          <w:rFonts w:hint="eastAsia" w:ascii="宋体" w:hAnsi="宋体" w:cs="宋体"/>
          <w:color w:val="auto"/>
          <w:highlight w:val="none"/>
        </w:rPr>
        <w:t>编制说明</w:t>
      </w:r>
    </w:p>
    <w:p w14:paraId="599641E6">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62DDECC1">
      <w:pPr>
        <w:pStyle w:val="17"/>
        <w:widowControl/>
        <w:spacing w:before="75" w:beforeAutospacing="0" w:after="75" w:afterAutospacing="0"/>
        <w:rPr>
          <w:color w:val="auto"/>
          <w:highlight w:val="none"/>
        </w:rPr>
      </w:pPr>
      <w:r>
        <w:rPr>
          <w:rFonts w:hint="eastAsia" w:ascii="宋体" w:hAnsi="宋体" w:cs="宋体"/>
          <w:color w:val="auto"/>
          <w:sz w:val="21"/>
          <w:szCs w:val="21"/>
          <w:highlight w:val="none"/>
        </w:rPr>
        <w:t>1、</w:t>
      </w:r>
      <w:r>
        <w:rPr>
          <w:rFonts w:hint="eastAsia" w:ascii="宋体" w:hAnsi="宋体" w:cs="宋体"/>
          <w:color w:val="auto"/>
          <w:highlight w:val="none"/>
        </w:rPr>
        <w:t>在此项下提交的“</w:t>
      </w:r>
      <w:r>
        <w:rPr>
          <w:rStyle w:val="23"/>
          <w:rFonts w:hint="eastAsia" w:ascii="宋体" w:hAnsi="宋体" w:cs="宋体"/>
          <w:bCs/>
          <w:color w:val="auto"/>
          <w:highlight w:val="none"/>
        </w:rPr>
        <w:t>磋商保证金</w:t>
      </w:r>
      <w:r>
        <w:rPr>
          <w:rFonts w:hint="eastAsia" w:ascii="宋体" w:hAnsi="宋体" w:cs="宋体"/>
          <w:color w:val="auto"/>
          <w:highlight w:val="none"/>
        </w:rPr>
        <w:t>”材料可使用转账凭证复印件。</w:t>
      </w:r>
    </w:p>
    <w:p w14:paraId="5686C244">
      <w:pPr>
        <w:pStyle w:val="17"/>
        <w:widowControl/>
        <w:spacing w:before="75" w:beforeAutospacing="0" w:after="240" w:afterAutospacing="0"/>
        <w:rPr>
          <w:rFonts w:ascii="宋体" w:hAnsi="宋体" w:cs="宋体"/>
          <w:color w:val="auto"/>
          <w:highlight w:val="none"/>
        </w:rPr>
      </w:pPr>
      <w:r>
        <w:rPr>
          <w:rFonts w:hint="eastAsia" w:ascii="宋体" w:hAnsi="宋体" w:cs="宋体"/>
          <w:color w:val="auto"/>
          <w:highlight w:val="none"/>
        </w:rPr>
        <w:t>2、磋商保证金是否已提交按照磋商文件规定执行。</w:t>
      </w:r>
    </w:p>
    <w:p w14:paraId="563769CD">
      <w:pPr>
        <w:pStyle w:val="17"/>
        <w:widowControl/>
        <w:spacing w:before="75" w:beforeAutospacing="0" w:after="240" w:afterAutospacing="0"/>
        <w:rPr>
          <w:rFonts w:ascii="宋体" w:hAnsi="宋体" w:cs="宋体"/>
          <w:color w:val="auto"/>
          <w:highlight w:val="none"/>
        </w:rPr>
      </w:pPr>
    </w:p>
    <w:p w14:paraId="5035B7EF">
      <w:pPr>
        <w:pStyle w:val="17"/>
        <w:widowControl/>
        <w:spacing w:before="75" w:beforeAutospacing="0" w:after="240" w:afterAutospacing="0"/>
        <w:rPr>
          <w:rFonts w:ascii="宋体" w:hAnsi="宋体" w:cs="宋体"/>
          <w:color w:val="auto"/>
          <w:sz w:val="21"/>
          <w:szCs w:val="21"/>
          <w:highlight w:val="none"/>
        </w:rPr>
      </w:pPr>
    </w:p>
    <w:p w14:paraId="3E57756F">
      <w:pPr>
        <w:pStyle w:val="17"/>
        <w:widowControl/>
        <w:spacing w:before="75" w:beforeAutospacing="0" w:after="240" w:afterAutospacing="0"/>
        <w:rPr>
          <w:rFonts w:ascii="宋体" w:hAnsi="宋体" w:cs="宋体"/>
          <w:color w:val="auto"/>
          <w:sz w:val="21"/>
          <w:szCs w:val="21"/>
          <w:highlight w:val="none"/>
        </w:rPr>
      </w:pPr>
    </w:p>
    <w:p w14:paraId="0BD6291E">
      <w:pPr>
        <w:pStyle w:val="17"/>
        <w:widowControl/>
        <w:spacing w:before="75" w:beforeAutospacing="0" w:after="240" w:afterAutospacing="0"/>
        <w:rPr>
          <w:rFonts w:ascii="宋体" w:hAnsi="宋体" w:cs="宋体"/>
          <w:color w:val="auto"/>
          <w:sz w:val="21"/>
          <w:szCs w:val="21"/>
          <w:highlight w:val="none"/>
        </w:rPr>
      </w:pPr>
    </w:p>
    <w:p w14:paraId="024E3EF5">
      <w:pPr>
        <w:pStyle w:val="17"/>
        <w:widowControl/>
        <w:spacing w:before="75" w:beforeAutospacing="0" w:after="240" w:afterAutospacing="0"/>
        <w:rPr>
          <w:rFonts w:ascii="宋体" w:hAnsi="宋体" w:cs="宋体"/>
          <w:color w:val="auto"/>
          <w:sz w:val="21"/>
          <w:szCs w:val="21"/>
          <w:highlight w:val="none"/>
        </w:rPr>
      </w:pPr>
    </w:p>
    <w:p w14:paraId="2444860C">
      <w:pPr>
        <w:pStyle w:val="17"/>
        <w:widowControl/>
        <w:spacing w:before="75" w:beforeAutospacing="0" w:after="240" w:afterAutospacing="0"/>
        <w:rPr>
          <w:rFonts w:ascii="宋体" w:hAnsi="宋体" w:cs="宋体"/>
          <w:color w:val="auto"/>
          <w:sz w:val="21"/>
          <w:szCs w:val="21"/>
          <w:highlight w:val="none"/>
        </w:rPr>
      </w:pPr>
    </w:p>
    <w:p w14:paraId="26CDB59C">
      <w:pPr>
        <w:pStyle w:val="17"/>
        <w:widowControl/>
        <w:spacing w:before="75" w:beforeAutospacing="0" w:after="240" w:afterAutospacing="0"/>
        <w:rPr>
          <w:rFonts w:ascii="宋体" w:hAnsi="宋体" w:cs="宋体"/>
          <w:color w:val="auto"/>
          <w:sz w:val="21"/>
          <w:szCs w:val="21"/>
          <w:highlight w:val="none"/>
        </w:rPr>
      </w:pPr>
    </w:p>
    <w:p w14:paraId="1B214AF6">
      <w:pPr>
        <w:pStyle w:val="17"/>
        <w:widowControl/>
        <w:spacing w:before="75" w:beforeAutospacing="0" w:after="240" w:afterAutospacing="0"/>
        <w:rPr>
          <w:rFonts w:ascii="宋体" w:hAnsi="宋体" w:cs="宋体"/>
          <w:color w:val="auto"/>
          <w:sz w:val="21"/>
          <w:szCs w:val="21"/>
          <w:highlight w:val="none"/>
        </w:rPr>
      </w:pPr>
    </w:p>
    <w:p w14:paraId="6960A501">
      <w:pPr>
        <w:pStyle w:val="17"/>
        <w:widowControl/>
        <w:spacing w:before="75" w:beforeAutospacing="0" w:after="240" w:afterAutospacing="0"/>
        <w:rPr>
          <w:rFonts w:ascii="宋体" w:hAnsi="宋体" w:cs="宋体"/>
          <w:color w:val="auto"/>
          <w:sz w:val="21"/>
          <w:szCs w:val="21"/>
          <w:highlight w:val="none"/>
        </w:rPr>
      </w:pPr>
    </w:p>
    <w:p w14:paraId="0D4A167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06B24C0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3EDE232E">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 </w:t>
      </w:r>
    </w:p>
    <w:p w14:paraId="564BA0D3">
      <w:pPr>
        <w:pStyle w:val="17"/>
        <w:widowControl/>
        <w:spacing w:before="75" w:beforeAutospacing="0" w:after="75" w:afterAutospacing="0"/>
        <w:rPr>
          <w:color w:val="auto"/>
          <w:highlight w:val="none"/>
        </w:rPr>
      </w:pPr>
      <w:r>
        <w:rPr>
          <w:color w:val="auto"/>
          <w:highlight w:val="none"/>
        </w:rPr>
        <w:t> </w:t>
      </w:r>
    </w:p>
    <w:p w14:paraId="47094AD0">
      <w:pPr>
        <w:pStyle w:val="17"/>
        <w:widowControl/>
        <w:spacing w:before="75" w:beforeAutospacing="0" w:after="75" w:afterAutospacing="0"/>
        <w:rPr>
          <w:rFonts w:ascii="宋体" w:hAnsi="宋体" w:cs="宋体"/>
          <w:color w:val="auto"/>
          <w:highlight w:val="none"/>
        </w:rPr>
      </w:pPr>
    </w:p>
    <w:p w14:paraId="3D961B30">
      <w:pPr>
        <w:pStyle w:val="17"/>
        <w:widowControl/>
        <w:spacing w:before="75" w:beforeAutospacing="0" w:after="75" w:afterAutospacing="0"/>
        <w:rPr>
          <w:rFonts w:ascii="宋体" w:hAnsi="宋体" w:cs="宋体"/>
          <w:color w:val="auto"/>
          <w:highlight w:val="none"/>
        </w:rPr>
      </w:pPr>
    </w:p>
    <w:p w14:paraId="6C0392DA">
      <w:pPr>
        <w:rPr>
          <w:rFonts w:ascii="宋体" w:hAnsi="宋体"/>
          <w:color w:val="auto"/>
          <w:highlight w:val="none"/>
        </w:rPr>
      </w:pPr>
      <w:r>
        <w:rPr>
          <w:rFonts w:hint="eastAsia" w:ascii="宋体" w:hAnsi="宋体"/>
          <w:color w:val="auto"/>
          <w:highlight w:val="none"/>
        </w:rPr>
        <w:br w:type="page"/>
      </w:r>
      <w:r>
        <w:rPr>
          <w:rFonts w:hint="eastAsia" w:ascii="宋体" w:hAnsi="宋体"/>
          <w:color w:val="auto"/>
          <w:highlight w:val="none"/>
        </w:rPr>
        <w:t xml:space="preserve">附件5：          </w:t>
      </w:r>
      <w:r>
        <w:rPr>
          <w:rFonts w:hint="eastAsia"/>
          <w:b/>
          <w:bCs/>
          <w:color w:val="auto"/>
          <w:sz w:val="32"/>
          <w:szCs w:val="32"/>
          <w:highlight w:val="none"/>
        </w:rPr>
        <w:t>技术商务部分评分内容对应表</w:t>
      </w:r>
    </w:p>
    <w:p w14:paraId="4115D3D4">
      <w:pPr>
        <w:rPr>
          <w:rFonts w:ascii="宋体" w:hAnsi="宋体"/>
          <w:color w:val="auto"/>
          <w:highlight w:val="none"/>
        </w:rPr>
      </w:pPr>
    </w:p>
    <w:p w14:paraId="088CBE59">
      <w:pPr>
        <w:rPr>
          <w:rFonts w:ascii="宋体"/>
          <w:color w:val="auto"/>
          <w:sz w:val="24"/>
          <w:highlight w:val="none"/>
        </w:rPr>
      </w:pPr>
      <w:r>
        <w:rPr>
          <w:rFonts w:hint="eastAsia" w:ascii="宋体" w:hAnsi="宋体"/>
          <w:color w:val="auto"/>
          <w:sz w:val="24"/>
          <w:highlight w:val="none"/>
        </w:rPr>
        <w:t>供应商名称</w:t>
      </w:r>
      <w:r>
        <w:rPr>
          <w:rFonts w:ascii="宋体" w:hAnsi="宋体"/>
          <w:color w:val="auto"/>
          <w:sz w:val="24"/>
          <w:highlight w:val="none"/>
        </w:rPr>
        <w:t>(</w:t>
      </w:r>
      <w:r>
        <w:rPr>
          <w:rFonts w:hint="eastAsia" w:ascii="宋体" w:hAnsi="宋体"/>
          <w:color w:val="auto"/>
          <w:sz w:val="24"/>
          <w:highlight w:val="none"/>
        </w:rPr>
        <w:t>全称并加盖公章</w:t>
      </w:r>
      <w:r>
        <w:rPr>
          <w:rFonts w:ascii="宋体" w:hAnsi="宋体"/>
          <w:color w:val="auto"/>
          <w:sz w:val="24"/>
          <w:highlight w:val="none"/>
        </w:rPr>
        <w:t>)</w:t>
      </w:r>
      <w:r>
        <w:rPr>
          <w:rFonts w:hint="eastAsia" w:ascii="宋体" w:hAnsi="宋体"/>
          <w:color w:val="auto"/>
          <w:sz w:val="24"/>
          <w:highlight w:val="none"/>
        </w:rPr>
        <w:t>：项目编号∶</w:t>
      </w:r>
    </w:p>
    <w:tbl>
      <w:tblPr>
        <w:tblStyle w:val="20"/>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2880"/>
        <w:gridCol w:w="2700"/>
        <w:gridCol w:w="1440"/>
        <w:gridCol w:w="1221"/>
      </w:tblGrid>
      <w:tr w14:paraId="0CC5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8" w:type="dxa"/>
            <w:gridSpan w:val="2"/>
            <w:vAlign w:val="center"/>
          </w:tcPr>
          <w:p w14:paraId="4291C059">
            <w:pPr>
              <w:spacing w:line="240" w:lineRule="exact"/>
              <w:jc w:val="center"/>
              <w:rPr>
                <w:rFonts w:ascii="宋体"/>
                <w:color w:val="auto"/>
                <w:sz w:val="24"/>
                <w:highlight w:val="none"/>
              </w:rPr>
            </w:pPr>
            <w:r>
              <w:rPr>
                <w:rFonts w:hint="eastAsia" w:ascii="宋体" w:hAnsi="宋体"/>
                <w:color w:val="auto"/>
                <w:sz w:val="24"/>
                <w:highlight w:val="none"/>
              </w:rPr>
              <w:t>项目</w:t>
            </w:r>
          </w:p>
        </w:tc>
        <w:tc>
          <w:tcPr>
            <w:tcW w:w="2880" w:type="dxa"/>
            <w:vAlign w:val="center"/>
          </w:tcPr>
          <w:p w14:paraId="1D123050">
            <w:pPr>
              <w:spacing w:line="240" w:lineRule="exact"/>
              <w:jc w:val="center"/>
              <w:rPr>
                <w:rFonts w:ascii="宋体"/>
                <w:color w:val="auto"/>
                <w:sz w:val="24"/>
                <w:highlight w:val="none"/>
              </w:rPr>
            </w:pPr>
            <w:r>
              <w:rPr>
                <w:rFonts w:hint="eastAsia" w:ascii="宋体" w:hAnsi="宋体"/>
                <w:color w:val="auto"/>
                <w:sz w:val="24"/>
                <w:highlight w:val="none"/>
              </w:rPr>
              <w:t>评分内容</w:t>
            </w:r>
          </w:p>
        </w:tc>
        <w:tc>
          <w:tcPr>
            <w:tcW w:w="2700" w:type="dxa"/>
            <w:vAlign w:val="center"/>
          </w:tcPr>
          <w:p w14:paraId="1B9C9FF3">
            <w:pPr>
              <w:spacing w:line="240" w:lineRule="exact"/>
              <w:jc w:val="center"/>
              <w:rPr>
                <w:rFonts w:ascii="宋体"/>
                <w:color w:val="auto"/>
                <w:sz w:val="24"/>
                <w:highlight w:val="none"/>
              </w:rPr>
            </w:pPr>
            <w:r>
              <w:rPr>
                <w:rFonts w:hint="eastAsia" w:ascii="宋体" w:hAnsi="宋体"/>
                <w:color w:val="auto"/>
                <w:sz w:val="24"/>
                <w:highlight w:val="none"/>
              </w:rPr>
              <w:t>响应文件响应情况</w:t>
            </w:r>
          </w:p>
        </w:tc>
        <w:tc>
          <w:tcPr>
            <w:tcW w:w="1440" w:type="dxa"/>
            <w:vAlign w:val="center"/>
          </w:tcPr>
          <w:p w14:paraId="4B1670AC">
            <w:pPr>
              <w:spacing w:line="240" w:lineRule="exact"/>
              <w:jc w:val="center"/>
              <w:rPr>
                <w:rFonts w:ascii="宋体"/>
                <w:color w:val="auto"/>
                <w:sz w:val="24"/>
                <w:highlight w:val="none"/>
              </w:rPr>
            </w:pPr>
            <w:r>
              <w:rPr>
                <w:rFonts w:hint="eastAsia" w:ascii="宋体" w:hAnsi="宋体"/>
                <w:color w:val="auto"/>
                <w:sz w:val="24"/>
                <w:highlight w:val="none"/>
              </w:rPr>
              <w:t>证明材料</w:t>
            </w:r>
          </w:p>
        </w:tc>
        <w:tc>
          <w:tcPr>
            <w:tcW w:w="1221" w:type="dxa"/>
            <w:vAlign w:val="center"/>
          </w:tcPr>
          <w:p w14:paraId="69F834F6">
            <w:pPr>
              <w:spacing w:line="240" w:lineRule="exact"/>
              <w:jc w:val="center"/>
              <w:rPr>
                <w:rFonts w:ascii="宋体"/>
                <w:color w:val="auto"/>
                <w:sz w:val="24"/>
                <w:highlight w:val="none"/>
              </w:rPr>
            </w:pPr>
            <w:r>
              <w:rPr>
                <w:rFonts w:hint="eastAsia" w:ascii="宋体" w:hAnsi="宋体"/>
                <w:color w:val="auto"/>
                <w:sz w:val="24"/>
                <w:highlight w:val="none"/>
              </w:rPr>
              <w:t>响应文件对应页码</w:t>
            </w:r>
          </w:p>
        </w:tc>
      </w:tr>
      <w:tr w14:paraId="5436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2FDCBE66">
            <w:pPr>
              <w:spacing w:line="240" w:lineRule="exact"/>
              <w:jc w:val="center"/>
              <w:rPr>
                <w:rFonts w:ascii="宋体"/>
                <w:color w:val="auto"/>
                <w:sz w:val="24"/>
                <w:highlight w:val="none"/>
              </w:rPr>
            </w:pPr>
            <w:r>
              <w:rPr>
                <w:rFonts w:hint="eastAsia" w:ascii="宋体" w:hAnsi="宋体"/>
                <w:color w:val="auto"/>
                <w:sz w:val="24"/>
                <w:highlight w:val="none"/>
              </w:rPr>
              <w:t>技</w:t>
            </w:r>
          </w:p>
          <w:p w14:paraId="48C3E155">
            <w:pPr>
              <w:spacing w:line="240" w:lineRule="exact"/>
              <w:jc w:val="center"/>
              <w:rPr>
                <w:rFonts w:ascii="宋体"/>
                <w:color w:val="auto"/>
                <w:sz w:val="24"/>
                <w:highlight w:val="none"/>
              </w:rPr>
            </w:pPr>
            <w:r>
              <w:rPr>
                <w:rFonts w:hint="eastAsia" w:ascii="宋体" w:hAnsi="宋体"/>
                <w:color w:val="auto"/>
                <w:sz w:val="24"/>
                <w:highlight w:val="none"/>
              </w:rPr>
              <w:t>术</w:t>
            </w:r>
          </w:p>
          <w:p w14:paraId="28E7992C">
            <w:pPr>
              <w:spacing w:line="240" w:lineRule="exact"/>
              <w:jc w:val="center"/>
              <w:rPr>
                <w:rFonts w:ascii="宋体"/>
                <w:color w:val="auto"/>
                <w:sz w:val="24"/>
                <w:highlight w:val="none"/>
              </w:rPr>
            </w:pPr>
            <w:r>
              <w:rPr>
                <w:rFonts w:hint="eastAsia" w:ascii="宋体" w:hAnsi="宋体"/>
                <w:color w:val="auto"/>
                <w:sz w:val="24"/>
                <w:highlight w:val="none"/>
              </w:rPr>
              <w:t>部</w:t>
            </w:r>
          </w:p>
          <w:p w14:paraId="548298BE">
            <w:pPr>
              <w:spacing w:line="240" w:lineRule="exact"/>
              <w:jc w:val="center"/>
              <w:rPr>
                <w:rFonts w:ascii="宋体"/>
                <w:color w:val="auto"/>
                <w:sz w:val="24"/>
                <w:highlight w:val="none"/>
              </w:rPr>
            </w:pPr>
            <w:r>
              <w:rPr>
                <w:rFonts w:hint="eastAsia" w:ascii="宋体" w:hAnsi="宋体"/>
                <w:color w:val="auto"/>
                <w:sz w:val="24"/>
                <w:highlight w:val="none"/>
              </w:rPr>
              <w:t>分</w:t>
            </w:r>
          </w:p>
        </w:tc>
        <w:tc>
          <w:tcPr>
            <w:tcW w:w="1080" w:type="dxa"/>
            <w:vAlign w:val="center"/>
          </w:tcPr>
          <w:p w14:paraId="2CA146B1">
            <w:pPr>
              <w:spacing w:line="240" w:lineRule="exact"/>
              <w:jc w:val="center"/>
              <w:rPr>
                <w:rFonts w:ascii="宋体"/>
                <w:color w:val="auto"/>
                <w:sz w:val="24"/>
                <w:highlight w:val="none"/>
              </w:rPr>
            </w:pPr>
            <w:r>
              <w:rPr>
                <w:rFonts w:hint="eastAsia" w:ascii="宋体" w:hAnsi="宋体"/>
                <w:color w:val="auto"/>
                <w:sz w:val="24"/>
                <w:highlight w:val="none"/>
              </w:rPr>
              <w:t>1</w:t>
            </w:r>
          </w:p>
        </w:tc>
        <w:tc>
          <w:tcPr>
            <w:tcW w:w="2880" w:type="dxa"/>
          </w:tcPr>
          <w:p w14:paraId="703EFB61">
            <w:pPr>
              <w:spacing w:line="240" w:lineRule="exact"/>
              <w:rPr>
                <w:rFonts w:ascii="宋体"/>
                <w:b/>
                <w:color w:val="auto"/>
                <w:sz w:val="24"/>
                <w:highlight w:val="none"/>
              </w:rPr>
            </w:pPr>
          </w:p>
        </w:tc>
        <w:tc>
          <w:tcPr>
            <w:tcW w:w="2700" w:type="dxa"/>
          </w:tcPr>
          <w:p w14:paraId="5648D263">
            <w:pPr>
              <w:spacing w:line="240" w:lineRule="exact"/>
              <w:rPr>
                <w:rFonts w:ascii="宋体"/>
                <w:b/>
                <w:color w:val="auto"/>
                <w:sz w:val="24"/>
                <w:highlight w:val="none"/>
              </w:rPr>
            </w:pPr>
          </w:p>
        </w:tc>
        <w:tc>
          <w:tcPr>
            <w:tcW w:w="1440" w:type="dxa"/>
          </w:tcPr>
          <w:p w14:paraId="2FDD652D">
            <w:pPr>
              <w:spacing w:line="240" w:lineRule="exact"/>
              <w:rPr>
                <w:rFonts w:ascii="宋体"/>
                <w:b/>
                <w:color w:val="auto"/>
                <w:sz w:val="24"/>
                <w:highlight w:val="none"/>
              </w:rPr>
            </w:pPr>
          </w:p>
        </w:tc>
        <w:tc>
          <w:tcPr>
            <w:tcW w:w="1221" w:type="dxa"/>
          </w:tcPr>
          <w:p w14:paraId="7FDF609D">
            <w:pPr>
              <w:spacing w:line="240" w:lineRule="exact"/>
              <w:rPr>
                <w:rFonts w:ascii="宋体"/>
                <w:b/>
                <w:color w:val="auto"/>
                <w:sz w:val="24"/>
                <w:highlight w:val="none"/>
              </w:rPr>
            </w:pPr>
          </w:p>
        </w:tc>
      </w:tr>
      <w:tr w14:paraId="39BB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38AFA930">
            <w:pPr>
              <w:spacing w:line="240" w:lineRule="exact"/>
              <w:rPr>
                <w:rFonts w:ascii="宋体"/>
                <w:b/>
                <w:color w:val="auto"/>
                <w:sz w:val="24"/>
                <w:highlight w:val="none"/>
              </w:rPr>
            </w:pPr>
          </w:p>
        </w:tc>
        <w:tc>
          <w:tcPr>
            <w:tcW w:w="1080" w:type="dxa"/>
            <w:vAlign w:val="center"/>
          </w:tcPr>
          <w:p w14:paraId="4D5A471E">
            <w:pPr>
              <w:spacing w:line="240" w:lineRule="exact"/>
              <w:jc w:val="center"/>
              <w:rPr>
                <w:rFonts w:ascii="宋体"/>
                <w:color w:val="auto"/>
                <w:sz w:val="24"/>
                <w:highlight w:val="none"/>
              </w:rPr>
            </w:pPr>
          </w:p>
        </w:tc>
        <w:tc>
          <w:tcPr>
            <w:tcW w:w="2880" w:type="dxa"/>
          </w:tcPr>
          <w:p w14:paraId="5F333C1A">
            <w:pPr>
              <w:spacing w:line="240" w:lineRule="exact"/>
              <w:rPr>
                <w:rFonts w:ascii="宋体"/>
                <w:b/>
                <w:color w:val="auto"/>
                <w:sz w:val="24"/>
                <w:highlight w:val="none"/>
              </w:rPr>
            </w:pPr>
          </w:p>
        </w:tc>
        <w:tc>
          <w:tcPr>
            <w:tcW w:w="2700" w:type="dxa"/>
          </w:tcPr>
          <w:p w14:paraId="0571EA52">
            <w:pPr>
              <w:spacing w:line="240" w:lineRule="exact"/>
              <w:rPr>
                <w:rFonts w:ascii="宋体"/>
                <w:b/>
                <w:color w:val="auto"/>
                <w:sz w:val="24"/>
                <w:highlight w:val="none"/>
              </w:rPr>
            </w:pPr>
          </w:p>
        </w:tc>
        <w:tc>
          <w:tcPr>
            <w:tcW w:w="1440" w:type="dxa"/>
          </w:tcPr>
          <w:p w14:paraId="06DE30AE">
            <w:pPr>
              <w:spacing w:line="240" w:lineRule="exact"/>
              <w:rPr>
                <w:rFonts w:ascii="宋体"/>
                <w:b/>
                <w:color w:val="auto"/>
                <w:sz w:val="24"/>
                <w:highlight w:val="none"/>
              </w:rPr>
            </w:pPr>
          </w:p>
        </w:tc>
        <w:tc>
          <w:tcPr>
            <w:tcW w:w="1221" w:type="dxa"/>
          </w:tcPr>
          <w:p w14:paraId="0A5685A6">
            <w:pPr>
              <w:spacing w:line="240" w:lineRule="exact"/>
              <w:rPr>
                <w:rFonts w:ascii="宋体"/>
                <w:b/>
                <w:color w:val="auto"/>
                <w:sz w:val="24"/>
                <w:highlight w:val="none"/>
              </w:rPr>
            </w:pPr>
          </w:p>
        </w:tc>
      </w:tr>
      <w:tr w14:paraId="5D9D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01F615A">
            <w:pPr>
              <w:spacing w:line="240" w:lineRule="exact"/>
              <w:rPr>
                <w:rFonts w:ascii="宋体"/>
                <w:b/>
                <w:color w:val="auto"/>
                <w:sz w:val="24"/>
                <w:highlight w:val="none"/>
              </w:rPr>
            </w:pPr>
          </w:p>
        </w:tc>
        <w:tc>
          <w:tcPr>
            <w:tcW w:w="1080" w:type="dxa"/>
            <w:vAlign w:val="center"/>
          </w:tcPr>
          <w:p w14:paraId="5D7E4471">
            <w:pPr>
              <w:spacing w:line="240" w:lineRule="exact"/>
              <w:jc w:val="center"/>
              <w:rPr>
                <w:rFonts w:ascii="宋体"/>
                <w:color w:val="auto"/>
                <w:sz w:val="24"/>
                <w:highlight w:val="none"/>
              </w:rPr>
            </w:pPr>
          </w:p>
        </w:tc>
        <w:tc>
          <w:tcPr>
            <w:tcW w:w="2880" w:type="dxa"/>
          </w:tcPr>
          <w:p w14:paraId="7A8400AF">
            <w:pPr>
              <w:spacing w:line="240" w:lineRule="exact"/>
              <w:rPr>
                <w:rFonts w:ascii="宋体"/>
                <w:b/>
                <w:color w:val="auto"/>
                <w:sz w:val="24"/>
                <w:highlight w:val="none"/>
              </w:rPr>
            </w:pPr>
          </w:p>
        </w:tc>
        <w:tc>
          <w:tcPr>
            <w:tcW w:w="2700" w:type="dxa"/>
          </w:tcPr>
          <w:p w14:paraId="68329492">
            <w:pPr>
              <w:spacing w:line="240" w:lineRule="exact"/>
              <w:rPr>
                <w:rFonts w:ascii="宋体"/>
                <w:b/>
                <w:color w:val="auto"/>
                <w:sz w:val="24"/>
                <w:highlight w:val="none"/>
              </w:rPr>
            </w:pPr>
          </w:p>
        </w:tc>
        <w:tc>
          <w:tcPr>
            <w:tcW w:w="1440" w:type="dxa"/>
          </w:tcPr>
          <w:p w14:paraId="6A2FC24E">
            <w:pPr>
              <w:spacing w:line="240" w:lineRule="exact"/>
              <w:rPr>
                <w:rFonts w:ascii="宋体"/>
                <w:b/>
                <w:color w:val="auto"/>
                <w:sz w:val="24"/>
                <w:highlight w:val="none"/>
              </w:rPr>
            </w:pPr>
          </w:p>
        </w:tc>
        <w:tc>
          <w:tcPr>
            <w:tcW w:w="1221" w:type="dxa"/>
          </w:tcPr>
          <w:p w14:paraId="043DD1AD">
            <w:pPr>
              <w:spacing w:line="240" w:lineRule="exact"/>
              <w:rPr>
                <w:rFonts w:ascii="宋体"/>
                <w:b/>
                <w:color w:val="auto"/>
                <w:sz w:val="24"/>
                <w:highlight w:val="none"/>
              </w:rPr>
            </w:pPr>
          </w:p>
        </w:tc>
      </w:tr>
      <w:tr w14:paraId="0D4F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0327C0C3">
            <w:pPr>
              <w:spacing w:line="240" w:lineRule="exact"/>
              <w:rPr>
                <w:rFonts w:ascii="宋体"/>
                <w:b/>
                <w:color w:val="auto"/>
                <w:sz w:val="24"/>
                <w:highlight w:val="none"/>
              </w:rPr>
            </w:pPr>
          </w:p>
        </w:tc>
        <w:tc>
          <w:tcPr>
            <w:tcW w:w="1080" w:type="dxa"/>
            <w:vAlign w:val="center"/>
          </w:tcPr>
          <w:p w14:paraId="4D28D57A">
            <w:pPr>
              <w:spacing w:line="240" w:lineRule="exact"/>
              <w:jc w:val="center"/>
              <w:rPr>
                <w:rFonts w:ascii="宋体"/>
                <w:color w:val="auto"/>
                <w:sz w:val="24"/>
                <w:highlight w:val="none"/>
              </w:rPr>
            </w:pPr>
          </w:p>
        </w:tc>
        <w:tc>
          <w:tcPr>
            <w:tcW w:w="2880" w:type="dxa"/>
          </w:tcPr>
          <w:p w14:paraId="6C6B6A65">
            <w:pPr>
              <w:spacing w:line="240" w:lineRule="exact"/>
              <w:rPr>
                <w:rFonts w:ascii="宋体"/>
                <w:b/>
                <w:color w:val="auto"/>
                <w:sz w:val="24"/>
                <w:highlight w:val="none"/>
              </w:rPr>
            </w:pPr>
          </w:p>
        </w:tc>
        <w:tc>
          <w:tcPr>
            <w:tcW w:w="2700" w:type="dxa"/>
          </w:tcPr>
          <w:p w14:paraId="1B57CA35">
            <w:pPr>
              <w:spacing w:line="240" w:lineRule="exact"/>
              <w:rPr>
                <w:rFonts w:ascii="宋体"/>
                <w:b/>
                <w:color w:val="auto"/>
                <w:sz w:val="24"/>
                <w:highlight w:val="none"/>
              </w:rPr>
            </w:pPr>
          </w:p>
        </w:tc>
        <w:tc>
          <w:tcPr>
            <w:tcW w:w="1440" w:type="dxa"/>
          </w:tcPr>
          <w:p w14:paraId="19D99854">
            <w:pPr>
              <w:spacing w:line="240" w:lineRule="exact"/>
              <w:rPr>
                <w:rFonts w:ascii="宋体"/>
                <w:b/>
                <w:color w:val="auto"/>
                <w:sz w:val="24"/>
                <w:highlight w:val="none"/>
              </w:rPr>
            </w:pPr>
          </w:p>
        </w:tc>
        <w:tc>
          <w:tcPr>
            <w:tcW w:w="1221" w:type="dxa"/>
          </w:tcPr>
          <w:p w14:paraId="62B36709">
            <w:pPr>
              <w:spacing w:line="240" w:lineRule="exact"/>
              <w:rPr>
                <w:rFonts w:ascii="宋体"/>
                <w:b/>
                <w:color w:val="auto"/>
                <w:sz w:val="24"/>
                <w:highlight w:val="none"/>
              </w:rPr>
            </w:pPr>
          </w:p>
        </w:tc>
      </w:tr>
      <w:tr w14:paraId="64F8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37594E2C">
            <w:pPr>
              <w:spacing w:line="240" w:lineRule="exact"/>
              <w:rPr>
                <w:rFonts w:ascii="宋体"/>
                <w:b/>
                <w:color w:val="auto"/>
                <w:sz w:val="24"/>
                <w:highlight w:val="none"/>
              </w:rPr>
            </w:pPr>
          </w:p>
        </w:tc>
        <w:tc>
          <w:tcPr>
            <w:tcW w:w="1080" w:type="dxa"/>
            <w:vAlign w:val="center"/>
          </w:tcPr>
          <w:p w14:paraId="22C68D72">
            <w:pPr>
              <w:spacing w:line="240" w:lineRule="exact"/>
              <w:jc w:val="center"/>
              <w:rPr>
                <w:rFonts w:ascii="宋体"/>
                <w:color w:val="auto"/>
                <w:sz w:val="24"/>
                <w:highlight w:val="none"/>
              </w:rPr>
            </w:pPr>
          </w:p>
        </w:tc>
        <w:tc>
          <w:tcPr>
            <w:tcW w:w="2880" w:type="dxa"/>
          </w:tcPr>
          <w:p w14:paraId="4494DF19">
            <w:pPr>
              <w:spacing w:line="240" w:lineRule="exact"/>
              <w:rPr>
                <w:rFonts w:ascii="宋体"/>
                <w:b/>
                <w:color w:val="auto"/>
                <w:sz w:val="24"/>
                <w:highlight w:val="none"/>
              </w:rPr>
            </w:pPr>
          </w:p>
        </w:tc>
        <w:tc>
          <w:tcPr>
            <w:tcW w:w="2700" w:type="dxa"/>
          </w:tcPr>
          <w:p w14:paraId="1559D4BE">
            <w:pPr>
              <w:spacing w:line="240" w:lineRule="exact"/>
              <w:rPr>
                <w:rFonts w:ascii="宋体"/>
                <w:b/>
                <w:color w:val="auto"/>
                <w:sz w:val="24"/>
                <w:highlight w:val="none"/>
              </w:rPr>
            </w:pPr>
          </w:p>
        </w:tc>
        <w:tc>
          <w:tcPr>
            <w:tcW w:w="1440" w:type="dxa"/>
          </w:tcPr>
          <w:p w14:paraId="41635423">
            <w:pPr>
              <w:spacing w:line="240" w:lineRule="exact"/>
              <w:rPr>
                <w:rFonts w:ascii="宋体"/>
                <w:b/>
                <w:color w:val="auto"/>
                <w:sz w:val="24"/>
                <w:highlight w:val="none"/>
              </w:rPr>
            </w:pPr>
          </w:p>
        </w:tc>
        <w:tc>
          <w:tcPr>
            <w:tcW w:w="1221" w:type="dxa"/>
          </w:tcPr>
          <w:p w14:paraId="36BBF8BE">
            <w:pPr>
              <w:spacing w:line="240" w:lineRule="exact"/>
              <w:rPr>
                <w:rFonts w:ascii="宋体"/>
                <w:b/>
                <w:color w:val="auto"/>
                <w:sz w:val="24"/>
                <w:highlight w:val="none"/>
              </w:rPr>
            </w:pPr>
          </w:p>
        </w:tc>
      </w:tr>
      <w:tr w14:paraId="42E0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53D0C15C">
            <w:pPr>
              <w:spacing w:line="240" w:lineRule="exact"/>
              <w:jc w:val="center"/>
              <w:rPr>
                <w:rFonts w:ascii="宋体"/>
                <w:color w:val="auto"/>
                <w:sz w:val="24"/>
                <w:highlight w:val="none"/>
              </w:rPr>
            </w:pPr>
            <w:r>
              <w:rPr>
                <w:rFonts w:hint="eastAsia" w:ascii="宋体" w:hAnsi="宋体"/>
                <w:color w:val="auto"/>
                <w:sz w:val="24"/>
                <w:highlight w:val="none"/>
              </w:rPr>
              <w:t>商</w:t>
            </w:r>
          </w:p>
          <w:p w14:paraId="55D65EC6">
            <w:pPr>
              <w:spacing w:line="240" w:lineRule="exact"/>
              <w:jc w:val="center"/>
              <w:rPr>
                <w:rFonts w:ascii="宋体"/>
                <w:color w:val="auto"/>
                <w:sz w:val="24"/>
                <w:highlight w:val="none"/>
              </w:rPr>
            </w:pPr>
            <w:r>
              <w:rPr>
                <w:rFonts w:hint="eastAsia" w:ascii="宋体" w:hAnsi="宋体"/>
                <w:color w:val="auto"/>
                <w:sz w:val="24"/>
                <w:highlight w:val="none"/>
              </w:rPr>
              <w:t>务</w:t>
            </w:r>
          </w:p>
          <w:p w14:paraId="38E04376">
            <w:pPr>
              <w:spacing w:line="240" w:lineRule="exact"/>
              <w:jc w:val="center"/>
              <w:rPr>
                <w:rFonts w:ascii="宋体"/>
                <w:color w:val="auto"/>
                <w:sz w:val="24"/>
                <w:highlight w:val="none"/>
              </w:rPr>
            </w:pPr>
            <w:r>
              <w:rPr>
                <w:rFonts w:hint="eastAsia" w:ascii="宋体" w:hAnsi="宋体"/>
                <w:color w:val="auto"/>
                <w:sz w:val="24"/>
                <w:highlight w:val="none"/>
              </w:rPr>
              <w:t>部</w:t>
            </w:r>
          </w:p>
          <w:p w14:paraId="2D1F435E">
            <w:pPr>
              <w:spacing w:line="240" w:lineRule="exact"/>
              <w:jc w:val="center"/>
              <w:rPr>
                <w:rFonts w:ascii="宋体"/>
                <w:color w:val="auto"/>
                <w:sz w:val="24"/>
                <w:highlight w:val="none"/>
              </w:rPr>
            </w:pPr>
            <w:r>
              <w:rPr>
                <w:rFonts w:hint="eastAsia" w:ascii="宋体" w:hAnsi="宋体"/>
                <w:color w:val="auto"/>
                <w:sz w:val="24"/>
                <w:highlight w:val="none"/>
              </w:rPr>
              <w:t>分</w:t>
            </w:r>
          </w:p>
        </w:tc>
        <w:tc>
          <w:tcPr>
            <w:tcW w:w="1080" w:type="dxa"/>
            <w:vAlign w:val="center"/>
          </w:tcPr>
          <w:p w14:paraId="25881B3C">
            <w:pPr>
              <w:spacing w:line="240" w:lineRule="exact"/>
              <w:jc w:val="center"/>
              <w:rPr>
                <w:rFonts w:ascii="宋体"/>
                <w:color w:val="auto"/>
                <w:sz w:val="24"/>
                <w:highlight w:val="none"/>
              </w:rPr>
            </w:pPr>
            <w:r>
              <w:rPr>
                <w:rFonts w:hint="eastAsia" w:ascii="宋体" w:hAnsi="宋体"/>
                <w:color w:val="auto"/>
                <w:sz w:val="24"/>
                <w:highlight w:val="none"/>
              </w:rPr>
              <w:t>2</w:t>
            </w:r>
          </w:p>
        </w:tc>
        <w:tc>
          <w:tcPr>
            <w:tcW w:w="2880" w:type="dxa"/>
          </w:tcPr>
          <w:p w14:paraId="1045D33D">
            <w:pPr>
              <w:spacing w:line="240" w:lineRule="exact"/>
              <w:rPr>
                <w:rFonts w:ascii="宋体"/>
                <w:b/>
                <w:color w:val="auto"/>
                <w:sz w:val="24"/>
                <w:highlight w:val="none"/>
              </w:rPr>
            </w:pPr>
          </w:p>
        </w:tc>
        <w:tc>
          <w:tcPr>
            <w:tcW w:w="2700" w:type="dxa"/>
          </w:tcPr>
          <w:p w14:paraId="7ACABA97">
            <w:pPr>
              <w:spacing w:line="240" w:lineRule="exact"/>
              <w:rPr>
                <w:rFonts w:ascii="宋体"/>
                <w:b/>
                <w:color w:val="auto"/>
                <w:sz w:val="24"/>
                <w:highlight w:val="none"/>
              </w:rPr>
            </w:pPr>
          </w:p>
        </w:tc>
        <w:tc>
          <w:tcPr>
            <w:tcW w:w="1440" w:type="dxa"/>
          </w:tcPr>
          <w:p w14:paraId="2718C868">
            <w:pPr>
              <w:spacing w:line="240" w:lineRule="exact"/>
              <w:rPr>
                <w:rFonts w:ascii="宋体"/>
                <w:b/>
                <w:color w:val="auto"/>
                <w:sz w:val="24"/>
                <w:highlight w:val="none"/>
              </w:rPr>
            </w:pPr>
          </w:p>
        </w:tc>
        <w:tc>
          <w:tcPr>
            <w:tcW w:w="1221" w:type="dxa"/>
          </w:tcPr>
          <w:p w14:paraId="418F5D5C">
            <w:pPr>
              <w:spacing w:line="240" w:lineRule="exact"/>
              <w:rPr>
                <w:rFonts w:ascii="宋体"/>
                <w:b/>
                <w:color w:val="auto"/>
                <w:sz w:val="24"/>
                <w:highlight w:val="none"/>
              </w:rPr>
            </w:pPr>
          </w:p>
        </w:tc>
      </w:tr>
      <w:tr w14:paraId="3D6E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44212ACA">
            <w:pPr>
              <w:spacing w:line="240" w:lineRule="exact"/>
              <w:rPr>
                <w:rFonts w:ascii="宋体"/>
                <w:b/>
                <w:color w:val="auto"/>
                <w:sz w:val="24"/>
                <w:highlight w:val="none"/>
              </w:rPr>
            </w:pPr>
          </w:p>
        </w:tc>
        <w:tc>
          <w:tcPr>
            <w:tcW w:w="1080" w:type="dxa"/>
            <w:vAlign w:val="center"/>
          </w:tcPr>
          <w:p w14:paraId="528212CC">
            <w:pPr>
              <w:spacing w:line="240" w:lineRule="exact"/>
              <w:jc w:val="center"/>
              <w:rPr>
                <w:rFonts w:ascii="宋体"/>
                <w:color w:val="auto"/>
                <w:sz w:val="24"/>
                <w:highlight w:val="none"/>
              </w:rPr>
            </w:pPr>
          </w:p>
        </w:tc>
        <w:tc>
          <w:tcPr>
            <w:tcW w:w="2880" w:type="dxa"/>
          </w:tcPr>
          <w:p w14:paraId="3F4FA392">
            <w:pPr>
              <w:spacing w:line="240" w:lineRule="exact"/>
              <w:rPr>
                <w:rFonts w:ascii="宋体"/>
                <w:b/>
                <w:color w:val="auto"/>
                <w:sz w:val="24"/>
                <w:highlight w:val="none"/>
              </w:rPr>
            </w:pPr>
          </w:p>
        </w:tc>
        <w:tc>
          <w:tcPr>
            <w:tcW w:w="2700" w:type="dxa"/>
          </w:tcPr>
          <w:p w14:paraId="38D52E42">
            <w:pPr>
              <w:spacing w:line="240" w:lineRule="exact"/>
              <w:rPr>
                <w:rFonts w:ascii="宋体"/>
                <w:b/>
                <w:color w:val="auto"/>
                <w:sz w:val="24"/>
                <w:highlight w:val="none"/>
              </w:rPr>
            </w:pPr>
          </w:p>
        </w:tc>
        <w:tc>
          <w:tcPr>
            <w:tcW w:w="1440" w:type="dxa"/>
          </w:tcPr>
          <w:p w14:paraId="0C1AE9B4">
            <w:pPr>
              <w:spacing w:line="240" w:lineRule="exact"/>
              <w:rPr>
                <w:rFonts w:ascii="宋体"/>
                <w:b/>
                <w:color w:val="auto"/>
                <w:sz w:val="24"/>
                <w:highlight w:val="none"/>
              </w:rPr>
            </w:pPr>
          </w:p>
        </w:tc>
        <w:tc>
          <w:tcPr>
            <w:tcW w:w="1221" w:type="dxa"/>
          </w:tcPr>
          <w:p w14:paraId="519205C7">
            <w:pPr>
              <w:spacing w:line="240" w:lineRule="exact"/>
              <w:rPr>
                <w:rFonts w:ascii="宋体"/>
                <w:b/>
                <w:color w:val="auto"/>
                <w:sz w:val="24"/>
                <w:highlight w:val="none"/>
              </w:rPr>
            </w:pPr>
          </w:p>
        </w:tc>
      </w:tr>
      <w:tr w14:paraId="28278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2EF5885E">
            <w:pPr>
              <w:spacing w:line="240" w:lineRule="exact"/>
              <w:rPr>
                <w:rFonts w:ascii="宋体"/>
                <w:b/>
                <w:color w:val="auto"/>
                <w:sz w:val="24"/>
                <w:highlight w:val="none"/>
              </w:rPr>
            </w:pPr>
          </w:p>
        </w:tc>
        <w:tc>
          <w:tcPr>
            <w:tcW w:w="1080" w:type="dxa"/>
            <w:vAlign w:val="center"/>
          </w:tcPr>
          <w:p w14:paraId="1AF483E4">
            <w:pPr>
              <w:spacing w:line="240" w:lineRule="exact"/>
              <w:jc w:val="center"/>
              <w:rPr>
                <w:rFonts w:ascii="宋体"/>
                <w:color w:val="auto"/>
                <w:sz w:val="24"/>
                <w:highlight w:val="none"/>
              </w:rPr>
            </w:pPr>
          </w:p>
        </w:tc>
        <w:tc>
          <w:tcPr>
            <w:tcW w:w="2880" w:type="dxa"/>
          </w:tcPr>
          <w:p w14:paraId="63A81E15">
            <w:pPr>
              <w:spacing w:line="240" w:lineRule="exact"/>
              <w:rPr>
                <w:rFonts w:ascii="宋体"/>
                <w:b/>
                <w:color w:val="auto"/>
                <w:sz w:val="24"/>
                <w:highlight w:val="none"/>
              </w:rPr>
            </w:pPr>
          </w:p>
        </w:tc>
        <w:tc>
          <w:tcPr>
            <w:tcW w:w="2700" w:type="dxa"/>
          </w:tcPr>
          <w:p w14:paraId="7FE57CE4">
            <w:pPr>
              <w:spacing w:line="240" w:lineRule="exact"/>
              <w:rPr>
                <w:rFonts w:ascii="宋体"/>
                <w:b/>
                <w:color w:val="auto"/>
                <w:sz w:val="24"/>
                <w:highlight w:val="none"/>
              </w:rPr>
            </w:pPr>
          </w:p>
        </w:tc>
        <w:tc>
          <w:tcPr>
            <w:tcW w:w="1440" w:type="dxa"/>
          </w:tcPr>
          <w:p w14:paraId="769B0F28">
            <w:pPr>
              <w:spacing w:line="240" w:lineRule="exact"/>
              <w:rPr>
                <w:rFonts w:ascii="宋体"/>
                <w:b/>
                <w:color w:val="auto"/>
                <w:sz w:val="24"/>
                <w:highlight w:val="none"/>
              </w:rPr>
            </w:pPr>
          </w:p>
        </w:tc>
        <w:tc>
          <w:tcPr>
            <w:tcW w:w="1221" w:type="dxa"/>
          </w:tcPr>
          <w:p w14:paraId="44818D4F">
            <w:pPr>
              <w:spacing w:line="240" w:lineRule="exact"/>
              <w:rPr>
                <w:rFonts w:ascii="宋体"/>
                <w:b/>
                <w:color w:val="auto"/>
                <w:sz w:val="24"/>
                <w:highlight w:val="none"/>
              </w:rPr>
            </w:pPr>
          </w:p>
        </w:tc>
      </w:tr>
      <w:tr w14:paraId="07F5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D8CBEB5">
            <w:pPr>
              <w:spacing w:line="240" w:lineRule="exact"/>
              <w:rPr>
                <w:rFonts w:ascii="宋体"/>
                <w:b/>
                <w:color w:val="auto"/>
                <w:sz w:val="24"/>
                <w:highlight w:val="none"/>
              </w:rPr>
            </w:pPr>
          </w:p>
        </w:tc>
        <w:tc>
          <w:tcPr>
            <w:tcW w:w="1080" w:type="dxa"/>
            <w:vAlign w:val="center"/>
          </w:tcPr>
          <w:p w14:paraId="7D914799">
            <w:pPr>
              <w:spacing w:line="240" w:lineRule="exact"/>
              <w:jc w:val="center"/>
              <w:rPr>
                <w:rFonts w:ascii="宋体"/>
                <w:color w:val="auto"/>
                <w:sz w:val="24"/>
                <w:highlight w:val="none"/>
              </w:rPr>
            </w:pPr>
          </w:p>
        </w:tc>
        <w:tc>
          <w:tcPr>
            <w:tcW w:w="2880" w:type="dxa"/>
          </w:tcPr>
          <w:p w14:paraId="2E319413">
            <w:pPr>
              <w:spacing w:line="240" w:lineRule="exact"/>
              <w:rPr>
                <w:rFonts w:ascii="宋体"/>
                <w:b/>
                <w:color w:val="auto"/>
                <w:sz w:val="24"/>
                <w:highlight w:val="none"/>
              </w:rPr>
            </w:pPr>
          </w:p>
        </w:tc>
        <w:tc>
          <w:tcPr>
            <w:tcW w:w="2700" w:type="dxa"/>
          </w:tcPr>
          <w:p w14:paraId="6582D0C3">
            <w:pPr>
              <w:spacing w:line="240" w:lineRule="exact"/>
              <w:rPr>
                <w:rFonts w:ascii="宋体"/>
                <w:b/>
                <w:color w:val="auto"/>
                <w:sz w:val="24"/>
                <w:highlight w:val="none"/>
              </w:rPr>
            </w:pPr>
          </w:p>
        </w:tc>
        <w:tc>
          <w:tcPr>
            <w:tcW w:w="1440" w:type="dxa"/>
          </w:tcPr>
          <w:p w14:paraId="6B246039">
            <w:pPr>
              <w:spacing w:line="240" w:lineRule="exact"/>
              <w:rPr>
                <w:rFonts w:ascii="宋体"/>
                <w:b/>
                <w:color w:val="auto"/>
                <w:sz w:val="24"/>
                <w:highlight w:val="none"/>
              </w:rPr>
            </w:pPr>
          </w:p>
        </w:tc>
        <w:tc>
          <w:tcPr>
            <w:tcW w:w="1221" w:type="dxa"/>
          </w:tcPr>
          <w:p w14:paraId="2FBDB48D">
            <w:pPr>
              <w:spacing w:line="240" w:lineRule="exact"/>
              <w:rPr>
                <w:rFonts w:ascii="宋体"/>
                <w:b/>
                <w:color w:val="auto"/>
                <w:sz w:val="24"/>
                <w:highlight w:val="none"/>
              </w:rPr>
            </w:pPr>
          </w:p>
        </w:tc>
      </w:tr>
      <w:tr w14:paraId="683C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1CF88462">
            <w:pPr>
              <w:spacing w:line="240" w:lineRule="exact"/>
              <w:rPr>
                <w:rFonts w:ascii="宋体"/>
                <w:b/>
                <w:color w:val="auto"/>
                <w:sz w:val="24"/>
                <w:highlight w:val="none"/>
              </w:rPr>
            </w:pPr>
          </w:p>
        </w:tc>
        <w:tc>
          <w:tcPr>
            <w:tcW w:w="1080" w:type="dxa"/>
            <w:vAlign w:val="center"/>
          </w:tcPr>
          <w:p w14:paraId="1F2FFAD6">
            <w:pPr>
              <w:spacing w:line="240" w:lineRule="exact"/>
              <w:jc w:val="center"/>
              <w:rPr>
                <w:rFonts w:ascii="宋体"/>
                <w:color w:val="auto"/>
                <w:sz w:val="24"/>
                <w:highlight w:val="none"/>
              </w:rPr>
            </w:pPr>
          </w:p>
        </w:tc>
        <w:tc>
          <w:tcPr>
            <w:tcW w:w="2880" w:type="dxa"/>
          </w:tcPr>
          <w:p w14:paraId="68C896FE">
            <w:pPr>
              <w:spacing w:line="240" w:lineRule="exact"/>
              <w:rPr>
                <w:rFonts w:ascii="宋体"/>
                <w:b/>
                <w:color w:val="auto"/>
                <w:sz w:val="24"/>
                <w:highlight w:val="none"/>
              </w:rPr>
            </w:pPr>
          </w:p>
        </w:tc>
        <w:tc>
          <w:tcPr>
            <w:tcW w:w="2700" w:type="dxa"/>
          </w:tcPr>
          <w:p w14:paraId="3C58F91D">
            <w:pPr>
              <w:spacing w:line="240" w:lineRule="exact"/>
              <w:rPr>
                <w:rFonts w:ascii="宋体"/>
                <w:b/>
                <w:color w:val="auto"/>
                <w:sz w:val="24"/>
                <w:highlight w:val="none"/>
              </w:rPr>
            </w:pPr>
          </w:p>
        </w:tc>
        <w:tc>
          <w:tcPr>
            <w:tcW w:w="1440" w:type="dxa"/>
          </w:tcPr>
          <w:p w14:paraId="458B8F4A">
            <w:pPr>
              <w:spacing w:line="240" w:lineRule="exact"/>
              <w:rPr>
                <w:rFonts w:ascii="宋体"/>
                <w:b/>
                <w:color w:val="auto"/>
                <w:sz w:val="24"/>
                <w:highlight w:val="none"/>
              </w:rPr>
            </w:pPr>
          </w:p>
        </w:tc>
        <w:tc>
          <w:tcPr>
            <w:tcW w:w="1221" w:type="dxa"/>
          </w:tcPr>
          <w:p w14:paraId="4F66E6A1">
            <w:pPr>
              <w:spacing w:line="240" w:lineRule="exact"/>
              <w:rPr>
                <w:rFonts w:ascii="宋体"/>
                <w:b/>
                <w:color w:val="auto"/>
                <w:sz w:val="24"/>
                <w:highlight w:val="none"/>
              </w:rPr>
            </w:pPr>
          </w:p>
        </w:tc>
      </w:tr>
      <w:tr w14:paraId="5744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D90BBD6">
            <w:pPr>
              <w:spacing w:line="240" w:lineRule="exact"/>
              <w:rPr>
                <w:rFonts w:ascii="宋体"/>
                <w:b/>
                <w:color w:val="auto"/>
                <w:sz w:val="24"/>
                <w:highlight w:val="none"/>
              </w:rPr>
            </w:pPr>
          </w:p>
        </w:tc>
        <w:tc>
          <w:tcPr>
            <w:tcW w:w="1080" w:type="dxa"/>
            <w:vAlign w:val="center"/>
          </w:tcPr>
          <w:p w14:paraId="3F3DD5A3">
            <w:pPr>
              <w:spacing w:line="240" w:lineRule="exact"/>
              <w:jc w:val="center"/>
              <w:rPr>
                <w:rFonts w:ascii="宋体"/>
                <w:color w:val="auto"/>
                <w:sz w:val="24"/>
                <w:highlight w:val="none"/>
              </w:rPr>
            </w:pPr>
          </w:p>
        </w:tc>
        <w:tc>
          <w:tcPr>
            <w:tcW w:w="2880" w:type="dxa"/>
          </w:tcPr>
          <w:p w14:paraId="3F7062EE">
            <w:pPr>
              <w:spacing w:line="240" w:lineRule="exact"/>
              <w:rPr>
                <w:rFonts w:ascii="宋体"/>
                <w:b/>
                <w:color w:val="auto"/>
                <w:sz w:val="24"/>
                <w:highlight w:val="none"/>
              </w:rPr>
            </w:pPr>
          </w:p>
        </w:tc>
        <w:tc>
          <w:tcPr>
            <w:tcW w:w="2700" w:type="dxa"/>
          </w:tcPr>
          <w:p w14:paraId="1AB5D604">
            <w:pPr>
              <w:spacing w:line="240" w:lineRule="exact"/>
              <w:rPr>
                <w:rFonts w:ascii="宋体"/>
                <w:b/>
                <w:color w:val="auto"/>
                <w:sz w:val="24"/>
                <w:highlight w:val="none"/>
              </w:rPr>
            </w:pPr>
          </w:p>
        </w:tc>
        <w:tc>
          <w:tcPr>
            <w:tcW w:w="1440" w:type="dxa"/>
          </w:tcPr>
          <w:p w14:paraId="05123709">
            <w:pPr>
              <w:spacing w:line="240" w:lineRule="exact"/>
              <w:rPr>
                <w:rFonts w:ascii="宋体"/>
                <w:b/>
                <w:color w:val="auto"/>
                <w:sz w:val="24"/>
                <w:highlight w:val="none"/>
              </w:rPr>
            </w:pPr>
          </w:p>
        </w:tc>
        <w:tc>
          <w:tcPr>
            <w:tcW w:w="1221" w:type="dxa"/>
          </w:tcPr>
          <w:p w14:paraId="32D3E7B3">
            <w:pPr>
              <w:spacing w:line="240" w:lineRule="exact"/>
              <w:rPr>
                <w:rFonts w:ascii="宋体"/>
                <w:b/>
                <w:color w:val="auto"/>
                <w:sz w:val="24"/>
                <w:highlight w:val="none"/>
              </w:rPr>
            </w:pPr>
          </w:p>
        </w:tc>
      </w:tr>
    </w:tbl>
    <w:p w14:paraId="1EB404FB">
      <w:pPr>
        <w:rPr>
          <w:rFonts w:ascii="宋体"/>
          <w:color w:val="auto"/>
          <w:sz w:val="24"/>
          <w:highlight w:val="none"/>
        </w:rPr>
      </w:pPr>
    </w:p>
    <w:p w14:paraId="43D0CD03">
      <w:pPr>
        <w:rPr>
          <w:rFonts w:ascii="宋体"/>
          <w:snapToGrid w:val="0"/>
          <w:color w:val="auto"/>
          <w:kern w:val="0"/>
          <w:sz w:val="24"/>
          <w:highlight w:val="none"/>
        </w:rPr>
      </w:pPr>
      <w:r>
        <w:rPr>
          <w:rFonts w:hint="eastAsia" w:ascii="宋体" w:hAnsi="宋体"/>
          <w:color w:val="auto"/>
          <w:sz w:val="24"/>
          <w:highlight w:val="none"/>
        </w:rPr>
        <w:t>注：供应商必须将响应文件中的相关内容按上述要求及以上格式，逐条对应填写</w:t>
      </w:r>
      <w:r>
        <w:rPr>
          <w:rFonts w:hint="eastAsia" w:ascii="宋体" w:hAnsi="宋体"/>
          <w:snapToGrid w:val="0"/>
          <w:color w:val="auto"/>
          <w:kern w:val="0"/>
          <w:sz w:val="24"/>
          <w:highlight w:val="none"/>
        </w:rPr>
        <w:t>，以便磋商小组进行评审，未按以上格式逐条填写导致条理不清，解释不明的，</w:t>
      </w:r>
      <w:r>
        <w:rPr>
          <w:rFonts w:hint="eastAsia" w:ascii="宋体" w:hAnsi="宋体"/>
          <w:color w:val="auto"/>
          <w:sz w:val="24"/>
          <w:highlight w:val="none"/>
        </w:rPr>
        <w:t>磋商小组</w:t>
      </w:r>
      <w:r>
        <w:rPr>
          <w:rFonts w:hint="eastAsia" w:ascii="宋体" w:hAnsi="宋体"/>
          <w:snapToGrid w:val="0"/>
          <w:color w:val="auto"/>
          <w:kern w:val="0"/>
          <w:sz w:val="24"/>
          <w:highlight w:val="none"/>
        </w:rPr>
        <w:t>将做出不利于供应商的</w:t>
      </w:r>
      <w:r>
        <w:rPr>
          <w:rFonts w:hint="eastAsia" w:ascii="宋体" w:hAnsi="宋体"/>
          <w:color w:val="auto"/>
          <w:sz w:val="24"/>
          <w:highlight w:val="none"/>
        </w:rPr>
        <w:t>判断</w:t>
      </w:r>
      <w:r>
        <w:rPr>
          <w:rFonts w:hint="eastAsia" w:ascii="宋体" w:hAnsi="宋体"/>
          <w:snapToGrid w:val="0"/>
          <w:color w:val="auto"/>
          <w:kern w:val="0"/>
          <w:sz w:val="24"/>
          <w:highlight w:val="none"/>
        </w:rPr>
        <w:t>。</w:t>
      </w:r>
    </w:p>
    <w:p w14:paraId="25E7E63C">
      <w:pPr>
        <w:spacing w:line="240" w:lineRule="exact"/>
        <w:rPr>
          <w:rFonts w:ascii="宋体"/>
          <w:b/>
          <w:color w:val="auto"/>
          <w:sz w:val="24"/>
          <w:highlight w:val="none"/>
        </w:rPr>
      </w:pPr>
    </w:p>
    <w:p w14:paraId="5B098699">
      <w:pPr>
        <w:spacing w:line="380" w:lineRule="exact"/>
        <w:rPr>
          <w:rFonts w:ascii="宋体"/>
          <w:color w:val="auto"/>
          <w:sz w:val="24"/>
          <w:highlight w:val="none"/>
          <w:u w:val="single"/>
        </w:rPr>
      </w:pPr>
      <w:r>
        <w:rPr>
          <w:rFonts w:hint="eastAsia" w:ascii="宋体" w:hAnsi="宋体"/>
          <w:color w:val="auto"/>
          <w:sz w:val="24"/>
          <w:highlight w:val="none"/>
        </w:rPr>
        <w:t>供应商代表签名：</w:t>
      </w:r>
    </w:p>
    <w:p w14:paraId="66AA7136">
      <w:pPr>
        <w:rPr>
          <w:rFonts w:ascii="宋体" w:hAnsi="宋体"/>
          <w:color w:val="auto"/>
          <w:highlight w:val="none"/>
        </w:rPr>
      </w:pPr>
    </w:p>
    <w:p w14:paraId="413BC9D2">
      <w:pPr>
        <w:rPr>
          <w:rFonts w:ascii="宋体" w:hAnsi="宋体"/>
          <w:color w:val="auto"/>
          <w:highlight w:val="none"/>
        </w:rPr>
      </w:pPr>
      <w:r>
        <w:rPr>
          <w:rFonts w:hint="eastAsia" w:ascii="宋体" w:hAnsi="宋体"/>
          <w:color w:val="auto"/>
          <w:highlight w:val="none"/>
        </w:rPr>
        <w:br w:type="page"/>
      </w:r>
    </w:p>
    <w:p w14:paraId="21240F08">
      <w:pPr>
        <w:rPr>
          <w:rFonts w:ascii="宋体" w:hAnsi="宋体"/>
          <w:color w:val="auto"/>
          <w:highlight w:val="none"/>
        </w:rPr>
      </w:pPr>
    </w:p>
    <w:p w14:paraId="4FD81EFF">
      <w:pPr>
        <w:pStyle w:val="17"/>
        <w:widowControl/>
        <w:spacing w:before="75" w:beforeAutospacing="0" w:after="75" w:afterAutospacing="0"/>
        <w:rPr>
          <w:color w:val="auto"/>
          <w:highlight w:val="none"/>
        </w:rPr>
      </w:pPr>
      <w:r>
        <w:rPr>
          <w:rFonts w:hint="eastAsia" w:ascii="宋体" w:hAnsi="宋体" w:cs="宋体"/>
          <w:color w:val="auto"/>
          <w:highlight w:val="none"/>
        </w:rPr>
        <w:t>附件6-1  </w:t>
      </w:r>
      <w:r>
        <w:rPr>
          <w:rStyle w:val="23"/>
          <w:rFonts w:hint="eastAsia" w:ascii="宋体" w:hAnsi="宋体" w:cs="宋体"/>
          <w:bCs/>
          <w:color w:val="auto"/>
          <w:highlight w:val="none"/>
        </w:rPr>
        <w:t>    技术和服务要求响应表</w:t>
      </w:r>
      <w:r>
        <w:rPr>
          <w:rFonts w:hint="eastAsia" w:ascii="宋体" w:hAnsi="宋体" w:cs="宋体"/>
          <w:color w:val="auto"/>
          <w:highlight w:val="none"/>
        </w:rPr>
        <w:t> </w:t>
      </w:r>
    </w:p>
    <w:p w14:paraId="5DA4E377">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（全称加盖单位公章）</w:t>
      </w:r>
      <w:r>
        <w:rPr>
          <w:rFonts w:hint="eastAsia" w:ascii="宋体" w:hAnsi="宋体" w:cs="宋体"/>
          <w:color w:val="auto"/>
          <w:highlight w:val="none"/>
        </w:rPr>
        <w:t>  项目编号∶</w:t>
      </w:r>
      <w:r>
        <w:rPr>
          <w:rFonts w:hint="eastAsia" w:ascii="宋体" w:hAnsi="宋体" w:cs="宋体"/>
          <w:color w:val="auto"/>
          <w:highlight w:val="none"/>
          <w:u w:val="single"/>
        </w:rPr>
        <w:t>       </w:t>
      </w:r>
    </w:p>
    <w:tbl>
      <w:tblPr>
        <w:tblStyle w:val="20"/>
        <w:tblW w:w="7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91"/>
        <w:gridCol w:w="1413"/>
        <w:gridCol w:w="2375"/>
        <w:gridCol w:w="2134"/>
        <w:gridCol w:w="1172"/>
      </w:tblGrid>
      <w:tr w14:paraId="12A1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rPr>
        <w:tc>
          <w:tcPr>
            <w:tcW w:w="690" w:type="dxa"/>
            <w:shd w:val="clear" w:color="auto" w:fill="auto"/>
            <w:tcMar>
              <w:top w:w="0" w:type="dxa"/>
              <w:left w:w="105" w:type="dxa"/>
              <w:bottom w:w="0" w:type="dxa"/>
              <w:right w:w="105" w:type="dxa"/>
            </w:tcMar>
            <w:vAlign w:val="center"/>
          </w:tcPr>
          <w:p w14:paraId="086097FA">
            <w:pPr>
              <w:pStyle w:val="17"/>
              <w:widowControl/>
              <w:spacing w:beforeAutospacing="0" w:afterAutospacing="0" w:line="375" w:lineRule="atLeast"/>
              <w:rPr>
                <w:color w:val="auto"/>
                <w:highlight w:val="none"/>
              </w:rPr>
            </w:pPr>
            <w:r>
              <w:rPr>
                <w:rFonts w:hint="eastAsia" w:ascii="宋体" w:hAnsi="宋体" w:cs="宋体"/>
                <w:color w:val="auto"/>
                <w:highlight w:val="none"/>
              </w:rPr>
              <w:t>合同包</w:t>
            </w:r>
          </w:p>
        </w:tc>
        <w:tc>
          <w:tcPr>
            <w:tcW w:w="1410" w:type="dxa"/>
            <w:shd w:val="clear" w:color="auto" w:fill="auto"/>
            <w:tcMar>
              <w:top w:w="0" w:type="dxa"/>
              <w:left w:w="105" w:type="dxa"/>
              <w:bottom w:w="0" w:type="dxa"/>
              <w:right w:w="105" w:type="dxa"/>
            </w:tcMar>
            <w:vAlign w:val="center"/>
          </w:tcPr>
          <w:p w14:paraId="0FD8226A">
            <w:pPr>
              <w:pStyle w:val="17"/>
              <w:widowControl/>
              <w:spacing w:beforeAutospacing="0" w:afterAutospacing="0" w:line="375" w:lineRule="atLeast"/>
              <w:rPr>
                <w:color w:val="auto"/>
                <w:highlight w:val="none"/>
              </w:rPr>
            </w:pPr>
            <w:r>
              <w:rPr>
                <w:rFonts w:hint="eastAsia" w:ascii="宋体" w:hAnsi="宋体" w:cs="宋体"/>
                <w:color w:val="auto"/>
                <w:highlight w:val="none"/>
              </w:rPr>
              <w:t>章节条目号</w:t>
            </w:r>
          </w:p>
        </w:tc>
        <w:tc>
          <w:tcPr>
            <w:tcW w:w="2370" w:type="dxa"/>
            <w:shd w:val="clear" w:color="auto" w:fill="auto"/>
            <w:tcMar>
              <w:top w:w="0" w:type="dxa"/>
              <w:left w:w="105" w:type="dxa"/>
              <w:bottom w:w="0" w:type="dxa"/>
              <w:right w:w="105" w:type="dxa"/>
            </w:tcMar>
            <w:vAlign w:val="center"/>
          </w:tcPr>
          <w:p w14:paraId="5AE606BD">
            <w:pPr>
              <w:pStyle w:val="17"/>
              <w:widowControl/>
              <w:spacing w:beforeAutospacing="0" w:afterAutospacing="0" w:line="375" w:lineRule="atLeast"/>
              <w:rPr>
                <w:color w:val="auto"/>
                <w:highlight w:val="none"/>
              </w:rPr>
            </w:pPr>
            <w:r>
              <w:rPr>
                <w:rFonts w:hint="eastAsia" w:ascii="宋体" w:hAnsi="宋体" w:cs="宋体"/>
                <w:color w:val="auto"/>
                <w:highlight w:val="none"/>
              </w:rPr>
              <w:t>竞争性磋商文件规定的技术和服务要求</w:t>
            </w:r>
          </w:p>
        </w:tc>
        <w:tc>
          <w:tcPr>
            <w:tcW w:w="2130" w:type="dxa"/>
            <w:shd w:val="clear" w:color="auto" w:fill="auto"/>
            <w:tcMar>
              <w:top w:w="0" w:type="dxa"/>
              <w:left w:w="105" w:type="dxa"/>
              <w:bottom w:w="0" w:type="dxa"/>
              <w:right w:w="105" w:type="dxa"/>
            </w:tcMar>
            <w:vAlign w:val="center"/>
          </w:tcPr>
          <w:p w14:paraId="75F2CAEF">
            <w:pPr>
              <w:pStyle w:val="17"/>
              <w:widowControl/>
              <w:spacing w:beforeAutospacing="0" w:afterAutospacing="0" w:line="375" w:lineRule="atLeast"/>
              <w:rPr>
                <w:color w:val="auto"/>
                <w:highlight w:val="none"/>
              </w:rPr>
            </w:pPr>
            <w:r>
              <w:rPr>
                <w:rFonts w:hint="eastAsia" w:ascii="宋体" w:hAnsi="宋体" w:cs="宋体"/>
                <w:color w:val="auto"/>
                <w:highlight w:val="none"/>
              </w:rPr>
              <w:t>响应文件响应承诺</w:t>
            </w:r>
          </w:p>
        </w:tc>
        <w:tc>
          <w:tcPr>
            <w:tcW w:w="1170" w:type="dxa"/>
            <w:shd w:val="clear" w:color="auto" w:fill="auto"/>
            <w:tcMar>
              <w:top w:w="0" w:type="dxa"/>
              <w:left w:w="105" w:type="dxa"/>
              <w:bottom w:w="0" w:type="dxa"/>
              <w:right w:w="105" w:type="dxa"/>
            </w:tcMar>
            <w:vAlign w:val="center"/>
          </w:tcPr>
          <w:p w14:paraId="4D6CF0AA">
            <w:pPr>
              <w:pStyle w:val="17"/>
              <w:widowControl/>
              <w:spacing w:beforeAutospacing="0" w:afterAutospacing="0" w:line="375" w:lineRule="atLeast"/>
              <w:rPr>
                <w:color w:val="auto"/>
                <w:highlight w:val="none"/>
              </w:rPr>
            </w:pPr>
            <w:r>
              <w:rPr>
                <w:rFonts w:hint="eastAsia" w:ascii="宋体" w:hAnsi="宋体" w:cs="宋体"/>
                <w:color w:val="auto"/>
                <w:highlight w:val="none"/>
              </w:rPr>
              <w:t>是否偏离及说明</w:t>
            </w:r>
          </w:p>
        </w:tc>
      </w:tr>
      <w:tr w14:paraId="59AC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33BE3BC0">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68CD18FA">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4EA6C9CD">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0B1BC64E">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0B7B0B0F">
            <w:pPr>
              <w:widowControl/>
              <w:jc w:val="left"/>
              <w:rPr>
                <w:color w:val="auto"/>
                <w:highlight w:val="none"/>
              </w:rPr>
            </w:pPr>
          </w:p>
        </w:tc>
      </w:tr>
      <w:tr w14:paraId="0BC0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4ED6526C">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5869BAC8">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1E5ED3DA">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07CAA102">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265FBABB">
            <w:pPr>
              <w:widowControl/>
              <w:jc w:val="left"/>
              <w:rPr>
                <w:color w:val="auto"/>
                <w:highlight w:val="none"/>
              </w:rPr>
            </w:pPr>
          </w:p>
        </w:tc>
      </w:tr>
      <w:tr w14:paraId="3763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36ED3BAA">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02BC37F3">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74D0200C">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6DF60EC8">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6BF8B3F3">
            <w:pPr>
              <w:widowControl/>
              <w:jc w:val="left"/>
              <w:rPr>
                <w:color w:val="auto"/>
                <w:highlight w:val="none"/>
              </w:rPr>
            </w:pPr>
          </w:p>
        </w:tc>
      </w:tr>
      <w:tr w14:paraId="2376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26D9F339">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234B3356">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0B797B03">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0F5B4A2D">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7652EEF5">
            <w:pPr>
              <w:widowControl/>
              <w:jc w:val="left"/>
              <w:rPr>
                <w:color w:val="auto"/>
                <w:highlight w:val="none"/>
              </w:rPr>
            </w:pPr>
          </w:p>
        </w:tc>
      </w:tr>
      <w:tr w14:paraId="2117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3ABFCF1F">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3D0E2A3">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681D794F">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25DA252">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2A86386A">
            <w:pPr>
              <w:widowControl/>
              <w:jc w:val="left"/>
              <w:rPr>
                <w:color w:val="auto"/>
                <w:highlight w:val="none"/>
              </w:rPr>
            </w:pPr>
          </w:p>
        </w:tc>
      </w:tr>
      <w:tr w14:paraId="1B11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36862190">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0E87582F">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658B027D">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8E6E5CC">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6324B9B2">
            <w:pPr>
              <w:widowControl/>
              <w:jc w:val="left"/>
              <w:rPr>
                <w:color w:val="auto"/>
                <w:highlight w:val="none"/>
              </w:rPr>
            </w:pPr>
          </w:p>
        </w:tc>
      </w:tr>
      <w:tr w14:paraId="29CD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62244161">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5A382EDF">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1C71ACD8">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61074D7A">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5E206E5F">
            <w:pPr>
              <w:widowControl/>
              <w:jc w:val="left"/>
              <w:rPr>
                <w:color w:val="auto"/>
                <w:highlight w:val="none"/>
              </w:rPr>
            </w:pPr>
          </w:p>
        </w:tc>
      </w:tr>
      <w:tr w14:paraId="3C7B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21E08B5C">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0E91F531">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7F9F050D">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36A176FF">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0D97A908">
            <w:pPr>
              <w:widowControl/>
              <w:jc w:val="left"/>
              <w:rPr>
                <w:color w:val="auto"/>
                <w:highlight w:val="none"/>
              </w:rPr>
            </w:pPr>
          </w:p>
        </w:tc>
      </w:tr>
      <w:tr w14:paraId="7289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13F83369">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8FC586F">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792F406E">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2A1177D3">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2F1FF102">
            <w:pPr>
              <w:widowControl/>
              <w:jc w:val="left"/>
              <w:rPr>
                <w:color w:val="auto"/>
                <w:highlight w:val="none"/>
              </w:rPr>
            </w:pPr>
          </w:p>
        </w:tc>
      </w:tr>
      <w:tr w14:paraId="1D33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7F55EF61">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3B4AF9E8">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3C3F5EA1">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73B9CC18">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49059823">
            <w:pPr>
              <w:widowControl/>
              <w:jc w:val="left"/>
              <w:rPr>
                <w:color w:val="auto"/>
                <w:highlight w:val="none"/>
              </w:rPr>
            </w:pPr>
          </w:p>
        </w:tc>
      </w:tr>
      <w:tr w14:paraId="54C0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2AA440B9">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1049FF67">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44B46192">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22971B1F">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A43CD56">
            <w:pPr>
              <w:widowControl/>
              <w:jc w:val="left"/>
              <w:rPr>
                <w:color w:val="auto"/>
                <w:highlight w:val="none"/>
              </w:rPr>
            </w:pPr>
          </w:p>
        </w:tc>
      </w:tr>
      <w:tr w14:paraId="69724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4B2B04B4">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BE92F06">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4298A284">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78A36583">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522B3E5B">
            <w:pPr>
              <w:widowControl/>
              <w:jc w:val="left"/>
              <w:rPr>
                <w:color w:val="auto"/>
                <w:highlight w:val="none"/>
              </w:rPr>
            </w:pPr>
          </w:p>
        </w:tc>
      </w:tr>
    </w:tbl>
    <w:p w14:paraId="5118F07E">
      <w:pPr>
        <w:pStyle w:val="17"/>
        <w:widowControl/>
        <w:spacing w:before="75" w:beforeAutospacing="0" w:after="75" w:afterAutospacing="0" w:line="375" w:lineRule="atLeast"/>
        <w:rPr>
          <w:color w:val="auto"/>
          <w:highlight w:val="none"/>
        </w:rPr>
      </w:pPr>
      <w:r>
        <w:rPr>
          <w:rStyle w:val="23"/>
          <w:rFonts w:hint="eastAsia" w:ascii="宋体" w:hAnsi="宋体" w:cs="宋体"/>
          <w:bCs/>
          <w:color w:val="auto"/>
          <w:sz w:val="21"/>
          <w:szCs w:val="21"/>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人违约，按供应商虚假承诺骗取成交处理，采购人将取消其成交人资格，其磋商保证金（如果未签订合同）将不予退还，给采购人和采购代理机构造成损失的，还必须进行赔偿并负相关责任。</w:t>
      </w:r>
    </w:p>
    <w:p w14:paraId="5FAEEE28">
      <w:pPr>
        <w:pStyle w:val="17"/>
        <w:widowControl/>
        <w:spacing w:before="75" w:beforeAutospacing="0" w:after="75" w:afterAutospacing="0" w:line="375" w:lineRule="atLeast"/>
        <w:rPr>
          <w:color w:val="auto"/>
          <w:highlight w:val="none"/>
        </w:rPr>
      </w:pPr>
      <w:r>
        <w:rPr>
          <w:rStyle w:val="23"/>
          <w:rFonts w:hint="eastAsia" w:ascii="宋体" w:hAnsi="宋体" w:cs="宋体"/>
          <w:bCs/>
          <w:color w:val="auto"/>
          <w:sz w:val="21"/>
          <w:szCs w:val="21"/>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50E46C0D">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 供应商代表签字： _________________</w:t>
      </w:r>
    </w:p>
    <w:p w14:paraId="61C900B6">
      <w:pPr>
        <w:pStyle w:val="17"/>
        <w:widowControl/>
        <w:spacing w:before="75" w:beforeAutospacing="0" w:after="75" w:afterAutospacing="0"/>
        <w:rPr>
          <w:rFonts w:ascii="宋体" w:hAnsi="宋体" w:cs="宋体"/>
          <w:color w:val="auto"/>
          <w:highlight w:val="none"/>
        </w:rPr>
      </w:pPr>
    </w:p>
    <w:p w14:paraId="3C9C569B">
      <w:pPr>
        <w:rPr>
          <w:rFonts w:ascii="宋体" w:hAnsi="宋体"/>
          <w:color w:val="auto"/>
          <w:highlight w:val="none"/>
        </w:rPr>
      </w:pPr>
      <w:r>
        <w:rPr>
          <w:rFonts w:hint="eastAsia" w:ascii="宋体" w:hAnsi="宋体"/>
          <w:color w:val="auto"/>
          <w:highlight w:val="none"/>
        </w:rPr>
        <w:br w:type="page"/>
      </w:r>
    </w:p>
    <w:p w14:paraId="2D078E00">
      <w:pPr>
        <w:pStyle w:val="17"/>
        <w:widowControl/>
        <w:spacing w:before="75" w:beforeAutospacing="0" w:after="75" w:afterAutospacing="0"/>
        <w:rPr>
          <w:color w:val="auto"/>
          <w:highlight w:val="none"/>
        </w:rPr>
      </w:pPr>
      <w:r>
        <w:rPr>
          <w:rFonts w:hint="eastAsia" w:ascii="宋体" w:hAnsi="宋体" w:cs="宋体"/>
          <w:color w:val="auto"/>
          <w:highlight w:val="none"/>
        </w:rPr>
        <w:t>附件6-2      </w:t>
      </w:r>
      <w:r>
        <w:rPr>
          <w:rStyle w:val="23"/>
          <w:rFonts w:hint="eastAsia" w:ascii="宋体" w:hAnsi="宋体" w:cs="宋体"/>
          <w:bCs/>
          <w:color w:val="auto"/>
          <w:highlight w:val="none"/>
        </w:rPr>
        <w:t> 商务条件和其它事项响应表 </w:t>
      </w:r>
    </w:p>
    <w:p w14:paraId="6C5951A0">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（全称加盖单位公章）</w:t>
      </w:r>
      <w:r>
        <w:rPr>
          <w:rFonts w:hint="eastAsia" w:ascii="宋体" w:hAnsi="宋体" w:cs="宋体"/>
          <w:color w:val="auto"/>
          <w:highlight w:val="none"/>
        </w:rPr>
        <w:t>  项目编号∶</w:t>
      </w:r>
      <w:r>
        <w:rPr>
          <w:rFonts w:hint="eastAsia" w:ascii="宋体" w:hAnsi="宋体" w:cs="宋体"/>
          <w:color w:val="auto"/>
          <w:highlight w:val="none"/>
          <w:u w:val="single"/>
        </w:rPr>
        <w:t>       </w:t>
      </w:r>
    </w:p>
    <w:tbl>
      <w:tblPr>
        <w:tblStyle w:val="20"/>
        <w:tblW w:w="7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91"/>
        <w:gridCol w:w="1413"/>
        <w:gridCol w:w="2375"/>
        <w:gridCol w:w="2134"/>
        <w:gridCol w:w="1172"/>
      </w:tblGrid>
      <w:tr w14:paraId="6D5F4884">
        <w:tblPrEx>
          <w:tblCellMar>
            <w:top w:w="15" w:type="dxa"/>
            <w:left w:w="15" w:type="dxa"/>
            <w:bottom w:w="15" w:type="dxa"/>
            <w:right w:w="15" w:type="dxa"/>
          </w:tblCellMar>
        </w:tblPrEx>
        <w:trPr>
          <w:trHeight w:val="945" w:hRule="atLeast"/>
        </w:trPr>
        <w:tc>
          <w:tcPr>
            <w:tcW w:w="690" w:type="dxa"/>
            <w:shd w:val="clear" w:color="auto" w:fill="auto"/>
            <w:tcMar>
              <w:top w:w="0" w:type="dxa"/>
              <w:left w:w="105" w:type="dxa"/>
              <w:bottom w:w="0" w:type="dxa"/>
              <w:right w:w="105" w:type="dxa"/>
            </w:tcMar>
            <w:vAlign w:val="center"/>
          </w:tcPr>
          <w:p w14:paraId="31C41FA4">
            <w:pPr>
              <w:pStyle w:val="17"/>
              <w:widowControl/>
              <w:spacing w:beforeAutospacing="0" w:afterAutospacing="0" w:line="375" w:lineRule="atLeast"/>
              <w:rPr>
                <w:color w:val="auto"/>
                <w:highlight w:val="none"/>
              </w:rPr>
            </w:pPr>
            <w:r>
              <w:rPr>
                <w:rFonts w:hint="eastAsia" w:ascii="宋体" w:hAnsi="宋体" w:cs="宋体"/>
                <w:color w:val="auto"/>
                <w:highlight w:val="none"/>
              </w:rPr>
              <w:t>合同包</w:t>
            </w:r>
          </w:p>
        </w:tc>
        <w:tc>
          <w:tcPr>
            <w:tcW w:w="1410" w:type="dxa"/>
            <w:shd w:val="clear" w:color="auto" w:fill="auto"/>
            <w:tcMar>
              <w:top w:w="0" w:type="dxa"/>
              <w:left w:w="105" w:type="dxa"/>
              <w:bottom w:w="0" w:type="dxa"/>
              <w:right w:w="105" w:type="dxa"/>
            </w:tcMar>
            <w:vAlign w:val="center"/>
          </w:tcPr>
          <w:p w14:paraId="65A94B9F">
            <w:pPr>
              <w:pStyle w:val="17"/>
              <w:widowControl/>
              <w:spacing w:beforeAutospacing="0" w:afterAutospacing="0" w:line="375" w:lineRule="atLeast"/>
              <w:rPr>
                <w:color w:val="auto"/>
                <w:highlight w:val="none"/>
              </w:rPr>
            </w:pPr>
            <w:r>
              <w:rPr>
                <w:rFonts w:hint="eastAsia" w:ascii="宋体" w:hAnsi="宋体" w:cs="宋体"/>
                <w:color w:val="auto"/>
                <w:highlight w:val="none"/>
              </w:rPr>
              <w:t>章节条目号</w:t>
            </w:r>
          </w:p>
        </w:tc>
        <w:tc>
          <w:tcPr>
            <w:tcW w:w="2370" w:type="dxa"/>
            <w:shd w:val="clear" w:color="auto" w:fill="auto"/>
            <w:tcMar>
              <w:top w:w="0" w:type="dxa"/>
              <w:left w:w="105" w:type="dxa"/>
              <w:bottom w:w="0" w:type="dxa"/>
              <w:right w:w="105" w:type="dxa"/>
            </w:tcMar>
            <w:vAlign w:val="center"/>
          </w:tcPr>
          <w:p w14:paraId="3B52C1B5">
            <w:pPr>
              <w:pStyle w:val="17"/>
              <w:widowControl/>
              <w:spacing w:beforeAutospacing="0" w:afterAutospacing="0" w:line="375" w:lineRule="atLeast"/>
              <w:rPr>
                <w:color w:val="auto"/>
                <w:highlight w:val="none"/>
              </w:rPr>
            </w:pPr>
            <w:r>
              <w:rPr>
                <w:rFonts w:hint="eastAsia" w:ascii="宋体" w:hAnsi="宋体" w:cs="宋体"/>
                <w:color w:val="auto"/>
                <w:highlight w:val="none"/>
              </w:rPr>
              <w:t>竞争性磋商文件规定的商务条件要求</w:t>
            </w:r>
          </w:p>
        </w:tc>
        <w:tc>
          <w:tcPr>
            <w:tcW w:w="2130" w:type="dxa"/>
            <w:shd w:val="clear" w:color="auto" w:fill="auto"/>
            <w:tcMar>
              <w:top w:w="0" w:type="dxa"/>
              <w:left w:w="105" w:type="dxa"/>
              <w:bottom w:w="0" w:type="dxa"/>
              <w:right w:w="105" w:type="dxa"/>
            </w:tcMar>
            <w:vAlign w:val="center"/>
          </w:tcPr>
          <w:p w14:paraId="2485F558">
            <w:pPr>
              <w:pStyle w:val="17"/>
              <w:widowControl/>
              <w:spacing w:beforeAutospacing="0" w:afterAutospacing="0" w:line="375" w:lineRule="atLeast"/>
              <w:rPr>
                <w:color w:val="auto"/>
                <w:highlight w:val="none"/>
              </w:rPr>
            </w:pPr>
            <w:r>
              <w:rPr>
                <w:rFonts w:hint="eastAsia" w:ascii="宋体" w:hAnsi="宋体" w:cs="宋体"/>
                <w:color w:val="auto"/>
                <w:highlight w:val="none"/>
              </w:rPr>
              <w:t>响应文件响应承诺</w:t>
            </w:r>
          </w:p>
        </w:tc>
        <w:tc>
          <w:tcPr>
            <w:tcW w:w="1170" w:type="dxa"/>
            <w:shd w:val="clear" w:color="auto" w:fill="auto"/>
            <w:tcMar>
              <w:top w:w="0" w:type="dxa"/>
              <w:left w:w="105" w:type="dxa"/>
              <w:bottom w:w="0" w:type="dxa"/>
              <w:right w:w="105" w:type="dxa"/>
            </w:tcMar>
            <w:vAlign w:val="center"/>
          </w:tcPr>
          <w:p w14:paraId="4FE3917E">
            <w:pPr>
              <w:pStyle w:val="17"/>
              <w:widowControl/>
              <w:spacing w:beforeAutospacing="0" w:afterAutospacing="0" w:line="375" w:lineRule="atLeast"/>
              <w:rPr>
                <w:color w:val="auto"/>
                <w:highlight w:val="none"/>
              </w:rPr>
            </w:pPr>
            <w:r>
              <w:rPr>
                <w:rFonts w:hint="eastAsia" w:ascii="宋体" w:hAnsi="宋体" w:cs="宋体"/>
                <w:color w:val="auto"/>
                <w:highlight w:val="none"/>
              </w:rPr>
              <w:t>是否偏离及说明</w:t>
            </w:r>
          </w:p>
        </w:tc>
      </w:tr>
      <w:tr w14:paraId="704D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54AE73B4">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0A9AB93B">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66DC45B8">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F60B8A2">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4FA464BC">
            <w:pPr>
              <w:widowControl/>
              <w:jc w:val="left"/>
              <w:rPr>
                <w:color w:val="auto"/>
                <w:highlight w:val="none"/>
              </w:rPr>
            </w:pPr>
          </w:p>
        </w:tc>
      </w:tr>
      <w:tr w14:paraId="4B37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2AF84B63">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7A3D5AC">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3A95F746">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3ED983D">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DCEAFF8">
            <w:pPr>
              <w:widowControl/>
              <w:jc w:val="left"/>
              <w:rPr>
                <w:color w:val="auto"/>
                <w:highlight w:val="none"/>
              </w:rPr>
            </w:pPr>
          </w:p>
        </w:tc>
      </w:tr>
      <w:tr w14:paraId="5DF4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396F3072">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5C2D1481">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4B768CDD">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67C45CDE">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2F92CB0">
            <w:pPr>
              <w:widowControl/>
              <w:jc w:val="left"/>
              <w:rPr>
                <w:color w:val="auto"/>
                <w:highlight w:val="none"/>
              </w:rPr>
            </w:pPr>
          </w:p>
        </w:tc>
      </w:tr>
      <w:tr w14:paraId="2FC8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11F4D753">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E3BFCA0">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681BBF4B">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7D7E2A72">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5A7E247A">
            <w:pPr>
              <w:widowControl/>
              <w:jc w:val="left"/>
              <w:rPr>
                <w:color w:val="auto"/>
                <w:highlight w:val="none"/>
              </w:rPr>
            </w:pPr>
          </w:p>
        </w:tc>
      </w:tr>
      <w:tr w14:paraId="5478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663EDDCF">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687B82D">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05C320DC">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700F20B">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4905751F">
            <w:pPr>
              <w:widowControl/>
              <w:jc w:val="left"/>
              <w:rPr>
                <w:color w:val="auto"/>
                <w:highlight w:val="none"/>
              </w:rPr>
            </w:pPr>
          </w:p>
        </w:tc>
      </w:tr>
      <w:tr w14:paraId="4E6B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7A560471">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52E37777">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39023507">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10D0AD01">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A618AD1">
            <w:pPr>
              <w:widowControl/>
              <w:jc w:val="left"/>
              <w:rPr>
                <w:color w:val="auto"/>
                <w:highlight w:val="none"/>
              </w:rPr>
            </w:pPr>
          </w:p>
        </w:tc>
      </w:tr>
      <w:tr w14:paraId="6266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18BAD515">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1521EEEF">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4190003A">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4E8C33FF">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43CCDF42">
            <w:pPr>
              <w:widowControl/>
              <w:jc w:val="left"/>
              <w:rPr>
                <w:color w:val="auto"/>
                <w:highlight w:val="none"/>
              </w:rPr>
            </w:pPr>
          </w:p>
        </w:tc>
      </w:tr>
      <w:tr w14:paraId="37DA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4849E262">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783E9433">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72D13833">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55C1D93D">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0AE8D0D4">
            <w:pPr>
              <w:widowControl/>
              <w:jc w:val="left"/>
              <w:rPr>
                <w:color w:val="auto"/>
                <w:highlight w:val="none"/>
              </w:rPr>
            </w:pPr>
          </w:p>
        </w:tc>
      </w:tr>
      <w:tr w14:paraId="3171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04B90C5D">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04EEE38">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277BFB1D">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0B32026C">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7C4AA9A">
            <w:pPr>
              <w:widowControl/>
              <w:jc w:val="left"/>
              <w:rPr>
                <w:color w:val="auto"/>
                <w:highlight w:val="none"/>
              </w:rPr>
            </w:pPr>
          </w:p>
        </w:tc>
      </w:tr>
      <w:tr w14:paraId="3B2B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7993025D">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46508571">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232AE6AE">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65FA8D69">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108CD7DB">
            <w:pPr>
              <w:widowControl/>
              <w:jc w:val="left"/>
              <w:rPr>
                <w:color w:val="auto"/>
                <w:highlight w:val="none"/>
              </w:rPr>
            </w:pPr>
          </w:p>
        </w:tc>
      </w:tr>
      <w:tr w14:paraId="08F2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24B2D8FA">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6DBBAF58">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51A763E2">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241F43E7">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2CEAACF6">
            <w:pPr>
              <w:widowControl/>
              <w:jc w:val="left"/>
              <w:rPr>
                <w:color w:val="auto"/>
                <w:highlight w:val="none"/>
              </w:rPr>
            </w:pPr>
          </w:p>
        </w:tc>
      </w:tr>
      <w:tr w14:paraId="3C4E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690" w:type="dxa"/>
            <w:shd w:val="clear" w:color="auto" w:fill="auto"/>
            <w:tcMar>
              <w:top w:w="0" w:type="dxa"/>
              <w:left w:w="105" w:type="dxa"/>
              <w:bottom w:w="0" w:type="dxa"/>
              <w:right w:w="105" w:type="dxa"/>
            </w:tcMar>
            <w:vAlign w:val="center"/>
          </w:tcPr>
          <w:p w14:paraId="5EBC8BF5">
            <w:pPr>
              <w:widowControl/>
              <w:jc w:val="left"/>
              <w:rPr>
                <w:color w:val="auto"/>
                <w:highlight w:val="none"/>
              </w:rPr>
            </w:pPr>
          </w:p>
        </w:tc>
        <w:tc>
          <w:tcPr>
            <w:tcW w:w="1410" w:type="dxa"/>
            <w:shd w:val="clear" w:color="auto" w:fill="auto"/>
            <w:tcMar>
              <w:top w:w="0" w:type="dxa"/>
              <w:left w:w="105" w:type="dxa"/>
              <w:bottom w:w="0" w:type="dxa"/>
              <w:right w:w="105" w:type="dxa"/>
            </w:tcMar>
            <w:vAlign w:val="center"/>
          </w:tcPr>
          <w:p w14:paraId="68126CB4">
            <w:pPr>
              <w:widowControl/>
              <w:jc w:val="left"/>
              <w:rPr>
                <w:color w:val="auto"/>
                <w:highlight w:val="none"/>
              </w:rPr>
            </w:pPr>
          </w:p>
        </w:tc>
        <w:tc>
          <w:tcPr>
            <w:tcW w:w="2370" w:type="dxa"/>
            <w:shd w:val="clear" w:color="auto" w:fill="auto"/>
            <w:tcMar>
              <w:top w:w="0" w:type="dxa"/>
              <w:left w:w="105" w:type="dxa"/>
              <w:bottom w:w="0" w:type="dxa"/>
              <w:right w:w="105" w:type="dxa"/>
            </w:tcMar>
            <w:vAlign w:val="center"/>
          </w:tcPr>
          <w:p w14:paraId="75AEDDFB">
            <w:pPr>
              <w:widowControl/>
              <w:jc w:val="left"/>
              <w:rPr>
                <w:color w:val="auto"/>
                <w:highlight w:val="none"/>
              </w:rPr>
            </w:pPr>
          </w:p>
        </w:tc>
        <w:tc>
          <w:tcPr>
            <w:tcW w:w="2130" w:type="dxa"/>
            <w:shd w:val="clear" w:color="auto" w:fill="auto"/>
            <w:tcMar>
              <w:top w:w="0" w:type="dxa"/>
              <w:left w:w="105" w:type="dxa"/>
              <w:bottom w:w="0" w:type="dxa"/>
              <w:right w:w="105" w:type="dxa"/>
            </w:tcMar>
            <w:vAlign w:val="center"/>
          </w:tcPr>
          <w:p w14:paraId="45C51EA6">
            <w:pPr>
              <w:widowControl/>
              <w:jc w:val="left"/>
              <w:rPr>
                <w:color w:val="auto"/>
                <w:highlight w:val="none"/>
              </w:rPr>
            </w:pPr>
          </w:p>
        </w:tc>
        <w:tc>
          <w:tcPr>
            <w:tcW w:w="1170" w:type="dxa"/>
            <w:shd w:val="clear" w:color="auto" w:fill="auto"/>
            <w:tcMar>
              <w:top w:w="0" w:type="dxa"/>
              <w:left w:w="105" w:type="dxa"/>
              <w:bottom w:w="0" w:type="dxa"/>
              <w:right w:w="105" w:type="dxa"/>
            </w:tcMar>
            <w:vAlign w:val="center"/>
          </w:tcPr>
          <w:p w14:paraId="2E6E37B7">
            <w:pPr>
              <w:widowControl/>
              <w:jc w:val="left"/>
              <w:rPr>
                <w:color w:val="auto"/>
                <w:highlight w:val="none"/>
              </w:rPr>
            </w:pPr>
          </w:p>
        </w:tc>
      </w:tr>
    </w:tbl>
    <w:p w14:paraId="375E4883">
      <w:pPr>
        <w:pStyle w:val="17"/>
        <w:widowControl/>
        <w:spacing w:before="75" w:beforeAutospacing="0" w:after="75" w:afterAutospacing="0" w:line="375" w:lineRule="atLeast"/>
        <w:rPr>
          <w:rStyle w:val="23"/>
          <w:rFonts w:ascii="宋体" w:hAnsi="宋体" w:cs="宋体"/>
          <w:bCs/>
          <w:color w:val="auto"/>
          <w:highlight w:val="none"/>
        </w:rPr>
      </w:pPr>
      <w:r>
        <w:rPr>
          <w:rStyle w:val="23"/>
          <w:rFonts w:hint="eastAsia" w:ascii="宋体" w:hAnsi="宋体" w:cs="宋体"/>
          <w:bCs/>
          <w:color w:val="auto"/>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人违约，按供应商虚假承诺骗取成交处理，采购人将取消其成交人资格，其磋商保证金（如果未签订合同）将不予退还，给采购人和采购代理机构造成损失的，还必须进行赔偿并负相关责任。</w:t>
      </w:r>
    </w:p>
    <w:p w14:paraId="5564645A">
      <w:pPr>
        <w:pStyle w:val="17"/>
        <w:widowControl/>
        <w:spacing w:before="75" w:beforeAutospacing="0" w:after="75" w:afterAutospacing="0" w:line="375" w:lineRule="atLeast"/>
        <w:rPr>
          <w:rStyle w:val="23"/>
          <w:rFonts w:ascii="宋体" w:hAnsi="宋体" w:cs="宋体"/>
          <w:bCs/>
          <w:color w:val="auto"/>
          <w:highlight w:val="none"/>
        </w:rPr>
      </w:pPr>
      <w:r>
        <w:rPr>
          <w:rStyle w:val="23"/>
          <w:rFonts w:hint="eastAsia" w:ascii="宋体" w:hAnsi="宋体" w:cs="宋体"/>
          <w:bCs/>
          <w:color w:val="auto"/>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400A976E">
      <w:pPr>
        <w:pStyle w:val="17"/>
        <w:widowControl/>
        <w:spacing w:before="75" w:beforeAutospacing="0" w:after="75" w:afterAutospacing="0" w:line="375" w:lineRule="atLeast"/>
        <w:rPr>
          <w:color w:val="auto"/>
          <w:highlight w:val="none"/>
        </w:rPr>
      </w:pPr>
      <w:r>
        <w:rPr>
          <w:rFonts w:hint="eastAsia" w:ascii="宋体" w:hAnsi="宋体" w:cs="宋体"/>
          <w:color w:val="auto"/>
          <w:highlight w:val="none"/>
        </w:rPr>
        <w:t>供应商代表签字： _________________</w:t>
      </w:r>
    </w:p>
    <w:p w14:paraId="2C3D6FB5">
      <w:pPr>
        <w:rPr>
          <w:rFonts w:ascii="宋体" w:hAnsi="宋体"/>
          <w:color w:val="auto"/>
          <w:highlight w:val="none"/>
        </w:rPr>
      </w:pPr>
      <w:r>
        <w:rPr>
          <w:rFonts w:hint="eastAsia" w:ascii="宋体" w:hAnsi="宋体"/>
          <w:color w:val="auto"/>
          <w:highlight w:val="none"/>
        </w:rPr>
        <w:br w:type="page"/>
      </w:r>
    </w:p>
    <w:p w14:paraId="07E97364">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附件7    </w:t>
      </w:r>
      <w:r>
        <w:rPr>
          <w:rStyle w:val="23"/>
          <w:rFonts w:hint="eastAsia" w:ascii="宋体" w:hAnsi="宋体" w:cs="宋体"/>
          <w:bCs/>
          <w:color w:val="auto"/>
          <w:highlight w:val="none"/>
        </w:rPr>
        <w:t>  相关技术、商务、服务响应承诺及资料</w:t>
      </w:r>
    </w:p>
    <w:p w14:paraId="55AF12E4">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4B0EDA2F">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说明：    </w:t>
      </w:r>
    </w:p>
    <w:p w14:paraId="62A73F43">
      <w:pPr>
        <w:pStyle w:val="17"/>
        <w:widowControl/>
        <w:spacing w:before="75" w:beforeAutospacing="0" w:after="75" w:afterAutospacing="0" w:line="495" w:lineRule="atLeast"/>
        <w:rPr>
          <w:color w:val="auto"/>
          <w:highlight w:val="none"/>
        </w:rPr>
      </w:pPr>
      <w:r>
        <w:rPr>
          <w:rFonts w:hint="eastAsia" w:ascii="宋体" w:hAnsi="宋体" w:cs="宋体"/>
          <w:color w:val="auto"/>
          <w:highlight w:val="none"/>
        </w:rPr>
        <w:t>  1.采购人或采购代理机构可以根据项目的特点和需要，在磋商文件中对供应商需要提供的相关技术、商务、服务响应承诺及资料进行具体规定或附表格式，供应商应按照磋商文件要求提供相关承诺及材料，并加盖供应商单位公章。</w:t>
      </w:r>
    </w:p>
    <w:p w14:paraId="210D7232">
      <w:pPr>
        <w:pStyle w:val="17"/>
        <w:widowControl/>
        <w:spacing w:before="75" w:beforeAutospacing="0" w:after="75" w:afterAutospacing="0" w:line="495" w:lineRule="atLeast"/>
        <w:rPr>
          <w:color w:val="auto"/>
          <w:highlight w:val="none"/>
        </w:rPr>
      </w:pPr>
      <w:r>
        <w:rPr>
          <w:rFonts w:hint="eastAsia" w:ascii="宋体" w:hAnsi="宋体" w:cs="宋体"/>
          <w:color w:val="auto"/>
          <w:highlight w:val="none"/>
        </w:rPr>
        <w:t>  2.如果没有特别要求的，供应商根据磋商文件的要求以及特点，提供相关技术、商务、服务响应承诺及资料，格式自拟。</w:t>
      </w:r>
    </w:p>
    <w:p w14:paraId="4A115B94">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w:t>
      </w:r>
    </w:p>
    <w:p w14:paraId="2C09D52C">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w:t>
      </w:r>
    </w:p>
    <w:p w14:paraId="769CD8E3">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 </w:t>
      </w:r>
    </w:p>
    <w:p w14:paraId="7045D01C">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 </w:t>
      </w:r>
    </w:p>
    <w:p w14:paraId="4414F547">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65C0CC45">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55E2CE05">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0295FA01">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 </w:t>
      </w:r>
    </w:p>
    <w:p w14:paraId="2122606B">
      <w:pPr>
        <w:pStyle w:val="17"/>
        <w:widowControl/>
        <w:spacing w:before="75" w:beforeAutospacing="0" w:after="75" w:afterAutospacing="0" w:line="495" w:lineRule="atLeast"/>
        <w:rPr>
          <w:color w:val="auto"/>
          <w:highlight w:val="none"/>
        </w:rPr>
      </w:pPr>
      <w:r>
        <w:rPr>
          <w:rFonts w:hint="eastAsia" w:ascii="宋体" w:hAnsi="宋体" w:cs="宋体"/>
          <w:color w:val="auto"/>
          <w:highlight w:val="none"/>
        </w:rPr>
        <w:t> </w:t>
      </w:r>
    </w:p>
    <w:p w14:paraId="6B95E3C2">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w:t>
      </w:r>
    </w:p>
    <w:p w14:paraId="4B9CFD79">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w:t>
      </w:r>
    </w:p>
    <w:p w14:paraId="242C45B7">
      <w:pPr>
        <w:pStyle w:val="17"/>
        <w:widowControl/>
        <w:spacing w:before="75" w:beforeAutospacing="0" w:after="75" w:afterAutospacing="0" w:line="495" w:lineRule="atLeast"/>
        <w:rPr>
          <w:color w:val="auto"/>
          <w:highlight w:val="none"/>
        </w:rPr>
      </w:pPr>
      <w:r>
        <w:rPr>
          <w:rStyle w:val="23"/>
          <w:rFonts w:hint="eastAsia" w:ascii="宋体" w:hAnsi="宋体" w:cs="宋体"/>
          <w:bCs/>
          <w:color w:val="auto"/>
          <w:highlight w:val="none"/>
        </w:rPr>
        <w:t> </w:t>
      </w:r>
    </w:p>
    <w:p w14:paraId="026C7723">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1B33EC12">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 </w:t>
      </w:r>
    </w:p>
    <w:p w14:paraId="334FFD61">
      <w:pPr>
        <w:pStyle w:val="17"/>
        <w:widowControl/>
        <w:spacing w:before="75" w:beforeAutospacing="0" w:after="75" w:afterAutospacing="0" w:line="465" w:lineRule="atLeast"/>
        <w:rPr>
          <w:color w:val="auto"/>
          <w:highlight w:val="none"/>
        </w:rPr>
      </w:pPr>
      <w:r>
        <w:rPr>
          <w:color w:val="auto"/>
          <w:highlight w:val="none"/>
        </w:rPr>
        <w:t> </w:t>
      </w:r>
    </w:p>
    <w:p w14:paraId="41F14360">
      <w:pPr>
        <w:pStyle w:val="17"/>
        <w:widowControl/>
        <w:spacing w:before="75" w:beforeAutospacing="0" w:after="75" w:afterAutospacing="0" w:line="465" w:lineRule="atLeast"/>
        <w:rPr>
          <w:rFonts w:ascii="宋体" w:hAnsi="宋体" w:cs="宋体"/>
          <w:color w:val="auto"/>
          <w:highlight w:val="none"/>
        </w:rPr>
      </w:pPr>
    </w:p>
    <w:p w14:paraId="4EF12528">
      <w:pPr>
        <w:pStyle w:val="17"/>
        <w:widowControl/>
        <w:spacing w:before="75" w:beforeAutospacing="0" w:after="75" w:afterAutospacing="0" w:line="465" w:lineRule="atLeast"/>
        <w:rPr>
          <w:rFonts w:ascii="宋体" w:hAnsi="宋体" w:cs="宋体"/>
          <w:color w:val="auto"/>
          <w:highlight w:val="none"/>
        </w:rPr>
      </w:pPr>
    </w:p>
    <w:p w14:paraId="4D924C31">
      <w:pPr>
        <w:rPr>
          <w:rFonts w:ascii="宋体" w:hAnsi="宋体"/>
          <w:color w:val="auto"/>
          <w:sz w:val="24"/>
          <w:highlight w:val="none"/>
        </w:rPr>
      </w:pPr>
      <w:r>
        <w:rPr>
          <w:rFonts w:hint="eastAsia" w:ascii="宋体" w:hAnsi="宋体"/>
          <w:color w:val="auto"/>
          <w:sz w:val="24"/>
          <w:highlight w:val="none"/>
        </w:rPr>
        <w:br w:type="page"/>
      </w:r>
    </w:p>
    <w:p w14:paraId="70D239BB">
      <w:pPr>
        <w:pStyle w:val="17"/>
        <w:widowControl/>
        <w:spacing w:before="75" w:beforeAutospacing="0" w:after="75" w:afterAutospacing="0" w:line="465" w:lineRule="atLeast"/>
        <w:rPr>
          <w:color w:val="auto"/>
          <w:highlight w:val="none"/>
        </w:rPr>
      </w:pPr>
      <w:r>
        <w:rPr>
          <w:rFonts w:hint="eastAsia" w:ascii="宋体" w:hAnsi="宋体" w:cs="宋体"/>
          <w:color w:val="auto"/>
          <w:highlight w:val="none"/>
        </w:rPr>
        <w:t>附件8    </w:t>
      </w:r>
      <w:r>
        <w:rPr>
          <w:rStyle w:val="23"/>
          <w:rFonts w:hint="eastAsia" w:ascii="宋体" w:hAnsi="宋体" w:cs="宋体"/>
          <w:bCs/>
          <w:color w:val="auto"/>
          <w:highlight w:val="none"/>
        </w:rPr>
        <w:t>供应商提交符合政府采购政策的证明材料</w:t>
      </w:r>
    </w:p>
    <w:p w14:paraId="3E63A8AA">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 </w:t>
      </w:r>
    </w:p>
    <w:p w14:paraId="5B98E672">
      <w:pPr>
        <w:pStyle w:val="17"/>
        <w:widowControl/>
        <w:spacing w:before="75" w:beforeAutospacing="0" w:after="75" w:afterAutospacing="0"/>
        <w:rPr>
          <w:color w:val="auto"/>
          <w:highlight w:val="none"/>
        </w:rPr>
      </w:pPr>
      <w:r>
        <w:rPr>
          <w:rFonts w:hint="eastAsia" w:ascii="宋体" w:hAnsi="宋体" w:cs="宋体"/>
          <w:color w:val="auto"/>
          <w:highlight w:val="none"/>
        </w:rPr>
        <w:t>附件8-1-1        </w:t>
      </w:r>
      <w:r>
        <w:rPr>
          <w:rStyle w:val="23"/>
          <w:rFonts w:hint="eastAsia" w:ascii="宋体" w:hAnsi="宋体" w:cs="宋体"/>
          <w:bCs/>
          <w:color w:val="auto"/>
          <w:highlight w:val="none"/>
        </w:rPr>
        <w:t>中小企业声明函（如果有的话）</w:t>
      </w:r>
    </w:p>
    <w:p w14:paraId="22F9EB0A">
      <w:pPr>
        <w:pStyle w:val="17"/>
        <w:widowControl/>
        <w:spacing w:before="75" w:beforeAutospacing="0" w:after="75" w:afterAutospacing="0" w:line="315" w:lineRule="atLeast"/>
        <w:jc w:val="both"/>
        <w:rPr>
          <w:color w:val="auto"/>
          <w:highlight w:val="none"/>
        </w:rPr>
      </w:pPr>
      <w:r>
        <w:rPr>
          <w:rFonts w:hint="eastAsia" w:ascii="宋体" w:hAnsi="宋体" w:cs="宋体"/>
          <w:color w:val="auto"/>
          <w:highlight w:val="none"/>
        </w:rPr>
        <w:t> </w:t>
      </w:r>
    </w:p>
    <w:p w14:paraId="78C4F36A">
      <w:pPr>
        <w:pStyle w:val="34"/>
        <w:spacing w:line="400" w:lineRule="exact"/>
        <w:ind w:firstLine="480"/>
        <w:jc w:val="center"/>
        <w:rPr>
          <w:rFonts w:hint="default" w:ascii="宋体" w:hAnsi="宋体"/>
          <w:color w:val="auto"/>
          <w:sz w:val="24"/>
          <w:szCs w:val="24"/>
          <w:highlight w:val="none"/>
        </w:rPr>
      </w:pPr>
      <w:r>
        <w:rPr>
          <w:rFonts w:ascii="宋体" w:hAnsi="宋体"/>
          <w:color w:val="auto"/>
          <w:sz w:val="24"/>
          <w:szCs w:val="24"/>
          <w:highlight w:val="none"/>
        </w:rPr>
        <w:t>中小企业声明函（货物）</w:t>
      </w:r>
    </w:p>
    <w:p w14:paraId="7B9AF209">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本公司</w:t>
      </w:r>
      <w:r>
        <w:rPr>
          <w:rFonts w:ascii="宋体" w:hAnsi="宋体"/>
          <w:color w:val="auto"/>
          <w:sz w:val="24"/>
          <w:szCs w:val="24"/>
          <w:highlight w:val="none"/>
          <w:u w:val="single"/>
        </w:rPr>
        <w:t>（联合体）</w:t>
      </w:r>
      <w:r>
        <w:rPr>
          <w:rFonts w:ascii="宋体" w:hAnsi="宋体"/>
          <w:color w:val="auto"/>
          <w:sz w:val="24"/>
          <w:szCs w:val="24"/>
          <w:highlight w:val="none"/>
        </w:rPr>
        <w:t>郑重声明，根据《政府采购促进中小企业发展管理办法》（财库﹝2020﹞46号）的规定，本公司</w:t>
      </w:r>
      <w:r>
        <w:rPr>
          <w:rFonts w:ascii="宋体" w:hAnsi="宋体"/>
          <w:color w:val="auto"/>
          <w:sz w:val="24"/>
          <w:szCs w:val="24"/>
          <w:highlight w:val="none"/>
          <w:u w:val="single"/>
        </w:rPr>
        <w:t>（联合体）</w:t>
      </w:r>
      <w:r>
        <w:rPr>
          <w:rFonts w:ascii="宋体" w:hAnsi="宋体"/>
          <w:color w:val="auto"/>
          <w:sz w:val="24"/>
          <w:szCs w:val="24"/>
          <w:highlight w:val="none"/>
        </w:rPr>
        <w:t>参加</w:t>
      </w:r>
      <w:r>
        <w:rPr>
          <w:rFonts w:ascii="宋体" w:hAnsi="宋体"/>
          <w:color w:val="auto"/>
          <w:sz w:val="24"/>
          <w:szCs w:val="24"/>
          <w:highlight w:val="none"/>
          <w:u w:val="single"/>
        </w:rPr>
        <w:t>（单位名称）</w:t>
      </w:r>
      <w:r>
        <w:rPr>
          <w:rFonts w:ascii="宋体" w:hAnsi="宋体"/>
          <w:color w:val="auto"/>
          <w:sz w:val="24"/>
          <w:szCs w:val="24"/>
          <w:highlight w:val="none"/>
        </w:rPr>
        <w:t>的</w:t>
      </w:r>
      <w:r>
        <w:rPr>
          <w:rFonts w:ascii="宋体" w:hAnsi="宋体"/>
          <w:color w:val="auto"/>
          <w:sz w:val="24"/>
          <w:szCs w:val="24"/>
          <w:highlight w:val="none"/>
          <w:u w:val="single"/>
        </w:rPr>
        <w:t>（项目名称）</w:t>
      </w:r>
      <w:r>
        <w:rPr>
          <w:rFonts w:ascii="宋体" w:hAnsi="宋体"/>
          <w:color w:val="auto"/>
          <w:sz w:val="24"/>
          <w:szCs w:val="24"/>
          <w:highlight w:val="none"/>
        </w:rPr>
        <w:t>采购活动，提供的货物全部由符合政策要求的中小企业制造。相关企业（含联合体中的中小企业、签订分包意向协议的中小企业）的具体情况如下：</w:t>
      </w:r>
    </w:p>
    <w:p w14:paraId="2FF8C555">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1.</w:t>
      </w:r>
      <w:r>
        <w:rPr>
          <w:rFonts w:ascii="宋体" w:hAnsi="宋体"/>
          <w:color w:val="auto"/>
          <w:sz w:val="24"/>
          <w:szCs w:val="24"/>
          <w:highlight w:val="none"/>
          <w:u w:val="single"/>
        </w:rPr>
        <w:t>（标的名称）</w:t>
      </w:r>
      <w:r>
        <w:rPr>
          <w:rFonts w:ascii="宋体" w:hAnsi="宋体"/>
          <w:color w:val="auto"/>
          <w:sz w:val="24"/>
          <w:szCs w:val="24"/>
          <w:highlight w:val="none"/>
        </w:rPr>
        <w:t>，属于</w:t>
      </w:r>
      <w:r>
        <w:rPr>
          <w:rFonts w:ascii="宋体" w:hAnsi="宋体"/>
          <w:color w:val="auto"/>
          <w:sz w:val="24"/>
          <w:szCs w:val="24"/>
          <w:highlight w:val="none"/>
          <w:u w:val="single"/>
        </w:rPr>
        <w:t>（采购文件中明确的所属行业）</w:t>
      </w:r>
      <w:r>
        <w:rPr>
          <w:rFonts w:ascii="宋体" w:hAnsi="宋体"/>
          <w:color w:val="auto"/>
          <w:sz w:val="24"/>
          <w:szCs w:val="24"/>
          <w:highlight w:val="none"/>
        </w:rPr>
        <w:t>行业；制造商为</w:t>
      </w:r>
      <w:r>
        <w:rPr>
          <w:rFonts w:ascii="宋体" w:hAnsi="宋体"/>
          <w:color w:val="auto"/>
          <w:sz w:val="24"/>
          <w:szCs w:val="24"/>
          <w:highlight w:val="none"/>
          <w:u w:val="single"/>
        </w:rPr>
        <w:t>（企业名称）</w:t>
      </w:r>
      <w:r>
        <w:rPr>
          <w:rFonts w:ascii="宋体" w:hAnsi="宋体"/>
          <w:color w:val="auto"/>
          <w:sz w:val="24"/>
          <w:szCs w:val="24"/>
          <w:highlight w:val="none"/>
        </w:rPr>
        <w:t>，从业人员人，营业收入为万元，资产总额为万元1，属于</w:t>
      </w:r>
      <w:r>
        <w:rPr>
          <w:rFonts w:ascii="宋体" w:hAnsi="宋体"/>
          <w:color w:val="auto"/>
          <w:sz w:val="24"/>
          <w:szCs w:val="24"/>
          <w:highlight w:val="none"/>
          <w:u w:val="single"/>
        </w:rPr>
        <w:t>（中型企业、小型企业、微型企业）</w:t>
      </w:r>
      <w:r>
        <w:rPr>
          <w:rFonts w:ascii="宋体" w:hAnsi="宋体"/>
          <w:color w:val="auto"/>
          <w:sz w:val="24"/>
          <w:szCs w:val="24"/>
          <w:highlight w:val="none"/>
        </w:rPr>
        <w:t>；</w:t>
      </w:r>
    </w:p>
    <w:p w14:paraId="3891C466">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2.</w:t>
      </w:r>
      <w:r>
        <w:rPr>
          <w:rFonts w:ascii="宋体" w:hAnsi="宋体"/>
          <w:color w:val="auto"/>
          <w:sz w:val="24"/>
          <w:szCs w:val="24"/>
          <w:highlight w:val="none"/>
          <w:u w:val="single"/>
        </w:rPr>
        <w:t>（标的名称）</w:t>
      </w:r>
      <w:r>
        <w:rPr>
          <w:rFonts w:ascii="宋体" w:hAnsi="宋体"/>
          <w:color w:val="auto"/>
          <w:sz w:val="24"/>
          <w:szCs w:val="24"/>
          <w:highlight w:val="none"/>
        </w:rPr>
        <w:t>，属于</w:t>
      </w:r>
      <w:r>
        <w:rPr>
          <w:rFonts w:ascii="宋体" w:hAnsi="宋体"/>
          <w:color w:val="auto"/>
          <w:sz w:val="24"/>
          <w:szCs w:val="24"/>
          <w:highlight w:val="none"/>
          <w:u w:val="single"/>
        </w:rPr>
        <w:t>（采购文件中明确的所属行业）</w:t>
      </w:r>
      <w:r>
        <w:rPr>
          <w:rFonts w:ascii="宋体" w:hAnsi="宋体"/>
          <w:color w:val="auto"/>
          <w:sz w:val="24"/>
          <w:szCs w:val="24"/>
          <w:highlight w:val="none"/>
        </w:rPr>
        <w:t>行业；制造商为</w:t>
      </w:r>
      <w:r>
        <w:rPr>
          <w:rFonts w:ascii="宋体" w:hAnsi="宋体"/>
          <w:color w:val="auto"/>
          <w:sz w:val="24"/>
          <w:szCs w:val="24"/>
          <w:highlight w:val="none"/>
          <w:u w:val="single"/>
        </w:rPr>
        <w:t>（企业名称）</w:t>
      </w:r>
      <w:r>
        <w:rPr>
          <w:rFonts w:ascii="宋体" w:hAnsi="宋体"/>
          <w:color w:val="auto"/>
          <w:sz w:val="24"/>
          <w:szCs w:val="24"/>
          <w:highlight w:val="none"/>
        </w:rPr>
        <w:t>，从业人员人，营业收入为万元，资产总额为万元1，属于</w:t>
      </w:r>
      <w:r>
        <w:rPr>
          <w:rFonts w:ascii="宋体" w:hAnsi="宋体"/>
          <w:color w:val="auto"/>
          <w:sz w:val="24"/>
          <w:szCs w:val="24"/>
          <w:highlight w:val="none"/>
          <w:u w:val="single"/>
        </w:rPr>
        <w:t>（中型企业、小型企业、微型企业）</w:t>
      </w:r>
      <w:r>
        <w:rPr>
          <w:rFonts w:ascii="宋体" w:hAnsi="宋体"/>
          <w:color w:val="auto"/>
          <w:sz w:val="24"/>
          <w:szCs w:val="24"/>
          <w:highlight w:val="none"/>
        </w:rPr>
        <w:t>；</w:t>
      </w:r>
    </w:p>
    <w:p w14:paraId="0664D482">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w:t>
      </w:r>
    </w:p>
    <w:p w14:paraId="024349B6">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以上企业，不属于大企业的分支机构，不存在控股股东为大企业的情形，也不存在与大企业的负责人为同一人的情形。</w:t>
      </w:r>
    </w:p>
    <w:p w14:paraId="77D1C24A">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本企业对上述声明内容的真实性负责。如有虚假，将依法承担相应责任。</w:t>
      </w:r>
    </w:p>
    <w:p w14:paraId="4FDC033C">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企业名称（盖章）：</w:t>
      </w:r>
    </w:p>
    <w:p w14:paraId="0BC6DE92">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日期：</w:t>
      </w:r>
      <w:r>
        <w:rPr>
          <w:rFonts w:ascii="宋体" w:hAnsi="宋体"/>
          <w:color w:val="auto"/>
          <w:sz w:val="24"/>
          <w:szCs w:val="24"/>
          <w:highlight w:val="none"/>
          <w:u w:val="single"/>
        </w:rPr>
        <w:t>　　　</w:t>
      </w:r>
      <w:r>
        <w:rPr>
          <w:rFonts w:ascii="宋体" w:hAnsi="宋体"/>
          <w:color w:val="auto"/>
          <w:sz w:val="24"/>
          <w:szCs w:val="24"/>
          <w:highlight w:val="none"/>
        </w:rPr>
        <w:t>年</w:t>
      </w:r>
      <w:r>
        <w:rPr>
          <w:rFonts w:ascii="宋体" w:hAnsi="宋体"/>
          <w:color w:val="auto"/>
          <w:sz w:val="24"/>
          <w:szCs w:val="24"/>
          <w:highlight w:val="none"/>
          <w:u w:val="single"/>
        </w:rPr>
        <w:t>　　　</w:t>
      </w:r>
      <w:r>
        <w:rPr>
          <w:rFonts w:ascii="宋体" w:hAnsi="宋体"/>
          <w:color w:val="auto"/>
          <w:sz w:val="24"/>
          <w:szCs w:val="24"/>
          <w:highlight w:val="none"/>
        </w:rPr>
        <w:t>月</w:t>
      </w:r>
      <w:r>
        <w:rPr>
          <w:rFonts w:ascii="宋体" w:hAnsi="宋体"/>
          <w:color w:val="auto"/>
          <w:sz w:val="24"/>
          <w:szCs w:val="24"/>
          <w:highlight w:val="none"/>
          <w:u w:val="single"/>
        </w:rPr>
        <w:t>　　　</w:t>
      </w:r>
      <w:r>
        <w:rPr>
          <w:rFonts w:ascii="宋体" w:hAnsi="宋体"/>
          <w:color w:val="auto"/>
          <w:sz w:val="24"/>
          <w:szCs w:val="24"/>
          <w:highlight w:val="none"/>
        </w:rPr>
        <w:t>日</w:t>
      </w:r>
    </w:p>
    <w:p w14:paraId="4D46F6BC">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※注意：</w:t>
      </w:r>
    </w:p>
    <w:p w14:paraId="5F25B2D2">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1、从业人员、营业收入、资产总额填报上一年度数据，无上一年度数据的新成立企业可不填报。</w:t>
      </w:r>
    </w:p>
    <w:p w14:paraId="53D7A453">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682698B6">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6033C823">
      <w:pPr>
        <w:pStyle w:val="17"/>
        <w:widowControl/>
        <w:spacing w:before="75" w:beforeAutospacing="0" w:after="75" w:afterAutospacing="0"/>
        <w:ind w:firstLine="2880"/>
        <w:rPr>
          <w:color w:val="auto"/>
          <w:highlight w:val="none"/>
        </w:rPr>
      </w:pPr>
      <w:r>
        <w:rPr>
          <w:rFonts w:hint="eastAsia" w:ascii="宋体" w:hAnsi="宋体" w:cs="宋体"/>
          <w:color w:val="auto"/>
          <w:highlight w:val="none"/>
        </w:rPr>
        <w:br w:type="textWrapping"/>
      </w:r>
    </w:p>
    <w:p w14:paraId="735F1A3F">
      <w:pPr>
        <w:pStyle w:val="17"/>
        <w:widowControl/>
        <w:spacing w:before="75" w:beforeAutospacing="0" w:after="75" w:afterAutospacing="0"/>
        <w:ind w:firstLine="2880"/>
        <w:rPr>
          <w:color w:val="auto"/>
          <w:highlight w:val="none"/>
        </w:rPr>
      </w:pPr>
      <w:r>
        <w:rPr>
          <w:color w:val="auto"/>
          <w:highlight w:val="none"/>
        </w:rPr>
        <w:t xml:space="preserve">                                          </w:t>
      </w:r>
    </w:p>
    <w:p w14:paraId="6F48D995">
      <w:pPr>
        <w:rPr>
          <w:color w:val="auto"/>
          <w:sz w:val="24"/>
          <w:highlight w:val="none"/>
        </w:rPr>
      </w:pPr>
      <w:r>
        <w:rPr>
          <w:color w:val="auto"/>
          <w:sz w:val="24"/>
          <w:highlight w:val="none"/>
        </w:rPr>
        <w:br w:type="page"/>
      </w:r>
    </w:p>
    <w:p w14:paraId="3A3F53B8">
      <w:pPr>
        <w:pStyle w:val="34"/>
        <w:spacing w:line="400" w:lineRule="exact"/>
        <w:jc w:val="center"/>
        <w:outlineLvl w:val="3"/>
        <w:rPr>
          <w:rFonts w:hint="default" w:ascii="宋体" w:hAnsi="宋体"/>
          <w:color w:val="auto"/>
          <w:sz w:val="24"/>
          <w:szCs w:val="24"/>
          <w:highlight w:val="none"/>
        </w:rPr>
      </w:pPr>
      <w:r>
        <w:rPr>
          <w:rFonts w:ascii="宋体" w:hAnsi="宋体"/>
          <w:b/>
          <w:color w:val="auto"/>
          <w:sz w:val="24"/>
          <w:szCs w:val="24"/>
          <w:highlight w:val="none"/>
        </w:rPr>
        <w:t xml:space="preserve"> 中小企业声明函（工程、服务）</w:t>
      </w:r>
    </w:p>
    <w:p w14:paraId="72B1913F">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本公司</w:t>
      </w:r>
      <w:r>
        <w:rPr>
          <w:rFonts w:ascii="宋体" w:hAnsi="宋体"/>
          <w:color w:val="auto"/>
          <w:sz w:val="24"/>
          <w:szCs w:val="24"/>
          <w:highlight w:val="none"/>
          <w:u w:val="single"/>
        </w:rPr>
        <w:t>（联合体）</w:t>
      </w:r>
      <w:r>
        <w:rPr>
          <w:rFonts w:ascii="宋体" w:hAnsi="宋体"/>
          <w:color w:val="auto"/>
          <w:sz w:val="24"/>
          <w:szCs w:val="24"/>
          <w:highlight w:val="none"/>
        </w:rPr>
        <w:t>郑重声明，根据《政府采购促进中小企业发展管理办法》（财库﹝2020﹞46号）的规定，本公司</w:t>
      </w:r>
      <w:r>
        <w:rPr>
          <w:rFonts w:ascii="宋体" w:hAnsi="宋体"/>
          <w:color w:val="auto"/>
          <w:sz w:val="24"/>
          <w:szCs w:val="24"/>
          <w:highlight w:val="none"/>
          <w:u w:val="single"/>
        </w:rPr>
        <w:t>（联合体）</w:t>
      </w:r>
      <w:r>
        <w:rPr>
          <w:rFonts w:ascii="宋体" w:hAnsi="宋体"/>
          <w:color w:val="auto"/>
          <w:sz w:val="24"/>
          <w:szCs w:val="24"/>
          <w:highlight w:val="none"/>
        </w:rPr>
        <w:t>参加</w:t>
      </w:r>
      <w:r>
        <w:rPr>
          <w:rFonts w:ascii="宋体" w:hAnsi="宋体"/>
          <w:color w:val="auto"/>
          <w:sz w:val="24"/>
          <w:szCs w:val="24"/>
          <w:highlight w:val="none"/>
          <w:u w:val="single"/>
        </w:rPr>
        <w:t>（单位名称）</w:t>
      </w:r>
      <w:r>
        <w:rPr>
          <w:rFonts w:ascii="宋体" w:hAnsi="宋体"/>
          <w:color w:val="auto"/>
          <w:sz w:val="24"/>
          <w:szCs w:val="24"/>
          <w:highlight w:val="none"/>
        </w:rPr>
        <w:t>的</w:t>
      </w:r>
      <w:r>
        <w:rPr>
          <w:rFonts w:ascii="宋体" w:hAnsi="宋体"/>
          <w:color w:val="auto"/>
          <w:sz w:val="24"/>
          <w:szCs w:val="24"/>
          <w:highlight w:val="none"/>
          <w:u w:val="single"/>
        </w:rPr>
        <w:t>（项目名称）</w:t>
      </w:r>
      <w:r>
        <w:rPr>
          <w:rFonts w:ascii="宋体" w:hAnsi="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662BD27">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1.</w:t>
      </w:r>
      <w:r>
        <w:rPr>
          <w:rFonts w:ascii="宋体" w:hAnsi="宋体"/>
          <w:color w:val="auto"/>
          <w:sz w:val="24"/>
          <w:szCs w:val="24"/>
          <w:highlight w:val="none"/>
          <w:u w:val="single"/>
        </w:rPr>
        <w:t>（标的名称）</w:t>
      </w:r>
      <w:r>
        <w:rPr>
          <w:rFonts w:ascii="宋体" w:hAnsi="宋体"/>
          <w:color w:val="auto"/>
          <w:sz w:val="24"/>
          <w:szCs w:val="24"/>
          <w:highlight w:val="none"/>
        </w:rPr>
        <w:t>，属于</w:t>
      </w:r>
      <w:r>
        <w:rPr>
          <w:rFonts w:ascii="宋体" w:hAnsi="宋体"/>
          <w:color w:val="auto"/>
          <w:sz w:val="24"/>
          <w:szCs w:val="24"/>
          <w:highlight w:val="none"/>
          <w:u w:val="single"/>
        </w:rPr>
        <w:t>（采购文件中明确的所属行业）</w:t>
      </w:r>
      <w:r>
        <w:rPr>
          <w:rFonts w:ascii="宋体" w:hAnsi="宋体"/>
          <w:color w:val="auto"/>
          <w:sz w:val="24"/>
          <w:szCs w:val="24"/>
          <w:highlight w:val="none"/>
        </w:rPr>
        <w:t>行业；承建（承接）企业为</w:t>
      </w:r>
      <w:r>
        <w:rPr>
          <w:rFonts w:ascii="宋体" w:hAnsi="宋体"/>
          <w:color w:val="auto"/>
          <w:sz w:val="24"/>
          <w:szCs w:val="24"/>
          <w:highlight w:val="none"/>
          <w:u w:val="single"/>
        </w:rPr>
        <w:t>（企业名称）</w:t>
      </w:r>
      <w:r>
        <w:rPr>
          <w:rFonts w:ascii="宋体" w:hAnsi="宋体"/>
          <w:color w:val="auto"/>
          <w:sz w:val="24"/>
          <w:szCs w:val="24"/>
          <w:highlight w:val="none"/>
        </w:rPr>
        <w:t>，从业人员人，营业收入为万元，资产总额为万元1，属于</w:t>
      </w:r>
      <w:r>
        <w:rPr>
          <w:rFonts w:ascii="宋体" w:hAnsi="宋体"/>
          <w:color w:val="auto"/>
          <w:sz w:val="24"/>
          <w:szCs w:val="24"/>
          <w:highlight w:val="none"/>
          <w:u w:val="single"/>
        </w:rPr>
        <w:t>（中型企业、小型企业、微型企业）</w:t>
      </w:r>
      <w:r>
        <w:rPr>
          <w:rFonts w:ascii="宋体" w:hAnsi="宋体"/>
          <w:color w:val="auto"/>
          <w:sz w:val="24"/>
          <w:szCs w:val="24"/>
          <w:highlight w:val="none"/>
        </w:rPr>
        <w:t>；</w:t>
      </w:r>
    </w:p>
    <w:p w14:paraId="3F04B079">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1.</w:t>
      </w:r>
      <w:r>
        <w:rPr>
          <w:rFonts w:ascii="宋体" w:hAnsi="宋体"/>
          <w:color w:val="auto"/>
          <w:sz w:val="24"/>
          <w:szCs w:val="24"/>
          <w:highlight w:val="none"/>
          <w:u w:val="single"/>
        </w:rPr>
        <w:t>（标的名称）</w:t>
      </w:r>
      <w:r>
        <w:rPr>
          <w:rFonts w:ascii="宋体" w:hAnsi="宋体"/>
          <w:color w:val="auto"/>
          <w:sz w:val="24"/>
          <w:szCs w:val="24"/>
          <w:highlight w:val="none"/>
        </w:rPr>
        <w:t>，属于</w:t>
      </w:r>
      <w:r>
        <w:rPr>
          <w:rFonts w:ascii="宋体" w:hAnsi="宋体"/>
          <w:color w:val="auto"/>
          <w:sz w:val="24"/>
          <w:szCs w:val="24"/>
          <w:highlight w:val="none"/>
          <w:u w:val="single"/>
        </w:rPr>
        <w:t>（采购文件中明确的所属行业）</w:t>
      </w:r>
      <w:r>
        <w:rPr>
          <w:rFonts w:ascii="宋体" w:hAnsi="宋体"/>
          <w:color w:val="auto"/>
          <w:sz w:val="24"/>
          <w:szCs w:val="24"/>
          <w:highlight w:val="none"/>
        </w:rPr>
        <w:t>行业；承建（承接）企业为</w:t>
      </w:r>
      <w:r>
        <w:rPr>
          <w:rFonts w:ascii="宋体" w:hAnsi="宋体"/>
          <w:color w:val="auto"/>
          <w:sz w:val="24"/>
          <w:szCs w:val="24"/>
          <w:highlight w:val="none"/>
          <w:u w:val="single"/>
        </w:rPr>
        <w:t>（企业名称）</w:t>
      </w:r>
      <w:r>
        <w:rPr>
          <w:rFonts w:ascii="宋体" w:hAnsi="宋体"/>
          <w:color w:val="auto"/>
          <w:sz w:val="24"/>
          <w:szCs w:val="24"/>
          <w:highlight w:val="none"/>
        </w:rPr>
        <w:t>，从业人员人，营业收入为万元，资产总额为万元1，属于</w:t>
      </w:r>
      <w:r>
        <w:rPr>
          <w:rFonts w:ascii="宋体" w:hAnsi="宋体"/>
          <w:color w:val="auto"/>
          <w:sz w:val="24"/>
          <w:szCs w:val="24"/>
          <w:highlight w:val="none"/>
          <w:u w:val="single"/>
        </w:rPr>
        <w:t>（中型企业、小型企业、微型企业）</w:t>
      </w:r>
      <w:r>
        <w:rPr>
          <w:rFonts w:ascii="宋体" w:hAnsi="宋体"/>
          <w:color w:val="auto"/>
          <w:sz w:val="24"/>
          <w:szCs w:val="24"/>
          <w:highlight w:val="none"/>
        </w:rPr>
        <w:t>；</w:t>
      </w:r>
    </w:p>
    <w:p w14:paraId="00C1B234">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w:t>
      </w:r>
    </w:p>
    <w:p w14:paraId="7D1E5971">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以上企业，不属于大企业的分支机构，不存在控股股东为大企业的情形，也不存在与大企业的负责人为同一人的情形。</w:t>
      </w:r>
    </w:p>
    <w:p w14:paraId="2E835F46">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本企业对上述声明内容的真实性负责。如有虚假，将依法承担相应责任。</w:t>
      </w:r>
    </w:p>
    <w:p w14:paraId="169C4FF2">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企业名称（盖章）：</w:t>
      </w:r>
    </w:p>
    <w:p w14:paraId="5C38873C">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日期：</w:t>
      </w:r>
      <w:r>
        <w:rPr>
          <w:rFonts w:ascii="宋体" w:hAnsi="宋体"/>
          <w:color w:val="auto"/>
          <w:sz w:val="24"/>
          <w:szCs w:val="24"/>
          <w:highlight w:val="none"/>
          <w:u w:val="single"/>
        </w:rPr>
        <w:t>　　　</w:t>
      </w:r>
      <w:r>
        <w:rPr>
          <w:rFonts w:ascii="宋体" w:hAnsi="宋体"/>
          <w:color w:val="auto"/>
          <w:sz w:val="24"/>
          <w:szCs w:val="24"/>
          <w:highlight w:val="none"/>
        </w:rPr>
        <w:t>年</w:t>
      </w:r>
      <w:r>
        <w:rPr>
          <w:rFonts w:ascii="宋体" w:hAnsi="宋体"/>
          <w:color w:val="auto"/>
          <w:sz w:val="24"/>
          <w:szCs w:val="24"/>
          <w:highlight w:val="none"/>
          <w:u w:val="single"/>
        </w:rPr>
        <w:t>　　　</w:t>
      </w:r>
      <w:r>
        <w:rPr>
          <w:rFonts w:ascii="宋体" w:hAnsi="宋体"/>
          <w:color w:val="auto"/>
          <w:sz w:val="24"/>
          <w:szCs w:val="24"/>
          <w:highlight w:val="none"/>
        </w:rPr>
        <w:t>月</w:t>
      </w:r>
      <w:r>
        <w:rPr>
          <w:rFonts w:ascii="宋体" w:hAnsi="宋体"/>
          <w:color w:val="auto"/>
          <w:sz w:val="24"/>
          <w:szCs w:val="24"/>
          <w:highlight w:val="none"/>
          <w:u w:val="single"/>
        </w:rPr>
        <w:t>　　　</w:t>
      </w:r>
      <w:r>
        <w:rPr>
          <w:rFonts w:ascii="宋体" w:hAnsi="宋体"/>
          <w:color w:val="auto"/>
          <w:sz w:val="24"/>
          <w:szCs w:val="24"/>
          <w:highlight w:val="none"/>
        </w:rPr>
        <w:t>日</w:t>
      </w:r>
      <w:r>
        <w:rPr>
          <w:rFonts w:ascii="宋体" w:hAnsi="宋体"/>
          <w:color w:val="auto"/>
          <w:sz w:val="24"/>
          <w:szCs w:val="24"/>
          <w:highlight w:val="none"/>
        </w:rPr>
        <w:br w:type="textWrapping"/>
      </w:r>
    </w:p>
    <w:p w14:paraId="4D9B848D">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 xml:space="preserve"> ※注意：</w:t>
      </w:r>
    </w:p>
    <w:p w14:paraId="6C5C78F4">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1、从业人员、营业收入、资产总额填报上一年度数据，无上一年度数据的新成立企业可不填报。</w:t>
      </w:r>
    </w:p>
    <w:p w14:paraId="74E6C57C">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510314E8">
      <w:pPr>
        <w:pStyle w:val="34"/>
        <w:spacing w:line="400" w:lineRule="exact"/>
        <w:ind w:firstLine="480"/>
        <w:rPr>
          <w:rFonts w:hint="default" w:ascii="宋体" w:hAnsi="宋体"/>
          <w:color w:val="auto"/>
          <w:sz w:val="24"/>
          <w:szCs w:val="24"/>
          <w:highlight w:val="none"/>
        </w:rPr>
      </w:pPr>
      <w:r>
        <w:rPr>
          <w:rFonts w:ascii="宋体" w:hAnsi="宋体"/>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r>
        <w:rPr>
          <w:rFonts w:ascii="宋体" w:hAnsi="宋体"/>
          <w:color w:val="auto"/>
          <w:sz w:val="24"/>
          <w:szCs w:val="24"/>
          <w:highlight w:val="none"/>
        </w:rPr>
        <w:br w:type="textWrapping"/>
      </w:r>
    </w:p>
    <w:p w14:paraId="598D3E48">
      <w:pPr>
        <w:pStyle w:val="17"/>
        <w:widowControl/>
        <w:spacing w:beforeAutospacing="0" w:after="150" w:afterAutospacing="0"/>
        <w:rPr>
          <w:color w:val="auto"/>
          <w:highlight w:val="none"/>
        </w:rPr>
      </w:pPr>
      <w:r>
        <w:rPr>
          <w:rFonts w:cs="Calibri"/>
          <w:color w:val="auto"/>
          <w:highlight w:val="none"/>
        </w:rPr>
        <w:t> </w:t>
      </w:r>
    </w:p>
    <w:p w14:paraId="0AC7CA28">
      <w:pPr>
        <w:rPr>
          <w:rFonts w:ascii="宋体" w:hAnsi="宋体"/>
          <w:color w:val="auto"/>
          <w:sz w:val="24"/>
          <w:highlight w:val="none"/>
        </w:rPr>
      </w:pPr>
      <w:r>
        <w:rPr>
          <w:rFonts w:hint="eastAsia" w:ascii="宋体" w:hAnsi="宋体"/>
          <w:color w:val="auto"/>
          <w:sz w:val="24"/>
          <w:highlight w:val="none"/>
        </w:rPr>
        <w:br w:type="page"/>
      </w:r>
    </w:p>
    <w:p w14:paraId="75385CEA">
      <w:pPr>
        <w:pStyle w:val="17"/>
        <w:widowControl/>
        <w:spacing w:before="75" w:beforeAutospacing="0" w:after="75" w:afterAutospacing="0"/>
        <w:rPr>
          <w:color w:val="auto"/>
          <w:highlight w:val="none"/>
        </w:rPr>
      </w:pPr>
      <w:r>
        <w:rPr>
          <w:rFonts w:hint="eastAsia" w:ascii="宋体" w:hAnsi="宋体" w:cs="宋体"/>
          <w:color w:val="auto"/>
          <w:highlight w:val="none"/>
        </w:rPr>
        <w:t>附件8-1-2</w:t>
      </w:r>
    </w:p>
    <w:p w14:paraId="090890B5">
      <w:pPr>
        <w:pStyle w:val="17"/>
        <w:widowControl/>
        <w:spacing w:before="75" w:beforeAutospacing="0" w:after="75" w:afterAutospacing="0" w:line="315" w:lineRule="atLeast"/>
        <w:ind w:firstLine="480"/>
        <w:jc w:val="both"/>
        <w:rPr>
          <w:color w:val="auto"/>
          <w:highlight w:val="none"/>
        </w:rPr>
      </w:pPr>
    </w:p>
    <w:p w14:paraId="12077B3F">
      <w:pPr>
        <w:pStyle w:val="17"/>
        <w:widowControl/>
        <w:spacing w:before="75" w:beforeAutospacing="0" w:after="75" w:afterAutospacing="0"/>
        <w:jc w:val="center"/>
        <w:rPr>
          <w:color w:val="auto"/>
          <w:highlight w:val="none"/>
        </w:rPr>
      </w:pPr>
      <w:r>
        <w:rPr>
          <w:rStyle w:val="23"/>
          <w:rFonts w:hint="eastAsia" w:ascii="宋体" w:hAnsi="宋体" w:cs="宋体"/>
          <w:bCs/>
          <w:color w:val="auto"/>
          <w:highlight w:val="none"/>
        </w:rPr>
        <w:t>残疾人福利性单位声明函（如果有的话）</w:t>
      </w:r>
    </w:p>
    <w:p w14:paraId="7F790262">
      <w:pPr>
        <w:pStyle w:val="17"/>
        <w:widowControl/>
        <w:spacing w:before="75" w:beforeAutospacing="0" w:after="75" w:afterAutospacing="0"/>
        <w:rPr>
          <w:color w:val="auto"/>
          <w:highlight w:val="none"/>
        </w:rPr>
      </w:pPr>
      <w:r>
        <w:rPr>
          <w:rStyle w:val="23"/>
          <w:rFonts w:hint="eastAsia" w:ascii="宋体" w:hAnsi="宋体" w:cs="宋体"/>
          <w:bCs/>
          <w:color w:val="auto"/>
          <w:highlight w:val="none"/>
        </w:rPr>
        <w:t> </w:t>
      </w:r>
    </w:p>
    <w:p w14:paraId="4BAC19DA">
      <w:pPr>
        <w:pStyle w:val="17"/>
        <w:widowControl/>
        <w:spacing w:before="75" w:beforeAutospacing="0" w:after="75" w:afterAutospacing="0" w:line="435" w:lineRule="atLeast"/>
        <w:jc w:val="both"/>
        <w:rPr>
          <w:color w:val="auto"/>
          <w:highlight w:val="none"/>
        </w:rPr>
      </w:pPr>
      <w:r>
        <w:rPr>
          <w:rStyle w:val="23"/>
          <w:rFonts w:hint="eastAsia" w:ascii="宋体" w:hAnsi="宋体" w:cs="宋体"/>
          <w:bCs/>
          <w:color w:val="auto"/>
          <w:highlight w:val="none"/>
        </w:rPr>
        <w:t> </w:t>
      </w:r>
    </w:p>
    <w:p w14:paraId="2377E6BA">
      <w:pPr>
        <w:pStyle w:val="17"/>
        <w:widowControl/>
        <w:spacing w:before="75" w:beforeAutospacing="0" w:after="75" w:afterAutospacing="0" w:line="435" w:lineRule="atLeast"/>
        <w:ind w:firstLine="420"/>
        <w:jc w:val="both"/>
        <w:rPr>
          <w:color w:val="auto"/>
          <w:highlight w:val="none"/>
        </w:rPr>
      </w:pPr>
      <w:r>
        <w:rPr>
          <w:rFonts w:hint="eastAsia" w:ascii="宋体" w:hAnsi="宋体" w:cs="宋体"/>
          <w:color w:val="auto"/>
          <w:highlight w:val="none"/>
        </w:rPr>
        <w:t>本供应商郑重声明，根据《财政部 民政部 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cs="宋体"/>
          <w:color w:val="auto"/>
          <w:highlight w:val="none"/>
          <w:u w:val="single"/>
        </w:rPr>
        <w:t>（填写“项目名称”）</w:t>
      </w:r>
      <w:r>
        <w:rPr>
          <w:rFonts w:hint="eastAsia" w:ascii="宋体" w:hAnsi="宋体" w:cs="宋体"/>
          <w:color w:val="auto"/>
          <w:highlight w:val="none"/>
        </w:rPr>
        <w:t>项目采购活动：</w:t>
      </w:r>
    </w:p>
    <w:p w14:paraId="614386CC">
      <w:pPr>
        <w:pStyle w:val="17"/>
        <w:widowControl/>
        <w:spacing w:before="75" w:beforeAutospacing="0" w:after="75" w:afterAutospacing="0" w:line="435" w:lineRule="atLeast"/>
        <w:ind w:firstLine="420"/>
        <w:jc w:val="both"/>
        <w:rPr>
          <w:color w:val="auto"/>
          <w:highlight w:val="none"/>
        </w:rPr>
      </w:pPr>
      <w:r>
        <w:rPr>
          <w:rFonts w:hint="eastAsia" w:ascii="宋体" w:hAnsi="宋体" w:cs="宋体"/>
          <w:color w:val="auto"/>
          <w:highlight w:val="none"/>
        </w:rPr>
        <w:t>（ ）提供本供应商制造的</w:t>
      </w:r>
      <w:r>
        <w:rPr>
          <w:rFonts w:hint="eastAsia" w:ascii="宋体" w:hAnsi="宋体" w:cs="宋体"/>
          <w:color w:val="auto"/>
          <w:highlight w:val="none"/>
          <w:u w:val="single"/>
        </w:rPr>
        <w:t>（填写“所投合同包、品目号”）</w:t>
      </w:r>
      <w:r>
        <w:rPr>
          <w:rFonts w:hint="eastAsia" w:ascii="宋体" w:hAnsi="宋体" w:cs="宋体"/>
          <w:color w:val="auto"/>
          <w:highlight w:val="none"/>
        </w:rPr>
        <w:t>货物，或提供其他残疾人福利性单位制造的</w:t>
      </w:r>
      <w:r>
        <w:rPr>
          <w:rFonts w:hint="eastAsia" w:ascii="宋体" w:hAnsi="宋体" w:cs="宋体"/>
          <w:color w:val="auto"/>
          <w:highlight w:val="none"/>
          <w:u w:val="single"/>
        </w:rPr>
        <w:t>（填写“所投合同包、品目号”）</w:t>
      </w:r>
      <w:r>
        <w:rPr>
          <w:rFonts w:hint="eastAsia" w:ascii="宋体" w:hAnsi="宋体" w:cs="宋体"/>
          <w:color w:val="auto"/>
          <w:highlight w:val="none"/>
        </w:rPr>
        <w:t>货物（不包括使用非残疾人福利性单位注册商标的货物）。（说明：只有部分货物由残疾人福利企业制造的，在该货物后标</w:t>
      </w:r>
      <w:r>
        <w:rPr>
          <w:rFonts w:ascii="Segoe UI Symbol" w:hAnsi="Segoe UI Symbol" w:eastAsia="Segoe UI Symbol" w:cs="Segoe UI Symbol"/>
          <w:color w:val="auto"/>
          <w:highlight w:val="none"/>
          <w:shd w:val="clear" w:color="auto" w:fill="FFFFFF"/>
        </w:rPr>
        <w:t>★</w:t>
      </w:r>
      <w:r>
        <w:rPr>
          <w:rFonts w:hint="eastAsia" w:ascii="宋体" w:hAnsi="宋体" w:cs="宋体"/>
          <w:color w:val="auto"/>
          <w:highlight w:val="none"/>
        </w:rPr>
        <w:t>）</w:t>
      </w:r>
    </w:p>
    <w:p w14:paraId="0824531C">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）由本供应商承建的</w:t>
      </w:r>
      <w:r>
        <w:rPr>
          <w:rFonts w:hint="eastAsia" w:ascii="宋体" w:hAnsi="宋体" w:cs="宋体"/>
          <w:color w:val="auto"/>
          <w:highlight w:val="none"/>
          <w:u w:val="single"/>
        </w:rPr>
        <w:t>（填写“所投合同包、品目号”）</w:t>
      </w:r>
      <w:r>
        <w:rPr>
          <w:rFonts w:hint="eastAsia" w:ascii="宋体" w:hAnsi="宋体" w:cs="宋体"/>
          <w:color w:val="auto"/>
          <w:highlight w:val="none"/>
        </w:rPr>
        <w:t>工程</w:t>
      </w:r>
    </w:p>
    <w:p w14:paraId="4FAA0453">
      <w:pPr>
        <w:pStyle w:val="17"/>
        <w:widowControl/>
        <w:spacing w:before="75" w:beforeAutospacing="0" w:after="75" w:afterAutospacing="0"/>
        <w:ind w:firstLine="420"/>
        <w:rPr>
          <w:color w:val="auto"/>
          <w:highlight w:val="none"/>
        </w:rPr>
      </w:pPr>
      <w:r>
        <w:rPr>
          <w:rFonts w:hint="eastAsia" w:ascii="宋体" w:hAnsi="宋体" w:cs="宋体"/>
          <w:color w:val="auto"/>
          <w:highlight w:val="none"/>
        </w:rPr>
        <w:t>（ ）由本供应商承接的</w:t>
      </w:r>
      <w:r>
        <w:rPr>
          <w:rFonts w:hint="eastAsia" w:ascii="宋体" w:hAnsi="宋体" w:cs="宋体"/>
          <w:color w:val="auto"/>
          <w:highlight w:val="none"/>
          <w:u w:val="single"/>
        </w:rPr>
        <w:t>（填写“所投合同包、品目号”）</w:t>
      </w:r>
      <w:r>
        <w:rPr>
          <w:rFonts w:hint="eastAsia" w:ascii="宋体" w:hAnsi="宋体" w:cs="宋体"/>
          <w:color w:val="auto"/>
          <w:highlight w:val="none"/>
        </w:rPr>
        <w:t>服务；</w:t>
      </w:r>
    </w:p>
    <w:p w14:paraId="373711F6">
      <w:pPr>
        <w:pStyle w:val="17"/>
        <w:widowControl/>
        <w:spacing w:before="75" w:beforeAutospacing="0" w:after="75" w:afterAutospacing="0" w:line="435" w:lineRule="atLeast"/>
        <w:ind w:firstLine="420"/>
        <w:jc w:val="both"/>
        <w:rPr>
          <w:color w:val="auto"/>
          <w:highlight w:val="none"/>
        </w:rPr>
      </w:pPr>
      <w:r>
        <w:rPr>
          <w:rFonts w:hint="eastAsia" w:ascii="宋体" w:hAnsi="宋体" w:cs="宋体"/>
          <w:color w:val="auto"/>
          <w:highlight w:val="none"/>
        </w:rPr>
        <w:t>本供应商对上述声明的真实性负责。如有虚假，将依法承担相应责任。</w:t>
      </w:r>
    </w:p>
    <w:p w14:paraId="434055A7">
      <w:pPr>
        <w:pStyle w:val="17"/>
        <w:widowControl/>
        <w:spacing w:before="75" w:beforeAutospacing="0" w:after="75" w:afterAutospacing="0" w:line="435" w:lineRule="atLeast"/>
        <w:ind w:firstLine="420"/>
        <w:jc w:val="both"/>
        <w:rPr>
          <w:color w:val="auto"/>
          <w:highlight w:val="none"/>
        </w:rPr>
      </w:pPr>
      <w:r>
        <w:rPr>
          <w:rFonts w:hint="eastAsia" w:ascii="宋体" w:hAnsi="宋体" w:cs="宋体"/>
          <w:color w:val="auto"/>
          <w:highlight w:val="none"/>
        </w:rPr>
        <w:t> </w:t>
      </w:r>
    </w:p>
    <w:p w14:paraId="403AAD68">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 </w:t>
      </w:r>
    </w:p>
    <w:p w14:paraId="2994D205">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07F17DB6">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1534E4BF">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70E0548D">
      <w:pPr>
        <w:pStyle w:val="17"/>
        <w:widowControl/>
        <w:spacing w:before="75" w:beforeAutospacing="0" w:after="75" w:afterAutospacing="0" w:line="420" w:lineRule="atLeast"/>
        <w:ind w:firstLine="480"/>
        <w:rPr>
          <w:rFonts w:ascii="宋体" w:hAnsi="宋体" w:cs="宋体"/>
          <w:color w:val="auto"/>
          <w:highlight w:val="none"/>
        </w:rPr>
      </w:pPr>
      <w:r>
        <w:rPr>
          <w:rFonts w:hint="eastAsia" w:ascii="宋体" w:hAnsi="宋体" w:cs="宋体"/>
          <w:color w:val="auto"/>
          <w:highlight w:val="none"/>
        </w:rPr>
        <w:t>备注：</w:t>
      </w:r>
    </w:p>
    <w:p w14:paraId="65DB865F">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1CA5C41B">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（2）请供应商按照实际情况编制填写本声明函，并在相应的（）中打“√”。</w:t>
      </w:r>
    </w:p>
    <w:p w14:paraId="3C268D80">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（3）纸质响应文件正本中的本声明函（若有）应为原件。</w:t>
      </w:r>
    </w:p>
    <w:p w14:paraId="3F10ED13">
      <w:pPr>
        <w:pStyle w:val="17"/>
        <w:widowControl/>
        <w:spacing w:before="75" w:beforeAutospacing="0" w:after="75" w:afterAutospacing="0" w:line="420" w:lineRule="atLeast"/>
        <w:ind w:firstLine="480"/>
        <w:rPr>
          <w:color w:val="auto"/>
          <w:highlight w:val="none"/>
        </w:rPr>
      </w:pPr>
      <w:r>
        <w:rPr>
          <w:rFonts w:hint="eastAsia" w:ascii="宋体" w:hAnsi="宋体" w:cs="宋体"/>
          <w:color w:val="auto"/>
          <w:highlight w:val="none"/>
        </w:rPr>
        <w:t>（4）若《残疾人福利性单位声明函》内容不真实，视为提供虚假材料。</w:t>
      </w:r>
    </w:p>
    <w:p w14:paraId="258855D3">
      <w:pPr>
        <w:pStyle w:val="17"/>
        <w:widowControl/>
        <w:spacing w:before="75" w:beforeAutospacing="0" w:after="75" w:afterAutospacing="0" w:line="435" w:lineRule="atLeast"/>
        <w:ind w:firstLine="420"/>
        <w:jc w:val="both"/>
        <w:rPr>
          <w:color w:val="auto"/>
          <w:highlight w:val="none"/>
        </w:rPr>
      </w:pPr>
    </w:p>
    <w:p w14:paraId="47B08537">
      <w:pPr>
        <w:jc w:val="center"/>
        <w:rPr>
          <w:rFonts w:ascii="宋体" w:hAnsi="宋体"/>
          <w:color w:val="auto"/>
          <w:highlight w:val="none"/>
        </w:rPr>
      </w:pPr>
    </w:p>
    <w:p w14:paraId="4AC89D47">
      <w:pPr>
        <w:jc w:val="center"/>
        <w:rPr>
          <w:rFonts w:ascii="宋体" w:hAnsi="宋体"/>
          <w:color w:val="auto"/>
          <w:highlight w:val="none"/>
        </w:rPr>
      </w:pPr>
    </w:p>
    <w:p w14:paraId="3696F951">
      <w:pPr>
        <w:jc w:val="center"/>
        <w:rPr>
          <w:rFonts w:ascii="宋体" w:hAnsi="宋体"/>
          <w:b/>
          <w:bCs/>
          <w:color w:val="auto"/>
          <w:sz w:val="24"/>
          <w:highlight w:val="none"/>
        </w:rPr>
      </w:pPr>
      <w:r>
        <w:rPr>
          <w:rFonts w:hint="eastAsia" w:ascii="宋体" w:hAnsi="宋体"/>
          <w:color w:val="auto"/>
          <w:highlight w:val="none"/>
        </w:rPr>
        <w:t> </w:t>
      </w:r>
      <w:r>
        <w:rPr>
          <w:rFonts w:hint="eastAsia" w:ascii="宋体" w:hAnsi="宋体"/>
          <w:b/>
          <w:bCs/>
          <w:color w:val="auto"/>
          <w:sz w:val="24"/>
          <w:highlight w:val="none"/>
        </w:rPr>
        <w:t>附件</w:t>
      </w:r>
      <w:r>
        <w:rPr>
          <w:rFonts w:hint="eastAsia"/>
          <w:b/>
          <w:bCs/>
          <w:color w:val="auto"/>
          <w:sz w:val="24"/>
          <w:highlight w:val="none"/>
        </w:rPr>
        <w:t>8</w:t>
      </w:r>
      <w:r>
        <w:rPr>
          <w:rFonts w:hint="eastAsia" w:ascii="宋体" w:hAnsi="宋体"/>
          <w:b/>
          <w:bCs/>
          <w:color w:val="auto"/>
          <w:sz w:val="24"/>
          <w:highlight w:val="none"/>
        </w:rPr>
        <w:t>-1-3 监狱企业证明材料</w:t>
      </w:r>
    </w:p>
    <w:p w14:paraId="10D16C0B">
      <w:pPr>
        <w:pStyle w:val="17"/>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rPr>
        <w:t>供应商为监狱企业，提供本单位制造的货物（承接的服务），并在电子投标文件中提供省级以上监狱管理局、戒毒管理局（含新疆生产建设兵团）出具的属于监狱企业的证明文件。</w:t>
      </w:r>
    </w:p>
    <w:p w14:paraId="590C012B">
      <w:pPr>
        <w:rPr>
          <w:rFonts w:ascii="宋体" w:hAnsi="宋体"/>
          <w:color w:val="auto"/>
          <w:highlight w:val="none"/>
        </w:rPr>
      </w:pPr>
    </w:p>
    <w:p w14:paraId="0A2B0979">
      <w:pPr>
        <w:pStyle w:val="17"/>
        <w:widowControl/>
        <w:spacing w:before="75" w:beforeAutospacing="0" w:after="75" w:afterAutospacing="0"/>
        <w:rPr>
          <w:rFonts w:ascii="宋体" w:hAnsi="宋体" w:cs="宋体"/>
          <w:color w:val="auto"/>
          <w:highlight w:val="none"/>
        </w:rPr>
      </w:pPr>
    </w:p>
    <w:p w14:paraId="706055B1">
      <w:pPr>
        <w:rPr>
          <w:rFonts w:ascii="宋体" w:hAnsi="宋体"/>
          <w:color w:val="auto"/>
          <w:sz w:val="24"/>
          <w:highlight w:val="none"/>
        </w:rPr>
      </w:pPr>
      <w:r>
        <w:rPr>
          <w:rFonts w:hint="eastAsia" w:ascii="宋体" w:hAnsi="宋体"/>
          <w:color w:val="auto"/>
          <w:sz w:val="24"/>
          <w:highlight w:val="none"/>
        </w:rPr>
        <w:br w:type="page"/>
      </w:r>
    </w:p>
    <w:p w14:paraId="7BCD4A86">
      <w:pPr>
        <w:pStyle w:val="17"/>
        <w:widowControl/>
        <w:spacing w:before="75" w:beforeAutospacing="0" w:after="75" w:afterAutospacing="0"/>
        <w:jc w:val="center"/>
        <w:rPr>
          <w:color w:val="auto"/>
          <w:highlight w:val="none"/>
        </w:rPr>
      </w:pPr>
      <w:r>
        <w:rPr>
          <w:rFonts w:hint="eastAsia" w:ascii="宋体" w:hAnsi="宋体" w:cs="宋体"/>
          <w:color w:val="auto"/>
          <w:highlight w:val="none"/>
        </w:rPr>
        <w:t>附件8-2</w:t>
      </w:r>
      <w:r>
        <w:rPr>
          <w:rStyle w:val="23"/>
          <w:rFonts w:hint="eastAsia" w:ascii="宋体" w:hAnsi="宋体" w:cs="宋体"/>
          <w:bCs/>
          <w:color w:val="auto"/>
          <w:highlight w:val="none"/>
        </w:rPr>
        <w:t>优先类节能产品、环境标志产品价格扣除证明材料（如果有的话）</w:t>
      </w:r>
    </w:p>
    <w:p w14:paraId="15772046">
      <w:pPr>
        <w:pStyle w:val="17"/>
        <w:widowControl/>
        <w:spacing w:before="75" w:beforeAutospacing="0" w:after="75" w:afterAutospacing="0"/>
        <w:jc w:val="both"/>
        <w:rPr>
          <w:color w:val="auto"/>
          <w:highlight w:val="none"/>
        </w:rPr>
      </w:pPr>
      <w:r>
        <w:rPr>
          <w:rFonts w:hint="eastAsia" w:ascii="宋体" w:hAnsi="宋体" w:cs="宋体"/>
          <w:color w:val="auto"/>
          <w:highlight w:val="none"/>
        </w:rPr>
        <w:t>              </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17"/>
        <w:gridCol w:w="1417"/>
        <w:gridCol w:w="1418"/>
        <w:gridCol w:w="1418"/>
        <w:gridCol w:w="1418"/>
        <w:gridCol w:w="1418"/>
        <w:gridCol w:w="1448"/>
      </w:tblGrid>
      <w:tr w14:paraId="1893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35E842D6">
            <w:pPr>
              <w:widowControl/>
              <w:jc w:val="left"/>
              <w:rPr>
                <w:color w:val="auto"/>
                <w:highlight w:val="none"/>
              </w:rPr>
            </w:pPr>
          </w:p>
        </w:tc>
        <w:tc>
          <w:tcPr>
            <w:tcW w:w="4287" w:type="pct"/>
            <w:gridSpan w:val="6"/>
            <w:shd w:val="clear" w:color="auto" w:fill="auto"/>
            <w:tcMar>
              <w:top w:w="0" w:type="dxa"/>
              <w:left w:w="105" w:type="dxa"/>
              <w:bottom w:w="0" w:type="dxa"/>
              <w:right w:w="105" w:type="dxa"/>
            </w:tcMar>
            <w:vAlign w:val="center"/>
          </w:tcPr>
          <w:p w14:paraId="10024610">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本合同包内属于节能、环境标志产品的情况</w:t>
            </w:r>
          </w:p>
        </w:tc>
      </w:tr>
      <w:tr w14:paraId="1EAD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587CE987">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合同包</w:t>
            </w:r>
          </w:p>
        </w:tc>
        <w:tc>
          <w:tcPr>
            <w:tcW w:w="712" w:type="pct"/>
            <w:shd w:val="clear" w:color="auto" w:fill="auto"/>
            <w:tcMar>
              <w:top w:w="0" w:type="dxa"/>
              <w:left w:w="105" w:type="dxa"/>
              <w:bottom w:w="0" w:type="dxa"/>
              <w:right w:w="105" w:type="dxa"/>
            </w:tcMar>
            <w:vAlign w:val="center"/>
          </w:tcPr>
          <w:p w14:paraId="2EDE1D7C">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品目号</w:t>
            </w:r>
          </w:p>
        </w:tc>
        <w:tc>
          <w:tcPr>
            <w:tcW w:w="712" w:type="pct"/>
            <w:shd w:val="clear" w:color="auto" w:fill="auto"/>
            <w:tcMar>
              <w:top w:w="0" w:type="dxa"/>
              <w:left w:w="105" w:type="dxa"/>
              <w:bottom w:w="0" w:type="dxa"/>
              <w:right w:w="105" w:type="dxa"/>
            </w:tcMar>
            <w:vAlign w:val="center"/>
          </w:tcPr>
          <w:p w14:paraId="3D2E297C">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产品名称</w:t>
            </w:r>
          </w:p>
        </w:tc>
        <w:tc>
          <w:tcPr>
            <w:tcW w:w="712" w:type="pct"/>
            <w:shd w:val="clear" w:color="auto" w:fill="auto"/>
            <w:tcMar>
              <w:top w:w="0" w:type="dxa"/>
              <w:left w:w="105" w:type="dxa"/>
              <w:bottom w:w="0" w:type="dxa"/>
              <w:right w:w="105" w:type="dxa"/>
            </w:tcMar>
            <w:vAlign w:val="center"/>
          </w:tcPr>
          <w:p w14:paraId="7FE37C3A">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最后报价单价</w:t>
            </w:r>
          </w:p>
          <w:p w14:paraId="6CF62DCE">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（现场）</w:t>
            </w:r>
          </w:p>
        </w:tc>
        <w:tc>
          <w:tcPr>
            <w:tcW w:w="712" w:type="pct"/>
            <w:shd w:val="clear" w:color="auto" w:fill="auto"/>
            <w:tcMar>
              <w:top w:w="0" w:type="dxa"/>
              <w:left w:w="105" w:type="dxa"/>
              <w:bottom w:w="0" w:type="dxa"/>
              <w:right w:w="105" w:type="dxa"/>
            </w:tcMar>
            <w:vAlign w:val="center"/>
          </w:tcPr>
          <w:p w14:paraId="5ACB468A">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数量</w:t>
            </w:r>
          </w:p>
        </w:tc>
        <w:tc>
          <w:tcPr>
            <w:tcW w:w="712" w:type="pct"/>
            <w:shd w:val="clear" w:color="auto" w:fill="auto"/>
            <w:tcMar>
              <w:top w:w="0" w:type="dxa"/>
              <w:left w:w="105" w:type="dxa"/>
              <w:bottom w:w="0" w:type="dxa"/>
              <w:right w:w="105" w:type="dxa"/>
            </w:tcMar>
            <w:vAlign w:val="center"/>
          </w:tcPr>
          <w:p w14:paraId="0DA43AE3">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最后报价总价</w:t>
            </w:r>
          </w:p>
          <w:p w14:paraId="3BEAAAA3">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（现场）</w:t>
            </w:r>
          </w:p>
        </w:tc>
        <w:tc>
          <w:tcPr>
            <w:tcW w:w="723" w:type="pct"/>
            <w:shd w:val="clear" w:color="auto" w:fill="auto"/>
            <w:tcMar>
              <w:top w:w="0" w:type="dxa"/>
              <w:left w:w="105" w:type="dxa"/>
              <w:bottom w:w="0" w:type="dxa"/>
              <w:right w:w="105" w:type="dxa"/>
            </w:tcMar>
            <w:vAlign w:val="center"/>
          </w:tcPr>
          <w:p w14:paraId="6A050CB7">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认证种类</w:t>
            </w:r>
          </w:p>
        </w:tc>
      </w:tr>
      <w:tr w14:paraId="1999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restart"/>
            <w:shd w:val="clear" w:color="auto" w:fill="auto"/>
            <w:tcMar>
              <w:top w:w="0" w:type="dxa"/>
              <w:left w:w="105" w:type="dxa"/>
              <w:bottom w:w="0" w:type="dxa"/>
              <w:right w:w="105" w:type="dxa"/>
            </w:tcMar>
            <w:vAlign w:val="center"/>
          </w:tcPr>
          <w:p w14:paraId="7DFC111D">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w:t>
            </w:r>
          </w:p>
        </w:tc>
        <w:tc>
          <w:tcPr>
            <w:tcW w:w="712" w:type="pct"/>
            <w:shd w:val="clear" w:color="auto" w:fill="auto"/>
            <w:tcMar>
              <w:top w:w="0" w:type="dxa"/>
              <w:left w:w="105" w:type="dxa"/>
              <w:bottom w:w="0" w:type="dxa"/>
              <w:right w:w="105" w:type="dxa"/>
            </w:tcMar>
            <w:vAlign w:val="center"/>
          </w:tcPr>
          <w:p w14:paraId="052A3686">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*-1</w:t>
            </w:r>
          </w:p>
        </w:tc>
        <w:tc>
          <w:tcPr>
            <w:tcW w:w="712" w:type="pct"/>
            <w:shd w:val="clear" w:color="auto" w:fill="auto"/>
            <w:tcMar>
              <w:top w:w="0" w:type="dxa"/>
              <w:left w:w="105" w:type="dxa"/>
              <w:bottom w:w="0" w:type="dxa"/>
              <w:right w:w="105" w:type="dxa"/>
            </w:tcMar>
            <w:vAlign w:val="center"/>
          </w:tcPr>
          <w:p w14:paraId="2E0CE4B6">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0D14BFBE">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3F493D76">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3F5CB33E">
            <w:pPr>
              <w:widowControl/>
              <w:jc w:val="left"/>
              <w:rPr>
                <w:color w:val="auto"/>
                <w:highlight w:val="none"/>
              </w:rPr>
            </w:pPr>
          </w:p>
        </w:tc>
        <w:tc>
          <w:tcPr>
            <w:tcW w:w="723" w:type="pct"/>
            <w:shd w:val="clear" w:color="auto" w:fill="auto"/>
            <w:tcMar>
              <w:top w:w="0" w:type="dxa"/>
              <w:left w:w="105" w:type="dxa"/>
              <w:bottom w:w="0" w:type="dxa"/>
              <w:right w:w="105" w:type="dxa"/>
            </w:tcMar>
            <w:vAlign w:val="center"/>
          </w:tcPr>
          <w:p w14:paraId="06BD64FA">
            <w:pPr>
              <w:widowControl/>
              <w:jc w:val="left"/>
              <w:rPr>
                <w:color w:val="auto"/>
                <w:highlight w:val="none"/>
              </w:rPr>
            </w:pPr>
          </w:p>
        </w:tc>
      </w:tr>
      <w:tr w14:paraId="49A6D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continue"/>
            <w:shd w:val="clear" w:color="auto" w:fill="auto"/>
            <w:tcMar>
              <w:top w:w="0" w:type="dxa"/>
              <w:left w:w="105" w:type="dxa"/>
              <w:bottom w:w="0" w:type="dxa"/>
              <w:right w:w="105" w:type="dxa"/>
            </w:tcMar>
            <w:vAlign w:val="center"/>
          </w:tcPr>
          <w:p w14:paraId="3DDF017C">
            <w:pPr>
              <w:rPr>
                <w:rFonts w:ascii="宋体"/>
                <w:color w:val="auto"/>
                <w:sz w:val="24"/>
                <w:highlight w:val="none"/>
              </w:rPr>
            </w:pPr>
          </w:p>
        </w:tc>
        <w:tc>
          <w:tcPr>
            <w:tcW w:w="712" w:type="pct"/>
            <w:shd w:val="clear" w:color="auto" w:fill="auto"/>
            <w:tcMar>
              <w:top w:w="0" w:type="dxa"/>
              <w:left w:w="105" w:type="dxa"/>
              <w:bottom w:w="0" w:type="dxa"/>
              <w:right w:w="105" w:type="dxa"/>
            </w:tcMar>
            <w:vAlign w:val="center"/>
          </w:tcPr>
          <w:p w14:paraId="5755E265">
            <w:pPr>
              <w:pStyle w:val="17"/>
              <w:widowControl/>
              <w:spacing w:beforeAutospacing="0" w:afterAutospacing="0"/>
              <w:jc w:val="center"/>
              <w:rPr>
                <w:color w:val="auto"/>
                <w:highlight w:val="none"/>
              </w:rPr>
            </w:pPr>
            <w:r>
              <w:rPr>
                <w:rFonts w:cs="Calibri"/>
                <w:color w:val="auto"/>
                <w:sz w:val="21"/>
                <w:szCs w:val="21"/>
                <w:highlight w:val="none"/>
              </w:rPr>
              <w:t>…</w:t>
            </w:r>
          </w:p>
        </w:tc>
        <w:tc>
          <w:tcPr>
            <w:tcW w:w="712" w:type="pct"/>
            <w:shd w:val="clear" w:color="auto" w:fill="auto"/>
            <w:tcMar>
              <w:top w:w="0" w:type="dxa"/>
              <w:left w:w="105" w:type="dxa"/>
              <w:bottom w:w="0" w:type="dxa"/>
              <w:right w:w="105" w:type="dxa"/>
            </w:tcMar>
            <w:vAlign w:val="center"/>
          </w:tcPr>
          <w:p w14:paraId="76DC481C">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645F452E">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3A8EA2D9">
            <w:pPr>
              <w:widowControl/>
              <w:jc w:val="left"/>
              <w:rPr>
                <w:color w:val="auto"/>
                <w:highlight w:val="none"/>
              </w:rPr>
            </w:pPr>
          </w:p>
        </w:tc>
        <w:tc>
          <w:tcPr>
            <w:tcW w:w="712" w:type="pct"/>
            <w:shd w:val="clear" w:color="auto" w:fill="auto"/>
            <w:tcMar>
              <w:top w:w="0" w:type="dxa"/>
              <w:left w:w="105" w:type="dxa"/>
              <w:bottom w:w="0" w:type="dxa"/>
              <w:right w:w="105" w:type="dxa"/>
            </w:tcMar>
            <w:vAlign w:val="center"/>
          </w:tcPr>
          <w:p w14:paraId="292D5D27">
            <w:pPr>
              <w:widowControl/>
              <w:jc w:val="left"/>
              <w:rPr>
                <w:color w:val="auto"/>
                <w:highlight w:val="none"/>
              </w:rPr>
            </w:pPr>
          </w:p>
        </w:tc>
        <w:tc>
          <w:tcPr>
            <w:tcW w:w="723" w:type="pct"/>
            <w:shd w:val="clear" w:color="auto" w:fill="auto"/>
            <w:tcMar>
              <w:top w:w="0" w:type="dxa"/>
              <w:left w:w="105" w:type="dxa"/>
              <w:bottom w:w="0" w:type="dxa"/>
              <w:right w:w="105" w:type="dxa"/>
            </w:tcMar>
            <w:vAlign w:val="center"/>
          </w:tcPr>
          <w:p w14:paraId="5EE35B84">
            <w:pPr>
              <w:widowControl/>
              <w:jc w:val="left"/>
              <w:rPr>
                <w:color w:val="auto"/>
                <w:highlight w:val="none"/>
              </w:rPr>
            </w:pPr>
          </w:p>
        </w:tc>
      </w:tr>
      <w:tr w14:paraId="6A82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75678B9E">
            <w:pPr>
              <w:pStyle w:val="17"/>
              <w:widowControl/>
              <w:spacing w:beforeAutospacing="0" w:afterAutospacing="0"/>
              <w:jc w:val="center"/>
              <w:rPr>
                <w:color w:val="auto"/>
                <w:highlight w:val="none"/>
              </w:rPr>
            </w:pPr>
            <w:r>
              <w:rPr>
                <w:rFonts w:hint="eastAsia" w:ascii="宋体" w:hAnsi="宋体" w:cs="宋体"/>
                <w:color w:val="auto"/>
                <w:sz w:val="21"/>
                <w:szCs w:val="21"/>
                <w:highlight w:val="none"/>
              </w:rPr>
              <w:t>备注</w:t>
            </w:r>
          </w:p>
        </w:tc>
        <w:tc>
          <w:tcPr>
            <w:tcW w:w="4287" w:type="pct"/>
            <w:gridSpan w:val="6"/>
            <w:shd w:val="clear" w:color="auto" w:fill="auto"/>
            <w:tcMar>
              <w:top w:w="0" w:type="dxa"/>
              <w:left w:w="105" w:type="dxa"/>
              <w:bottom w:w="0" w:type="dxa"/>
              <w:right w:w="105" w:type="dxa"/>
            </w:tcMar>
          </w:tcPr>
          <w:p w14:paraId="3735C29B">
            <w:pPr>
              <w:pStyle w:val="17"/>
              <w:widowControl/>
              <w:spacing w:beforeAutospacing="0" w:afterAutospacing="0"/>
              <w:rPr>
                <w:color w:val="auto"/>
                <w:highlight w:val="none"/>
              </w:rPr>
            </w:pPr>
            <w:r>
              <w:rPr>
                <w:rFonts w:hint="eastAsia" w:ascii="宋体" w:hAnsi="宋体" w:cs="宋体"/>
                <w:color w:val="auto"/>
                <w:sz w:val="21"/>
                <w:szCs w:val="21"/>
                <w:highlight w:val="none"/>
              </w:rPr>
              <w:t>a.本合同包内属于节能、环境标志产品的合计最后报价总金额：      ；</w:t>
            </w:r>
          </w:p>
          <w:p w14:paraId="1E990232">
            <w:pPr>
              <w:pStyle w:val="17"/>
              <w:widowControl/>
              <w:spacing w:beforeAutospacing="0" w:afterAutospacing="0"/>
              <w:rPr>
                <w:color w:val="auto"/>
                <w:highlight w:val="none"/>
              </w:rPr>
            </w:pPr>
            <w:r>
              <w:rPr>
                <w:rFonts w:hint="eastAsia" w:ascii="宋体" w:hAnsi="宋体" w:cs="宋体"/>
                <w:color w:val="auto"/>
                <w:sz w:val="21"/>
                <w:szCs w:val="21"/>
                <w:highlight w:val="none"/>
              </w:rPr>
              <w:t>b.本合同包最后报价总价：</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p w14:paraId="7D5A6BF7">
            <w:pPr>
              <w:pStyle w:val="17"/>
              <w:widowControl/>
              <w:spacing w:beforeAutospacing="0" w:afterAutospacing="0"/>
              <w:rPr>
                <w:color w:val="auto"/>
                <w:highlight w:val="none"/>
              </w:rPr>
            </w:pPr>
            <w:r>
              <w:rPr>
                <w:rFonts w:hint="eastAsia" w:ascii="宋体" w:hAnsi="宋体" w:cs="宋体"/>
                <w:color w:val="auto"/>
                <w:sz w:val="21"/>
                <w:szCs w:val="21"/>
                <w:highlight w:val="none"/>
              </w:rPr>
              <w:t>c.本合同包内属于节能、环境标志产品的合计最后报价总金额占本合同包最后报价总价的比例（以</w:t>
            </w:r>
            <w:r>
              <w:rPr>
                <w:rFonts w:cs="Calibri"/>
                <w:color w:val="auto"/>
                <w:sz w:val="21"/>
                <w:szCs w:val="21"/>
                <w:highlight w:val="none"/>
              </w:rPr>
              <w:t>%</w:t>
            </w:r>
            <w:r>
              <w:rPr>
                <w:rFonts w:hint="eastAsia" w:ascii="宋体" w:hAnsi="宋体" w:cs="宋体"/>
                <w:color w:val="auto"/>
                <w:sz w:val="21"/>
                <w:szCs w:val="21"/>
                <w:highlight w:val="none"/>
              </w:rPr>
              <w:t>列示）：</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tc>
      </w:tr>
    </w:tbl>
    <w:p w14:paraId="4C410037">
      <w:pPr>
        <w:pStyle w:val="17"/>
        <w:widowControl/>
        <w:spacing w:before="75" w:beforeAutospacing="0" w:after="75" w:afterAutospacing="0" w:line="360" w:lineRule="atLeast"/>
        <w:rPr>
          <w:color w:val="auto"/>
          <w:highlight w:val="none"/>
        </w:rPr>
      </w:pPr>
      <w:r>
        <w:rPr>
          <w:rFonts w:hint="eastAsia" w:ascii="宋体" w:hAnsi="宋体" w:cs="宋体"/>
          <w:color w:val="auto"/>
          <w:sz w:val="21"/>
          <w:szCs w:val="21"/>
          <w:highlight w:val="none"/>
        </w:rPr>
        <w:t>★注意：</w:t>
      </w:r>
    </w:p>
    <w:p w14:paraId="2F8FFD2A">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1.供应商提供的产品属于《节能产品政策采购清单》，应提供产品所在最新一期《节能产品政府采购清单》所在页复印件，并划线注明对应的产品，以利磋商小组审阅。未按要求提供证明资料并划线注明的，磋商小组将不予认定，不享受价格扣除的优惠政策。</w:t>
      </w:r>
    </w:p>
    <w:p w14:paraId="13773AFE">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2.供应商提供的产品属于《环境标志产品政府采购清单》，应提供产品所在最新一期《环境标志产品政府采购清单》所在页复印件，并划线注明对应的产品，以利磋商小组审阅。未按要求提供证明资料并划线注明的，磋商小组将不予认定，不享受价格扣除的优惠政策。</w:t>
      </w:r>
    </w:p>
    <w:p w14:paraId="3CE9D34B">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3、具体统计、计算：</w:t>
      </w:r>
    </w:p>
    <w:p w14:paraId="62DDB371">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3.1若同一合同包内的单个或多个货物取得或同时取得节能、环境标志产品等两项或多项认证的，均按照单个货物对应一项认证的原则统计、计算1次。</w:t>
      </w:r>
    </w:p>
    <w:p w14:paraId="448ED345">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3.2计算结果若除不尽，可四舍五入保留到小数点后两位。</w:t>
      </w:r>
    </w:p>
    <w:p w14:paraId="74978A11">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3.3供应商应按照磋商文件上表要求认真统计、计算，否则磋商小组可不予认定。</w:t>
      </w:r>
    </w:p>
    <w:p w14:paraId="6F868E13">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3.4若无节能、环境标志产品，不填写本表，否则，视为提供虚假材料。</w:t>
      </w:r>
    </w:p>
    <w:p w14:paraId="15A43D52">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3.5强制类节能产品不享受价格扣除。</w:t>
      </w:r>
    </w:p>
    <w:p w14:paraId="08BB9C60">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4、本表以合同包为单位，不同合同包请分别填写；同一合同包请按照顺序分别填写，以方便磋商小组审阅。供应商在提交最后报价前，如果已向磋商小组提交上表内容并附相应证明资料，视同为供应商的产品属于节能、环境标志产品，享受价格扣除的优惠政策。</w:t>
      </w:r>
    </w:p>
    <w:p w14:paraId="46893654">
      <w:pPr>
        <w:pStyle w:val="17"/>
        <w:widowControl/>
        <w:spacing w:before="75" w:beforeAutospacing="0" w:after="75" w:afterAutospacing="0" w:line="360" w:lineRule="atLeast"/>
        <w:rPr>
          <w:color w:val="auto"/>
          <w:highlight w:val="none"/>
        </w:rPr>
      </w:pPr>
      <w:r>
        <w:rPr>
          <w:rFonts w:hint="eastAsia" w:ascii="宋体" w:hAnsi="宋体" w:cs="宋体"/>
          <w:color w:val="auto"/>
          <w:highlight w:val="none"/>
        </w:rPr>
        <w:t>5、纸质响应文件正本中的本表（若有）应为原件。</w:t>
      </w:r>
    </w:p>
    <w:p w14:paraId="74977BBB">
      <w:pPr>
        <w:pStyle w:val="17"/>
        <w:widowControl/>
        <w:spacing w:before="75" w:beforeAutospacing="0" w:after="75" w:afterAutospacing="0" w:line="420" w:lineRule="atLeast"/>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7B9A596F">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 </w:t>
      </w:r>
    </w:p>
    <w:p w14:paraId="30C72AB5">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13993AB1">
      <w:pPr>
        <w:rPr>
          <w:rFonts w:ascii="宋体" w:hAnsi="宋体"/>
          <w:color w:val="auto"/>
          <w:highlight w:val="none"/>
        </w:rPr>
      </w:pPr>
      <w:r>
        <w:rPr>
          <w:rFonts w:hint="eastAsia" w:ascii="宋体" w:hAnsi="宋体"/>
          <w:color w:val="auto"/>
          <w:highlight w:val="none"/>
        </w:rPr>
        <w:br w:type="page"/>
      </w:r>
    </w:p>
    <w:p w14:paraId="56012EC6">
      <w:pPr>
        <w:pStyle w:val="17"/>
        <w:widowControl/>
        <w:spacing w:before="75" w:beforeAutospacing="0" w:after="75" w:afterAutospacing="0"/>
        <w:rPr>
          <w:color w:val="auto"/>
          <w:highlight w:val="none"/>
        </w:rPr>
      </w:pPr>
      <w:r>
        <w:rPr>
          <w:rFonts w:hint="eastAsia" w:ascii="宋体" w:hAnsi="宋体" w:cs="宋体"/>
          <w:color w:val="auto"/>
          <w:highlight w:val="none"/>
        </w:rPr>
        <w:t>附件9       </w:t>
      </w:r>
      <w:r>
        <w:rPr>
          <w:rStyle w:val="23"/>
          <w:rFonts w:hint="eastAsia" w:ascii="宋体" w:hAnsi="宋体" w:cs="宋体"/>
          <w:bCs/>
          <w:color w:val="auto"/>
          <w:highlight w:val="none"/>
        </w:rPr>
        <w:t>要求作为响应文件组成部分的其他内容（若有）</w:t>
      </w:r>
    </w:p>
    <w:p w14:paraId="53D027AA">
      <w:pPr>
        <w:pStyle w:val="17"/>
        <w:widowControl/>
        <w:spacing w:before="75" w:beforeAutospacing="0" w:after="75" w:afterAutospacing="0"/>
        <w:rPr>
          <w:color w:val="auto"/>
          <w:highlight w:val="none"/>
        </w:rPr>
      </w:pPr>
      <w:r>
        <w:rPr>
          <w:rFonts w:hint="eastAsia" w:ascii="宋体" w:hAnsi="宋体" w:cs="宋体"/>
          <w:color w:val="auto"/>
          <w:highlight w:val="none"/>
        </w:rPr>
        <w:t> </w:t>
      </w:r>
    </w:p>
    <w:p w14:paraId="1B79ECB7">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说明：</w:t>
      </w:r>
    </w:p>
    <w:p w14:paraId="09486A83">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1、采购人或采购代理机构可以根据项目的特点和需要，在磋商文件中对要求作为响应文件组成部分的其他内容进行具体规定或附表格式，供应商应按照磋商文件要求提供相关承诺及材料，并加盖供应商单位公章。</w:t>
      </w:r>
    </w:p>
    <w:p w14:paraId="190359EC">
      <w:pPr>
        <w:pStyle w:val="17"/>
        <w:widowControl/>
        <w:spacing w:before="75" w:beforeAutospacing="0" w:after="75" w:afterAutospacing="0" w:line="435" w:lineRule="atLeast"/>
        <w:ind w:firstLine="480"/>
        <w:rPr>
          <w:color w:val="auto"/>
          <w:highlight w:val="none"/>
        </w:rPr>
      </w:pPr>
      <w:r>
        <w:rPr>
          <w:rFonts w:hint="eastAsia" w:ascii="宋体" w:hAnsi="宋体" w:cs="宋体"/>
          <w:color w:val="auto"/>
          <w:highlight w:val="none"/>
        </w:rPr>
        <w:t>2、供应商根据自身实际情况编写有关资料包括如供应商单位简介、竞争性磋商文件要求提供或供应商自已认为体现自身优势，需要补充说明的其它资料，格式自拟。</w:t>
      </w:r>
    </w:p>
    <w:p w14:paraId="36FFF105">
      <w:pPr>
        <w:pStyle w:val="17"/>
        <w:widowControl/>
        <w:spacing w:before="75" w:beforeAutospacing="0" w:after="75" w:afterAutospacing="0" w:line="435" w:lineRule="atLeast"/>
        <w:jc w:val="both"/>
        <w:rPr>
          <w:rFonts w:ascii="宋体" w:hAnsi="宋体" w:cs="宋体"/>
          <w:color w:val="auto"/>
          <w:highlight w:val="none"/>
        </w:rPr>
      </w:pPr>
    </w:p>
    <w:p w14:paraId="23E22EA1">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供应商代表：</w:t>
      </w:r>
      <w:r>
        <w:rPr>
          <w:rFonts w:hint="eastAsia" w:ascii="宋体" w:hAnsi="宋体" w:cs="宋体"/>
          <w:color w:val="auto"/>
          <w:highlight w:val="none"/>
          <w:u w:val="single"/>
        </w:rPr>
        <w:t>             （签字） </w:t>
      </w:r>
    </w:p>
    <w:p w14:paraId="012BAA07">
      <w:pPr>
        <w:pStyle w:val="17"/>
        <w:widowControl/>
        <w:spacing w:before="75" w:beforeAutospacing="0" w:after="75" w:afterAutospacing="0" w:line="435" w:lineRule="atLeast"/>
        <w:jc w:val="both"/>
        <w:rPr>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（全称并加盖公章）              </w:t>
      </w:r>
    </w:p>
    <w:p w14:paraId="53B100EA">
      <w:pPr>
        <w:pStyle w:val="17"/>
        <w:widowControl/>
        <w:spacing w:before="75" w:beforeAutospacing="0" w:after="75" w:afterAutospacing="0" w:line="435" w:lineRule="atLeast"/>
        <w:rPr>
          <w:color w:val="auto"/>
          <w:highlight w:val="none"/>
        </w:rPr>
      </w:pPr>
      <w:r>
        <w:rPr>
          <w:rFonts w:hint="eastAsia" w:ascii="宋体" w:hAnsi="宋体" w:cs="宋体"/>
          <w:color w:val="auto"/>
          <w:highlight w:val="none"/>
        </w:rPr>
        <w:t>日  期： </w:t>
      </w:r>
      <w:r>
        <w:rPr>
          <w:rFonts w:hint="eastAsia" w:ascii="宋体" w:hAnsi="宋体" w:cs="宋体"/>
          <w:color w:val="auto"/>
          <w:highlight w:val="none"/>
          <w:u w:val="single"/>
        </w:rPr>
        <w:t>    </w:t>
      </w:r>
      <w:r>
        <w:rPr>
          <w:rFonts w:hint="eastAsia" w:ascii="宋体" w:hAnsi="宋体" w:cs="宋体"/>
          <w:color w:val="auto"/>
          <w:highlight w:val="none"/>
        </w:rPr>
        <w:t>年 </w:t>
      </w:r>
      <w:r>
        <w:rPr>
          <w:rFonts w:hint="eastAsia" w:ascii="宋体" w:hAnsi="宋体" w:cs="宋体"/>
          <w:color w:val="auto"/>
          <w:highlight w:val="none"/>
          <w:u w:val="single"/>
        </w:rPr>
        <w:t>   </w:t>
      </w:r>
      <w:r>
        <w:rPr>
          <w:rFonts w:hint="eastAsia" w:ascii="宋体" w:hAnsi="宋体" w:cs="宋体"/>
          <w:color w:val="auto"/>
          <w:highlight w:val="none"/>
        </w:rPr>
        <w:t>月 </w:t>
      </w:r>
      <w:r>
        <w:rPr>
          <w:rFonts w:hint="eastAsia" w:ascii="宋体" w:hAnsi="宋体" w:cs="宋体"/>
          <w:color w:val="auto"/>
          <w:highlight w:val="none"/>
          <w:u w:val="single"/>
        </w:rPr>
        <w:t>   </w:t>
      </w:r>
      <w:r>
        <w:rPr>
          <w:rFonts w:hint="eastAsia" w:ascii="宋体" w:hAnsi="宋体" w:cs="宋体"/>
          <w:color w:val="auto"/>
          <w:highlight w:val="none"/>
        </w:rPr>
        <w:t>日</w:t>
      </w:r>
    </w:p>
    <w:p w14:paraId="0DEA2913">
      <w:pPr>
        <w:pStyle w:val="17"/>
        <w:widowControl/>
        <w:spacing w:before="75" w:beforeAutospacing="0" w:after="75" w:afterAutospacing="0"/>
        <w:rPr>
          <w:color w:val="auto"/>
          <w:highlight w:val="none"/>
        </w:rPr>
      </w:pPr>
      <w:r>
        <w:rPr>
          <w:color w:val="auto"/>
          <w:highlight w:val="none"/>
        </w:rPr>
        <w:t> </w:t>
      </w:r>
    </w:p>
    <w:p w14:paraId="565F5061">
      <w:pPr>
        <w:pStyle w:val="17"/>
        <w:widowControl/>
        <w:spacing w:before="75" w:beforeAutospacing="0" w:after="75" w:afterAutospacing="0"/>
        <w:rPr>
          <w:rFonts w:hint="eastAsia" w:ascii="宋体" w:hAnsi="宋体" w:cs="宋体"/>
          <w:color w:val="auto"/>
          <w:highlight w:val="none"/>
        </w:rPr>
      </w:pPr>
      <w:r>
        <w:rPr>
          <w:rFonts w:hint="eastAsia" w:ascii="宋体" w:hAnsi="宋体" w:cs="宋体"/>
          <w:color w:val="auto"/>
          <w:highlight w:val="none"/>
        </w:rPr>
        <w:t> </w:t>
      </w:r>
    </w:p>
    <w:p w14:paraId="171A5C80">
      <w:pPr>
        <w:rPr>
          <w:rFonts w:hint="eastAsia" w:ascii="宋体" w:hAnsi="宋体" w:cs="宋体"/>
          <w:color w:val="auto"/>
          <w:highlight w:val="none"/>
        </w:rPr>
      </w:pPr>
      <w:r>
        <w:rPr>
          <w:rFonts w:hint="eastAsia" w:ascii="宋体" w:hAnsi="宋体" w:cs="宋体"/>
          <w:color w:val="auto"/>
          <w:highlight w:val="none"/>
        </w:rPr>
        <w:br w:type="page"/>
      </w:r>
    </w:p>
    <w:p w14:paraId="34390A54">
      <w:pPr>
        <w:spacing w:line="40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附</w:t>
      </w:r>
      <w:bookmarkStart w:id="20" w:name="_Toc296944570"/>
      <w:bookmarkStart w:id="21" w:name="_Toc296891271"/>
      <w:bookmarkStart w:id="22" w:name="_Toc296891059"/>
      <w:bookmarkStart w:id="23" w:name="_Toc296503231"/>
      <w:bookmarkStart w:id="24" w:name="_Toc296347230"/>
      <w:bookmarkStart w:id="25" w:name="_Toc296346732"/>
      <w:r>
        <w:rPr>
          <w:rFonts w:hint="eastAsia" w:ascii="宋体" w:hAnsi="宋体" w:eastAsia="宋体" w:cs="宋体"/>
          <w:color w:val="auto"/>
          <w:sz w:val="28"/>
          <w:szCs w:val="28"/>
          <w:highlight w:val="none"/>
        </w:rPr>
        <w:t>件</w:t>
      </w:r>
      <w:r>
        <w:rPr>
          <w:rFonts w:hint="eastAsia" w:ascii="宋体" w:hAnsi="宋体" w:eastAsia="宋体" w:cs="宋体"/>
          <w:color w:val="auto"/>
          <w:sz w:val="28"/>
          <w:szCs w:val="28"/>
          <w:highlight w:val="none"/>
          <w:lang w:val="en-US" w:eastAsia="zh-CN"/>
        </w:rPr>
        <w:t>10</w:t>
      </w:r>
    </w:p>
    <w:bookmarkEnd w:id="20"/>
    <w:bookmarkEnd w:id="21"/>
    <w:bookmarkEnd w:id="22"/>
    <w:bookmarkEnd w:id="23"/>
    <w:bookmarkEnd w:id="24"/>
    <w:bookmarkEnd w:id="25"/>
    <w:p w14:paraId="646E6459">
      <w:pPr>
        <w:pStyle w:val="10"/>
        <w:adjustRightInd w:val="0"/>
        <w:snapToGrid w:val="0"/>
        <w:spacing w:line="400" w:lineRule="exact"/>
        <w:ind w:right="4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承包人项目经理常驻现场承诺书</w:t>
      </w:r>
    </w:p>
    <w:p w14:paraId="3DAA2650">
      <w:pPr>
        <w:pStyle w:val="10"/>
        <w:adjustRightInd w:val="0"/>
        <w:snapToGrid w:val="0"/>
        <w:spacing w:line="400" w:lineRule="exact"/>
        <w:jc w:val="center"/>
        <w:rPr>
          <w:rFonts w:hint="eastAsia" w:ascii="宋体" w:hAnsi="宋体" w:eastAsia="宋体" w:cs="宋体"/>
          <w:color w:val="auto"/>
          <w:sz w:val="32"/>
          <w:highlight w:val="none"/>
        </w:rPr>
      </w:pPr>
    </w:p>
    <w:p w14:paraId="178DBB96">
      <w:pPr>
        <w:pStyle w:val="10"/>
        <w:keepNext w:val="0"/>
        <w:keepLines w:val="0"/>
        <w:pageBreakBefore w:val="0"/>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公司法人代表。现承诺：我公司委派的</w:t>
      </w:r>
    </w:p>
    <w:p w14:paraId="3D85EF5A">
      <w:pPr>
        <w:pStyle w:val="10"/>
        <w:keepNext w:val="0"/>
        <w:keepLines w:val="0"/>
        <w:pageBreakBefore w:val="0"/>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本工程现场工作每周不少于5天、每天不少于8小时，且必须参加每周召开的例会（有事须请假，且经发包人书面同意）。如未经发包人书面同意或我方未履行上述承诺，每次扣除违约金1000元整，连续5天不在现场，发包人有权要求更换不称职的项目经理，并追究我方违约责任。</w:t>
      </w:r>
    </w:p>
    <w:p w14:paraId="281C6C2C">
      <w:pPr>
        <w:pStyle w:val="10"/>
        <w:keepNext w:val="0"/>
        <w:keepLines w:val="0"/>
        <w:pageBreakBefore w:val="0"/>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27CC4CE2">
      <w:pPr>
        <w:pStyle w:val="10"/>
        <w:keepNext w:val="0"/>
        <w:keepLines w:val="0"/>
        <w:pageBreakBefore w:val="0"/>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z w:val="21"/>
          <w:szCs w:val="21"/>
          <w:highlight w:val="none"/>
        </w:rPr>
      </w:pPr>
    </w:p>
    <w:p w14:paraId="4DCAD3D5">
      <w:pPr>
        <w:pStyle w:val="10"/>
        <w:keepNext w:val="0"/>
        <w:keepLines w:val="0"/>
        <w:pageBreakBefore w:val="0"/>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z w:val="21"/>
          <w:szCs w:val="21"/>
          <w:highlight w:val="none"/>
        </w:rPr>
      </w:pPr>
    </w:p>
    <w:p w14:paraId="5E321501">
      <w:pPr>
        <w:keepNext w:val="0"/>
        <w:keepLines w:val="0"/>
        <w:pageBreakBefore w:val="0"/>
        <w:kinsoku/>
        <w:wordWrap/>
        <w:overflowPunct/>
        <w:topLinePunct w:val="0"/>
        <w:autoSpaceDE/>
        <w:autoSpaceDN/>
        <w:bidi w:val="0"/>
        <w:spacing w:line="360" w:lineRule="exact"/>
        <w:ind w:firstLine="2730" w:firstLineChars="13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 包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(盖章)      </w:t>
      </w:r>
    </w:p>
    <w:p w14:paraId="32A7732D">
      <w:pPr>
        <w:keepNext w:val="0"/>
        <w:keepLines w:val="0"/>
        <w:pageBreakBefore w:val="0"/>
        <w:kinsoku/>
        <w:wordWrap/>
        <w:overflowPunct/>
        <w:topLinePunct w:val="0"/>
        <w:autoSpaceDE/>
        <w:autoSpaceDN/>
        <w:bidi w:val="0"/>
        <w:spacing w:line="36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DC5D37B">
      <w:pPr>
        <w:keepNext w:val="0"/>
        <w:keepLines w:val="0"/>
        <w:pageBreakBefore w:val="0"/>
        <w:kinsoku/>
        <w:wordWrap/>
        <w:overflowPunct/>
        <w:topLinePunct w:val="0"/>
        <w:autoSpaceDE/>
        <w:autoSpaceDN/>
        <w:bidi w:val="0"/>
        <w:spacing w:line="360" w:lineRule="exact"/>
        <w:ind w:firstLine="2730" w:firstLineChars="13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(签字或盖章)</w:t>
      </w:r>
    </w:p>
    <w:p w14:paraId="3BE20096">
      <w:pPr>
        <w:pStyle w:val="10"/>
        <w:keepNext w:val="0"/>
        <w:keepLines w:val="0"/>
        <w:pageBreakBefore w:val="0"/>
        <w:kinsoku/>
        <w:wordWrap/>
        <w:overflowPunct/>
        <w:topLinePunct w:val="0"/>
        <w:autoSpaceDE/>
        <w:autoSpaceDN/>
        <w:bidi w:val="0"/>
        <w:adjustRightInd w:val="0"/>
        <w:snapToGrid w:val="0"/>
        <w:spacing w:line="360" w:lineRule="exact"/>
        <w:ind w:firstLine="3360" w:firstLineChars="1600"/>
        <w:textAlignment w:val="auto"/>
        <w:rPr>
          <w:rFonts w:hint="eastAsia" w:ascii="宋体" w:hAnsi="宋体" w:eastAsia="宋体" w:cs="宋体"/>
          <w:color w:val="auto"/>
          <w:sz w:val="21"/>
          <w:szCs w:val="21"/>
          <w:highlight w:val="none"/>
          <w:u w:val="single"/>
        </w:rPr>
      </w:pPr>
    </w:p>
    <w:p w14:paraId="34B0BC67">
      <w:pPr>
        <w:pStyle w:val="10"/>
        <w:keepNext w:val="0"/>
        <w:keepLines w:val="0"/>
        <w:pageBreakBefore w:val="0"/>
        <w:kinsoku/>
        <w:wordWrap/>
        <w:overflowPunct/>
        <w:topLinePunct w:val="0"/>
        <w:autoSpaceDE/>
        <w:autoSpaceDN/>
        <w:bidi w:val="0"/>
        <w:adjustRightInd w:val="0"/>
        <w:snapToGrid w:val="0"/>
        <w:spacing w:line="360" w:lineRule="exact"/>
        <w:ind w:firstLine="3570" w:firstLineChars="17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A9052D1">
      <w:pPr>
        <w:pStyle w:val="17"/>
        <w:widowControl/>
        <w:spacing w:before="75" w:beforeAutospacing="0" w:after="75" w:afterAutospacing="0"/>
        <w:rPr>
          <w:rFonts w:hint="eastAsia" w:ascii="宋体" w:hAnsi="宋体" w:cs="宋体"/>
          <w:color w:val="auto"/>
          <w:highlight w:val="none"/>
        </w:rPr>
      </w:pPr>
      <w:r>
        <w:rPr>
          <w:rFonts w:hint="eastAsia" w:ascii="宋体" w:hAnsi="宋体" w:eastAsia="宋体" w:cs="宋体"/>
          <w:color w:val="auto"/>
          <w:sz w:val="28"/>
          <w:szCs w:val="28"/>
          <w:highlight w:val="none"/>
        </w:rPr>
        <w:br w:type="page"/>
      </w:r>
    </w:p>
    <w:p w14:paraId="327E5606">
      <w:pPr>
        <w:pStyle w:val="17"/>
        <w:widowControl/>
        <w:spacing w:before="75" w:beforeAutospacing="0" w:after="75" w:afterAutospacing="0"/>
        <w:rPr>
          <w:color w:val="auto"/>
          <w:highlight w:val="none"/>
        </w:rPr>
      </w:pPr>
      <w:r>
        <w:rPr>
          <w:color w:val="auto"/>
          <w:highlight w:val="none"/>
        </w:rPr>
        <w:t> </w:t>
      </w:r>
    </w:p>
    <w:p w14:paraId="5B5E4737">
      <w:pPr>
        <w:pStyle w:val="2"/>
        <w:numPr>
          <w:ilvl w:val="0"/>
          <w:numId w:val="0"/>
        </w:numPr>
        <w:spacing w:line="560" w:lineRule="exact"/>
        <w:ind w:left="642"/>
        <w:jc w:val="center"/>
        <w:rPr>
          <w:color w:val="auto"/>
          <w:highlight w:val="none"/>
        </w:rPr>
      </w:pPr>
      <w:r>
        <w:rPr>
          <w:rFonts w:hint="eastAsia" w:cs="Times New Roman"/>
          <w:color w:val="auto"/>
          <w:highlight w:val="none"/>
        </w:rPr>
        <w:t>福建</w:t>
      </w:r>
      <w:r>
        <w:rPr>
          <w:rFonts w:hint="eastAsia"/>
          <w:color w:val="auto"/>
          <w:highlight w:val="none"/>
        </w:rPr>
        <w:t>省政府采购供应商资格承诺函</w:t>
      </w:r>
    </w:p>
    <w:p w14:paraId="2ED80D46">
      <w:pPr>
        <w:spacing w:line="560" w:lineRule="exact"/>
        <w:rPr>
          <w:rFonts w:ascii="仿宋" w:hAnsi="仿宋" w:eastAsia="仿宋" w:cs="仿宋"/>
          <w:color w:val="auto"/>
          <w:sz w:val="32"/>
          <w:szCs w:val="32"/>
          <w:highlight w:val="none"/>
        </w:rPr>
      </w:pPr>
    </w:p>
    <w:p w14:paraId="50D85B95">
      <w:pPr>
        <w:spacing w:line="5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致(采购人或政府采购代理机构):</w:t>
      </w:r>
    </w:p>
    <w:p w14:paraId="47FDBB1D">
      <w:pPr>
        <w:spacing w:line="5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单位名称(自然人姓名):</w:t>
      </w:r>
    </w:p>
    <w:p w14:paraId="6ACE6B97">
      <w:pPr>
        <w:spacing w:line="5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统一社会信用代码(身份证号码):</w:t>
      </w:r>
    </w:p>
    <w:p w14:paraId="08A258C4">
      <w:pPr>
        <w:spacing w:line="5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法定代表人(负责人):</w:t>
      </w:r>
    </w:p>
    <w:p w14:paraId="531D2E85">
      <w:pPr>
        <w:spacing w:line="5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联系地址和电话:</w:t>
      </w:r>
    </w:p>
    <w:p w14:paraId="2CA29CD6">
      <w:pPr>
        <w:spacing w:line="560" w:lineRule="exact"/>
        <w:rPr>
          <w:rFonts w:ascii="仿宋" w:hAnsi="仿宋" w:eastAsia="仿宋" w:cs="仿宋"/>
          <w:color w:val="auto"/>
          <w:sz w:val="32"/>
          <w:szCs w:val="32"/>
          <w:highlight w:val="none"/>
        </w:rPr>
      </w:pPr>
    </w:p>
    <w:p w14:paraId="040B098C">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我单位(本人)自愿参加本次政府采购活动，严格遵守《中华人民共和国政府采购法》及相关法律法规，坚守公开、公平公正和诚实信用等原则，依法诚信经营，并郑重承诺:</w:t>
      </w:r>
    </w:p>
    <w:p w14:paraId="71405B02">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一、我单位(本人)具备采购文件要求以及《中华人民共和国政府采购法》第二十二条规定的条件:</w:t>
      </w:r>
    </w:p>
    <w:p w14:paraId="47170A3F">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1.具有独立承担民事责任的能力;</w:t>
      </w:r>
    </w:p>
    <w:p w14:paraId="06BF069A">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2.具有良好的商业信誉和健全的财务会计制度;</w:t>
      </w:r>
    </w:p>
    <w:p w14:paraId="5DCDD94B">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3.具有履行合同所必需的设备和专业技术能力;</w:t>
      </w:r>
    </w:p>
    <w:p w14:paraId="59BE997E">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4.有依法缴纳税收和社会保障资金的良好记录;</w:t>
      </w:r>
    </w:p>
    <w:p w14:paraId="7CECA5E0">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5.参加政府采购活动前三年内，在经营活动中没有重大违法记录；</w:t>
      </w:r>
    </w:p>
    <w:p w14:paraId="00D5ECED">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6.法律、行政法规规定的其他条件。</w:t>
      </w:r>
    </w:p>
    <w:p w14:paraId="7DA8B9FB">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724F1AAE">
      <w:pPr>
        <w:spacing w:line="560" w:lineRule="exact"/>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2AC31BDD">
      <w:pPr>
        <w:spacing w:line="560" w:lineRule="exact"/>
        <w:rPr>
          <w:rFonts w:ascii="仿宋" w:hAnsi="仿宋" w:eastAsia="仿宋" w:cs="仿宋"/>
          <w:color w:val="auto"/>
          <w:sz w:val="32"/>
          <w:szCs w:val="32"/>
          <w:highlight w:val="none"/>
        </w:rPr>
      </w:pPr>
    </w:p>
    <w:p w14:paraId="49C0A40E">
      <w:pPr>
        <w:spacing w:line="560" w:lineRule="exact"/>
        <w:ind w:firstLine="3520" w:firstLineChars="11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供应商名称(单位公章):</w:t>
      </w:r>
    </w:p>
    <w:p w14:paraId="740E0887">
      <w:pPr>
        <w:spacing w:line="560" w:lineRule="exact"/>
        <w:ind w:firstLine="3520" w:firstLineChars="11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年   月   日</w:t>
      </w:r>
    </w:p>
    <w:p w14:paraId="15ECA428">
      <w:pPr>
        <w:spacing w:line="560" w:lineRule="exact"/>
        <w:rPr>
          <w:rFonts w:ascii="仿宋" w:hAnsi="仿宋" w:eastAsia="仿宋" w:cs="仿宋"/>
          <w:color w:val="auto"/>
          <w:sz w:val="32"/>
          <w:szCs w:val="32"/>
          <w:highlight w:val="none"/>
        </w:rPr>
      </w:pPr>
    </w:p>
    <w:p w14:paraId="4BE81A77">
      <w:pPr>
        <w:spacing w:line="560" w:lineRule="exact"/>
        <w:rPr>
          <w:rFonts w:ascii="仿宋" w:hAnsi="仿宋" w:eastAsia="仿宋" w:cs="仿宋"/>
          <w:color w:val="auto"/>
          <w:sz w:val="32"/>
          <w:szCs w:val="32"/>
          <w:highlight w:val="none"/>
        </w:rPr>
      </w:pPr>
    </w:p>
    <w:p w14:paraId="45AAC5CE">
      <w:pPr>
        <w:spacing w:line="5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注:</w:t>
      </w:r>
    </w:p>
    <w:p w14:paraId="32AE8B87">
      <w:pPr>
        <w:spacing w:line="5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1.我单位(本人)专指参加政府采购活动的供应商(含自然人)；</w:t>
      </w:r>
    </w:p>
    <w:p w14:paraId="4DC00C3D">
      <w:pPr>
        <w:spacing w:line="5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2.资格承诺的供应商应在投标(响应)文件中按此模板提供承诺函，否则，视为未按照竞争性谈判文件规定提交供应商的资格及资信文件，按资格审查不通过处理。</w:t>
      </w:r>
    </w:p>
    <w:p w14:paraId="7887CA73">
      <w:pPr>
        <w:pStyle w:val="15"/>
        <w:rPr>
          <w:color w:val="auto"/>
          <w:highlight w:val="none"/>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2000000000000000000"/>
    <w:charset w:val="86"/>
    <w:family w:val="script"/>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EE0CF">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40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8A01F5">
                          <w:pPr>
                            <w:pStyle w:val="12"/>
                          </w:pPr>
                          <w:r>
                            <w:fldChar w:fldCharType="begin"/>
                          </w:r>
                          <w:r>
                            <w:instrText xml:space="preserve"> PAGE  \* MERGEFORMAT </w:instrText>
                          </w:r>
                          <w:r>
                            <w:fldChar w:fldCharType="separate"/>
                          </w:r>
                          <w:r>
                            <w:t>58</w:t>
                          </w:r>
                          <w:r>
                            <w:fldChar w:fldCharType="end"/>
                          </w:r>
                        </w:p>
                      </w:txbxContent>
                    </wps:txbx>
                    <wps:bodyPr wrap="none" lIns="0" tIns="0" rIns="0" bIns="0" upright="1">
                      <a:spAutoFit/>
                    </wps:bodyPr>
                  </wps:wsp>
                </a:graphicData>
              </a:graphic>
            </wp:anchor>
          </w:drawing>
        </mc:Choice>
        <mc:Fallback>
          <w:pict>
            <v:shape id="409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NJWO7QAAAABQEAAA8AAAAAAAAAAQAgAAAAIgAAAGRycy9kb3ducmV2LnhtbFBL&#10;AQIUABQAAAAIAIdO4kC2jAaQxQEAAKkDAAAOAAAAAAAAAAEAIAAAAB8BAABkcnMvZTJvRG9jLnht&#10;bFBLBQYAAAAABgAGAFkBAABWBQAAAAA=&#10;">
              <v:fill on="f" focussize="0,0"/>
              <v:stroke on="f" weight="0.5pt"/>
              <v:imagedata o:title=""/>
              <o:lock v:ext="edit" aspectratio="f"/>
              <v:textbox inset="0mm,0mm,0mm,0mm" style="mso-fit-shape-to-text:t;">
                <w:txbxContent>
                  <w:p w14:paraId="1D8A01F5">
                    <w:pPr>
                      <w:pStyle w:val="1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84BB8C"/>
    <w:multiLevelType w:val="singleLevel"/>
    <w:tmpl w:val="AF84BB8C"/>
    <w:lvl w:ilvl="0" w:tentative="0">
      <w:start w:val="7"/>
      <w:numFmt w:val="decimal"/>
      <w:suff w:val="nothing"/>
      <w:lvlText w:val="%1、"/>
      <w:lvlJc w:val="left"/>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65BA65A7"/>
    <w:multiLevelType w:val="multilevel"/>
    <w:tmpl w:val="65BA65A7"/>
    <w:lvl w:ilvl="0" w:tentative="0">
      <w:start w:val="1"/>
      <w:numFmt w:val="chineseCountingThousand"/>
      <w:pStyle w:val="2"/>
      <w:lvlText w:val="%1、"/>
      <w:lvlJc w:val="left"/>
      <w:pPr>
        <w:ind w:left="642" w:hanging="432"/>
      </w:pPr>
      <w:rPr>
        <w:rFonts w:hint="default" w:ascii="Times New Roman" w:hAnsi="Times New Roman" w:cs="Times New Roman"/>
        <w:color w:val="auto"/>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1OWE2OTAwZTAzMTBiYjk0Nzk5OTkyNDE4ZGFjNDcifQ=="/>
    <w:docVar w:name="KSO_WPS_MARK_KEY" w:val="72b58da0-6f2b-4aa2-860e-0973dc3c960f"/>
  </w:docVars>
  <w:rsids>
    <w:rsidRoot w:val="00585E5B"/>
    <w:rsid w:val="00024A0B"/>
    <w:rsid w:val="00045D45"/>
    <w:rsid w:val="00054F26"/>
    <w:rsid w:val="001700E4"/>
    <w:rsid w:val="0017428B"/>
    <w:rsid w:val="00365BBE"/>
    <w:rsid w:val="003842B2"/>
    <w:rsid w:val="003B7101"/>
    <w:rsid w:val="00417324"/>
    <w:rsid w:val="00475BA8"/>
    <w:rsid w:val="004F61EE"/>
    <w:rsid w:val="00585E5B"/>
    <w:rsid w:val="005B0F19"/>
    <w:rsid w:val="0074562A"/>
    <w:rsid w:val="007533F7"/>
    <w:rsid w:val="00770803"/>
    <w:rsid w:val="008E2007"/>
    <w:rsid w:val="00977FB1"/>
    <w:rsid w:val="009C0E01"/>
    <w:rsid w:val="00B13097"/>
    <w:rsid w:val="00C047F0"/>
    <w:rsid w:val="00C360E9"/>
    <w:rsid w:val="00CF5311"/>
    <w:rsid w:val="00DB472E"/>
    <w:rsid w:val="00DD27CB"/>
    <w:rsid w:val="00DE0849"/>
    <w:rsid w:val="00E72566"/>
    <w:rsid w:val="00EE6959"/>
    <w:rsid w:val="00F67754"/>
    <w:rsid w:val="00FF5DF5"/>
    <w:rsid w:val="01A4219D"/>
    <w:rsid w:val="02700A21"/>
    <w:rsid w:val="03F152E2"/>
    <w:rsid w:val="05032C1D"/>
    <w:rsid w:val="072916E2"/>
    <w:rsid w:val="074A3B33"/>
    <w:rsid w:val="07CD3CE6"/>
    <w:rsid w:val="084F6711"/>
    <w:rsid w:val="0878647D"/>
    <w:rsid w:val="087B7D1C"/>
    <w:rsid w:val="093D0FE0"/>
    <w:rsid w:val="0D744814"/>
    <w:rsid w:val="0DA56077"/>
    <w:rsid w:val="0E543ED5"/>
    <w:rsid w:val="104B0A97"/>
    <w:rsid w:val="10AA3296"/>
    <w:rsid w:val="10DE7709"/>
    <w:rsid w:val="1202325C"/>
    <w:rsid w:val="125E66E4"/>
    <w:rsid w:val="13B77EB0"/>
    <w:rsid w:val="14145661"/>
    <w:rsid w:val="155F4CAD"/>
    <w:rsid w:val="17EE3251"/>
    <w:rsid w:val="1A853CE6"/>
    <w:rsid w:val="1D5A4452"/>
    <w:rsid w:val="1EDB70E1"/>
    <w:rsid w:val="21CE2982"/>
    <w:rsid w:val="23791739"/>
    <w:rsid w:val="2549466E"/>
    <w:rsid w:val="26EA4592"/>
    <w:rsid w:val="28ED2A9E"/>
    <w:rsid w:val="29097BCF"/>
    <w:rsid w:val="2E922196"/>
    <w:rsid w:val="2F4645BC"/>
    <w:rsid w:val="2FF1436D"/>
    <w:rsid w:val="30823D6F"/>
    <w:rsid w:val="31973E12"/>
    <w:rsid w:val="32E12CEE"/>
    <w:rsid w:val="3310712F"/>
    <w:rsid w:val="34303921"/>
    <w:rsid w:val="35627669"/>
    <w:rsid w:val="36A27FD6"/>
    <w:rsid w:val="36AC15BA"/>
    <w:rsid w:val="3A0E5F1C"/>
    <w:rsid w:val="3C4E26F1"/>
    <w:rsid w:val="3CD000A1"/>
    <w:rsid w:val="3E1213B4"/>
    <w:rsid w:val="3F4243E8"/>
    <w:rsid w:val="3FD44168"/>
    <w:rsid w:val="3FE76438"/>
    <w:rsid w:val="401A263A"/>
    <w:rsid w:val="415E4D0D"/>
    <w:rsid w:val="418C42E8"/>
    <w:rsid w:val="436D3720"/>
    <w:rsid w:val="43B11C94"/>
    <w:rsid w:val="455220A1"/>
    <w:rsid w:val="4586742B"/>
    <w:rsid w:val="47A4665D"/>
    <w:rsid w:val="4AC4390B"/>
    <w:rsid w:val="4B241496"/>
    <w:rsid w:val="4B4E76C2"/>
    <w:rsid w:val="4DEF37F6"/>
    <w:rsid w:val="4EAC1FAA"/>
    <w:rsid w:val="50776CAC"/>
    <w:rsid w:val="508131CA"/>
    <w:rsid w:val="5144296E"/>
    <w:rsid w:val="515A35D3"/>
    <w:rsid w:val="52014DB2"/>
    <w:rsid w:val="54216E77"/>
    <w:rsid w:val="56204218"/>
    <w:rsid w:val="57401CCA"/>
    <w:rsid w:val="577D5536"/>
    <w:rsid w:val="588452CD"/>
    <w:rsid w:val="59C63EC1"/>
    <w:rsid w:val="5C50740F"/>
    <w:rsid w:val="5C8F4034"/>
    <w:rsid w:val="5C98467A"/>
    <w:rsid w:val="5CE519D6"/>
    <w:rsid w:val="5F8E2FB4"/>
    <w:rsid w:val="625D3733"/>
    <w:rsid w:val="62E64E94"/>
    <w:rsid w:val="64E44CF8"/>
    <w:rsid w:val="687F5BE1"/>
    <w:rsid w:val="69251549"/>
    <w:rsid w:val="6AD65F76"/>
    <w:rsid w:val="6CB11E68"/>
    <w:rsid w:val="6DD3626F"/>
    <w:rsid w:val="72BA78D0"/>
    <w:rsid w:val="73E65B07"/>
    <w:rsid w:val="74C616DD"/>
    <w:rsid w:val="75DA74BA"/>
    <w:rsid w:val="76546E99"/>
    <w:rsid w:val="7763598D"/>
    <w:rsid w:val="7C5D1DD1"/>
    <w:rsid w:val="7DFBC4D9"/>
    <w:rsid w:val="7E85589E"/>
    <w:rsid w:val="7F946E56"/>
    <w:rsid w:val="7FF943A2"/>
    <w:rsid w:val="BDEF4408"/>
    <w:rsid w:val="DBAFEFB7"/>
    <w:rsid w:val="EDFFFD89"/>
    <w:rsid w:val="EFDFCD16"/>
    <w:rsid w:val="F5E9759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numPr>
        <w:ilvl w:val="0"/>
        <w:numId w:val="1"/>
      </w:numPr>
      <w:spacing w:before="80" w:after="80"/>
      <w:ind w:firstLine="0"/>
      <w:outlineLvl w:val="0"/>
    </w:pPr>
    <w:rPr>
      <w:rFonts w:ascii="Times New Roman" w:hAnsi="Times New Roman"/>
      <w:b/>
      <w:color w:val="2E75B5"/>
      <w:kern w:val="44"/>
      <w:sz w:val="30"/>
    </w:rPr>
  </w:style>
  <w:style w:type="paragraph" w:styleId="3">
    <w:name w:val="heading 2"/>
    <w:basedOn w:val="1"/>
    <w:next w:val="1"/>
    <w:semiHidden/>
    <w:unhideWhenUsed/>
    <w:qFormat/>
    <w:uiPriority w:val="0"/>
    <w:pPr>
      <w:keepNext/>
      <w:keepLines/>
      <w:spacing w:before="260" w:after="260" w:line="415" w:lineRule="auto"/>
      <w:outlineLvl w:val="1"/>
    </w:pPr>
    <w:rPr>
      <w:rFonts w:ascii="Arial" w:hAnsi="Arial" w:eastAsia="黑体"/>
      <w:b/>
      <w:bCs/>
      <w:sz w:val="30"/>
      <w:szCs w:val="32"/>
    </w:rPr>
  </w:style>
  <w:style w:type="paragraph" w:styleId="4">
    <w:name w:val="heading 3"/>
    <w:basedOn w:val="1"/>
    <w:next w:val="1"/>
    <w:qFormat/>
    <w:uiPriority w:val="0"/>
    <w:pPr>
      <w:spacing w:beforeAutospacing="1" w:afterAutospacing="1"/>
      <w:jc w:val="left"/>
      <w:outlineLvl w:val="2"/>
    </w:pPr>
    <w:rPr>
      <w:rFonts w:hint="eastAsia" w:ascii="宋体" w:hAnsi="宋体" w:cs="Times New Roman"/>
      <w:b/>
      <w:bCs/>
      <w:kern w:val="0"/>
      <w:sz w:val="27"/>
      <w:szCs w:val="27"/>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cs="Times New Roman"/>
      <w:b/>
      <w:bCs/>
      <w:kern w:val="0"/>
      <w:sz w:val="2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420"/>
    </w:pPr>
  </w:style>
  <w:style w:type="paragraph" w:styleId="7">
    <w:name w:val="annotation text"/>
    <w:basedOn w:val="1"/>
    <w:qFormat/>
    <w:uiPriority w:val="0"/>
    <w:pPr>
      <w:jc w:val="left"/>
    </w:pPr>
  </w:style>
  <w:style w:type="paragraph" w:styleId="8">
    <w:name w:val="Body Text"/>
    <w:basedOn w:val="1"/>
    <w:next w:val="1"/>
    <w:qFormat/>
    <w:uiPriority w:val="99"/>
    <w:rPr>
      <w:rFonts w:ascii="黑体" w:hAnsi="Courier New" w:eastAsia="黑体"/>
      <w:sz w:val="30"/>
      <w:shd w:val="pct10" w:color="auto" w:fill="FFFFFF"/>
    </w:rPr>
  </w:style>
  <w:style w:type="paragraph" w:styleId="9">
    <w:name w:val="Body Text Indent"/>
    <w:basedOn w:val="1"/>
    <w:next w:val="1"/>
    <w:qFormat/>
    <w:uiPriority w:val="99"/>
    <w:pPr>
      <w:spacing w:after="120"/>
      <w:ind w:left="420" w:leftChars="200"/>
    </w:pPr>
  </w:style>
  <w:style w:type="paragraph" w:styleId="10">
    <w:name w:val="Plain Text"/>
    <w:basedOn w:val="1"/>
    <w:qFormat/>
    <w:uiPriority w:val="0"/>
    <w:rPr>
      <w:rFonts w:ascii="宋体" w:hAnsi="Courier New"/>
      <w:szCs w:val="20"/>
    </w:rPr>
  </w:style>
  <w:style w:type="paragraph" w:styleId="11">
    <w:name w:val="Balloon Text"/>
    <w:basedOn w:val="1"/>
    <w:link w:val="32"/>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pPr>
      <w:tabs>
        <w:tab w:val="left" w:pos="1050"/>
        <w:tab w:val="right" w:leader="dot" w:pos="8636"/>
      </w:tabs>
      <w:spacing w:line="400" w:lineRule="exact"/>
    </w:pPr>
    <w:rPr>
      <w:rFonts w:ascii="FangSong_GB2312" w:hAnsi="宋体" w:eastAsia="FangSong_GB2312" w:cs="宋体"/>
      <w:b/>
      <w:bCs/>
      <w:sz w:val="28"/>
      <w:szCs w:val="28"/>
    </w:rPr>
  </w:style>
  <w:style w:type="paragraph" w:styleId="15">
    <w:name w:val="toc 2"/>
    <w:basedOn w:val="1"/>
    <w:next w:val="1"/>
    <w:qFormat/>
    <w:uiPriority w:val="99"/>
    <w:pPr>
      <w:ind w:left="420" w:leftChars="200"/>
    </w:pPr>
  </w:style>
  <w:style w:type="paragraph" w:styleId="16">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17">
    <w:name w:val="Normal (Web)"/>
    <w:basedOn w:val="1"/>
    <w:next w:val="14"/>
    <w:qFormat/>
    <w:uiPriority w:val="0"/>
    <w:pPr>
      <w:spacing w:beforeAutospacing="1" w:afterAutospacing="1"/>
      <w:jc w:val="left"/>
    </w:pPr>
    <w:rPr>
      <w:rFonts w:cs="Times New Roman"/>
      <w:kern w:val="0"/>
      <w:sz w:val="24"/>
    </w:rPr>
  </w:style>
  <w:style w:type="paragraph" w:styleId="18">
    <w:name w:val="Title"/>
    <w:basedOn w:val="1"/>
    <w:next w:val="1"/>
    <w:qFormat/>
    <w:uiPriority w:val="99"/>
    <w:pPr>
      <w:spacing w:before="240" w:after="60"/>
      <w:jc w:val="center"/>
      <w:outlineLvl w:val="0"/>
    </w:pPr>
    <w:rPr>
      <w:rFonts w:ascii="Cambria" w:hAnsi="Cambria"/>
      <w:b/>
      <w:bCs/>
      <w:sz w:val="32"/>
      <w:szCs w:val="32"/>
    </w:rPr>
  </w:style>
  <w:style w:type="paragraph" w:styleId="19">
    <w:name w:val="Body Text First Indent 2"/>
    <w:basedOn w:val="9"/>
    <w:qFormat/>
    <w:uiPriority w:val="0"/>
    <w:pPr>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0"/>
    <w:rPr>
      <w:color w:val="0000FF"/>
      <w:u w:val="single"/>
    </w:rPr>
  </w:style>
  <w:style w:type="character" w:styleId="25">
    <w:name w:val="annotation reference"/>
    <w:basedOn w:val="22"/>
    <w:qFormat/>
    <w:uiPriority w:val="0"/>
    <w:rPr>
      <w:sz w:val="21"/>
      <w:szCs w:val="21"/>
    </w:rPr>
  </w:style>
  <w:style w:type="paragraph" w:customStyle="1" w:styleId="26">
    <w:name w:val="样式 标题 3 + (中文) 黑体 小四 非加粗 段前: 7.8 磅 段后: 0 磅 行距: 固定值 20 磅"/>
    <w:basedOn w:val="4"/>
    <w:qFormat/>
    <w:uiPriority w:val="99"/>
    <w:pPr>
      <w:tabs>
        <w:tab w:val="left" w:pos="425"/>
      </w:tabs>
      <w:spacing w:line="400" w:lineRule="exact"/>
    </w:pPr>
    <w:rPr>
      <w:rFonts w:ascii="Times New Roman" w:hAnsi="Times New Roman" w:eastAsia="黑体" w:cs="宋体"/>
      <w:b w:val="0"/>
      <w:kern w:val="2"/>
      <w:sz w:val="24"/>
      <w:szCs w:val="20"/>
    </w:rPr>
  </w:style>
  <w:style w:type="paragraph" w:customStyle="1" w:styleId="27">
    <w:name w:val="正文首行缩进 21"/>
    <w:basedOn w:val="9"/>
    <w:qFormat/>
    <w:uiPriority w:val="0"/>
    <w:pPr>
      <w:ind w:firstLine="420"/>
    </w:pPr>
    <w:rPr>
      <w:rFonts w:eastAsia="仿宋_GB2312" w:cs="Times New Roman"/>
      <w:kern w:val="1"/>
      <w:sz w:val="32"/>
    </w:rPr>
  </w:style>
  <w:style w:type="paragraph" w:customStyle="1" w:styleId="28">
    <w:name w:val="Fließtext"/>
    <w:basedOn w:val="1"/>
    <w:qFormat/>
    <w:uiPriority w:val="0"/>
    <w:pPr>
      <w:overflowPunct w:val="0"/>
      <w:autoSpaceDE w:val="0"/>
      <w:autoSpaceDN w:val="0"/>
      <w:adjustRightInd w:val="0"/>
      <w:textAlignment w:val="baseline"/>
    </w:pPr>
    <w:rPr>
      <w:kern w:val="28"/>
      <w:szCs w:val="20"/>
    </w:rPr>
  </w:style>
  <w:style w:type="character" w:customStyle="1" w:styleId="29">
    <w:name w:val="NormalCharacter"/>
    <w:qFormat/>
    <w:uiPriority w:val="0"/>
    <w:rPr>
      <w:rFonts w:ascii="Tahoma" w:hAnsi="Tahoma"/>
      <w:sz w:val="24"/>
    </w:rPr>
  </w:style>
  <w:style w:type="paragraph" w:customStyle="1" w:styleId="30">
    <w:name w:val="NormalIndent"/>
    <w:basedOn w:val="1"/>
    <w:qFormat/>
    <w:uiPriority w:val="0"/>
    <w:pPr>
      <w:ind w:firstLine="420"/>
    </w:pPr>
  </w:style>
  <w:style w:type="character" w:customStyle="1" w:styleId="31">
    <w:name w:val="font31"/>
    <w:basedOn w:val="22"/>
    <w:qFormat/>
    <w:uiPriority w:val="0"/>
    <w:rPr>
      <w:rFonts w:hint="eastAsia" w:ascii="宋体" w:hAnsi="宋体" w:eastAsia="宋体" w:cs="宋体"/>
      <w:b/>
      <w:bCs/>
      <w:color w:val="000000"/>
      <w:sz w:val="20"/>
      <w:szCs w:val="20"/>
      <w:u w:val="none"/>
    </w:rPr>
  </w:style>
  <w:style w:type="character" w:customStyle="1" w:styleId="32">
    <w:name w:val="批注框文本 Char"/>
    <w:basedOn w:val="22"/>
    <w:link w:val="11"/>
    <w:qFormat/>
    <w:uiPriority w:val="0"/>
    <w:rPr>
      <w:rFonts w:ascii="Calibri" w:hAnsi="Calibri" w:eastAsia="宋体" w:cs="宋体"/>
      <w:kern w:val="2"/>
      <w:sz w:val="18"/>
      <w:szCs w:val="18"/>
    </w:rPr>
  </w:style>
  <w:style w:type="paragraph" w:customStyle="1" w:styleId="33">
    <w:name w:val="标准"/>
    <w:basedOn w:val="1"/>
    <w:qFormat/>
    <w:uiPriority w:val="0"/>
    <w:pPr>
      <w:spacing w:line="360" w:lineRule="auto"/>
      <w:ind w:firstLine="200" w:firstLineChars="200"/>
    </w:pPr>
    <w:rPr>
      <w:szCs w:val="20"/>
    </w:rPr>
  </w:style>
  <w:style w:type="paragraph" w:customStyle="1" w:styleId="34">
    <w:name w:val="null3"/>
    <w:qFormat/>
    <w:uiPriority w:val="0"/>
    <w:rPr>
      <w:rFonts w:hint="eastAsia" w:ascii="Calibri" w:hAnsi="Calibri" w:eastAsia="宋体" w:cs="宋体"/>
      <w:lang w:val="en-US" w:eastAsia="zh-CN" w:bidi="ar-SA"/>
    </w:rPr>
  </w:style>
  <w:style w:type="paragraph" w:customStyle="1" w:styleId="35">
    <w:name w:val="_Style 3"/>
    <w:basedOn w:val="1"/>
    <w:qFormat/>
    <w:uiPriority w:val="0"/>
    <w:pPr>
      <w:ind w:firstLine="420" w:firstLineChars="200"/>
    </w:pPr>
    <w:rPr>
      <w:sz w:val="20"/>
    </w:rPr>
  </w:style>
  <w:style w:type="table" w:customStyle="1" w:styleId="36">
    <w:name w:val="Table Normal"/>
    <w:qFormat/>
    <w:uiPriority w:val="0"/>
    <w:tblPr>
      <w:tblCellMar>
        <w:top w:w="0" w:type="dxa"/>
        <w:left w:w="0" w:type="dxa"/>
        <w:bottom w:w="0" w:type="dxa"/>
        <w:right w:w="0" w:type="dxa"/>
      </w:tblCellMar>
    </w:tblPr>
  </w:style>
  <w:style w:type="character" w:customStyle="1" w:styleId="37">
    <w:name w:val="UserStyle_124"/>
    <w:qFormat/>
    <w:uiPriority w:val="0"/>
    <w:rPr>
      <w:rFonts w:ascii="Tahoma" w:hAnsi="Tahoma"/>
      <w:sz w:val="24"/>
    </w:rPr>
  </w:style>
  <w:style w:type="paragraph" w:customStyle="1" w:styleId="38">
    <w:name w:val="Other|1"/>
    <w:basedOn w:val="1"/>
    <w:qFormat/>
    <w:uiPriority w:val="0"/>
    <w:pPr>
      <w:spacing w:line="306" w:lineRule="exact"/>
    </w:pPr>
    <w:rPr>
      <w:rFonts w:ascii="宋体" w:hAnsi="宋体"/>
      <w:lang w:val="zh-TW" w:eastAsia="zh-TW" w:bidi="zh-TW"/>
    </w:rPr>
  </w:style>
  <w:style w:type="character" w:customStyle="1" w:styleId="39">
    <w:name w:val="font21"/>
    <w:basedOn w:val="22"/>
    <w:qFormat/>
    <w:uiPriority w:val="0"/>
    <w:rPr>
      <w:rFonts w:hint="eastAsia" w:ascii="宋体" w:hAnsi="宋体" w:eastAsia="宋体" w:cs="宋体"/>
      <w:color w:val="000000"/>
      <w:sz w:val="21"/>
      <w:szCs w:val="21"/>
      <w:u w:val="none"/>
    </w:rPr>
  </w:style>
  <w:style w:type="paragraph" w:customStyle="1" w:styleId="40">
    <w:name w:val="样式 10 磅"/>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样式 140 10 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3">
    <w:name w:val="正文1"/>
    <w:basedOn w:val="1"/>
    <w:next w:val="1"/>
    <w:qFormat/>
    <w:uiPriority w:val="0"/>
    <w:pPr>
      <w:widowControl/>
      <w:spacing w:beforeLines="50"/>
      <w:ind w:firstLine="420" w:firstLineChars="175"/>
      <w:jc w:val="center"/>
    </w:pPr>
    <w:rPr>
      <w:rFonts w:ascii="宋体" w:hAnsi="宋体"/>
      <w:iCs/>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86</Pages>
  <Words>6765</Words>
  <Characters>7106</Characters>
  <Lines>60</Lines>
  <Paragraphs>124</Paragraphs>
  <TotalTime>4</TotalTime>
  <ScaleCrop>false</ScaleCrop>
  <LinksUpToDate>false</LinksUpToDate>
  <CharactersWithSpaces>7224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2024-09-06T10:05:00Z</dcterms:created>
  <dc:creator>Administrator.SKY-20170627GOK</dc:creator>
  <cp:lastModifiedBy>信发小吴</cp:lastModifiedBy>
  <cp:lastPrinted>2024-11-09T08:19:00Z</cp:lastPrinted>
  <dcterms:modified xsi:type="dcterms:W3CDTF">2025-08-07T09:30:33Z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692642F3E10B49E896A16B9748745B10_13</vt:lpwstr>
  </property>
  <property fmtid="{D5CDD505-2E9C-101B-9397-08002B2CF9AE}" pid="4" name="KSOTemplateDocerSaveRecord">
    <vt:lpwstr>eyJoZGlkIjoiMTNkYTA3OTViN2VlMDdjN2FkMzU0MTFhOTliZjY5NjQiLCJ1c2VySWQiOiIyMzQ3MjQ2ODYifQ==</vt:lpwstr>
  </property>
</Properties>
</file>