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cs="宋体"/>
          <w:b/>
          <w:bCs/>
          <w:kern w:val="0"/>
          <w:sz w:val="36"/>
          <w:szCs w:val="36"/>
          <w:highlight w:val="none"/>
        </w:rPr>
      </w:pPr>
    </w:p>
    <w:p>
      <w:pPr>
        <w:pStyle w:val="22"/>
        <w:rPr>
          <w:highlight w:val="none"/>
        </w:rPr>
      </w:pPr>
    </w:p>
    <w:p>
      <w:pPr>
        <w:ind w:left="3253" w:hanging="3253" w:hangingChars="900"/>
        <w:rPr>
          <w:rFonts w:hint="eastAsia" w:eastAsia="宋体" w:cs="宋体"/>
          <w:b/>
          <w:bCs/>
          <w:kern w:val="0"/>
          <w:sz w:val="36"/>
          <w:szCs w:val="36"/>
          <w:highlight w:val="none"/>
          <w:lang w:eastAsia="zh-CN"/>
        </w:rPr>
      </w:pPr>
      <w:r>
        <w:rPr>
          <w:rFonts w:hint="eastAsia" w:cs="宋体"/>
          <w:b/>
          <w:bCs/>
          <w:kern w:val="0"/>
          <w:sz w:val="36"/>
          <w:szCs w:val="36"/>
          <w:highlight w:val="none"/>
          <w:lang w:eastAsia="zh-CN"/>
        </w:rPr>
        <w:t>新疆消防救援总队昌吉支队“自然灾害应急能力提升工程”装备配备项目（二）</w:t>
      </w:r>
    </w:p>
    <w:p>
      <w:pPr>
        <w:spacing w:line="360" w:lineRule="atLeast"/>
        <w:jc w:val="center"/>
        <w:rPr>
          <w:rFonts w:hAnsi="宋体" w:cs="宋体"/>
          <w:b/>
          <w:bCs/>
          <w:kern w:val="0"/>
          <w:sz w:val="32"/>
          <w:szCs w:val="32"/>
          <w:highlight w:val="none"/>
        </w:rPr>
      </w:pPr>
      <w:r>
        <w:rPr>
          <w:rFonts w:hint="eastAsia" w:hAnsi="宋体" w:cs="宋体"/>
          <w:b/>
          <w:bCs/>
          <w:kern w:val="0"/>
          <w:sz w:val="32"/>
          <w:szCs w:val="32"/>
          <w:highlight w:val="none"/>
        </w:rPr>
        <w:t>项目编号：</w:t>
      </w:r>
      <w:r>
        <w:rPr>
          <w:rFonts w:hAnsi="宋体" w:cs="宋体"/>
          <w:b/>
          <w:bCs/>
          <w:kern w:val="0"/>
          <w:sz w:val="32"/>
          <w:szCs w:val="32"/>
          <w:highlight w:val="none"/>
        </w:rPr>
        <w:t>XZJ246-027-KW</w:t>
      </w:r>
    </w:p>
    <w:p>
      <w:pPr>
        <w:rPr>
          <w:rFonts w:cs="宋体"/>
          <w:b/>
          <w:bCs/>
          <w:kern w:val="0"/>
          <w:sz w:val="36"/>
          <w:szCs w:val="36"/>
          <w:highlight w:val="none"/>
        </w:rPr>
      </w:pPr>
    </w:p>
    <w:p>
      <w:pPr>
        <w:pStyle w:val="37"/>
        <w:rPr>
          <w:highlight w:val="none"/>
        </w:rPr>
      </w:pPr>
    </w:p>
    <w:p>
      <w:pPr>
        <w:rPr>
          <w:highlight w:val="none"/>
        </w:rPr>
      </w:pPr>
    </w:p>
    <w:p>
      <w:pPr>
        <w:spacing w:line="360" w:lineRule="auto"/>
        <w:jc w:val="center"/>
        <w:rPr>
          <w:rFonts w:ascii="宋体" w:hAnsi="宋体" w:cs="宋体"/>
          <w:b/>
          <w:bCs/>
          <w:sz w:val="44"/>
          <w:szCs w:val="44"/>
          <w:highlight w:val="none"/>
        </w:rPr>
      </w:pPr>
      <w:r>
        <w:rPr>
          <w:rFonts w:hint="eastAsia" w:ascii="宋体" w:hAnsi="宋体" w:cs="宋体"/>
          <w:b/>
          <w:bCs/>
          <w:sz w:val="44"/>
          <w:szCs w:val="44"/>
          <w:highlight w:val="none"/>
        </w:rPr>
        <w:t>招  标  文  件</w:t>
      </w:r>
    </w:p>
    <w:p>
      <w:pPr>
        <w:pStyle w:val="37"/>
        <w:rPr>
          <w:highlight w:val="none"/>
        </w:rPr>
      </w:pPr>
    </w:p>
    <w:p>
      <w:pPr>
        <w:pStyle w:val="37"/>
        <w:ind w:firstLine="643"/>
        <w:rPr>
          <w:rFonts w:cs="宋体"/>
          <w:b/>
          <w:bCs/>
          <w:kern w:val="0"/>
          <w:sz w:val="32"/>
          <w:szCs w:val="32"/>
          <w:highlight w:val="none"/>
        </w:rPr>
      </w:pPr>
    </w:p>
    <w:p>
      <w:pPr>
        <w:rPr>
          <w:highlight w:val="none"/>
        </w:rPr>
      </w:pPr>
    </w:p>
    <w:p>
      <w:pPr>
        <w:rPr>
          <w:highlight w:val="none"/>
        </w:rPr>
      </w:pPr>
    </w:p>
    <w:p>
      <w:pPr>
        <w:rPr>
          <w:rFonts w:ascii="宋体" w:hAnsi="宋体" w:cs="宋体"/>
          <w:sz w:val="30"/>
          <w:szCs w:val="30"/>
          <w:highlight w:val="none"/>
        </w:rPr>
      </w:pPr>
    </w:p>
    <w:p>
      <w:pPr>
        <w:pStyle w:val="4"/>
        <w:rPr>
          <w:highlight w:val="none"/>
        </w:rPr>
      </w:pPr>
    </w:p>
    <w:p>
      <w:pPr>
        <w:spacing w:line="360" w:lineRule="auto"/>
        <w:rPr>
          <w:rFonts w:ascii="宋体" w:hAnsi="宋体" w:cs="宋体"/>
          <w:b/>
          <w:bCs/>
          <w:sz w:val="30"/>
          <w:szCs w:val="30"/>
          <w:highlight w:val="none"/>
        </w:rPr>
      </w:pPr>
      <w:r>
        <w:rPr>
          <w:rFonts w:hint="eastAsia" w:ascii="宋体" w:hAnsi="宋体" w:cs="宋体"/>
          <w:b/>
          <w:bCs/>
          <w:kern w:val="0"/>
          <w:sz w:val="30"/>
          <w:szCs w:val="30"/>
          <w:highlight w:val="none"/>
        </w:rPr>
        <w:t>招标人（盖章）</w:t>
      </w:r>
      <w:r>
        <w:rPr>
          <w:rFonts w:hint="eastAsia" w:ascii="宋体" w:hAnsi="宋体" w:cs="宋体"/>
          <w:b/>
          <w:bCs/>
          <w:sz w:val="30"/>
          <w:szCs w:val="30"/>
          <w:highlight w:val="none"/>
        </w:rPr>
        <w:t>：昌吉回族自治州消防救援支队</w:t>
      </w:r>
    </w:p>
    <w:p>
      <w:pPr>
        <w:spacing w:line="360" w:lineRule="auto"/>
        <w:rPr>
          <w:rFonts w:hint="eastAsia" w:ascii="宋体" w:hAnsi="宋体" w:eastAsia="宋体" w:cs="宋体"/>
          <w:b/>
          <w:bCs/>
          <w:sz w:val="30"/>
          <w:szCs w:val="30"/>
          <w:highlight w:val="none"/>
          <w:lang w:eastAsia="zh-CN"/>
        </w:rPr>
      </w:pPr>
      <w:r>
        <w:rPr>
          <w:rFonts w:hint="eastAsia" w:ascii="宋体" w:hAnsi="宋体" w:cs="宋体"/>
          <w:b/>
          <w:bCs/>
          <w:sz w:val="30"/>
          <w:szCs w:val="30"/>
          <w:highlight w:val="none"/>
        </w:rPr>
        <w:t>联系人：</w:t>
      </w:r>
      <w:r>
        <w:rPr>
          <w:rFonts w:hint="eastAsia" w:ascii="宋体" w:hAnsi="宋体" w:cs="宋体"/>
          <w:b/>
          <w:bCs/>
          <w:sz w:val="30"/>
          <w:szCs w:val="30"/>
          <w:highlight w:val="none"/>
          <w:lang w:eastAsia="zh-CN"/>
        </w:rPr>
        <w:t>米娜、郭晓宇</w:t>
      </w:r>
    </w:p>
    <w:p>
      <w:pPr>
        <w:spacing w:line="360" w:lineRule="auto"/>
        <w:rPr>
          <w:rFonts w:hint="eastAsia" w:ascii="宋体" w:hAnsi="宋体" w:eastAsia="宋体" w:cs="宋体"/>
          <w:b/>
          <w:bCs/>
          <w:sz w:val="30"/>
          <w:szCs w:val="30"/>
          <w:highlight w:val="none"/>
          <w:lang w:eastAsia="zh-CN"/>
        </w:rPr>
      </w:pPr>
      <w:r>
        <w:rPr>
          <w:rFonts w:hint="eastAsia" w:ascii="宋体" w:hAnsi="宋体" w:cs="宋体"/>
          <w:b/>
          <w:bCs/>
          <w:sz w:val="30"/>
          <w:szCs w:val="30"/>
          <w:highlight w:val="none"/>
        </w:rPr>
        <w:t>联系电话：</w:t>
      </w:r>
      <w:r>
        <w:rPr>
          <w:rFonts w:hint="eastAsia" w:ascii="宋体" w:hAnsi="宋体" w:cs="宋体"/>
          <w:b/>
          <w:bCs/>
          <w:sz w:val="30"/>
          <w:szCs w:val="30"/>
          <w:highlight w:val="none"/>
          <w:lang w:eastAsia="zh-CN"/>
        </w:rPr>
        <w:t>13031398090、15769051697</w:t>
      </w:r>
    </w:p>
    <w:p>
      <w:pPr>
        <w:pStyle w:val="37"/>
        <w:rPr>
          <w:highlight w:val="none"/>
        </w:rPr>
      </w:pPr>
    </w:p>
    <w:p>
      <w:pPr>
        <w:spacing w:line="360" w:lineRule="auto"/>
        <w:rPr>
          <w:rFonts w:ascii="宋体" w:hAnsi="宋体" w:cs="宋体"/>
          <w:b/>
          <w:bCs/>
          <w:sz w:val="30"/>
          <w:szCs w:val="30"/>
          <w:highlight w:val="none"/>
        </w:rPr>
      </w:pPr>
      <w:r>
        <w:rPr>
          <w:rFonts w:ascii="宋体" w:hAnsi="宋体" w:cs="宋体"/>
          <w:b/>
          <w:bCs/>
          <w:sz w:val="30"/>
          <w:szCs w:val="30"/>
          <w:highlight w:val="none"/>
        </w:rPr>
        <mc:AlternateContent>
          <mc:Choice Requires="wps">
            <w:drawing>
              <wp:anchor distT="0" distB="0" distL="0" distR="0" simplePos="0" relativeHeight="251659264" behindDoc="0" locked="0" layoutInCell="1" allowOverlap="1">
                <wp:simplePos x="0" y="0"/>
                <wp:positionH relativeFrom="column">
                  <wp:posOffset>-114300</wp:posOffset>
                </wp:positionH>
                <wp:positionV relativeFrom="paragraph">
                  <wp:posOffset>0</wp:posOffset>
                </wp:positionV>
                <wp:extent cx="6019800" cy="0"/>
                <wp:effectExtent l="0" t="0" r="0" b="0"/>
                <wp:wrapNone/>
                <wp:docPr id="1026" name="直接连接符 1"/>
                <wp:cNvGraphicFramePr/>
                <a:graphic xmlns:a="http://schemas.openxmlformats.org/drawingml/2006/main">
                  <a:graphicData uri="http://schemas.microsoft.com/office/word/2010/wordprocessingShape">
                    <wps:wsp>
                      <wps:cNvCnPr/>
                      <wps:spPr>
                        <a:xfrm>
                          <a:off x="0" y="0"/>
                          <a:ext cx="6019800" cy="0"/>
                        </a:xfrm>
                        <a:prstGeom prst="line">
                          <a:avLst/>
                        </a:prstGeom>
                        <a:ln w="12700" cap="flat" cmpd="sng">
                          <a:solidFill>
                            <a:srgbClr val="000000"/>
                          </a:solidFill>
                          <a:prstDash val="sysDot"/>
                          <a:round/>
                          <a:headEnd type="none" w="med" len="med"/>
                          <a:tailEnd type="none" w="med" len="med"/>
                        </a:ln>
                      </wps:spPr>
                      <wps:bodyPr/>
                    </wps:wsp>
                  </a:graphicData>
                </a:graphic>
              </wp:anchor>
            </w:drawing>
          </mc:Choice>
          <mc:Fallback>
            <w:pict>
              <v:line id="直接连接符 1" o:spid="_x0000_s1026" o:spt="20" style="position:absolute;left:0pt;margin-left:-9pt;margin-top:0pt;height:0pt;width:474pt;z-index:251659264;mso-width-relative:page;mso-height-relative:page;" filled="f" stroked="t" coordsize="21600,21600" o:gfxdata="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jxY7g9MAAAAFAQAADwAAAAAAAAABACAAAAAiAAAAZHJzL2Rvd25yZXYueG1sUEsBAhQAFAAA&#10;AAgAh07iQGiQCmH0AQAA5wMAAA4AAAAAAAAAAQAgAAAAIgEAAGRycy9lMm9Eb2MueG1sUEsFBgAA&#10;AAAGAAYAWQEAAIgFAAAAAA==&#10;">
                <v:fill on="f" focussize="0,0"/>
                <v:stroke weight="1pt" color="#000000" joinstyle="round" dashstyle="1 1"/>
                <v:imagedata o:title=""/>
                <o:lock v:ext="edit" aspectratio="f"/>
              </v:line>
            </w:pict>
          </mc:Fallback>
        </mc:AlternateContent>
      </w:r>
    </w:p>
    <w:p>
      <w:pPr>
        <w:spacing w:line="360" w:lineRule="auto"/>
        <w:rPr>
          <w:rFonts w:ascii="宋体" w:hAnsi="宋体" w:cs="宋体"/>
          <w:b/>
          <w:bCs/>
          <w:sz w:val="30"/>
          <w:szCs w:val="30"/>
          <w:highlight w:val="none"/>
        </w:rPr>
      </w:pPr>
      <w:bookmarkStart w:id="0" w:name="_Toc120614210"/>
      <w:bookmarkStart w:id="1" w:name="_Toc494375077"/>
      <w:bookmarkStart w:id="2" w:name="_Toc523127445"/>
      <w:bookmarkStart w:id="3" w:name="_Toc479757206"/>
      <w:bookmarkStart w:id="4" w:name="_Toc20823272"/>
      <w:bookmarkStart w:id="5" w:name="_Toc16938516"/>
      <w:bookmarkStart w:id="6" w:name="_Toc513029200"/>
      <w:r>
        <w:rPr>
          <w:rFonts w:hint="eastAsia" w:ascii="宋体" w:hAnsi="宋体" w:cs="宋体"/>
          <w:b/>
          <w:bCs/>
          <w:kern w:val="0"/>
          <w:sz w:val="30"/>
          <w:szCs w:val="30"/>
          <w:highlight w:val="none"/>
        </w:rPr>
        <w:t>招标代理机构（盖章）：新疆新之建工程咨询有限公司</w:t>
      </w:r>
    </w:p>
    <w:p>
      <w:pPr>
        <w:spacing w:line="360" w:lineRule="auto"/>
        <w:rPr>
          <w:rFonts w:ascii="宋体" w:hAnsi="宋体" w:cs="宋体"/>
          <w:b/>
          <w:bCs/>
          <w:kern w:val="0"/>
          <w:sz w:val="30"/>
          <w:szCs w:val="30"/>
          <w:highlight w:val="none"/>
        </w:rPr>
      </w:pPr>
      <w:r>
        <w:rPr>
          <w:rFonts w:hint="eastAsia" w:ascii="宋体" w:hAnsi="宋体" w:cs="宋体"/>
          <w:b/>
          <w:bCs/>
          <w:kern w:val="0"/>
          <w:sz w:val="30"/>
          <w:szCs w:val="30"/>
          <w:highlight w:val="none"/>
        </w:rPr>
        <w:t>法人代表（盖章）：刘高</w:t>
      </w:r>
    </w:p>
    <w:p>
      <w:pPr>
        <w:spacing w:line="360" w:lineRule="auto"/>
        <w:rPr>
          <w:rFonts w:hint="eastAsia" w:eastAsia="宋体" w:cs="宋体"/>
          <w:b/>
          <w:bCs/>
          <w:sz w:val="30"/>
          <w:szCs w:val="30"/>
          <w:highlight w:val="none"/>
          <w:lang w:eastAsia="zh-CN"/>
        </w:rPr>
      </w:pPr>
      <w:r>
        <w:rPr>
          <w:rFonts w:hint="eastAsia" w:ascii="宋体" w:hAnsi="宋体" w:cs="宋体"/>
          <w:b/>
          <w:bCs/>
          <w:kern w:val="0"/>
          <w:sz w:val="30"/>
          <w:szCs w:val="30"/>
          <w:highlight w:val="none"/>
        </w:rPr>
        <w:t>联系人：</w:t>
      </w:r>
      <w:r>
        <w:rPr>
          <w:rFonts w:hint="eastAsia" w:ascii="宋体" w:hAnsi="宋体" w:cs="宋体"/>
          <w:b/>
          <w:bCs/>
          <w:kern w:val="0"/>
          <w:sz w:val="30"/>
          <w:szCs w:val="30"/>
          <w:highlight w:val="none"/>
          <w:lang w:eastAsia="zh-CN"/>
        </w:rPr>
        <w:t>李家成、姚雨彤</w:t>
      </w:r>
    </w:p>
    <w:p>
      <w:pPr>
        <w:spacing w:line="360" w:lineRule="auto"/>
        <w:rPr>
          <w:rFonts w:ascii="宋体" w:hAnsi="宋体" w:cs="宋体"/>
          <w:b/>
          <w:bCs/>
          <w:kern w:val="0"/>
          <w:sz w:val="30"/>
          <w:szCs w:val="30"/>
          <w:highlight w:val="none"/>
        </w:rPr>
      </w:pPr>
      <w:r>
        <w:rPr>
          <w:rFonts w:hint="eastAsia" w:ascii="宋体" w:hAnsi="宋体" w:cs="宋体"/>
          <w:b/>
          <w:bCs/>
          <w:kern w:val="0"/>
          <w:sz w:val="30"/>
          <w:szCs w:val="30"/>
          <w:highlight w:val="none"/>
        </w:rPr>
        <w:t>联系电话：15099358708、15276696466</w:t>
      </w:r>
    </w:p>
    <w:p>
      <w:pPr>
        <w:spacing w:line="360" w:lineRule="auto"/>
        <w:rPr>
          <w:rFonts w:ascii="宋体" w:hAnsi="宋体" w:cs="宋体"/>
          <w:b/>
          <w:bCs/>
          <w:kern w:val="0"/>
          <w:sz w:val="30"/>
          <w:szCs w:val="30"/>
          <w:highlight w:val="none"/>
        </w:rPr>
      </w:pPr>
    </w:p>
    <w:p>
      <w:pPr>
        <w:spacing w:line="360" w:lineRule="auto"/>
        <w:rPr>
          <w:rFonts w:ascii="宋体" w:hAnsi="宋体" w:cs="宋体"/>
          <w:b/>
          <w:bCs/>
          <w:kern w:val="0"/>
          <w:sz w:val="30"/>
          <w:szCs w:val="30"/>
          <w:highlight w:val="none"/>
        </w:rPr>
        <w:sectPr>
          <w:footerReference r:id="rId4" w:type="default"/>
          <w:headerReference r:id="rId3" w:type="even"/>
          <w:footerReference r:id="rId5" w:type="even"/>
          <w:pgSz w:w="11906" w:h="16838"/>
          <w:pgMar w:top="1418" w:right="1417" w:bottom="1418" w:left="1417" w:header="851" w:footer="907" w:gutter="0"/>
          <w:pgNumType w:start="1"/>
          <w:cols w:space="720" w:num="1"/>
          <w:titlePg/>
          <w:docGrid w:type="lines" w:linePitch="290" w:charSpace="0"/>
        </w:sectPr>
      </w:pPr>
    </w:p>
    <w:p>
      <w:pPr>
        <w:spacing w:line="360" w:lineRule="auto"/>
        <w:rPr>
          <w:rFonts w:ascii="宋体" w:hAnsi="宋体" w:cs="宋体"/>
          <w:b/>
          <w:bCs/>
          <w:kern w:val="0"/>
          <w:sz w:val="30"/>
          <w:szCs w:val="30"/>
          <w:highlight w:val="none"/>
        </w:rPr>
      </w:pPr>
    </w:p>
    <w:p>
      <w:pPr>
        <w:pStyle w:val="130"/>
        <w:jc w:val="center"/>
        <w:rPr>
          <w:highlight w:val="none"/>
          <w:lang w:val="zh-CN"/>
        </w:rPr>
      </w:pPr>
      <w:r>
        <w:rPr>
          <w:highlight w:val="none"/>
          <w:lang w:val="zh-CN"/>
        </w:rPr>
        <w:t>目录</w:t>
      </w:r>
    </w:p>
    <w:p>
      <w:pPr>
        <w:rPr>
          <w:sz w:val="44"/>
          <w:szCs w:val="44"/>
          <w:highlight w:val="none"/>
          <w:lang w:val="zh-CN"/>
        </w:rPr>
      </w:pPr>
    </w:p>
    <w:p>
      <w:pPr>
        <w:pStyle w:val="21"/>
        <w:tabs>
          <w:tab w:val="right" w:leader="dot" w:pos="9072"/>
        </w:tabs>
        <w:spacing w:line="720" w:lineRule="auto"/>
        <w:rPr>
          <w:sz w:val="28"/>
          <w:szCs w:val="28"/>
          <w:highlight w:val="none"/>
        </w:rPr>
      </w:pPr>
      <w:r>
        <w:rPr>
          <w:sz w:val="28"/>
          <w:szCs w:val="28"/>
          <w:highlight w:val="none"/>
        </w:rPr>
        <w:fldChar w:fldCharType="begin"/>
      </w:r>
      <w:r>
        <w:rPr>
          <w:sz w:val="28"/>
          <w:szCs w:val="28"/>
          <w:highlight w:val="none"/>
        </w:rPr>
        <w:instrText xml:space="preserve">TOC \o "1-1" \h \u </w:instrText>
      </w:r>
      <w:r>
        <w:rPr>
          <w:sz w:val="28"/>
          <w:szCs w:val="28"/>
          <w:highlight w:val="none"/>
        </w:rPr>
        <w:fldChar w:fldCharType="separate"/>
      </w:r>
      <w:r>
        <w:rPr>
          <w:highlight w:val="none"/>
        </w:rPr>
        <w:fldChar w:fldCharType="begin"/>
      </w:r>
      <w:r>
        <w:rPr>
          <w:highlight w:val="none"/>
        </w:rPr>
        <w:instrText xml:space="preserve"> HYPERLINK \l "_Toc26965" </w:instrText>
      </w:r>
      <w:r>
        <w:rPr>
          <w:highlight w:val="none"/>
        </w:rPr>
        <w:fldChar w:fldCharType="separate"/>
      </w:r>
      <w:r>
        <w:rPr>
          <w:rFonts w:hint="eastAsia"/>
          <w:sz w:val="28"/>
          <w:szCs w:val="28"/>
          <w:highlight w:val="none"/>
        </w:rPr>
        <w:t>须知前附表</w:t>
      </w:r>
      <w:r>
        <w:rPr>
          <w:sz w:val="28"/>
          <w:szCs w:val="28"/>
          <w:highlight w:val="none"/>
        </w:rPr>
        <w:tab/>
      </w:r>
      <w:r>
        <w:rPr>
          <w:sz w:val="28"/>
          <w:szCs w:val="28"/>
          <w:highlight w:val="none"/>
        </w:rPr>
        <w:fldChar w:fldCharType="begin"/>
      </w:r>
      <w:r>
        <w:rPr>
          <w:sz w:val="28"/>
          <w:szCs w:val="28"/>
          <w:highlight w:val="none"/>
        </w:rPr>
        <w:instrText xml:space="preserve"> PAGEREF _Toc26965 \h </w:instrText>
      </w:r>
      <w:r>
        <w:rPr>
          <w:sz w:val="28"/>
          <w:szCs w:val="28"/>
          <w:highlight w:val="none"/>
        </w:rPr>
        <w:fldChar w:fldCharType="separate"/>
      </w:r>
      <w:r>
        <w:rPr>
          <w:sz w:val="28"/>
          <w:szCs w:val="28"/>
          <w:highlight w:val="none"/>
        </w:rPr>
        <w:t>1</w:t>
      </w:r>
      <w:r>
        <w:rPr>
          <w:sz w:val="28"/>
          <w:szCs w:val="28"/>
          <w:highlight w:val="none"/>
        </w:rPr>
        <w:fldChar w:fldCharType="end"/>
      </w:r>
      <w:r>
        <w:rPr>
          <w:sz w:val="28"/>
          <w:szCs w:val="28"/>
          <w:highlight w:val="none"/>
        </w:rPr>
        <w:fldChar w:fldCharType="end"/>
      </w:r>
    </w:p>
    <w:p>
      <w:pPr>
        <w:pStyle w:val="21"/>
        <w:tabs>
          <w:tab w:val="right" w:leader="dot" w:pos="9072"/>
        </w:tabs>
        <w:spacing w:line="720" w:lineRule="auto"/>
        <w:rPr>
          <w:sz w:val="28"/>
          <w:szCs w:val="28"/>
          <w:highlight w:val="none"/>
        </w:rPr>
      </w:pPr>
      <w:r>
        <w:rPr>
          <w:highlight w:val="none"/>
        </w:rPr>
        <w:fldChar w:fldCharType="begin"/>
      </w:r>
      <w:r>
        <w:rPr>
          <w:highlight w:val="none"/>
        </w:rPr>
        <w:instrText xml:space="preserve"> HYPERLINK \l "_Toc32510" </w:instrText>
      </w:r>
      <w:r>
        <w:rPr>
          <w:highlight w:val="none"/>
        </w:rPr>
        <w:fldChar w:fldCharType="separate"/>
      </w:r>
      <w:r>
        <w:rPr>
          <w:rFonts w:hint="eastAsia"/>
          <w:sz w:val="28"/>
          <w:szCs w:val="28"/>
          <w:highlight w:val="none"/>
        </w:rPr>
        <w:t>第一章 招标邀请</w:t>
      </w:r>
      <w:r>
        <w:rPr>
          <w:sz w:val="28"/>
          <w:szCs w:val="28"/>
          <w:highlight w:val="none"/>
        </w:rPr>
        <w:tab/>
      </w:r>
      <w:r>
        <w:rPr>
          <w:sz w:val="28"/>
          <w:szCs w:val="28"/>
          <w:highlight w:val="none"/>
        </w:rPr>
        <w:fldChar w:fldCharType="begin"/>
      </w:r>
      <w:r>
        <w:rPr>
          <w:sz w:val="28"/>
          <w:szCs w:val="28"/>
          <w:highlight w:val="none"/>
        </w:rPr>
        <w:instrText xml:space="preserve"> PAGEREF _Toc32510 \h </w:instrText>
      </w:r>
      <w:r>
        <w:rPr>
          <w:sz w:val="28"/>
          <w:szCs w:val="28"/>
          <w:highlight w:val="none"/>
        </w:rPr>
        <w:fldChar w:fldCharType="separate"/>
      </w:r>
      <w:r>
        <w:rPr>
          <w:sz w:val="28"/>
          <w:szCs w:val="28"/>
          <w:highlight w:val="none"/>
        </w:rPr>
        <w:t>9</w:t>
      </w:r>
      <w:r>
        <w:rPr>
          <w:sz w:val="28"/>
          <w:szCs w:val="28"/>
          <w:highlight w:val="none"/>
        </w:rPr>
        <w:fldChar w:fldCharType="end"/>
      </w:r>
      <w:r>
        <w:rPr>
          <w:sz w:val="28"/>
          <w:szCs w:val="28"/>
          <w:highlight w:val="none"/>
        </w:rPr>
        <w:fldChar w:fldCharType="end"/>
      </w:r>
    </w:p>
    <w:p>
      <w:pPr>
        <w:pStyle w:val="21"/>
        <w:tabs>
          <w:tab w:val="right" w:leader="dot" w:pos="9072"/>
        </w:tabs>
        <w:spacing w:line="720" w:lineRule="auto"/>
        <w:rPr>
          <w:sz w:val="28"/>
          <w:szCs w:val="28"/>
          <w:highlight w:val="none"/>
        </w:rPr>
      </w:pPr>
      <w:r>
        <w:rPr>
          <w:highlight w:val="none"/>
        </w:rPr>
        <w:fldChar w:fldCharType="begin"/>
      </w:r>
      <w:r>
        <w:rPr>
          <w:highlight w:val="none"/>
        </w:rPr>
        <w:instrText xml:space="preserve"> HYPERLINK \l "_Toc26763" </w:instrText>
      </w:r>
      <w:r>
        <w:rPr>
          <w:highlight w:val="none"/>
        </w:rPr>
        <w:fldChar w:fldCharType="separate"/>
      </w:r>
      <w:r>
        <w:rPr>
          <w:rFonts w:hint="eastAsia"/>
          <w:sz w:val="28"/>
          <w:szCs w:val="28"/>
          <w:highlight w:val="none"/>
        </w:rPr>
        <w:t>第二章 投标人须知</w:t>
      </w:r>
      <w:r>
        <w:rPr>
          <w:sz w:val="28"/>
          <w:szCs w:val="28"/>
          <w:highlight w:val="none"/>
        </w:rPr>
        <w:tab/>
      </w:r>
      <w:r>
        <w:rPr>
          <w:sz w:val="28"/>
          <w:szCs w:val="28"/>
          <w:highlight w:val="none"/>
        </w:rPr>
        <w:fldChar w:fldCharType="begin"/>
      </w:r>
      <w:r>
        <w:rPr>
          <w:sz w:val="28"/>
          <w:szCs w:val="28"/>
          <w:highlight w:val="none"/>
        </w:rPr>
        <w:instrText xml:space="preserve"> PAGEREF _Toc26763 \h </w:instrText>
      </w:r>
      <w:r>
        <w:rPr>
          <w:sz w:val="28"/>
          <w:szCs w:val="28"/>
          <w:highlight w:val="none"/>
        </w:rPr>
        <w:fldChar w:fldCharType="separate"/>
      </w:r>
      <w:r>
        <w:rPr>
          <w:sz w:val="28"/>
          <w:szCs w:val="28"/>
          <w:highlight w:val="none"/>
        </w:rPr>
        <w:t>14</w:t>
      </w:r>
      <w:r>
        <w:rPr>
          <w:sz w:val="28"/>
          <w:szCs w:val="28"/>
          <w:highlight w:val="none"/>
        </w:rPr>
        <w:fldChar w:fldCharType="end"/>
      </w:r>
      <w:r>
        <w:rPr>
          <w:sz w:val="28"/>
          <w:szCs w:val="28"/>
          <w:highlight w:val="none"/>
        </w:rPr>
        <w:fldChar w:fldCharType="end"/>
      </w:r>
    </w:p>
    <w:p>
      <w:pPr>
        <w:pStyle w:val="21"/>
        <w:tabs>
          <w:tab w:val="right" w:leader="dot" w:pos="9072"/>
        </w:tabs>
        <w:spacing w:line="720" w:lineRule="auto"/>
        <w:rPr>
          <w:sz w:val="28"/>
          <w:szCs w:val="28"/>
          <w:highlight w:val="none"/>
        </w:rPr>
      </w:pPr>
      <w:r>
        <w:rPr>
          <w:highlight w:val="none"/>
        </w:rPr>
        <w:fldChar w:fldCharType="begin"/>
      </w:r>
      <w:r>
        <w:rPr>
          <w:highlight w:val="none"/>
        </w:rPr>
        <w:instrText xml:space="preserve"> HYPERLINK \l "_Toc30905" </w:instrText>
      </w:r>
      <w:r>
        <w:rPr>
          <w:highlight w:val="none"/>
        </w:rPr>
        <w:fldChar w:fldCharType="separate"/>
      </w:r>
      <w:r>
        <w:rPr>
          <w:rFonts w:hint="eastAsia"/>
          <w:sz w:val="28"/>
          <w:szCs w:val="28"/>
          <w:highlight w:val="none"/>
        </w:rPr>
        <w:t>第三章 评分办法及评分标准</w:t>
      </w:r>
      <w:r>
        <w:rPr>
          <w:sz w:val="28"/>
          <w:szCs w:val="28"/>
          <w:highlight w:val="none"/>
        </w:rPr>
        <w:tab/>
      </w:r>
      <w:r>
        <w:rPr>
          <w:sz w:val="28"/>
          <w:szCs w:val="28"/>
          <w:highlight w:val="none"/>
        </w:rPr>
        <w:fldChar w:fldCharType="begin"/>
      </w:r>
      <w:r>
        <w:rPr>
          <w:sz w:val="28"/>
          <w:szCs w:val="28"/>
          <w:highlight w:val="none"/>
        </w:rPr>
        <w:instrText xml:space="preserve"> PAGEREF _Toc30905 \h </w:instrText>
      </w:r>
      <w:r>
        <w:rPr>
          <w:sz w:val="28"/>
          <w:szCs w:val="28"/>
          <w:highlight w:val="none"/>
        </w:rPr>
        <w:fldChar w:fldCharType="separate"/>
      </w:r>
      <w:r>
        <w:rPr>
          <w:sz w:val="28"/>
          <w:szCs w:val="28"/>
          <w:highlight w:val="none"/>
        </w:rPr>
        <w:t>30</w:t>
      </w:r>
      <w:r>
        <w:rPr>
          <w:sz w:val="28"/>
          <w:szCs w:val="28"/>
          <w:highlight w:val="none"/>
        </w:rPr>
        <w:fldChar w:fldCharType="end"/>
      </w:r>
      <w:r>
        <w:rPr>
          <w:sz w:val="28"/>
          <w:szCs w:val="28"/>
          <w:highlight w:val="none"/>
        </w:rPr>
        <w:fldChar w:fldCharType="end"/>
      </w:r>
    </w:p>
    <w:p>
      <w:pPr>
        <w:pStyle w:val="21"/>
        <w:tabs>
          <w:tab w:val="right" w:leader="dot" w:pos="9072"/>
        </w:tabs>
        <w:spacing w:line="720" w:lineRule="auto"/>
        <w:rPr>
          <w:sz w:val="28"/>
          <w:szCs w:val="28"/>
          <w:highlight w:val="none"/>
        </w:rPr>
      </w:pPr>
      <w:r>
        <w:rPr>
          <w:highlight w:val="none"/>
        </w:rPr>
        <w:fldChar w:fldCharType="begin"/>
      </w:r>
      <w:r>
        <w:rPr>
          <w:highlight w:val="none"/>
        </w:rPr>
        <w:instrText xml:space="preserve"> HYPERLINK \l "_Toc15450" </w:instrText>
      </w:r>
      <w:r>
        <w:rPr>
          <w:highlight w:val="none"/>
        </w:rPr>
        <w:fldChar w:fldCharType="separate"/>
      </w:r>
      <w:r>
        <w:rPr>
          <w:rFonts w:hint="eastAsia"/>
          <w:sz w:val="28"/>
          <w:szCs w:val="28"/>
          <w:highlight w:val="none"/>
        </w:rPr>
        <w:t xml:space="preserve">第四章 </w:t>
      </w:r>
      <w:r>
        <w:rPr>
          <w:rFonts w:hint="eastAsia"/>
          <w:sz w:val="28"/>
          <w:szCs w:val="28"/>
          <w:highlight w:val="none"/>
          <w:lang w:eastAsia="en-US"/>
        </w:rPr>
        <w:t>拟订立的合同样本</w:t>
      </w:r>
      <w:r>
        <w:rPr>
          <w:sz w:val="28"/>
          <w:szCs w:val="28"/>
          <w:highlight w:val="none"/>
        </w:rPr>
        <w:tab/>
      </w:r>
      <w:r>
        <w:rPr>
          <w:rFonts w:hint="eastAsia"/>
          <w:sz w:val="28"/>
          <w:szCs w:val="28"/>
          <w:highlight w:val="none"/>
        </w:rPr>
        <w:t>5</w:t>
      </w:r>
      <w:r>
        <w:rPr>
          <w:rFonts w:hint="eastAsia"/>
          <w:sz w:val="28"/>
          <w:szCs w:val="28"/>
          <w:highlight w:val="none"/>
        </w:rPr>
        <w:fldChar w:fldCharType="end"/>
      </w:r>
      <w:r>
        <w:rPr>
          <w:rFonts w:hint="eastAsia"/>
          <w:sz w:val="28"/>
          <w:szCs w:val="28"/>
          <w:highlight w:val="none"/>
        </w:rPr>
        <w:t>3</w:t>
      </w:r>
    </w:p>
    <w:p>
      <w:pPr>
        <w:pStyle w:val="21"/>
        <w:tabs>
          <w:tab w:val="right" w:leader="dot" w:pos="9072"/>
        </w:tabs>
        <w:spacing w:line="720" w:lineRule="auto"/>
        <w:rPr>
          <w:sz w:val="28"/>
          <w:szCs w:val="28"/>
          <w:highlight w:val="none"/>
        </w:rPr>
      </w:pPr>
      <w:r>
        <w:rPr>
          <w:highlight w:val="none"/>
        </w:rPr>
        <w:fldChar w:fldCharType="begin"/>
      </w:r>
      <w:r>
        <w:rPr>
          <w:highlight w:val="none"/>
        </w:rPr>
        <w:instrText xml:space="preserve"> HYPERLINK \l "_Toc17639" </w:instrText>
      </w:r>
      <w:r>
        <w:rPr>
          <w:highlight w:val="none"/>
        </w:rPr>
        <w:fldChar w:fldCharType="separate"/>
      </w:r>
      <w:r>
        <w:rPr>
          <w:rFonts w:hint="eastAsia"/>
          <w:sz w:val="28"/>
          <w:szCs w:val="28"/>
          <w:highlight w:val="none"/>
        </w:rPr>
        <w:t>第五章 投标文件格式</w:t>
      </w:r>
      <w:r>
        <w:rPr>
          <w:sz w:val="28"/>
          <w:szCs w:val="28"/>
          <w:highlight w:val="none"/>
        </w:rPr>
        <w:tab/>
      </w:r>
      <w:r>
        <w:rPr>
          <w:rFonts w:hint="eastAsia"/>
          <w:sz w:val="28"/>
          <w:szCs w:val="28"/>
          <w:highlight w:val="none"/>
        </w:rPr>
        <w:t>6</w:t>
      </w:r>
      <w:r>
        <w:rPr>
          <w:rFonts w:hint="eastAsia"/>
          <w:sz w:val="28"/>
          <w:szCs w:val="28"/>
          <w:highlight w:val="none"/>
        </w:rPr>
        <w:fldChar w:fldCharType="end"/>
      </w:r>
      <w:r>
        <w:rPr>
          <w:rFonts w:hint="eastAsia"/>
          <w:sz w:val="28"/>
          <w:szCs w:val="28"/>
          <w:highlight w:val="none"/>
        </w:rPr>
        <w:t>2</w:t>
      </w:r>
    </w:p>
    <w:p>
      <w:pPr>
        <w:pStyle w:val="21"/>
        <w:tabs>
          <w:tab w:val="right" w:leader="dot" w:pos="9072"/>
        </w:tabs>
        <w:spacing w:line="720" w:lineRule="auto"/>
        <w:rPr>
          <w:highlight w:val="none"/>
        </w:rPr>
      </w:pPr>
      <w:r>
        <w:rPr>
          <w:highlight w:val="none"/>
        </w:rPr>
        <w:fldChar w:fldCharType="begin"/>
      </w:r>
      <w:r>
        <w:rPr>
          <w:highlight w:val="none"/>
        </w:rPr>
        <w:instrText xml:space="preserve"> HYPERLINK \l "_Toc24870" </w:instrText>
      </w:r>
      <w:r>
        <w:rPr>
          <w:highlight w:val="none"/>
        </w:rPr>
        <w:fldChar w:fldCharType="separate"/>
      </w:r>
      <w:r>
        <w:rPr>
          <w:rFonts w:hint="eastAsia"/>
          <w:sz w:val="28"/>
          <w:szCs w:val="28"/>
          <w:highlight w:val="none"/>
        </w:rPr>
        <w:t>第六章 项目需求</w:t>
      </w:r>
      <w:r>
        <w:rPr>
          <w:sz w:val="28"/>
          <w:szCs w:val="28"/>
          <w:highlight w:val="none"/>
        </w:rPr>
        <w:tab/>
      </w:r>
      <w:r>
        <w:rPr>
          <w:rFonts w:hint="eastAsia"/>
          <w:sz w:val="28"/>
          <w:szCs w:val="28"/>
          <w:highlight w:val="none"/>
        </w:rPr>
        <w:t>85</w:t>
      </w:r>
      <w:r>
        <w:rPr>
          <w:rFonts w:hint="eastAsia"/>
          <w:sz w:val="28"/>
          <w:szCs w:val="28"/>
          <w:highlight w:val="none"/>
        </w:rPr>
        <w:fldChar w:fldCharType="end"/>
      </w:r>
    </w:p>
    <w:p>
      <w:pPr>
        <w:rPr>
          <w:highlight w:val="none"/>
        </w:rPr>
      </w:pPr>
      <w:r>
        <w:rPr>
          <w:szCs w:val="28"/>
          <w:highlight w:val="none"/>
        </w:rPr>
        <w:fldChar w:fldCharType="end"/>
      </w:r>
    </w:p>
    <w:p>
      <w:pPr>
        <w:pStyle w:val="3"/>
        <w:rPr>
          <w:highlight w:val="none"/>
        </w:rPr>
        <w:sectPr>
          <w:headerReference r:id="rId6" w:type="default"/>
          <w:footerReference r:id="rId7" w:type="default"/>
          <w:pgSz w:w="11906" w:h="16838"/>
          <w:pgMar w:top="1440" w:right="1800" w:bottom="1440" w:left="1800" w:header="851" w:footer="992" w:gutter="0"/>
          <w:cols w:space="720" w:num="1"/>
          <w:docGrid w:type="lines" w:linePitch="312" w:charSpace="0"/>
        </w:sectPr>
      </w:pPr>
      <w:bookmarkStart w:id="7" w:name="_Toc21554"/>
      <w:bookmarkStart w:id="8" w:name="_Toc20753"/>
      <w:bookmarkStart w:id="9" w:name="_Toc26965"/>
      <w:bookmarkStart w:id="10" w:name="_Toc534725596"/>
      <w:bookmarkStart w:id="11" w:name="_Toc22122"/>
      <w:bookmarkStart w:id="12" w:name="_Toc13808"/>
    </w:p>
    <w:p>
      <w:pPr>
        <w:pStyle w:val="3"/>
        <w:rPr>
          <w:highlight w:val="none"/>
          <w:lang w:eastAsia="en-US"/>
        </w:rPr>
      </w:pPr>
      <w:r>
        <w:rPr>
          <w:rFonts w:hint="eastAsia"/>
          <w:highlight w:val="none"/>
        </w:rPr>
        <w:t>须知前附表</w:t>
      </w:r>
      <w:bookmarkEnd w:id="7"/>
      <w:bookmarkEnd w:id="8"/>
      <w:bookmarkEnd w:id="9"/>
    </w:p>
    <w:tbl>
      <w:tblPr>
        <w:tblStyle w:val="38"/>
        <w:tblW w:w="901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84"/>
        <w:gridCol w:w="1695"/>
        <w:gridCol w:w="663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序号</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内  容</w:t>
            </w:r>
          </w:p>
        </w:tc>
        <w:tc>
          <w:tcPr>
            <w:tcW w:w="6639"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说明及要求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8" w:hRule="atLeast"/>
          <w:jc w:val="center"/>
        </w:trPr>
        <w:tc>
          <w:tcPr>
            <w:tcW w:w="684" w:type="dxa"/>
            <w:vMerge w:val="restart"/>
            <w:tcBorders>
              <w:top w:val="single" w:color="auto" w:sz="4" w:space="0"/>
              <w:left w:val="single" w:color="auto" w:sz="4" w:space="0"/>
              <w:right w:val="single" w:color="auto" w:sz="4" w:space="0"/>
            </w:tcBorders>
            <w:vAlign w:val="center"/>
          </w:tcPr>
          <w:p>
            <w:pPr>
              <w:spacing w:line="300" w:lineRule="exact"/>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项目名称</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int="eastAsia" w:asciiTheme="minorEastAsia" w:hAnsiTheme="minorEastAsia" w:eastAsiaTheme="minorEastAsia" w:cstheme="minorEastAsia"/>
                <w:b/>
                <w:bCs/>
                <w:kern w:val="0"/>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新疆消防救援总队昌吉支队“自然灾害应急能力提升工程”装备配备项目（二）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84" w:type="dxa"/>
            <w:vMerge w:val="continue"/>
            <w:tcBorders>
              <w:left w:val="single" w:color="auto" w:sz="4" w:space="0"/>
              <w:right w:val="single" w:color="auto" w:sz="4" w:space="0"/>
            </w:tcBorders>
            <w:vAlign w:val="center"/>
          </w:tcPr>
          <w:p>
            <w:pPr>
              <w:spacing w:line="300" w:lineRule="exact"/>
              <w:jc w:val="center"/>
              <w:rPr>
                <w:rFonts w:hint="eastAsia" w:asciiTheme="minorEastAsia" w:hAnsiTheme="minorEastAsia" w:eastAsiaTheme="minorEastAsia" w:cstheme="minorEastAsia"/>
                <w:bCs/>
                <w:sz w:val="24"/>
                <w:szCs w:val="24"/>
                <w:highlight w:val="none"/>
              </w:rPr>
            </w:pP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招标编号</w:t>
            </w:r>
          </w:p>
        </w:tc>
        <w:tc>
          <w:tcPr>
            <w:tcW w:w="6639"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XZJ246-027-KW</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684" w:type="dxa"/>
            <w:vMerge w:val="restart"/>
            <w:tcBorders>
              <w:top w:val="single" w:color="auto" w:sz="4" w:space="0"/>
              <w:left w:val="single" w:color="auto" w:sz="4" w:space="0"/>
              <w:right w:val="single" w:color="auto" w:sz="4" w:space="0"/>
            </w:tcBorders>
            <w:vAlign w:val="center"/>
          </w:tcPr>
          <w:p>
            <w:pPr>
              <w:spacing w:line="300" w:lineRule="exact"/>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2</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资金来源</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财政资金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vMerge w:val="continue"/>
            <w:tcBorders>
              <w:left w:val="single" w:color="auto" w:sz="4" w:space="0"/>
              <w:right w:val="single" w:color="auto" w:sz="4" w:space="0"/>
            </w:tcBorders>
            <w:vAlign w:val="center"/>
          </w:tcPr>
          <w:p>
            <w:pPr>
              <w:spacing w:line="300" w:lineRule="exact"/>
              <w:jc w:val="center"/>
              <w:rPr>
                <w:rFonts w:hint="eastAsia" w:asciiTheme="minorEastAsia" w:hAnsiTheme="minorEastAsia" w:eastAsiaTheme="minorEastAsia" w:cstheme="minorEastAsia"/>
                <w:bCs/>
                <w:sz w:val="24"/>
                <w:szCs w:val="24"/>
                <w:highlight w:val="none"/>
              </w:rPr>
            </w:pPr>
          </w:p>
        </w:tc>
        <w:tc>
          <w:tcPr>
            <w:tcW w:w="1695" w:type="dxa"/>
            <w:vMerge w:val="restart"/>
            <w:tcBorders>
              <w:top w:val="single" w:color="auto" w:sz="4" w:space="0"/>
              <w:left w:val="single" w:color="auto" w:sz="4" w:space="0"/>
              <w:right w:val="single" w:color="auto" w:sz="4" w:space="0"/>
            </w:tcBorders>
            <w:vAlign w:val="center"/>
          </w:tcPr>
          <w:p>
            <w:pPr>
              <w:spacing w:line="288" w:lineRule="auto"/>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预算金额</w:t>
            </w:r>
          </w:p>
          <w:p>
            <w:pPr>
              <w:spacing w:line="288"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最高限价</w:t>
            </w:r>
          </w:p>
        </w:tc>
        <w:tc>
          <w:tcPr>
            <w:tcW w:w="6639" w:type="dxa"/>
            <w:tcBorders>
              <w:top w:val="single" w:color="auto" w:sz="4" w:space="0"/>
              <w:left w:val="single" w:color="auto" w:sz="4" w:space="0"/>
              <w:bottom w:val="single" w:color="auto" w:sz="4" w:space="0"/>
              <w:right w:val="single" w:color="auto" w:sz="4" w:space="0"/>
            </w:tcBorders>
            <w:vAlign w:val="center"/>
          </w:tcPr>
          <w:p>
            <w:pPr>
              <w:pStyle w:val="22"/>
              <w:spacing w:line="288" w:lineRule="auto"/>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预算总金额：</w:t>
            </w:r>
            <w:r>
              <w:rPr>
                <w:rFonts w:hint="eastAsia" w:asciiTheme="minorEastAsia" w:hAnsiTheme="minorEastAsia" w:eastAsiaTheme="minorEastAsia" w:cstheme="minorEastAsia"/>
                <w:bCs/>
                <w:sz w:val="24"/>
                <w:szCs w:val="24"/>
                <w:highlight w:val="none"/>
                <w:lang w:val="en-US" w:eastAsia="zh-CN"/>
              </w:rPr>
              <w:t>1466.0520</w:t>
            </w:r>
            <w:r>
              <w:rPr>
                <w:rFonts w:hint="eastAsia" w:asciiTheme="minorEastAsia" w:hAnsiTheme="minorEastAsia" w:eastAsiaTheme="minorEastAsia" w:cstheme="minorEastAsia"/>
                <w:bCs/>
                <w:sz w:val="24"/>
                <w:szCs w:val="24"/>
                <w:highlight w:val="none"/>
              </w:rPr>
              <w:t>万元</w:t>
            </w:r>
          </w:p>
          <w:p>
            <w:pPr>
              <w:pStyle w:val="22"/>
              <w:spacing w:line="288" w:lineRule="auto"/>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第</w:t>
            </w:r>
            <w:r>
              <w:rPr>
                <w:rFonts w:hint="eastAsia" w:asciiTheme="minorEastAsia" w:hAnsiTheme="minorEastAsia" w:eastAsiaTheme="minorEastAsia" w:cstheme="minorEastAsia"/>
                <w:bCs/>
                <w:sz w:val="24"/>
                <w:szCs w:val="24"/>
                <w:highlight w:val="none"/>
                <w:lang w:val="en-US" w:eastAsia="zh-CN"/>
              </w:rPr>
              <w:t>十</w:t>
            </w:r>
            <w:r>
              <w:rPr>
                <w:rFonts w:hint="eastAsia" w:asciiTheme="minorEastAsia" w:hAnsiTheme="minorEastAsia" w:eastAsiaTheme="minorEastAsia" w:cstheme="minorEastAsia"/>
                <w:bCs/>
                <w:sz w:val="24"/>
                <w:szCs w:val="24"/>
                <w:highlight w:val="none"/>
              </w:rPr>
              <w:t>包：</w:t>
            </w:r>
            <w:r>
              <w:rPr>
                <w:rFonts w:hint="eastAsia" w:asciiTheme="minorEastAsia" w:hAnsiTheme="minorEastAsia" w:eastAsiaTheme="minorEastAsia" w:cstheme="minorEastAsia"/>
                <w:i w:val="0"/>
                <w:iCs w:val="0"/>
                <w:color w:val="000000"/>
                <w:kern w:val="0"/>
                <w:sz w:val="24"/>
                <w:szCs w:val="24"/>
                <w:highlight w:val="none"/>
                <w:u w:val="none"/>
                <w:lang w:val="en-US" w:eastAsia="zh-CN"/>
              </w:rPr>
              <w:t>641.8120</w:t>
            </w:r>
            <w:r>
              <w:rPr>
                <w:rFonts w:hint="eastAsia" w:asciiTheme="minorEastAsia" w:hAnsiTheme="minorEastAsia" w:eastAsiaTheme="minorEastAsia" w:cstheme="minorEastAsia"/>
                <w:bCs/>
                <w:sz w:val="24"/>
                <w:szCs w:val="24"/>
                <w:highlight w:val="none"/>
              </w:rPr>
              <w:t>万元</w:t>
            </w:r>
          </w:p>
          <w:p>
            <w:pPr>
              <w:pStyle w:val="22"/>
              <w:spacing w:line="288" w:lineRule="auto"/>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第</w:t>
            </w:r>
            <w:r>
              <w:rPr>
                <w:rFonts w:hint="eastAsia" w:asciiTheme="minorEastAsia" w:hAnsiTheme="minorEastAsia" w:eastAsiaTheme="minorEastAsia" w:cstheme="minorEastAsia"/>
                <w:bCs/>
                <w:sz w:val="24"/>
                <w:szCs w:val="24"/>
                <w:highlight w:val="none"/>
                <w:lang w:val="en-US" w:eastAsia="zh-CN"/>
              </w:rPr>
              <w:t>十一</w:t>
            </w:r>
            <w:r>
              <w:rPr>
                <w:rFonts w:hint="eastAsia" w:asciiTheme="minorEastAsia" w:hAnsiTheme="minorEastAsia" w:eastAsiaTheme="minorEastAsia" w:cstheme="minorEastAsia"/>
                <w:bCs/>
                <w:sz w:val="24"/>
                <w:szCs w:val="24"/>
                <w:highlight w:val="none"/>
              </w:rPr>
              <w:t>包：</w:t>
            </w:r>
            <w:r>
              <w:rPr>
                <w:rFonts w:hint="eastAsia" w:asciiTheme="minorEastAsia" w:hAnsiTheme="minorEastAsia" w:eastAsiaTheme="minorEastAsia" w:cstheme="minorEastAsia"/>
                <w:bCs/>
                <w:sz w:val="24"/>
                <w:szCs w:val="24"/>
                <w:highlight w:val="none"/>
                <w:lang w:val="en-US" w:eastAsia="zh-CN"/>
              </w:rPr>
              <w:t>212.0000</w:t>
            </w:r>
            <w:r>
              <w:rPr>
                <w:rFonts w:hint="eastAsia" w:asciiTheme="minorEastAsia" w:hAnsiTheme="minorEastAsia" w:eastAsiaTheme="minorEastAsia" w:cstheme="minorEastAsia"/>
                <w:bCs/>
                <w:sz w:val="24"/>
                <w:szCs w:val="24"/>
                <w:highlight w:val="none"/>
              </w:rPr>
              <w:t>万元</w:t>
            </w:r>
          </w:p>
          <w:p>
            <w:pPr>
              <w:pStyle w:val="22"/>
              <w:spacing w:line="288" w:lineRule="auto"/>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第</w:t>
            </w:r>
            <w:r>
              <w:rPr>
                <w:rFonts w:hint="eastAsia" w:asciiTheme="minorEastAsia" w:hAnsiTheme="minorEastAsia" w:eastAsiaTheme="minorEastAsia" w:cstheme="minorEastAsia"/>
                <w:bCs/>
                <w:sz w:val="24"/>
                <w:szCs w:val="24"/>
                <w:highlight w:val="none"/>
                <w:lang w:val="en-US" w:eastAsia="zh-CN"/>
              </w:rPr>
              <w:t>十二</w:t>
            </w:r>
            <w:r>
              <w:rPr>
                <w:rFonts w:hint="eastAsia" w:asciiTheme="minorEastAsia" w:hAnsiTheme="minorEastAsia" w:eastAsiaTheme="minorEastAsia" w:cstheme="minorEastAsia"/>
                <w:bCs/>
                <w:sz w:val="24"/>
                <w:szCs w:val="24"/>
                <w:highlight w:val="none"/>
              </w:rPr>
              <w:t>包：</w:t>
            </w:r>
            <w:r>
              <w:rPr>
                <w:rFonts w:hint="eastAsia" w:asciiTheme="minorEastAsia" w:hAnsiTheme="minorEastAsia" w:eastAsiaTheme="minorEastAsia" w:cstheme="minorEastAsia"/>
                <w:bCs/>
                <w:sz w:val="24"/>
                <w:szCs w:val="24"/>
                <w:highlight w:val="none"/>
                <w:lang w:val="en-US" w:eastAsia="zh-CN"/>
              </w:rPr>
              <w:t>96.0000</w:t>
            </w:r>
            <w:r>
              <w:rPr>
                <w:rFonts w:hint="eastAsia" w:asciiTheme="minorEastAsia" w:hAnsiTheme="minorEastAsia" w:eastAsiaTheme="minorEastAsia" w:cstheme="minorEastAsia"/>
                <w:bCs/>
                <w:sz w:val="24"/>
                <w:szCs w:val="24"/>
                <w:highlight w:val="none"/>
              </w:rPr>
              <w:t>万元</w:t>
            </w:r>
          </w:p>
          <w:p>
            <w:pPr>
              <w:pStyle w:val="22"/>
              <w:spacing w:line="288" w:lineRule="auto"/>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第</w:t>
            </w:r>
            <w:r>
              <w:rPr>
                <w:rFonts w:hint="eastAsia" w:asciiTheme="minorEastAsia" w:hAnsiTheme="minorEastAsia" w:eastAsiaTheme="minorEastAsia" w:cstheme="minorEastAsia"/>
                <w:bCs/>
                <w:sz w:val="24"/>
                <w:szCs w:val="24"/>
                <w:highlight w:val="none"/>
                <w:lang w:val="en-US" w:eastAsia="zh-CN"/>
              </w:rPr>
              <w:t>十三</w:t>
            </w:r>
            <w:r>
              <w:rPr>
                <w:rFonts w:hint="eastAsia" w:asciiTheme="minorEastAsia" w:hAnsiTheme="minorEastAsia" w:eastAsiaTheme="minorEastAsia" w:cstheme="minorEastAsia"/>
                <w:bCs/>
                <w:sz w:val="24"/>
                <w:szCs w:val="24"/>
                <w:highlight w:val="none"/>
              </w:rPr>
              <w:t>包：</w:t>
            </w:r>
            <w:r>
              <w:rPr>
                <w:rFonts w:hint="eastAsia" w:asciiTheme="minorEastAsia" w:hAnsiTheme="minorEastAsia" w:eastAsiaTheme="minorEastAsia" w:cstheme="minorEastAsia"/>
                <w:bCs/>
                <w:sz w:val="24"/>
                <w:szCs w:val="24"/>
                <w:highlight w:val="none"/>
                <w:lang w:val="en-US" w:eastAsia="zh-CN"/>
              </w:rPr>
              <w:t>148.0000</w:t>
            </w:r>
            <w:r>
              <w:rPr>
                <w:rFonts w:hint="eastAsia" w:asciiTheme="minorEastAsia" w:hAnsiTheme="minorEastAsia" w:eastAsiaTheme="minorEastAsia" w:cstheme="minorEastAsia"/>
                <w:bCs/>
                <w:sz w:val="24"/>
                <w:szCs w:val="24"/>
                <w:highlight w:val="none"/>
              </w:rPr>
              <w:t>万元</w:t>
            </w:r>
          </w:p>
          <w:p>
            <w:pPr>
              <w:pStyle w:val="22"/>
              <w:spacing w:line="288" w:lineRule="auto"/>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第</w:t>
            </w:r>
            <w:r>
              <w:rPr>
                <w:rFonts w:hint="eastAsia" w:asciiTheme="minorEastAsia" w:hAnsiTheme="minorEastAsia" w:eastAsiaTheme="minorEastAsia" w:cstheme="minorEastAsia"/>
                <w:bCs/>
                <w:sz w:val="24"/>
                <w:szCs w:val="24"/>
                <w:highlight w:val="none"/>
                <w:lang w:val="en-US" w:eastAsia="zh-CN"/>
              </w:rPr>
              <w:t>十四</w:t>
            </w:r>
            <w:r>
              <w:rPr>
                <w:rFonts w:hint="eastAsia" w:asciiTheme="minorEastAsia" w:hAnsiTheme="minorEastAsia" w:eastAsiaTheme="minorEastAsia" w:cstheme="minorEastAsia"/>
                <w:bCs/>
                <w:sz w:val="24"/>
                <w:szCs w:val="24"/>
                <w:highlight w:val="none"/>
              </w:rPr>
              <w:t>包：</w:t>
            </w:r>
            <w:r>
              <w:rPr>
                <w:rFonts w:hint="eastAsia" w:asciiTheme="minorEastAsia" w:hAnsiTheme="minorEastAsia" w:eastAsiaTheme="minorEastAsia" w:cstheme="minorEastAsia"/>
                <w:bCs/>
                <w:sz w:val="24"/>
                <w:szCs w:val="24"/>
                <w:highlight w:val="none"/>
                <w:lang w:val="en-US" w:eastAsia="zh-CN"/>
              </w:rPr>
              <w:t>100.0000</w:t>
            </w:r>
            <w:r>
              <w:rPr>
                <w:rFonts w:hint="eastAsia" w:asciiTheme="minorEastAsia" w:hAnsiTheme="minorEastAsia" w:eastAsiaTheme="minorEastAsia" w:cstheme="minorEastAsia"/>
                <w:bCs/>
                <w:sz w:val="24"/>
                <w:szCs w:val="24"/>
                <w:highlight w:val="none"/>
              </w:rPr>
              <w:t>万元</w:t>
            </w:r>
          </w:p>
          <w:p>
            <w:pPr>
              <w:pStyle w:val="22"/>
              <w:spacing w:line="288" w:lineRule="auto"/>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第</w:t>
            </w:r>
            <w:r>
              <w:rPr>
                <w:rFonts w:hint="eastAsia" w:asciiTheme="minorEastAsia" w:hAnsiTheme="minorEastAsia" w:eastAsiaTheme="minorEastAsia" w:cstheme="minorEastAsia"/>
                <w:bCs/>
                <w:sz w:val="24"/>
                <w:szCs w:val="24"/>
                <w:highlight w:val="none"/>
                <w:lang w:val="en-US" w:eastAsia="zh-CN"/>
              </w:rPr>
              <w:t>十五</w:t>
            </w:r>
            <w:r>
              <w:rPr>
                <w:rFonts w:hint="eastAsia" w:asciiTheme="minorEastAsia" w:hAnsiTheme="minorEastAsia" w:eastAsiaTheme="minorEastAsia" w:cstheme="minorEastAsia"/>
                <w:bCs/>
                <w:sz w:val="24"/>
                <w:szCs w:val="24"/>
                <w:highlight w:val="none"/>
              </w:rPr>
              <w:t>包：</w:t>
            </w:r>
            <w:r>
              <w:rPr>
                <w:rFonts w:hint="eastAsia" w:asciiTheme="minorEastAsia" w:hAnsiTheme="minorEastAsia" w:eastAsiaTheme="minorEastAsia" w:cstheme="minorEastAsia"/>
                <w:bCs/>
                <w:sz w:val="24"/>
                <w:szCs w:val="24"/>
                <w:highlight w:val="none"/>
                <w:lang w:val="en-US" w:eastAsia="zh-CN"/>
              </w:rPr>
              <w:t>105.9000</w:t>
            </w:r>
            <w:r>
              <w:rPr>
                <w:rFonts w:hint="eastAsia" w:asciiTheme="minorEastAsia" w:hAnsiTheme="minorEastAsia" w:eastAsiaTheme="minorEastAsia" w:cstheme="minorEastAsia"/>
                <w:bCs/>
                <w:sz w:val="24"/>
                <w:szCs w:val="24"/>
                <w:highlight w:val="none"/>
              </w:rPr>
              <w:t>万元</w:t>
            </w:r>
          </w:p>
          <w:p>
            <w:pPr>
              <w:pStyle w:val="22"/>
              <w:spacing w:line="288" w:lineRule="auto"/>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第</w:t>
            </w:r>
            <w:r>
              <w:rPr>
                <w:rFonts w:hint="eastAsia" w:asciiTheme="minorEastAsia" w:hAnsiTheme="minorEastAsia" w:eastAsiaTheme="minorEastAsia" w:cstheme="minorEastAsia"/>
                <w:bCs/>
                <w:sz w:val="24"/>
                <w:szCs w:val="24"/>
                <w:highlight w:val="none"/>
                <w:lang w:val="en-US" w:eastAsia="zh-CN"/>
              </w:rPr>
              <w:t>十六</w:t>
            </w:r>
            <w:r>
              <w:rPr>
                <w:rFonts w:hint="eastAsia" w:asciiTheme="minorEastAsia" w:hAnsiTheme="minorEastAsia" w:eastAsiaTheme="minorEastAsia" w:cstheme="minorEastAsia"/>
                <w:bCs/>
                <w:sz w:val="24"/>
                <w:szCs w:val="24"/>
                <w:highlight w:val="none"/>
              </w:rPr>
              <w:t>包：</w:t>
            </w:r>
            <w:r>
              <w:rPr>
                <w:rFonts w:hint="eastAsia" w:asciiTheme="minorEastAsia" w:hAnsiTheme="minorEastAsia" w:eastAsiaTheme="minorEastAsia" w:cstheme="minorEastAsia"/>
                <w:bCs/>
                <w:sz w:val="24"/>
                <w:szCs w:val="24"/>
                <w:highlight w:val="none"/>
                <w:lang w:val="en-US" w:eastAsia="zh-CN"/>
              </w:rPr>
              <w:t>162.3400</w:t>
            </w:r>
            <w:r>
              <w:rPr>
                <w:rFonts w:hint="eastAsia" w:asciiTheme="minorEastAsia" w:hAnsiTheme="minorEastAsia" w:eastAsiaTheme="minorEastAsia" w:cstheme="minorEastAsia"/>
                <w:bCs/>
                <w:sz w:val="24"/>
                <w:szCs w:val="24"/>
                <w:highlight w:val="none"/>
              </w:rPr>
              <w:t>万元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vMerge w:val="continue"/>
            <w:tcBorders>
              <w:left w:val="single" w:color="auto" w:sz="4" w:space="0"/>
              <w:bottom w:val="single" w:color="auto" w:sz="4" w:space="0"/>
              <w:right w:val="single" w:color="auto" w:sz="4" w:space="0"/>
            </w:tcBorders>
            <w:vAlign w:val="center"/>
          </w:tcPr>
          <w:p>
            <w:pPr>
              <w:spacing w:line="300" w:lineRule="exact"/>
              <w:jc w:val="center"/>
              <w:rPr>
                <w:rFonts w:hint="eastAsia" w:asciiTheme="minorEastAsia" w:hAnsiTheme="minorEastAsia" w:eastAsiaTheme="minorEastAsia" w:cstheme="minorEastAsia"/>
                <w:bCs/>
                <w:sz w:val="24"/>
                <w:szCs w:val="24"/>
                <w:highlight w:val="none"/>
              </w:rPr>
            </w:pPr>
          </w:p>
        </w:tc>
        <w:tc>
          <w:tcPr>
            <w:tcW w:w="1695" w:type="dxa"/>
            <w:vMerge w:val="continue"/>
            <w:tcBorders>
              <w:left w:val="single" w:color="auto" w:sz="4" w:space="0"/>
              <w:bottom w:val="single" w:color="auto" w:sz="4" w:space="0"/>
              <w:right w:val="single" w:color="auto" w:sz="4" w:space="0"/>
            </w:tcBorders>
            <w:vAlign w:val="center"/>
          </w:tcPr>
          <w:p>
            <w:pPr>
              <w:spacing w:line="288" w:lineRule="auto"/>
              <w:jc w:val="center"/>
              <w:rPr>
                <w:rFonts w:hint="eastAsia" w:asciiTheme="minorEastAsia" w:hAnsiTheme="minorEastAsia" w:eastAsiaTheme="minorEastAsia" w:cstheme="minorEastAsia"/>
                <w:bCs/>
                <w:sz w:val="24"/>
                <w:szCs w:val="24"/>
                <w:highlight w:val="none"/>
              </w:rPr>
            </w:pPr>
          </w:p>
        </w:tc>
        <w:tc>
          <w:tcPr>
            <w:tcW w:w="6639" w:type="dxa"/>
            <w:tcBorders>
              <w:top w:val="single" w:color="auto" w:sz="4" w:space="0"/>
              <w:left w:val="single" w:color="auto" w:sz="4" w:space="0"/>
              <w:bottom w:val="single" w:color="auto" w:sz="4" w:space="0"/>
              <w:right w:val="single" w:color="auto" w:sz="4" w:space="0"/>
            </w:tcBorders>
            <w:vAlign w:val="center"/>
          </w:tcPr>
          <w:p>
            <w:pPr>
              <w:pStyle w:val="22"/>
              <w:spacing w:line="288" w:lineRule="auto"/>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最高限价：</w:t>
            </w:r>
            <w:r>
              <w:rPr>
                <w:rFonts w:hint="eastAsia" w:asciiTheme="minorEastAsia" w:hAnsiTheme="minorEastAsia" w:eastAsiaTheme="minorEastAsia" w:cstheme="minorEastAsia"/>
                <w:bCs/>
                <w:sz w:val="24"/>
                <w:szCs w:val="24"/>
                <w:highlight w:val="none"/>
                <w:lang w:val="en-US" w:eastAsia="zh-CN"/>
              </w:rPr>
              <w:t>1466.0520</w:t>
            </w:r>
            <w:r>
              <w:rPr>
                <w:rFonts w:hint="eastAsia" w:asciiTheme="minorEastAsia" w:hAnsiTheme="minorEastAsia" w:eastAsiaTheme="minorEastAsia" w:cstheme="minorEastAsia"/>
                <w:bCs/>
                <w:sz w:val="24"/>
                <w:szCs w:val="24"/>
                <w:highlight w:val="none"/>
              </w:rPr>
              <w:t>万元</w:t>
            </w:r>
          </w:p>
          <w:p>
            <w:pPr>
              <w:pStyle w:val="22"/>
              <w:spacing w:line="288" w:lineRule="auto"/>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第</w:t>
            </w:r>
            <w:r>
              <w:rPr>
                <w:rFonts w:hint="eastAsia" w:asciiTheme="minorEastAsia" w:hAnsiTheme="minorEastAsia" w:eastAsiaTheme="minorEastAsia" w:cstheme="minorEastAsia"/>
                <w:bCs/>
                <w:sz w:val="24"/>
                <w:szCs w:val="24"/>
                <w:highlight w:val="none"/>
                <w:lang w:val="en-US" w:eastAsia="zh-CN"/>
              </w:rPr>
              <w:t>十</w:t>
            </w:r>
            <w:r>
              <w:rPr>
                <w:rFonts w:hint="eastAsia" w:asciiTheme="minorEastAsia" w:hAnsiTheme="minorEastAsia" w:eastAsiaTheme="minorEastAsia" w:cstheme="minorEastAsia"/>
                <w:bCs/>
                <w:sz w:val="24"/>
                <w:szCs w:val="24"/>
                <w:highlight w:val="none"/>
              </w:rPr>
              <w:t>包：</w:t>
            </w:r>
            <w:r>
              <w:rPr>
                <w:rFonts w:hint="eastAsia" w:asciiTheme="minorEastAsia" w:hAnsiTheme="minorEastAsia" w:eastAsiaTheme="minorEastAsia" w:cstheme="minorEastAsia"/>
                <w:i w:val="0"/>
                <w:iCs w:val="0"/>
                <w:color w:val="000000"/>
                <w:kern w:val="0"/>
                <w:sz w:val="24"/>
                <w:szCs w:val="24"/>
                <w:highlight w:val="none"/>
                <w:u w:val="none"/>
                <w:lang w:val="en-US" w:eastAsia="zh-CN"/>
              </w:rPr>
              <w:t>641.8120</w:t>
            </w:r>
            <w:r>
              <w:rPr>
                <w:rFonts w:hint="eastAsia" w:asciiTheme="minorEastAsia" w:hAnsiTheme="minorEastAsia" w:eastAsiaTheme="minorEastAsia" w:cstheme="minorEastAsia"/>
                <w:bCs/>
                <w:sz w:val="24"/>
                <w:szCs w:val="24"/>
                <w:highlight w:val="none"/>
              </w:rPr>
              <w:t>万元</w:t>
            </w:r>
          </w:p>
          <w:p>
            <w:pPr>
              <w:pStyle w:val="22"/>
              <w:spacing w:line="288" w:lineRule="auto"/>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第</w:t>
            </w:r>
            <w:r>
              <w:rPr>
                <w:rFonts w:hint="eastAsia" w:asciiTheme="minorEastAsia" w:hAnsiTheme="minorEastAsia" w:eastAsiaTheme="minorEastAsia" w:cstheme="minorEastAsia"/>
                <w:bCs/>
                <w:sz w:val="24"/>
                <w:szCs w:val="24"/>
                <w:highlight w:val="none"/>
                <w:lang w:val="en-US" w:eastAsia="zh-CN"/>
              </w:rPr>
              <w:t>十一</w:t>
            </w:r>
            <w:r>
              <w:rPr>
                <w:rFonts w:hint="eastAsia" w:asciiTheme="minorEastAsia" w:hAnsiTheme="minorEastAsia" w:eastAsiaTheme="minorEastAsia" w:cstheme="minorEastAsia"/>
                <w:bCs/>
                <w:sz w:val="24"/>
                <w:szCs w:val="24"/>
                <w:highlight w:val="none"/>
              </w:rPr>
              <w:t>包：</w:t>
            </w:r>
            <w:r>
              <w:rPr>
                <w:rFonts w:hint="eastAsia" w:asciiTheme="minorEastAsia" w:hAnsiTheme="minorEastAsia" w:eastAsiaTheme="minorEastAsia" w:cstheme="minorEastAsia"/>
                <w:bCs/>
                <w:sz w:val="24"/>
                <w:szCs w:val="24"/>
                <w:highlight w:val="none"/>
                <w:lang w:val="en-US" w:eastAsia="zh-CN"/>
              </w:rPr>
              <w:t>212.0000</w:t>
            </w:r>
            <w:r>
              <w:rPr>
                <w:rFonts w:hint="eastAsia" w:asciiTheme="minorEastAsia" w:hAnsiTheme="minorEastAsia" w:eastAsiaTheme="minorEastAsia" w:cstheme="minorEastAsia"/>
                <w:bCs/>
                <w:sz w:val="24"/>
                <w:szCs w:val="24"/>
                <w:highlight w:val="none"/>
              </w:rPr>
              <w:t>万元</w:t>
            </w:r>
          </w:p>
          <w:p>
            <w:pPr>
              <w:pStyle w:val="22"/>
              <w:spacing w:line="288" w:lineRule="auto"/>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第</w:t>
            </w:r>
            <w:r>
              <w:rPr>
                <w:rFonts w:hint="eastAsia" w:asciiTheme="minorEastAsia" w:hAnsiTheme="minorEastAsia" w:eastAsiaTheme="minorEastAsia" w:cstheme="minorEastAsia"/>
                <w:bCs/>
                <w:sz w:val="24"/>
                <w:szCs w:val="24"/>
                <w:highlight w:val="none"/>
                <w:lang w:val="en-US" w:eastAsia="zh-CN"/>
              </w:rPr>
              <w:t>十二</w:t>
            </w:r>
            <w:r>
              <w:rPr>
                <w:rFonts w:hint="eastAsia" w:asciiTheme="minorEastAsia" w:hAnsiTheme="minorEastAsia" w:eastAsiaTheme="minorEastAsia" w:cstheme="minorEastAsia"/>
                <w:bCs/>
                <w:sz w:val="24"/>
                <w:szCs w:val="24"/>
                <w:highlight w:val="none"/>
              </w:rPr>
              <w:t>包：</w:t>
            </w:r>
            <w:r>
              <w:rPr>
                <w:rFonts w:hint="eastAsia" w:asciiTheme="minorEastAsia" w:hAnsiTheme="minorEastAsia" w:eastAsiaTheme="minorEastAsia" w:cstheme="minorEastAsia"/>
                <w:bCs/>
                <w:sz w:val="24"/>
                <w:szCs w:val="24"/>
                <w:highlight w:val="none"/>
                <w:lang w:val="en-US" w:eastAsia="zh-CN"/>
              </w:rPr>
              <w:t>96.0000</w:t>
            </w:r>
            <w:r>
              <w:rPr>
                <w:rFonts w:hint="eastAsia" w:asciiTheme="minorEastAsia" w:hAnsiTheme="minorEastAsia" w:eastAsiaTheme="minorEastAsia" w:cstheme="minorEastAsia"/>
                <w:bCs/>
                <w:sz w:val="24"/>
                <w:szCs w:val="24"/>
                <w:highlight w:val="none"/>
              </w:rPr>
              <w:t>万元</w:t>
            </w:r>
          </w:p>
          <w:p>
            <w:pPr>
              <w:pStyle w:val="22"/>
              <w:spacing w:line="288" w:lineRule="auto"/>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第</w:t>
            </w:r>
            <w:r>
              <w:rPr>
                <w:rFonts w:hint="eastAsia" w:asciiTheme="minorEastAsia" w:hAnsiTheme="minorEastAsia" w:eastAsiaTheme="minorEastAsia" w:cstheme="minorEastAsia"/>
                <w:bCs/>
                <w:sz w:val="24"/>
                <w:szCs w:val="24"/>
                <w:highlight w:val="none"/>
                <w:lang w:val="en-US" w:eastAsia="zh-CN"/>
              </w:rPr>
              <w:t>十三</w:t>
            </w:r>
            <w:r>
              <w:rPr>
                <w:rFonts w:hint="eastAsia" w:asciiTheme="minorEastAsia" w:hAnsiTheme="minorEastAsia" w:eastAsiaTheme="minorEastAsia" w:cstheme="minorEastAsia"/>
                <w:bCs/>
                <w:sz w:val="24"/>
                <w:szCs w:val="24"/>
                <w:highlight w:val="none"/>
              </w:rPr>
              <w:t>包：</w:t>
            </w:r>
            <w:r>
              <w:rPr>
                <w:rFonts w:hint="eastAsia" w:asciiTheme="minorEastAsia" w:hAnsiTheme="minorEastAsia" w:eastAsiaTheme="minorEastAsia" w:cstheme="minorEastAsia"/>
                <w:bCs/>
                <w:sz w:val="24"/>
                <w:szCs w:val="24"/>
                <w:highlight w:val="none"/>
                <w:lang w:val="en-US" w:eastAsia="zh-CN"/>
              </w:rPr>
              <w:t>148.0000</w:t>
            </w:r>
            <w:r>
              <w:rPr>
                <w:rFonts w:hint="eastAsia" w:asciiTheme="minorEastAsia" w:hAnsiTheme="minorEastAsia" w:eastAsiaTheme="minorEastAsia" w:cstheme="minorEastAsia"/>
                <w:bCs/>
                <w:sz w:val="24"/>
                <w:szCs w:val="24"/>
                <w:highlight w:val="none"/>
              </w:rPr>
              <w:t>万元</w:t>
            </w:r>
          </w:p>
          <w:p>
            <w:pPr>
              <w:pStyle w:val="22"/>
              <w:spacing w:line="288" w:lineRule="auto"/>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第</w:t>
            </w:r>
            <w:r>
              <w:rPr>
                <w:rFonts w:hint="eastAsia" w:asciiTheme="minorEastAsia" w:hAnsiTheme="minorEastAsia" w:eastAsiaTheme="minorEastAsia" w:cstheme="minorEastAsia"/>
                <w:bCs/>
                <w:sz w:val="24"/>
                <w:szCs w:val="24"/>
                <w:highlight w:val="none"/>
                <w:lang w:val="en-US" w:eastAsia="zh-CN"/>
              </w:rPr>
              <w:t>十四</w:t>
            </w:r>
            <w:r>
              <w:rPr>
                <w:rFonts w:hint="eastAsia" w:asciiTheme="minorEastAsia" w:hAnsiTheme="minorEastAsia" w:eastAsiaTheme="minorEastAsia" w:cstheme="minorEastAsia"/>
                <w:bCs/>
                <w:sz w:val="24"/>
                <w:szCs w:val="24"/>
                <w:highlight w:val="none"/>
              </w:rPr>
              <w:t>包：</w:t>
            </w:r>
            <w:r>
              <w:rPr>
                <w:rFonts w:hint="eastAsia" w:asciiTheme="minorEastAsia" w:hAnsiTheme="minorEastAsia" w:eastAsiaTheme="minorEastAsia" w:cstheme="minorEastAsia"/>
                <w:bCs/>
                <w:sz w:val="24"/>
                <w:szCs w:val="24"/>
                <w:highlight w:val="none"/>
                <w:lang w:val="en-US" w:eastAsia="zh-CN"/>
              </w:rPr>
              <w:t>100.0000</w:t>
            </w:r>
            <w:r>
              <w:rPr>
                <w:rFonts w:hint="eastAsia" w:asciiTheme="minorEastAsia" w:hAnsiTheme="minorEastAsia" w:eastAsiaTheme="minorEastAsia" w:cstheme="minorEastAsia"/>
                <w:bCs/>
                <w:sz w:val="24"/>
                <w:szCs w:val="24"/>
                <w:highlight w:val="none"/>
              </w:rPr>
              <w:t>万元</w:t>
            </w:r>
          </w:p>
          <w:p>
            <w:pPr>
              <w:pStyle w:val="22"/>
              <w:spacing w:line="288" w:lineRule="auto"/>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第</w:t>
            </w:r>
            <w:r>
              <w:rPr>
                <w:rFonts w:hint="eastAsia" w:asciiTheme="minorEastAsia" w:hAnsiTheme="minorEastAsia" w:eastAsiaTheme="minorEastAsia" w:cstheme="minorEastAsia"/>
                <w:bCs/>
                <w:sz w:val="24"/>
                <w:szCs w:val="24"/>
                <w:highlight w:val="none"/>
                <w:lang w:val="en-US" w:eastAsia="zh-CN"/>
              </w:rPr>
              <w:t>十五</w:t>
            </w:r>
            <w:r>
              <w:rPr>
                <w:rFonts w:hint="eastAsia" w:asciiTheme="minorEastAsia" w:hAnsiTheme="minorEastAsia" w:eastAsiaTheme="minorEastAsia" w:cstheme="minorEastAsia"/>
                <w:bCs/>
                <w:sz w:val="24"/>
                <w:szCs w:val="24"/>
                <w:highlight w:val="none"/>
              </w:rPr>
              <w:t>包：</w:t>
            </w:r>
            <w:r>
              <w:rPr>
                <w:rFonts w:hint="eastAsia" w:asciiTheme="minorEastAsia" w:hAnsiTheme="minorEastAsia" w:eastAsiaTheme="minorEastAsia" w:cstheme="minorEastAsia"/>
                <w:bCs/>
                <w:sz w:val="24"/>
                <w:szCs w:val="24"/>
                <w:highlight w:val="none"/>
                <w:lang w:val="en-US" w:eastAsia="zh-CN"/>
              </w:rPr>
              <w:t>105.9000</w:t>
            </w:r>
            <w:r>
              <w:rPr>
                <w:rFonts w:hint="eastAsia" w:asciiTheme="minorEastAsia" w:hAnsiTheme="minorEastAsia" w:eastAsiaTheme="minorEastAsia" w:cstheme="minorEastAsia"/>
                <w:bCs/>
                <w:sz w:val="24"/>
                <w:szCs w:val="24"/>
                <w:highlight w:val="none"/>
              </w:rPr>
              <w:t>万元</w:t>
            </w:r>
          </w:p>
          <w:p>
            <w:pPr>
              <w:pStyle w:val="22"/>
              <w:spacing w:line="288" w:lineRule="auto"/>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第</w:t>
            </w:r>
            <w:r>
              <w:rPr>
                <w:rFonts w:hint="eastAsia" w:asciiTheme="minorEastAsia" w:hAnsiTheme="minorEastAsia" w:eastAsiaTheme="minorEastAsia" w:cstheme="minorEastAsia"/>
                <w:bCs/>
                <w:sz w:val="24"/>
                <w:szCs w:val="24"/>
                <w:highlight w:val="none"/>
                <w:lang w:val="en-US" w:eastAsia="zh-CN"/>
              </w:rPr>
              <w:t>十六</w:t>
            </w:r>
            <w:r>
              <w:rPr>
                <w:rFonts w:hint="eastAsia" w:asciiTheme="minorEastAsia" w:hAnsiTheme="minorEastAsia" w:eastAsiaTheme="minorEastAsia" w:cstheme="minorEastAsia"/>
                <w:bCs/>
                <w:sz w:val="24"/>
                <w:szCs w:val="24"/>
                <w:highlight w:val="none"/>
              </w:rPr>
              <w:t>包：</w:t>
            </w:r>
            <w:r>
              <w:rPr>
                <w:rFonts w:hint="eastAsia" w:asciiTheme="minorEastAsia" w:hAnsiTheme="minorEastAsia" w:eastAsiaTheme="minorEastAsia" w:cstheme="minorEastAsia"/>
                <w:bCs/>
                <w:sz w:val="24"/>
                <w:szCs w:val="24"/>
                <w:highlight w:val="none"/>
                <w:lang w:val="en-US" w:eastAsia="zh-CN"/>
              </w:rPr>
              <w:t>162.3400</w:t>
            </w:r>
            <w:r>
              <w:rPr>
                <w:rFonts w:hint="eastAsia" w:asciiTheme="minorEastAsia" w:hAnsiTheme="minorEastAsia" w:eastAsiaTheme="minorEastAsia" w:cstheme="minorEastAsia"/>
                <w:bCs/>
                <w:sz w:val="24"/>
                <w:szCs w:val="24"/>
                <w:highlight w:val="none"/>
              </w:rPr>
              <w:t>万元</w:t>
            </w:r>
          </w:p>
          <w:p>
            <w:pPr>
              <w:pStyle w:val="22"/>
              <w:spacing w:line="288" w:lineRule="auto"/>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w:t>
            </w:r>
            <w:r>
              <w:rPr>
                <w:rFonts w:hint="eastAsia" w:asciiTheme="minorEastAsia" w:hAnsiTheme="minorEastAsia" w:eastAsiaTheme="minorEastAsia" w:cstheme="minorEastAsia"/>
                <w:bCs/>
                <w:sz w:val="24"/>
                <w:szCs w:val="24"/>
                <w:highlight w:val="none"/>
                <w:lang w:eastAsia="zh-CN"/>
              </w:rPr>
              <w:t>投标人</w:t>
            </w:r>
            <w:r>
              <w:rPr>
                <w:rFonts w:hint="eastAsia" w:asciiTheme="minorEastAsia" w:hAnsiTheme="minorEastAsia" w:eastAsiaTheme="minorEastAsia" w:cstheme="minorEastAsia"/>
                <w:bCs/>
                <w:sz w:val="24"/>
                <w:szCs w:val="24"/>
                <w:highlight w:val="none"/>
              </w:rPr>
              <w:t>的报价不得超过最高限价，否则其投标文件将被拒绝。）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3</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招标方式</w:t>
            </w:r>
          </w:p>
        </w:tc>
        <w:tc>
          <w:tcPr>
            <w:tcW w:w="6639" w:type="dxa"/>
            <w:tcBorders>
              <w:top w:val="single" w:color="auto" w:sz="4" w:space="0"/>
              <w:left w:val="single" w:color="auto" w:sz="4" w:space="0"/>
              <w:bottom w:val="single" w:color="auto" w:sz="4" w:space="0"/>
              <w:right w:val="single" w:color="auto" w:sz="4" w:space="0"/>
            </w:tcBorders>
            <w:vAlign w:val="center"/>
          </w:tcPr>
          <w:p>
            <w:pPr>
              <w:pStyle w:val="124"/>
              <w:spacing w:line="288" w:lineRule="auto"/>
              <w:ind w:left="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公开招标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4</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招标内容</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详见本招标文件第六章项目需求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5</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lang w:val="en-US" w:eastAsia="zh-CN"/>
              </w:rPr>
              <w:t>供货</w:t>
            </w:r>
            <w:r>
              <w:rPr>
                <w:rFonts w:hint="eastAsia" w:asciiTheme="minorEastAsia" w:hAnsiTheme="minorEastAsia" w:eastAsiaTheme="minorEastAsia" w:cstheme="minorEastAsia"/>
                <w:bCs/>
                <w:sz w:val="24"/>
                <w:szCs w:val="24"/>
                <w:highlight w:val="none"/>
              </w:rPr>
              <w:t>地点</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招标人指定地点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货物交付时</w:t>
            </w:r>
            <w:r>
              <w:rPr>
                <w:rFonts w:hint="eastAsia" w:asciiTheme="minorEastAsia" w:hAnsiTheme="minorEastAsia" w:eastAsiaTheme="minorEastAsia" w:cstheme="minorEastAsia"/>
                <w:sz w:val="24"/>
                <w:szCs w:val="24"/>
                <w:highlight w:val="none"/>
              </w:rPr>
              <w:t>限</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签订合同后45日内交付货物。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7</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质量标准</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达到招标人要求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8</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付款方式</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中标单位按合同约定交付全部产品、安装调试完毕，验收合格并经过结算审计后30日内，采购人按验收报告、结算审计、合同相关条款支付货款100%；如结算审计有审减，按照结算审计结果支付货款；如验收不合格、未完成安装调试，参照违约责任执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9</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质量保修期</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以合同约定为准。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10</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进口产品</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本项目不接受进口产品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11</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核心产品</w:t>
            </w:r>
          </w:p>
        </w:tc>
        <w:tc>
          <w:tcPr>
            <w:tcW w:w="6639" w:type="dxa"/>
            <w:tcBorders>
              <w:top w:val="single" w:color="auto" w:sz="4" w:space="0"/>
              <w:left w:val="single" w:color="auto" w:sz="4" w:space="0"/>
              <w:bottom w:val="single" w:color="auto" w:sz="4" w:space="0"/>
              <w:right w:val="single" w:color="auto" w:sz="4" w:space="0"/>
            </w:tcBorders>
            <w:vAlign w:val="center"/>
          </w:tcPr>
          <w:p>
            <w:pPr>
              <w:pStyle w:val="5"/>
              <w:spacing w:before="0" w:after="0" w:line="24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第</w:t>
            </w:r>
            <w:r>
              <w:rPr>
                <w:rFonts w:hint="eastAsia" w:asciiTheme="minorEastAsia" w:hAnsiTheme="minorEastAsia" w:eastAsiaTheme="minorEastAsia" w:cstheme="minorEastAsia"/>
                <w:b w:val="0"/>
                <w:bCs w:val="0"/>
                <w:sz w:val="24"/>
                <w:szCs w:val="24"/>
                <w:highlight w:val="none"/>
                <w:lang w:val="en-US" w:eastAsia="zh-CN"/>
              </w:rPr>
              <w:t xml:space="preserve"> 十 </w:t>
            </w:r>
            <w:r>
              <w:rPr>
                <w:rFonts w:hint="eastAsia" w:asciiTheme="minorEastAsia" w:hAnsiTheme="minorEastAsia" w:eastAsiaTheme="minorEastAsia" w:cstheme="minorEastAsia"/>
                <w:b w:val="0"/>
                <w:bCs w:val="0"/>
                <w:sz w:val="24"/>
                <w:szCs w:val="24"/>
                <w:highlight w:val="none"/>
              </w:rPr>
              <w:t>包：</w:t>
            </w:r>
            <w:r>
              <w:rPr>
                <w:rFonts w:hint="eastAsia" w:asciiTheme="minorEastAsia" w:hAnsiTheme="minorEastAsia" w:eastAsiaTheme="minorEastAsia" w:cstheme="minorEastAsia"/>
                <w:b w:val="0"/>
                <w:bCs w:val="0"/>
                <w:sz w:val="24"/>
                <w:szCs w:val="24"/>
                <w:highlight w:val="none"/>
                <w:lang w:eastAsia="zh-CN"/>
              </w:rPr>
              <w:t>☑</w:t>
            </w:r>
            <w:r>
              <w:rPr>
                <w:rFonts w:hint="eastAsia" w:asciiTheme="minorEastAsia" w:hAnsiTheme="minorEastAsia" w:eastAsiaTheme="minorEastAsia" w:cstheme="minorEastAsia"/>
                <w:b w:val="0"/>
                <w:bCs w:val="0"/>
                <w:sz w:val="24"/>
                <w:szCs w:val="24"/>
                <w:highlight w:val="none"/>
              </w:rPr>
              <w:t xml:space="preserve">有  </w:t>
            </w:r>
            <w:r>
              <w:rPr>
                <w:rFonts w:hint="eastAsia" w:asciiTheme="minorEastAsia" w:hAnsiTheme="minorEastAsia" w:eastAsiaTheme="minorEastAsia" w:cstheme="minorEastAsia"/>
                <w:b w:val="0"/>
                <w:bCs w:val="0"/>
                <w:sz w:val="24"/>
                <w:szCs w:val="24"/>
                <w:highlight w:val="none"/>
                <w:lang w:eastAsia="zh-CN"/>
              </w:rPr>
              <w:t>□</w:t>
            </w:r>
            <w:r>
              <w:rPr>
                <w:rFonts w:hint="eastAsia" w:asciiTheme="minorEastAsia" w:hAnsiTheme="minorEastAsia" w:eastAsiaTheme="minorEastAsia" w:cstheme="minorEastAsia"/>
                <w:b w:val="0"/>
                <w:bCs w:val="0"/>
                <w:sz w:val="24"/>
                <w:szCs w:val="24"/>
                <w:highlight w:val="none"/>
              </w:rPr>
              <w:t>无 核心产品为空气呼吸器</w:t>
            </w:r>
            <w:r>
              <w:rPr>
                <w:rFonts w:hint="eastAsia" w:asciiTheme="minorEastAsia" w:hAnsiTheme="minorEastAsia" w:eastAsiaTheme="minorEastAsia" w:cstheme="minorEastAsia"/>
                <w:b w:val="0"/>
                <w:bCs w:val="0"/>
                <w:sz w:val="24"/>
                <w:szCs w:val="24"/>
                <w:highlight w:val="none"/>
                <w:lang w:eastAsia="zh-CN"/>
              </w:rPr>
              <w:t>、空呼气瓶</w:t>
            </w:r>
            <w:r>
              <w:rPr>
                <w:rFonts w:hint="eastAsia" w:asciiTheme="minorEastAsia" w:hAnsiTheme="minorEastAsia" w:eastAsiaTheme="minorEastAsia" w:cstheme="minorEastAsia"/>
                <w:b w:val="0"/>
                <w:bCs w:val="0"/>
                <w:sz w:val="24"/>
                <w:szCs w:val="24"/>
                <w:highlight w:val="none"/>
                <w:lang w:val="en-US" w:eastAsia="zh-CN"/>
              </w:rPr>
              <w:t xml:space="preserve">  </w:t>
            </w:r>
          </w:p>
          <w:p>
            <w:pPr>
              <w:pStyle w:val="5"/>
              <w:spacing w:before="0" w:after="0" w:line="24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第</w:t>
            </w:r>
            <w:r>
              <w:rPr>
                <w:rFonts w:hint="eastAsia" w:asciiTheme="minorEastAsia" w:hAnsiTheme="minorEastAsia" w:eastAsiaTheme="minorEastAsia" w:cstheme="minorEastAsia"/>
                <w:b w:val="0"/>
                <w:bCs w:val="0"/>
                <w:sz w:val="24"/>
                <w:szCs w:val="24"/>
                <w:highlight w:val="none"/>
                <w:lang w:val="en-US" w:eastAsia="zh-CN"/>
              </w:rPr>
              <w:t>十一</w:t>
            </w:r>
            <w:r>
              <w:rPr>
                <w:rFonts w:hint="eastAsia" w:asciiTheme="minorEastAsia" w:hAnsiTheme="minorEastAsia" w:eastAsiaTheme="minorEastAsia" w:cstheme="minorEastAsia"/>
                <w:b w:val="0"/>
                <w:bCs w:val="0"/>
                <w:sz w:val="24"/>
                <w:szCs w:val="24"/>
                <w:highlight w:val="none"/>
              </w:rPr>
              <w:t>包：☑有  □无核心产品为水上救生机器人</w:t>
            </w:r>
          </w:p>
          <w:p>
            <w:pPr>
              <w:pStyle w:val="5"/>
              <w:spacing w:before="0" w:after="0" w:line="24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第</w:t>
            </w:r>
            <w:r>
              <w:rPr>
                <w:rFonts w:hint="eastAsia" w:asciiTheme="minorEastAsia" w:hAnsiTheme="minorEastAsia" w:eastAsiaTheme="minorEastAsia" w:cstheme="minorEastAsia"/>
                <w:b w:val="0"/>
                <w:bCs w:val="0"/>
                <w:sz w:val="24"/>
                <w:szCs w:val="24"/>
                <w:highlight w:val="none"/>
                <w:lang w:val="en-US" w:eastAsia="zh-CN"/>
              </w:rPr>
              <w:t>十二</w:t>
            </w:r>
            <w:r>
              <w:rPr>
                <w:rFonts w:hint="eastAsia" w:asciiTheme="minorEastAsia" w:hAnsiTheme="minorEastAsia" w:eastAsiaTheme="minorEastAsia" w:cstheme="minorEastAsia"/>
                <w:b w:val="0"/>
                <w:bCs w:val="0"/>
                <w:sz w:val="24"/>
                <w:szCs w:val="24"/>
                <w:highlight w:val="none"/>
              </w:rPr>
              <w:t>包：（本包为单一产品采购，无须设定核心产品）</w:t>
            </w:r>
          </w:p>
          <w:p>
            <w:pPr>
              <w:pStyle w:val="5"/>
              <w:spacing w:before="0" w:after="0" w:line="24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第</w:t>
            </w:r>
            <w:r>
              <w:rPr>
                <w:rFonts w:hint="eastAsia" w:asciiTheme="minorEastAsia" w:hAnsiTheme="minorEastAsia" w:eastAsiaTheme="minorEastAsia" w:cstheme="minorEastAsia"/>
                <w:b w:val="0"/>
                <w:bCs w:val="0"/>
                <w:sz w:val="24"/>
                <w:szCs w:val="24"/>
                <w:highlight w:val="none"/>
                <w:lang w:val="en-US" w:eastAsia="zh-CN"/>
              </w:rPr>
              <w:t>十三</w:t>
            </w:r>
            <w:r>
              <w:rPr>
                <w:rFonts w:hint="eastAsia" w:asciiTheme="minorEastAsia" w:hAnsiTheme="minorEastAsia" w:eastAsiaTheme="minorEastAsia" w:cstheme="minorEastAsia"/>
                <w:b w:val="0"/>
                <w:bCs w:val="0"/>
                <w:sz w:val="24"/>
                <w:szCs w:val="24"/>
                <w:highlight w:val="none"/>
              </w:rPr>
              <w:t>包：（本包为单一产品采购，无须设定核心产品）</w:t>
            </w:r>
          </w:p>
          <w:p>
            <w:pPr>
              <w:pStyle w:val="5"/>
              <w:spacing w:before="0" w:after="0" w:line="240" w:lineRule="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第</w:t>
            </w:r>
            <w:r>
              <w:rPr>
                <w:rFonts w:hint="eastAsia" w:asciiTheme="minorEastAsia" w:hAnsiTheme="minorEastAsia" w:eastAsiaTheme="minorEastAsia" w:cstheme="minorEastAsia"/>
                <w:b w:val="0"/>
                <w:bCs w:val="0"/>
                <w:sz w:val="24"/>
                <w:szCs w:val="24"/>
                <w:highlight w:val="none"/>
                <w:lang w:val="en-US" w:eastAsia="zh-CN"/>
              </w:rPr>
              <w:t>十四</w:t>
            </w:r>
            <w:r>
              <w:rPr>
                <w:rFonts w:hint="eastAsia" w:asciiTheme="minorEastAsia" w:hAnsiTheme="minorEastAsia" w:eastAsiaTheme="minorEastAsia" w:cstheme="minorEastAsia"/>
                <w:b w:val="0"/>
                <w:bCs w:val="0"/>
                <w:sz w:val="24"/>
                <w:szCs w:val="24"/>
                <w:highlight w:val="none"/>
              </w:rPr>
              <w:t>包：（本包为单一产品采购，无须设定核心产品）</w:t>
            </w:r>
          </w:p>
          <w:p>
            <w:pPr>
              <w:pStyle w:val="5"/>
              <w:spacing w:before="0" w:after="0" w:line="240" w:lineRule="auto"/>
              <w:rPr>
                <w:rFonts w:hint="eastAsia" w:asciiTheme="minorEastAsia" w:hAnsiTheme="minorEastAsia" w:eastAsiaTheme="minorEastAsia" w:cstheme="minorEastAsia"/>
                <w:b w:val="0"/>
                <w:bCs w:val="0"/>
                <w:sz w:val="24"/>
                <w:szCs w:val="24"/>
                <w:highlight w:val="none"/>
                <w:lang w:eastAsia="zh-CN"/>
              </w:rPr>
            </w:pPr>
            <w:r>
              <w:rPr>
                <w:rFonts w:hint="eastAsia" w:asciiTheme="minorEastAsia" w:hAnsiTheme="minorEastAsia" w:eastAsiaTheme="minorEastAsia" w:cstheme="minorEastAsia"/>
                <w:b w:val="0"/>
                <w:bCs w:val="0"/>
                <w:sz w:val="24"/>
                <w:szCs w:val="24"/>
                <w:highlight w:val="none"/>
              </w:rPr>
              <w:t>第</w:t>
            </w:r>
            <w:r>
              <w:rPr>
                <w:rFonts w:hint="eastAsia" w:asciiTheme="minorEastAsia" w:hAnsiTheme="minorEastAsia" w:eastAsiaTheme="minorEastAsia" w:cstheme="minorEastAsia"/>
                <w:b w:val="0"/>
                <w:bCs w:val="0"/>
                <w:sz w:val="24"/>
                <w:szCs w:val="24"/>
                <w:highlight w:val="none"/>
                <w:lang w:val="en-US" w:eastAsia="zh-CN"/>
              </w:rPr>
              <w:t>十五</w:t>
            </w:r>
            <w:r>
              <w:rPr>
                <w:rFonts w:hint="eastAsia" w:asciiTheme="minorEastAsia" w:hAnsiTheme="minorEastAsia" w:eastAsiaTheme="minorEastAsia" w:cstheme="minorEastAsia"/>
                <w:b w:val="0"/>
                <w:bCs w:val="0"/>
                <w:sz w:val="24"/>
                <w:szCs w:val="24"/>
                <w:highlight w:val="none"/>
              </w:rPr>
              <w:t>包：</w:t>
            </w:r>
            <w:r>
              <w:rPr>
                <w:rFonts w:hint="eastAsia" w:asciiTheme="minorEastAsia" w:hAnsiTheme="minorEastAsia" w:eastAsiaTheme="minorEastAsia" w:cstheme="minorEastAsia"/>
                <w:b w:val="0"/>
                <w:bCs w:val="0"/>
                <w:sz w:val="24"/>
                <w:szCs w:val="24"/>
                <w:highlight w:val="none"/>
                <w:lang w:eastAsia="zh-CN"/>
              </w:rPr>
              <w:t>☑</w:t>
            </w:r>
            <w:r>
              <w:rPr>
                <w:rFonts w:hint="eastAsia" w:asciiTheme="minorEastAsia" w:hAnsiTheme="minorEastAsia" w:eastAsiaTheme="minorEastAsia" w:cstheme="minorEastAsia"/>
                <w:b w:val="0"/>
                <w:bCs w:val="0"/>
                <w:sz w:val="24"/>
                <w:szCs w:val="24"/>
                <w:highlight w:val="none"/>
              </w:rPr>
              <w:t>有  □无 核心产品为</w:t>
            </w:r>
            <w:r>
              <w:rPr>
                <w:rFonts w:hint="eastAsia" w:asciiTheme="minorEastAsia" w:hAnsiTheme="minorEastAsia" w:eastAsiaTheme="minorEastAsia" w:cstheme="minorEastAsia"/>
                <w:b w:val="0"/>
                <w:bCs w:val="0"/>
                <w:sz w:val="24"/>
                <w:szCs w:val="24"/>
                <w:highlight w:val="none"/>
                <w:lang w:eastAsia="zh-CN"/>
              </w:rPr>
              <w:t>履带式挖掘机</w:t>
            </w:r>
          </w:p>
          <w:p>
            <w:pPr>
              <w:pStyle w:val="5"/>
              <w:spacing w:before="0" w:after="0"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bCs w:val="0"/>
                <w:sz w:val="24"/>
                <w:szCs w:val="24"/>
                <w:highlight w:val="none"/>
              </w:rPr>
              <w:t>第</w:t>
            </w:r>
            <w:r>
              <w:rPr>
                <w:rFonts w:hint="eastAsia" w:asciiTheme="minorEastAsia" w:hAnsiTheme="minorEastAsia" w:eastAsiaTheme="minorEastAsia" w:cstheme="minorEastAsia"/>
                <w:b w:val="0"/>
                <w:bCs w:val="0"/>
                <w:sz w:val="24"/>
                <w:szCs w:val="24"/>
                <w:highlight w:val="none"/>
                <w:lang w:val="en-US" w:eastAsia="zh-CN"/>
              </w:rPr>
              <w:t>十六</w:t>
            </w:r>
            <w:r>
              <w:rPr>
                <w:rFonts w:hint="eastAsia" w:asciiTheme="minorEastAsia" w:hAnsiTheme="minorEastAsia" w:eastAsiaTheme="minorEastAsia" w:cstheme="minorEastAsia"/>
                <w:b w:val="0"/>
                <w:bCs w:val="0"/>
                <w:sz w:val="24"/>
                <w:szCs w:val="24"/>
                <w:highlight w:val="none"/>
              </w:rPr>
              <w:t>包：</w:t>
            </w:r>
            <w:r>
              <w:rPr>
                <w:rFonts w:hint="eastAsia" w:asciiTheme="minorEastAsia" w:hAnsiTheme="minorEastAsia" w:eastAsiaTheme="minorEastAsia" w:cstheme="minorEastAsia"/>
                <w:b w:val="0"/>
                <w:bCs w:val="0"/>
                <w:sz w:val="24"/>
                <w:szCs w:val="24"/>
                <w:highlight w:val="none"/>
                <w:lang w:eastAsia="zh-CN"/>
              </w:rPr>
              <w:t>☑</w:t>
            </w:r>
            <w:r>
              <w:rPr>
                <w:rFonts w:hint="eastAsia" w:asciiTheme="minorEastAsia" w:hAnsiTheme="minorEastAsia" w:eastAsiaTheme="minorEastAsia" w:cstheme="minorEastAsia"/>
                <w:b w:val="0"/>
                <w:bCs w:val="0"/>
                <w:sz w:val="24"/>
                <w:szCs w:val="24"/>
                <w:highlight w:val="none"/>
              </w:rPr>
              <w:t>有  □无 核心产品为潜水气瓶</w:t>
            </w:r>
            <w:r>
              <w:rPr>
                <w:rFonts w:hint="eastAsia" w:asciiTheme="minorEastAsia" w:hAnsiTheme="minorEastAsia" w:eastAsiaTheme="minorEastAsia" w:cstheme="minorEastAsia"/>
                <w:b w:val="0"/>
                <w:bCs w:val="0"/>
                <w:sz w:val="24"/>
                <w:szCs w:val="24"/>
                <w:highlight w:val="none"/>
                <w:lang w:val="en-US" w:eastAsia="zh-CN"/>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12</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zh-CN"/>
              </w:rPr>
              <w:t>构成招标文件的其他文件</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zh-CN"/>
              </w:rPr>
              <w:t>招标文件的澄清、修改书及有关补充通知为招标文件的有效组成部分。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2"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13</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投标人资格要求</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1.满足《中华人民共和国政府采购法》第二十二条规定；</w:t>
            </w:r>
          </w:p>
          <w:p>
            <w:pPr>
              <w:spacing w:line="400" w:lineRule="exact"/>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2.落实政府采购政策需满足的资格要求：1）“第十一包、第十二包、第十三包、第十五包、</w:t>
            </w:r>
            <w:r>
              <w:rPr>
                <w:rFonts w:hint="eastAsia" w:asciiTheme="minorEastAsia" w:hAnsiTheme="minorEastAsia" w:eastAsiaTheme="minorEastAsia" w:cstheme="minorEastAsia"/>
                <w:sz w:val="24"/>
                <w:szCs w:val="24"/>
                <w:highlight w:val="none"/>
                <w:lang w:val="en-US" w:eastAsia="zh-CN"/>
              </w:rPr>
              <w:t>第十六包</w:t>
            </w:r>
            <w:r>
              <w:rPr>
                <w:rFonts w:hint="eastAsia" w:asciiTheme="minorEastAsia" w:hAnsiTheme="minorEastAsia" w:eastAsiaTheme="minorEastAsia" w:cstheme="minorEastAsia"/>
                <w:sz w:val="24"/>
                <w:szCs w:val="24"/>
                <w:highlight w:val="none"/>
                <w:lang w:val="zh-CN"/>
              </w:rPr>
              <w:t>”专门面向中小企业采购，价格不再进行财政政策扣除；“第十包、第十四包”非专门面向中小企业采购，投标人所提供货物的制造商为小型、微型企业的，给予10%的价格扣除； 2）落实《关于调整优化节能产品、环境标志产品政府采购执行机制的通知》（财库[2019]9号）、财政部《关于进一步加大政府采购支持中小企业力度的通知》（财库〔2022〕19号）、关于印发《政府采购促进中小企业发展管理办法》的通知（财库[2020]46号）、《财政部、司法部关于政府采购支持监狱企业发展有关问题的通知》（财库[2014]68号）和《关于促进残疾人就业政府采购政策的通知》（财库[2017]141号）等政府采购政策。</w:t>
            </w:r>
          </w:p>
          <w:p>
            <w:pPr>
              <w:spacing w:line="288"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rPr>
              <w:t>3</w:t>
            </w:r>
            <w:r>
              <w:rPr>
                <w:rFonts w:hint="eastAsia" w:asciiTheme="minorEastAsia" w:hAnsiTheme="minorEastAsia" w:eastAsiaTheme="minorEastAsia" w:cstheme="minorEastAsia"/>
                <w:sz w:val="24"/>
                <w:szCs w:val="24"/>
                <w:highlight w:val="none"/>
                <w:lang w:val="zh-CN"/>
              </w:rPr>
              <w:t>.本项目的特定资格要求：</w:t>
            </w:r>
          </w:p>
          <w:p>
            <w:pPr>
              <w:spacing w:line="288"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w:t>
            </w:r>
            <w:r>
              <w:rPr>
                <w:rFonts w:hint="eastAsia" w:asciiTheme="minorEastAsia" w:hAnsiTheme="minorEastAsia" w:eastAsiaTheme="minorEastAsia" w:cs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rPr>
              <w:t>与招标人存在利害关系可能影响招标公正性的法人、其他组织或者个人，不得参加同一标段投标或者未划分标段的同一招标项目投标；</w:t>
            </w:r>
          </w:p>
          <w:p>
            <w:pPr>
              <w:spacing w:line="288"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w:t>
            </w:r>
            <w:r>
              <w:rPr>
                <w:rFonts w:hint="eastAsia" w:asciiTheme="minorEastAsia" w:hAnsiTheme="minorEastAsia" w:eastAsiaTheme="minorEastAsia" w:cstheme="minorEastAsia"/>
                <w:sz w:val="24"/>
                <w:szCs w:val="24"/>
                <w:highlight w:val="none"/>
                <w:lang w:val="en-US" w:eastAsia="zh-CN"/>
              </w:rPr>
              <w:t xml:space="preserve">2 </w:t>
            </w:r>
            <w:r>
              <w:rPr>
                <w:rFonts w:hint="eastAsia" w:asciiTheme="minorEastAsia" w:hAnsiTheme="minorEastAsia" w:eastAsiaTheme="minorEastAsia" w:cstheme="minorEastAsia"/>
                <w:sz w:val="24"/>
                <w:szCs w:val="24"/>
                <w:highlight w:val="none"/>
              </w:rPr>
              <w:t>投标人负责人为同一人或者存在控股、管理关系的不同单位，不得同时参加本项目的投标；</w:t>
            </w:r>
          </w:p>
          <w:p>
            <w:pPr>
              <w:spacing w:line="288"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3.</w:t>
            </w:r>
            <w:r>
              <w:rPr>
                <w:rFonts w:hint="eastAsia" w:asciiTheme="minorEastAsia" w:hAnsiTheme="minorEastAsia" w:eastAsiaTheme="minorEastAsia" w:cstheme="minorEastAsia"/>
                <w:sz w:val="24"/>
                <w:szCs w:val="24"/>
                <w:highlight w:val="none"/>
                <w:lang w:val="en-US" w:eastAsia="zh-CN"/>
              </w:rPr>
              <w:t xml:space="preserve">3 </w:t>
            </w:r>
            <w:r>
              <w:rPr>
                <w:rFonts w:hint="eastAsia" w:asciiTheme="minorEastAsia" w:hAnsiTheme="minorEastAsia" w:eastAsiaTheme="minorEastAsia" w:cstheme="minorEastAsia"/>
                <w:sz w:val="24"/>
                <w:szCs w:val="24"/>
                <w:highlight w:val="none"/>
              </w:rPr>
              <w:t>根据《财政部关于在政府采购活动中查询及使用信用记录有关问题的通知》（财库﹝2016﹞125号）的要求，凡拟参加本次招标项目的投标</w:t>
            </w:r>
            <w:r>
              <w:rPr>
                <w:rFonts w:hint="eastAsia" w:asciiTheme="minorEastAsia" w:hAnsiTheme="minorEastAsia" w:eastAsiaTheme="minorEastAsia" w:cstheme="minorEastAsia"/>
                <w:sz w:val="24"/>
                <w:szCs w:val="24"/>
                <w:highlight w:val="none"/>
                <w:lang w:eastAsia="zh-CN"/>
              </w:rPr>
              <w:t>投标人</w:t>
            </w:r>
            <w:r>
              <w:rPr>
                <w:rFonts w:hint="eastAsia" w:asciiTheme="minorEastAsia" w:hAnsiTheme="minorEastAsia" w:eastAsiaTheme="minorEastAsia" w:cstheme="minorEastAsia"/>
                <w:sz w:val="24"/>
                <w:szCs w:val="24"/>
                <w:highlight w:val="none"/>
              </w:rPr>
              <w:t>，如在“信用中国”网（www.creditchina.gov.cn）、中国政府采购网（www.ccgp.gov.cn）列入失信被执行人、重大税收违法案件当事人名单、政府采购严重违法失信行为记录名单的（尚在处罚期内的），将拒绝其参加本次项目投标</w:t>
            </w:r>
            <w:r>
              <w:rPr>
                <w:rFonts w:hint="eastAsia" w:asciiTheme="minorEastAsia" w:hAnsiTheme="minorEastAsia" w:eastAsiaTheme="minorEastAsia" w:cstheme="minorEastAsia"/>
                <w:sz w:val="24"/>
                <w:szCs w:val="24"/>
                <w:highlight w:val="none"/>
                <w:lang w:eastAsia="zh-CN"/>
              </w:rPr>
              <w:t>。</w:t>
            </w:r>
          </w:p>
          <w:p>
            <w:pPr>
              <w:spacing w:line="288"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4.本项目不接受联合体投标。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14</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投标保证金</w:t>
            </w:r>
          </w:p>
        </w:tc>
        <w:tc>
          <w:tcPr>
            <w:tcW w:w="6639" w:type="dxa"/>
            <w:tcBorders>
              <w:top w:val="single" w:color="auto" w:sz="4" w:space="0"/>
              <w:left w:val="single" w:color="auto" w:sz="4" w:space="0"/>
              <w:bottom w:val="single" w:color="auto" w:sz="4" w:space="0"/>
              <w:right w:val="single" w:color="auto" w:sz="4" w:space="0"/>
            </w:tcBorders>
            <w:vAlign w:val="center"/>
          </w:tcPr>
          <w:p>
            <w:pPr>
              <w:pStyle w:val="22"/>
              <w:spacing w:line="288" w:lineRule="auto"/>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 投标保证金金额：</w:t>
            </w:r>
          </w:p>
          <w:p>
            <w:pPr>
              <w:pStyle w:val="22"/>
              <w:spacing w:line="288" w:lineRule="auto"/>
              <w:jc w:val="left"/>
              <w:rPr>
                <w:rFonts w:hint="eastAsia"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rPr>
              <w:t>第</w:t>
            </w:r>
            <w:r>
              <w:rPr>
                <w:rFonts w:hint="eastAsia" w:asciiTheme="minorEastAsia" w:hAnsiTheme="minorEastAsia" w:eastAsiaTheme="minorEastAsia" w:cstheme="minorEastAsia"/>
                <w:bCs/>
                <w:sz w:val="24"/>
                <w:szCs w:val="24"/>
                <w:highlight w:val="none"/>
                <w:lang w:val="en-US" w:eastAsia="zh-CN"/>
              </w:rPr>
              <w:t>十</w:t>
            </w:r>
            <w:r>
              <w:rPr>
                <w:rFonts w:hint="eastAsia" w:asciiTheme="minorEastAsia" w:hAnsiTheme="minorEastAsia" w:eastAsiaTheme="minorEastAsia" w:cstheme="minorEastAsia"/>
                <w:bCs/>
                <w:sz w:val="24"/>
                <w:szCs w:val="24"/>
                <w:highlight w:val="none"/>
              </w:rPr>
              <w:t>包：</w:t>
            </w:r>
            <w:r>
              <w:rPr>
                <w:rFonts w:hint="eastAsia" w:asciiTheme="minorEastAsia" w:hAnsiTheme="minorEastAsia" w:eastAsiaTheme="minorEastAsia" w:cstheme="minorEastAsia"/>
                <w:bCs/>
                <w:sz w:val="24"/>
                <w:szCs w:val="24"/>
                <w:highlight w:val="none"/>
                <w:lang w:val="en-US" w:eastAsia="zh-CN"/>
              </w:rPr>
              <w:t>64000</w:t>
            </w:r>
            <w:r>
              <w:rPr>
                <w:rFonts w:hint="eastAsia" w:asciiTheme="minorEastAsia" w:hAnsiTheme="minorEastAsia" w:eastAsiaTheme="minorEastAsia" w:cstheme="minorEastAsia"/>
                <w:bCs/>
                <w:sz w:val="24"/>
                <w:szCs w:val="24"/>
                <w:highlight w:val="none"/>
              </w:rPr>
              <w:t>元</w:t>
            </w:r>
            <w:r>
              <w:rPr>
                <w:rFonts w:hint="eastAsia" w:asciiTheme="minorEastAsia" w:hAnsiTheme="minorEastAsia" w:eastAsiaTheme="minorEastAsia" w:cstheme="minorEastAsia"/>
                <w:bCs/>
                <w:sz w:val="24"/>
                <w:szCs w:val="24"/>
                <w:highlight w:val="none"/>
                <w:lang w:eastAsia="zh-CN"/>
              </w:rPr>
              <w:t>（</w:t>
            </w:r>
            <w:r>
              <w:rPr>
                <w:rFonts w:hint="eastAsia" w:asciiTheme="minorEastAsia" w:hAnsiTheme="minorEastAsia" w:eastAsiaTheme="minorEastAsia" w:cstheme="minorEastAsia"/>
                <w:bCs/>
                <w:sz w:val="24"/>
                <w:szCs w:val="24"/>
                <w:highlight w:val="none"/>
                <w:lang w:val="en-US" w:eastAsia="zh-CN"/>
              </w:rPr>
              <w:t>大写：陆万肆仟元整</w:t>
            </w:r>
            <w:r>
              <w:rPr>
                <w:rFonts w:hint="eastAsia" w:asciiTheme="minorEastAsia" w:hAnsiTheme="minorEastAsia" w:eastAsiaTheme="minorEastAsia" w:cstheme="minorEastAsia"/>
                <w:bCs/>
                <w:sz w:val="24"/>
                <w:szCs w:val="24"/>
                <w:highlight w:val="none"/>
                <w:lang w:eastAsia="zh-CN"/>
              </w:rPr>
              <w:t>）</w:t>
            </w:r>
          </w:p>
          <w:p>
            <w:pPr>
              <w:pStyle w:val="22"/>
              <w:spacing w:line="288" w:lineRule="auto"/>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第</w:t>
            </w:r>
            <w:r>
              <w:rPr>
                <w:rFonts w:hint="eastAsia" w:asciiTheme="minorEastAsia" w:hAnsiTheme="minorEastAsia" w:eastAsiaTheme="minorEastAsia" w:cstheme="minorEastAsia"/>
                <w:bCs/>
                <w:sz w:val="24"/>
                <w:szCs w:val="24"/>
                <w:highlight w:val="none"/>
                <w:lang w:val="en-US" w:eastAsia="zh-CN"/>
              </w:rPr>
              <w:t>十一</w:t>
            </w:r>
            <w:r>
              <w:rPr>
                <w:rFonts w:hint="eastAsia" w:asciiTheme="minorEastAsia" w:hAnsiTheme="minorEastAsia" w:eastAsiaTheme="minorEastAsia" w:cstheme="minorEastAsia"/>
                <w:bCs/>
                <w:sz w:val="24"/>
                <w:szCs w:val="24"/>
                <w:highlight w:val="none"/>
              </w:rPr>
              <w:t>包：</w:t>
            </w:r>
            <w:r>
              <w:rPr>
                <w:rFonts w:hint="eastAsia" w:asciiTheme="minorEastAsia" w:hAnsiTheme="minorEastAsia" w:eastAsiaTheme="minorEastAsia" w:cstheme="minorEastAsia"/>
                <w:bCs/>
                <w:sz w:val="24"/>
                <w:szCs w:val="24"/>
                <w:highlight w:val="none"/>
                <w:lang w:val="en-US" w:eastAsia="zh-CN"/>
              </w:rPr>
              <w:t>21000</w:t>
            </w:r>
            <w:r>
              <w:rPr>
                <w:rFonts w:hint="eastAsia" w:asciiTheme="minorEastAsia" w:hAnsiTheme="minorEastAsia" w:eastAsiaTheme="minorEastAsia" w:cstheme="minorEastAsia"/>
                <w:bCs/>
                <w:sz w:val="24"/>
                <w:szCs w:val="24"/>
                <w:highlight w:val="none"/>
              </w:rPr>
              <w:t>元</w:t>
            </w:r>
            <w:r>
              <w:rPr>
                <w:rFonts w:hint="eastAsia" w:asciiTheme="minorEastAsia" w:hAnsiTheme="minorEastAsia" w:eastAsiaTheme="minorEastAsia" w:cstheme="minorEastAsia"/>
                <w:bCs/>
                <w:sz w:val="24"/>
                <w:szCs w:val="24"/>
                <w:highlight w:val="none"/>
                <w:lang w:eastAsia="zh-CN"/>
              </w:rPr>
              <w:t>（</w:t>
            </w:r>
            <w:r>
              <w:rPr>
                <w:rFonts w:hint="eastAsia" w:asciiTheme="minorEastAsia" w:hAnsiTheme="minorEastAsia" w:eastAsiaTheme="minorEastAsia" w:cstheme="minorEastAsia"/>
                <w:bCs/>
                <w:sz w:val="24"/>
                <w:szCs w:val="24"/>
                <w:highlight w:val="none"/>
                <w:lang w:val="en-US" w:eastAsia="zh-CN"/>
              </w:rPr>
              <w:t>大写：贰万壹仟元整</w:t>
            </w:r>
            <w:r>
              <w:rPr>
                <w:rFonts w:hint="eastAsia" w:asciiTheme="minorEastAsia" w:hAnsiTheme="minorEastAsia" w:eastAsiaTheme="minorEastAsia" w:cstheme="minorEastAsia"/>
                <w:bCs/>
                <w:sz w:val="24"/>
                <w:szCs w:val="24"/>
                <w:highlight w:val="none"/>
                <w:lang w:eastAsia="zh-CN"/>
              </w:rPr>
              <w:t>）</w:t>
            </w:r>
          </w:p>
          <w:p>
            <w:pPr>
              <w:pStyle w:val="22"/>
              <w:spacing w:line="288" w:lineRule="auto"/>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第</w:t>
            </w:r>
            <w:r>
              <w:rPr>
                <w:rFonts w:hint="eastAsia" w:asciiTheme="minorEastAsia" w:hAnsiTheme="minorEastAsia" w:eastAsiaTheme="minorEastAsia" w:cstheme="minorEastAsia"/>
                <w:bCs/>
                <w:sz w:val="24"/>
                <w:szCs w:val="24"/>
                <w:highlight w:val="none"/>
                <w:lang w:val="en-US" w:eastAsia="zh-CN"/>
              </w:rPr>
              <w:t>十二</w:t>
            </w:r>
            <w:r>
              <w:rPr>
                <w:rFonts w:hint="eastAsia" w:asciiTheme="minorEastAsia" w:hAnsiTheme="minorEastAsia" w:eastAsiaTheme="minorEastAsia" w:cstheme="minorEastAsia"/>
                <w:bCs/>
                <w:sz w:val="24"/>
                <w:szCs w:val="24"/>
                <w:highlight w:val="none"/>
              </w:rPr>
              <w:t>包：</w:t>
            </w:r>
            <w:r>
              <w:rPr>
                <w:rFonts w:hint="eastAsia" w:asciiTheme="minorEastAsia" w:hAnsiTheme="minorEastAsia" w:eastAsiaTheme="minorEastAsia" w:cstheme="minorEastAsia"/>
                <w:bCs/>
                <w:sz w:val="24"/>
                <w:szCs w:val="24"/>
                <w:highlight w:val="none"/>
                <w:lang w:val="en-US" w:eastAsia="zh-CN"/>
              </w:rPr>
              <w:t>9600</w:t>
            </w:r>
            <w:r>
              <w:rPr>
                <w:rFonts w:hint="eastAsia" w:asciiTheme="minorEastAsia" w:hAnsiTheme="minorEastAsia" w:eastAsiaTheme="minorEastAsia" w:cstheme="minorEastAsia"/>
                <w:bCs/>
                <w:sz w:val="24"/>
                <w:szCs w:val="24"/>
                <w:highlight w:val="none"/>
              </w:rPr>
              <w:t>元</w:t>
            </w:r>
            <w:r>
              <w:rPr>
                <w:rFonts w:hint="eastAsia" w:asciiTheme="minorEastAsia" w:hAnsiTheme="minorEastAsia" w:eastAsiaTheme="minorEastAsia" w:cstheme="minorEastAsia"/>
                <w:bCs/>
                <w:sz w:val="24"/>
                <w:szCs w:val="24"/>
                <w:highlight w:val="none"/>
                <w:lang w:eastAsia="zh-CN"/>
              </w:rPr>
              <w:t>（</w:t>
            </w:r>
            <w:r>
              <w:rPr>
                <w:rFonts w:hint="eastAsia" w:asciiTheme="minorEastAsia" w:hAnsiTheme="minorEastAsia" w:eastAsiaTheme="minorEastAsia" w:cstheme="minorEastAsia"/>
                <w:bCs/>
                <w:sz w:val="24"/>
                <w:szCs w:val="24"/>
                <w:highlight w:val="none"/>
                <w:lang w:val="en-US" w:eastAsia="zh-CN"/>
              </w:rPr>
              <w:t>大写：玖仟陆佰元整</w:t>
            </w:r>
            <w:r>
              <w:rPr>
                <w:rFonts w:hint="eastAsia" w:asciiTheme="minorEastAsia" w:hAnsiTheme="minorEastAsia" w:eastAsiaTheme="minorEastAsia" w:cstheme="minorEastAsia"/>
                <w:bCs/>
                <w:sz w:val="24"/>
                <w:szCs w:val="24"/>
                <w:highlight w:val="none"/>
                <w:lang w:eastAsia="zh-CN"/>
              </w:rPr>
              <w:t>）</w:t>
            </w:r>
          </w:p>
          <w:p>
            <w:pPr>
              <w:pStyle w:val="22"/>
              <w:spacing w:line="288" w:lineRule="auto"/>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第</w:t>
            </w:r>
            <w:r>
              <w:rPr>
                <w:rFonts w:hint="eastAsia" w:asciiTheme="minorEastAsia" w:hAnsiTheme="minorEastAsia" w:eastAsiaTheme="minorEastAsia" w:cstheme="minorEastAsia"/>
                <w:bCs/>
                <w:sz w:val="24"/>
                <w:szCs w:val="24"/>
                <w:highlight w:val="none"/>
                <w:lang w:val="en-US" w:eastAsia="zh-CN"/>
              </w:rPr>
              <w:t>十三</w:t>
            </w:r>
            <w:r>
              <w:rPr>
                <w:rFonts w:hint="eastAsia" w:asciiTheme="minorEastAsia" w:hAnsiTheme="minorEastAsia" w:eastAsiaTheme="minorEastAsia" w:cstheme="minorEastAsia"/>
                <w:bCs/>
                <w:sz w:val="24"/>
                <w:szCs w:val="24"/>
                <w:highlight w:val="none"/>
              </w:rPr>
              <w:t>包：</w:t>
            </w:r>
            <w:r>
              <w:rPr>
                <w:rFonts w:hint="eastAsia" w:asciiTheme="minorEastAsia" w:hAnsiTheme="minorEastAsia" w:eastAsiaTheme="minorEastAsia" w:cstheme="minorEastAsia"/>
                <w:bCs/>
                <w:sz w:val="24"/>
                <w:szCs w:val="24"/>
                <w:highlight w:val="none"/>
                <w:lang w:val="en-US" w:eastAsia="zh-CN"/>
              </w:rPr>
              <w:t>14800</w:t>
            </w:r>
            <w:r>
              <w:rPr>
                <w:rFonts w:hint="eastAsia" w:asciiTheme="minorEastAsia" w:hAnsiTheme="minorEastAsia" w:eastAsiaTheme="minorEastAsia" w:cstheme="minorEastAsia"/>
                <w:bCs/>
                <w:sz w:val="24"/>
                <w:szCs w:val="24"/>
                <w:highlight w:val="none"/>
              </w:rPr>
              <w:t>元</w:t>
            </w:r>
            <w:r>
              <w:rPr>
                <w:rFonts w:hint="eastAsia" w:asciiTheme="minorEastAsia" w:hAnsiTheme="minorEastAsia" w:eastAsiaTheme="minorEastAsia" w:cstheme="minorEastAsia"/>
                <w:bCs/>
                <w:sz w:val="24"/>
                <w:szCs w:val="24"/>
                <w:highlight w:val="none"/>
                <w:lang w:eastAsia="zh-CN"/>
              </w:rPr>
              <w:t>（</w:t>
            </w:r>
            <w:r>
              <w:rPr>
                <w:rFonts w:hint="eastAsia" w:asciiTheme="minorEastAsia" w:hAnsiTheme="minorEastAsia" w:eastAsiaTheme="minorEastAsia" w:cstheme="minorEastAsia"/>
                <w:bCs/>
                <w:sz w:val="24"/>
                <w:szCs w:val="24"/>
                <w:highlight w:val="none"/>
                <w:lang w:val="en-US" w:eastAsia="zh-CN"/>
              </w:rPr>
              <w:t>大写：壹万肆仟捌佰元整</w:t>
            </w:r>
            <w:r>
              <w:rPr>
                <w:rFonts w:hint="eastAsia" w:asciiTheme="minorEastAsia" w:hAnsiTheme="minorEastAsia" w:eastAsiaTheme="minorEastAsia" w:cstheme="minorEastAsia"/>
                <w:bCs/>
                <w:sz w:val="24"/>
                <w:szCs w:val="24"/>
                <w:highlight w:val="none"/>
                <w:lang w:eastAsia="zh-CN"/>
              </w:rPr>
              <w:t>）</w:t>
            </w:r>
          </w:p>
          <w:p>
            <w:pPr>
              <w:pStyle w:val="22"/>
              <w:spacing w:line="288" w:lineRule="auto"/>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第</w:t>
            </w:r>
            <w:r>
              <w:rPr>
                <w:rFonts w:hint="eastAsia" w:asciiTheme="minorEastAsia" w:hAnsiTheme="minorEastAsia" w:eastAsiaTheme="minorEastAsia" w:cstheme="minorEastAsia"/>
                <w:bCs/>
                <w:sz w:val="24"/>
                <w:szCs w:val="24"/>
                <w:highlight w:val="none"/>
                <w:lang w:val="en-US" w:eastAsia="zh-CN"/>
              </w:rPr>
              <w:t>十四</w:t>
            </w:r>
            <w:r>
              <w:rPr>
                <w:rFonts w:hint="eastAsia" w:asciiTheme="minorEastAsia" w:hAnsiTheme="minorEastAsia" w:eastAsiaTheme="minorEastAsia" w:cstheme="minorEastAsia"/>
                <w:bCs/>
                <w:sz w:val="24"/>
                <w:szCs w:val="24"/>
                <w:highlight w:val="none"/>
              </w:rPr>
              <w:t>包：</w:t>
            </w:r>
            <w:r>
              <w:rPr>
                <w:rFonts w:hint="eastAsia" w:asciiTheme="minorEastAsia" w:hAnsiTheme="minorEastAsia" w:eastAsiaTheme="minorEastAsia" w:cstheme="minorEastAsia"/>
                <w:bCs/>
                <w:sz w:val="24"/>
                <w:szCs w:val="24"/>
                <w:highlight w:val="none"/>
                <w:lang w:val="en-US" w:eastAsia="zh-CN"/>
              </w:rPr>
              <w:t>10000</w:t>
            </w:r>
            <w:r>
              <w:rPr>
                <w:rFonts w:hint="eastAsia" w:asciiTheme="minorEastAsia" w:hAnsiTheme="minorEastAsia" w:eastAsiaTheme="minorEastAsia" w:cstheme="minorEastAsia"/>
                <w:bCs/>
                <w:sz w:val="24"/>
                <w:szCs w:val="24"/>
                <w:highlight w:val="none"/>
              </w:rPr>
              <w:t>元</w:t>
            </w:r>
            <w:r>
              <w:rPr>
                <w:rFonts w:hint="eastAsia" w:asciiTheme="minorEastAsia" w:hAnsiTheme="minorEastAsia" w:eastAsiaTheme="minorEastAsia" w:cstheme="minorEastAsia"/>
                <w:bCs/>
                <w:sz w:val="24"/>
                <w:szCs w:val="24"/>
                <w:highlight w:val="none"/>
                <w:lang w:eastAsia="zh-CN"/>
              </w:rPr>
              <w:t>（</w:t>
            </w:r>
            <w:r>
              <w:rPr>
                <w:rFonts w:hint="eastAsia" w:asciiTheme="minorEastAsia" w:hAnsiTheme="minorEastAsia" w:eastAsiaTheme="minorEastAsia" w:cstheme="minorEastAsia"/>
                <w:bCs/>
                <w:sz w:val="24"/>
                <w:szCs w:val="24"/>
                <w:highlight w:val="none"/>
                <w:lang w:val="en-US" w:eastAsia="zh-CN"/>
              </w:rPr>
              <w:t>大写：壹万元整</w:t>
            </w:r>
            <w:r>
              <w:rPr>
                <w:rFonts w:hint="eastAsia" w:asciiTheme="minorEastAsia" w:hAnsiTheme="minorEastAsia" w:eastAsiaTheme="minorEastAsia" w:cstheme="minorEastAsia"/>
                <w:bCs/>
                <w:sz w:val="24"/>
                <w:szCs w:val="24"/>
                <w:highlight w:val="none"/>
                <w:lang w:eastAsia="zh-CN"/>
              </w:rPr>
              <w:t>）</w:t>
            </w:r>
          </w:p>
          <w:p>
            <w:pPr>
              <w:pStyle w:val="22"/>
              <w:spacing w:line="288" w:lineRule="auto"/>
              <w:jc w:val="left"/>
              <w:rPr>
                <w:rFonts w:hint="eastAsia" w:asciiTheme="minorEastAsia" w:hAnsiTheme="minorEastAsia" w:eastAsiaTheme="minorEastAsia" w:cstheme="minorEastAsia"/>
                <w:bCs/>
                <w:sz w:val="24"/>
                <w:szCs w:val="24"/>
                <w:highlight w:val="none"/>
                <w:lang w:val="en-US" w:eastAsia="zh-CN"/>
              </w:rPr>
            </w:pPr>
            <w:r>
              <w:rPr>
                <w:rFonts w:hint="eastAsia" w:asciiTheme="minorEastAsia" w:hAnsiTheme="minorEastAsia" w:eastAsiaTheme="minorEastAsia" w:cstheme="minorEastAsia"/>
                <w:bCs/>
                <w:sz w:val="24"/>
                <w:szCs w:val="24"/>
                <w:highlight w:val="none"/>
              </w:rPr>
              <w:t>第</w:t>
            </w:r>
            <w:r>
              <w:rPr>
                <w:rFonts w:hint="eastAsia" w:asciiTheme="minorEastAsia" w:hAnsiTheme="minorEastAsia" w:eastAsiaTheme="minorEastAsia" w:cstheme="minorEastAsia"/>
                <w:bCs/>
                <w:sz w:val="24"/>
                <w:szCs w:val="24"/>
                <w:highlight w:val="none"/>
                <w:lang w:val="en-US" w:eastAsia="zh-CN"/>
              </w:rPr>
              <w:t>十五</w:t>
            </w:r>
            <w:r>
              <w:rPr>
                <w:rFonts w:hint="eastAsia" w:asciiTheme="minorEastAsia" w:hAnsiTheme="minorEastAsia" w:eastAsiaTheme="minorEastAsia" w:cstheme="minorEastAsia"/>
                <w:bCs/>
                <w:sz w:val="24"/>
                <w:szCs w:val="24"/>
                <w:highlight w:val="none"/>
              </w:rPr>
              <w:t>包：</w:t>
            </w:r>
            <w:r>
              <w:rPr>
                <w:rFonts w:hint="eastAsia" w:asciiTheme="minorEastAsia" w:hAnsiTheme="minorEastAsia" w:eastAsiaTheme="minorEastAsia" w:cstheme="minorEastAsia"/>
                <w:bCs/>
                <w:sz w:val="24"/>
                <w:szCs w:val="24"/>
                <w:highlight w:val="none"/>
                <w:lang w:val="en-US" w:eastAsia="zh-CN"/>
              </w:rPr>
              <w:t>10500元</w:t>
            </w:r>
            <w:r>
              <w:rPr>
                <w:rFonts w:hint="eastAsia" w:asciiTheme="minorEastAsia" w:hAnsiTheme="minorEastAsia" w:eastAsiaTheme="minorEastAsia" w:cstheme="minorEastAsia"/>
                <w:bCs/>
                <w:sz w:val="24"/>
                <w:szCs w:val="24"/>
                <w:highlight w:val="none"/>
                <w:lang w:eastAsia="zh-CN"/>
              </w:rPr>
              <w:t>（</w:t>
            </w:r>
            <w:r>
              <w:rPr>
                <w:rFonts w:hint="eastAsia" w:asciiTheme="minorEastAsia" w:hAnsiTheme="minorEastAsia" w:eastAsiaTheme="minorEastAsia" w:cstheme="minorEastAsia"/>
                <w:bCs/>
                <w:sz w:val="24"/>
                <w:szCs w:val="24"/>
                <w:highlight w:val="none"/>
                <w:lang w:val="en-US" w:eastAsia="zh-CN"/>
              </w:rPr>
              <w:t>大写：壹万零伍佰元整</w:t>
            </w:r>
            <w:r>
              <w:rPr>
                <w:rFonts w:hint="eastAsia" w:asciiTheme="minorEastAsia" w:hAnsiTheme="minorEastAsia" w:eastAsiaTheme="minorEastAsia" w:cstheme="minorEastAsia"/>
                <w:bCs/>
                <w:sz w:val="24"/>
                <w:szCs w:val="24"/>
                <w:highlight w:val="none"/>
                <w:lang w:eastAsia="zh-CN"/>
              </w:rPr>
              <w:t>）</w:t>
            </w:r>
          </w:p>
          <w:p>
            <w:pPr>
              <w:pStyle w:val="22"/>
              <w:spacing w:line="288" w:lineRule="auto"/>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第</w:t>
            </w:r>
            <w:r>
              <w:rPr>
                <w:rFonts w:hint="eastAsia" w:asciiTheme="minorEastAsia" w:hAnsiTheme="minorEastAsia" w:eastAsiaTheme="minorEastAsia" w:cstheme="minorEastAsia"/>
                <w:bCs/>
                <w:sz w:val="24"/>
                <w:szCs w:val="24"/>
                <w:highlight w:val="none"/>
                <w:lang w:val="en-US" w:eastAsia="zh-CN"/>
              </w:rPr>
              <w:t>十六</w:t>
            </w:r>
            <w:r>
              <w:rPr>
                <w:rFonts w:hint="eastAsia" w:asciiTheme="minorEastAsia" w:hAnsiTheme="minorEastAsia" w:eastAsiaTheme="minorEastAsia" w:cstheme="minorEastAsia"/>
                <w:bCs/>
                <w:sz w:val="24"/>
                <w:szCs w:val="24"/>
                <w:highlight w:val="none"/>
              </w:rPr>
              <w:t>包：</w:t>
            </w:r>
            <w:r>
              <w:rPr>
                <w:rFonts w:hint="eastAsia" w:asciiTheme="minorEastAsia" w:hAnsiTheme="minorEastAsia" w:eastAsiaTheme="minorEastAsia" w:cstheme="minorEastAsia"/>
                <w:bCs/>
                <w:sz w:val="24"/>
                <w:szCs w:val="24"/>
                <w:highlight w:val="none"/>
                <w:lang w:val="en-US" w:eastAsia="zh-CN"/>
              </w:rPr>
              <w:t>16000</w:t>
            </w:r>
            <w:r>
              <w:rPr>
                <w:rFonts w:hint="eastAsia" w:asciiTheme="minorEastAsia" w:hAnsiTheme="minorEastAsia" w:eastAsiaTheme="minorEastAsia" w:cstheme="minorEastAsia"/>
                <w:bCs/>
                <w:sz w:val="24"/>
                <w:szCs w:val="24"/>
                <w:highlight w:val="none"/>
              </w:rPr>
              <w:t>元</w:t>
            </w:r>
            <w:r>
              <w:rPr>
                <w:rFonts w:hint="eastAsia" w:asciiTheme="minorEastAsia" w:hAnsiTheme="minorEastAsia" w:eastAsiaTheme="minorEastAsia" w:cstheme="minorEastAsia"/>
                <w:bCs/>
                <w:sz w:val="24"/>
                <w:szCs w:val="24"/>
                <w:highlight w:val="none"/>
                <w:lang w:eastAsia="zh-CN"/>
              </w:rPr>
              <w:t>（</w:t>
            </w:r>
            <w:r>
              <w:rPr>
                <w:rFonts w:hint="eastAsia" w:asciiTheme="minorEastAsia" w:hAnsiTheme="minorEastAsia" w:eastAsiaTheme="minorEastAsia" w:cstheme="minorEastAsia"/>
                <w:bCs/>
                <w:sz w:val="24"/>
                <w:szCs w:val="24"/>
                <w:highlight w:val="none"/>
                <w:lang w:val="en-US" w:eastAsia="zh-CN"/>
              </w:rPr>
              <w:t>大写：壹万陆仟元整</w:t>
            </w:r>
            <w:r>
              <w:rPr>
                <w:rFonts w:hint="eastAsia" w:asciiTheme="minorEastAsia" w:hAnsiTheme="minorEastAsia" w:eastAsiaTheme="minorEastAsia" w:cstheme="minorEastAsia"/>
                <w:bCs/>
                <w:sz w:val="24"/>
                <w:szCs w:val="24"/>
                <w:highlight w:val="none"/>
                <w:lang w:eastAsia="zh-CN"/>
              </w:rPr>
              <w:t>）</w:t>
            </w:r>
          </w:p>
          <w:p>
            <w:pPr>
              <w:spacing w:line="360" w:lineRule="exact"/>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rPr>
              <w:t>2.</w:t>
            </w:r>
            <w:r>
              <w:rPr>
                <w:rFonts w:hint="eastAsia" w:asciiTheme="minorEastAsia" w:hAnsiTheme="minorEastAsia" w:eastAsiaTheme="minorEastAsia" w:cstheme="minorEastAsia"/>
                <w:sz w:val="24"/>
                <w:szCs w:val="24"/>
                <w:highlight w:val="none"/>
                <w:lang w:val="zh-CN"/>
              </w:rPr>
              <w:t>投标保证金递交截止时间：投标文件递交截止时间前。</w:t>
            </w:r>
          </w:p>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3.投标保证金缴纳形式：投标保证金应当以支票、汇票、本票或者金融机构、担保机构出具的保函等非现金形式提交，投标人未按照招标文件要求提交投标保证金的，投标无效。</w:t>
            </w:r>
          </w:p>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投标保证金由投标人基本账户一次性汇入。投标保证金必须在提交投标文件截止时间前缴纳，投标人应充分考虑资金到账时间，在规定的时限前自行办妥投标保证金交纳手续。投标保证金采取银行转账、电汇方式递交的，以电汇凭证和网银对账单的时间为准，采取支票、银行汇票、保函方式递交的，以实际递交至招标代理机构的时间为准，超过时限交纳投标保证金视为投标无效。</w:t>
            </w:r>
          </w:p>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5.投标保证金递交的开户银行及账号如下：</w:t>
            </w:r>
          </w:p>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账 户 名 称：新疆新之建工程咨询有限公司</w:t>
            </w:r>
          </w:p>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开户行名称：中国银行乌鲁木齐市青年路支行</w:t>
            </w:r>
          </w:p>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账      号：107673584569</w:t>
            </w:r>
          </w:p>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行      号：104881006022  </w:t>
            </w:r>
          </w:p>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注意：不得以现金的方式和其他的形式缴纳，不得以办事处或其他机构名义缴纳，投标人在缴纳保证金时，需在进账凭证上明确自己用途和投标项目，并注明联系人及电话，以便查对核实。请投标人按上述要求将投标保证金汇入指定的开户银行，未按规定提交投标保证金的投标，将被视为投标无效。保证金事宜请联系财务室：0991-4504889</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15</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投标有效期</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spacing w:line="288" w:lineRule="auto"/>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kern w:val="0"/>
                <w:sz w:val="24"/>
                <w:szCs w:val="24"/>
                <w:highlight w:val="none"/>
              </w:rPr>
              <w:t>递交投标文件的截止之日起90天。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16</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现场踏勘</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本项目不安排现场踏勘。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17</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投标文件</w:t>
            </w:r>
          </w:p>
          <w:p>
            <w:pPr>
              <w:spacing w:line="288" w:lineRule="auto"/>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份数</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1、一份正本、四份副本</w:t>
            </w:r>
            <w:r>
              <w:rPr>
                <w:rFonts w:hint="eastAsia" w:asciiTheme="minorEastAsia" w:hAnsiTheme="minorEastAsia" w:eastAsiaTheme="minorEastAsia" w:cstheme="minorEastAsia"/>
                <w:b/>
                <w:bCs/>
                <w:sz w:val="24"/>
                <w:szCs w:val="24"/>
                <w:highlight w:val="none"/>
              </w:rPr>
              <w:t>（报价文件单独胶装成一册，商务技术文件合并胶装）。</w:t>
            </w:r>
          </w:p>
          <w:p>
            <w:pPr>
              <w:spacing w:line="288"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2、电子文档：1份光盘，1份U盘。格式为WORD版和签章后的投标文件正本扫描件PDF版，样品讲解视频（如本项目标包要求提供样品讲解视频）。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18</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投标截止时间及投标文件递交地点</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投标截止时间：2024年</w:t>
            </w:r>
            <w:r>
              <w:rPr>
                <w:rFonts w:hint="eastAsia" w:asciiTheme="minorEastAsia" w:hAnsiTheme="minorEastAsia" w:eastAsiaTheme="minorEastAsia" w:cstheme="minorEastAsia"/>
                <w:bCs/>
                <w:sz w:val="24"/>
                <w:szCs w:val="24"/>
                <w:highlight w:val="none"/>
                <w:lang w:val="en-US" w:eastAsia="zh-CN"/>
              </w:rPr>
              <w:t>04</w:t>
            </w:r>
            <w:r>
              <w:rPr>
                <w:rFonts w:hint="eastAsia" w:asciiTheme="minorEastAsia" w:hAnsiTheme="minorEastAsia" w:eastAsiaTheme="minorEastAsia" w:cstheme="minorEastAsia"/>
                <w:bCs/>
                <w:sz w:val="24"/>
                <w:szCs w:val="24"/>
                <w:highlight w:val="none"/>
              </w:rPr>
              <w:t>月</w:t>
            </w:r>
            <w:r>
              <w:rPr>
                <w:rFonts w:hint="eastAsia" w:asciiTheme="minorEastAsia" w:hAnsiTheme="minorEastAsia" w:eastAsiaTheme="minorEastAsia" w:cstheme="minorEastAsia"/>
                <w:bCs/>
                <w:sz w:val="24"/>
                <w:szCs w:val="24"/>
                <w:highlight w:val="none"/>
                <w:lang w:val="en-US" w:eastAsia="zh-CN"/>
              </w:rPr>
              <w:t>23</w:t>
            </w:r>
            <w:r>
              <w:rPr>
                <w:rFonts w:hint="eastAsia" w:asciiTheme="minorEastAsia" w:hAnsiTheme="minorEastAsia" w:eastAsiaTheme="minorEastAsia" w:cstheme="minorEastAsia"/>
                <w:bCs/>
                <w:sz w:val="24"/>
                <w:szCs w:val="24"/>
                <w:highlight w:val="none"/>
              </w:rPr>
              <w:t>日 1</w:t>
            </w:r>
            <w:r>
              <w:rPr>
                <w:rFonts w:hint="eastAsia" w:asciiTheme="minorEastAsia" w:hAnsiTheme="minorEastAsia" w:eastAsiaTheme="minorEastAsia" w:cstheme="minorEastAsia"/>
                <w:bCs/>
                <w:sz w:val="24"/>
                <w:szCs w:val="24"/>
                <w:highlight w:val="none"/>
                <w:lang w:val="en-US" w:eastAsia="zh-CN"/>
              </w:rPr>
              <w:t>0</w:t>
            </w:r>
            <w:r>
              <w:rPr>
                <w:rFonts w:hint="eastAsia" w:asciiTheme="minorEastAsia" w:hAnsiTheme="minorEastAsia" w:eastAsiaTheme="minorEastAsia" w:cstheme="minorEastAsia"/>
                <w:bCs/>
                <w:sz w:val="24"/>
                <w:szCs w:val="24"/>
                <w:highlight w:val="none"/>
              </w:rPr>
              <w:t>点00分（北京时间）</w:t>
            </w:r>
          </w:p>
          <w:p>
            <w:pPr>
              <w:spacing w:line="288" w:lineRule="auto"/>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投标地点：昌吉回族自治州政务服务和公共资源交易中心公共资源交易大厅负一楼第</w:t>
            </w:r>
            <w:r>
              <w:rPr>
                <w:rFonts w:hint="eastAsia" w:asciiTheme="minorEastAsia" w:hAnsiTheme="minorEastAsia" w:eastAsiaTheme="minorEastAsia" w:cstheme="minorEastAsia"/>
                <w:bCs/>
                <w:sz w:val="24"/>
                <w:szCs w:val="24"/>
                <w:highlight w:val="none"/>
                <w:lang w:val="en-US" w:eastAsia="zh-CN"/>
              </w:rPr>
              <w:t>2</w:t>
            </w:r>
            <w:r>
              <w:rPr>
                <w:rFonts w:hint="eastAsia" w:asciiTheme="minorEastAsia" w:hAnsiTheme="minorEastAsia" w:eastAsiaTheme="minorEastAsia" w:cstheme="minorEastAsia"/>
                <w:bCs/>
                <w:sz w:val="24"/>
                <w:szCs w:val="24"/>
                <w:highlight w:val="none"/>
              </w:rPr>
              <w:t>开标大厅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19</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开标时间</w:t>
            </w:r>
          </w:p>
          <w:p>
            <w:pPr>
              <w:spacing w:line="288" w:lineRule="auto"/>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及地点</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开标时间：2024年</w:t>
            </w:r>
            <w:r>
              <w:rPr>
                <w:rFonts w:hint="eastAsia" w:asciiTheme="minorEastAsia" w:hAnsiTheme="minorEastAsia" w:eastAsiaTheme="minorEastAsia" w:cstheme="minorEastAsia"/>
                <w:sz w:val="24"/>
                <w:szCs w:val="24"/>
                <w:highlight w:val="none"/>
                <w:lang w:val="en-US" w:eastAsia="zh-CN"/>
              </w:rPr>
              <w:t>04</w:t>
            </w:r>
            <w:r>
              <w:rPr>
                <w:rFonts w:hint="eastAsia" w:asciiTheme="minorEastAsia" w:hAnsiTheme="minorEastAsia" w:eastAsiaTheme="minorEastAsia" w:cstheme="minorEastAsia"/>
                <w:sz w:val="24"/>
                <w:szCs w:val="24"/>
                <w:highlight w:val="none"/>
              </w:rPr>
              <w:t>月</w:t>
            </w:r>
            <w:r>
              <w:rPr>
                <w:rFonts w:hint="eastAsia" w:asciiTheme="minorEastAsia" w:hAnsiTheme="minorEastAsia" w:eastAsiaTheme="minorEastAsia" w:cstheme="minorEastAsia"/>
                <w:sz w:val="24"/>
                <w:szCs w:val="24"/>
                <w:highlight w:val="none"/>
                <w:lang w:val="en-US" w:eastAsia="zh-CN"/>
              </w:rPr>
              <w:t>23</w:t>
            </w:r>
            <w:r>
              <w:rPr>
                <w:rFonts w:hint="eastAsia" w:asciiTheme="minorEastAsia" w:hAnsiTheme="minorEastAsia" w:eastAsiaTheme="minorEastAsia" w:cstheme="minorEastAsia"/>
                <w:sz w:val="24"/>
                <w:szCs w:val="24"/>
                <w:highlight w:val="none"/>
              </w:rPr>
              <w:t xml:space="preserve">日 </w:t>
            </w:r>
            <w:r>
              <w:rPr>
                <w:rFonts w:hint="eastAsia" w:asciiTheme="minorEastAsia" w:hAnsiTheme="minorEastAsia" w:eastAsiaTheme="minorEastAsia" w:cstheme="minorEastAsia"/>
                <w:sz w:val="24"/>
                <w:szCs w:val="24"/>
                <w:highlight w:val="none"/>
                <w:lang w:val="en-US" w:eastAsia="zh-CN"/>
              </w:rPr>
              <w:t>10</w:t>
            </w:r>
            <w:r>
              <w:rPr>
                <w:rFonts w:hint="eastAsia" w:asciiTheme="minorEastAsia" w:hAnsiTheme="minorEastAsia" w:eastAsiaTheme="minorEastAsia" w:cstheme="minorEastAsia"/>
                <w:sz w:val="24"/>
                <w:szCs w:val="24"/>
                <w:highlight w:val="none"/>
              </w:rPr>
              <w:t>点00分（北京时间）</w:t>
            </w:r>
          </w:p>
          <w:p>
            <w:pPr>
              <w:spacing w:line="288"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开标地点：昌吉回族自治州政务服务和公共资源交易中心公共资源交易大厅负一楼第</w:t>
            </w:r>
            <w:r>
              <w:rPr>
                <w:rFonts w:hint="eastAsia" w:asciiTheme="minorEastAsia" w:hAnsiTheme="minorEastAsia" w:eastAsia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rPr>
              <w:t>开标大厅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20</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ind w:right="-8"/>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评标办法</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综合评分法</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21</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履约保证金</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合同签订前，中标单位按照中标金额的5%缴纳履约保证金，中标单位按合同约定交付全部产品，安装调试完毕，书面验收合格一年后，采购单位无息退还全部履约保证金。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22</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hint="eastAsia" w:asciiTheme="minorEastAsia" w:hAnsiTheme="minorEastAsia" w:eastAsiaTheme="minorEastAsia" w:cstheme="minorEastAsia"/>
                <w:spacing w:val="-4"/>
                <w:sz w:val="24"/>
                <w:szCs w:val="24"/>
                <w:highlight w:val="none"/>
              </w:rPr>
            </w:pPr>
            <w:r>
              <w:rPr>
                <w:rFonts w:hint="eastAsia" w:asciiTheme="minorEastAsia" w:hAnsiTheme="minorEastAsia" w:eastAsiaTheme="minorEastAsia" w:cstheme="minorEastAsia"/>
                <w:bCs/>
                <w:spacing w:val="-4"/>
                <w:sz w:val="24"/>
                <w:szCs w:val="24"/>
                <w:highlight w:val="none"/>
              </w:rPr>
              <w:t>开标准备</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4"/>
                <w:sz w:val="24"/>
                <w:szCs w:val="24"/>
                <w:highlight w:val="none"/>
              </w:rPr>
              <w:t>详见本招标文件投标人须知第22条。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23</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hint="eastAsia" w:asciiTheme="minorEastAsia" w:hAnsiTheme="minorEastAsia" w:eastAsiaTheme="minorEastAsia" w:cstheme="minorEastAsia"/>
                <w:spacing w:val="-4"/>
                <w:sz w:val="24"/>
                <w:szCs w:val="24"/>
                <w:highlight w:val="none"/>
              </w:rPr>
            </w:pPr>
            <w:r>
              <w:rPr>
                <w:rFonts w:hint="eastAsia" w:asciiTheme="minorEastAsia" w:hAnsiTheme="minorEastAsia" w:eastAsiaTheme="minorEastAsia" w:cstheme="minorEastAsia"/>
                <w:spacing w:val="-4"/>
                <w:sz w:val="24"/>
                <w:szCs w:val="24"/>
                <w:highlight w:val="none"/>
              </w:rPr>
              <w:t>同品牌投标处理原则</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rPr>
                <w:rFonts w:hint="eastAsia" w:asciiTheme="minorEastAsia" w:hAnsiTheme="minorEastAsia" w:eastAsiaTheme="minorEastAsia" w:cstheme="minorEastAsia"/>
                <w:b/>
                <w:bCs/>
                <w:spacing w:val="-4"/>
                <w:sz w:val="24"/>
                <w:szCs w:val="24"/>
                <w:highlight w:val="none"/>
              </w:rPr>
            </w:pPr>
            <w:r>
              <w:rPr>
                <w:rFonts w:hint="eastAsia" w:asciiTheme="minorEastAsia" w:hAnsiTheme="minorEastAsia" w:eastAsiaTheme="minorEastAsia" w:cstheme="minorEastAsia"/>
                <w:spacing w:val="-4"/>
                <w:sz w:val="24"/>
                <w:szCs w:val="24"/>
                <w:highlight w:val="none"/>
              </w:rPr>
              <w:t>详见本招标文件投标人须知第7条。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24</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hint="eastAsia" w:asciiTheme="minorEastAsia" w:hAnsiTheme="minorEastAsia" w:eastAsiaTheme="minorEastAsia" w:cstheme="minorEastAsia"/>
                <w:spacing w:val="-4"/>
                <w:sz w:val="24"/>
                <w:szCs w:val="24"/>
                <w:highlight w:val="none"/>
              </w:rPr>
            </w:pPr>
            <w:r>
              <w:rPr>
                <w:rFonts w:hint="eastAsia" w:asciiTheme="minorEastAsia" w:hAnsiTheme="minorEastAsia" w:eastAsiaTheme="minorEastAsia" w:cstheme="minorEastAsia"/>
                <w:spacing w:val="-4"/>
                <w:sz w:val="24"/>
                <w:szCs w:val="24"/>
                <w:highlight w:val="none"/>
              </w:rPr>
              <w:t>国家规定的优先、强制采购范围（节能、环保）</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1.根据《国家市场监督管理总局关于发布强制性产品认证目录描述与界定表的公告》（2023年第36号）要求，</w:t>
            </w:r>
            <w:r>
              <w:rPr>
                <w:rFonts w:hint="eastAsia" w:asciiTheme="minorEastAsia" w:hAnsiTheme="minorEastAsia" w:eastAsiaTheme="minorEastAsia" w:cstheme="minorEastAsia"/>
                <w:sz w:val="24"/>
                <w:szCs w:val="24"/>
                <w:highlight w:val="none"/>
                <w:lang w:val="en-US" w:eastAsia="zh-CN"/>
              </w:rPr>
              <w:t>如</w:t>
            </w:r>
            <w:r>
              <w:rPr>
                <w:rFonts w:hint="eastAsia" w:asciiTheme="minorEastAsia" w:hAnsiTheme="minorEastAsia" w:eastAsiaTheme="minorEastAsia" w:cstheme="minorEastAsia"/>
                <w:sz w:val="24"/>
                <w:szCs w:val="24"/>
                <w:highlight w:val="none"/>
              </w:rPr>
              <w:t>本项目的产品属于《强制性产品认证目录》范围内产品的，应取得有效期内的强制性认证证书（CCC认证证书），</w:t>
            </w:r>
            <w:r>
              <w:rPr>
                <w:rFonts w:hint="eastAsia" w:asciiTheme="minorEastAsia" w:hAnsiTheme="minorEastAsia" w:eastAsiaTheme="minorEastAsia" w:cstheme="minorEastAsia"/>
                <w:sz w:val="24"/>
                <w:szCs w:val="24"/>
                <w:highlight w:val="none"/>
                <w:lang w:eastAsia="zh-CN"/>
              </w:rPr>
              <w:t>投标人</w:t>
            </w:r>
            <w:r>
              <w:rPr>
                <w:rFonts w:hint="eastAsia" w:asciiTheme="minorEastAsia" w:hAnsiTheme="minorEastAsia" w:eastAsiaTheme="minorEastAsia" w:cstheme="minorEastAsia"/>
                <w:sz w:val="24"/>
                <w:szCs w:val="24"/>
                <w:highlight w:val="none"/>
              </w:rPr>
              <w:t>须在投标文件中提供认证证书复印件（加盖公章），否则将被视为无效投标。</w:t>
            </w:r>
          </w:p>
          <w:p>
            <w:pPr>
              <w:widowControl/>
              <w:tabs>
                <w:tab w:val="left" w:pos="720"/>
                <w:tab w:val="left" w:pos="900"/>
                <w:tab w:val="left" w:pos="1080"/>
                <w:tab w:val="left" w:pos="1260"/>
                <w:tab w:val="left" w:pos="1440"/>
                <w:tab w:val="left" w:pos="1800"/>
              </w:tabs>
              <w:spacing w:line="288"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2.根据财政部、发展改革委、生态环境部、市场监管总局联合发布的《关于调整优化节能产品、环境标志产品政府采购执行机制的通知》(财库[2019]9号)要求</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本项目采购产品如属于《关于印发节能产品政府采购品目清单的通知》（财库[2019]19号）范围内的政府强制采购产品的，应取得有效期内的节能产品认证证书，</w:t>
            </w:r>
            <w:r>
              <w:rPr>
                <w:rFonts w:hint="eastAsia" w:asciiTheme="minorEastAsia" w:hAnsiTheme="minorEastAsia" w:eastAsiaTheme="minorEastAsia" w:cstheme="minorEastAsia"/>
                <w:sz w:val="24"/>
                <w:szCs w:val="24"/>
                <w:highlight w:val="none"/>
                <w:lang w:eastAsia="zh-CN"/>
              </w:rPr>
              <w:t>投标人</w:t>
            </w:r>
            <w:r>
              <w:rPr>
                <w:rFonts w:hint="eastAsia" w:asciiTheme="minorEastAsia" w:hAnsiTheme="minorEastAsia" w:eastAsiaTheme="minorEastAsia" w:cstheme="minorEastAsia"/>
                <w:sz w:val="24"/>
                <w:szCs w:val="24"/>
                <w:highlight w:val="none"/>
              </w:rPr>
              <w:t>须在投标文件中提供认证证书复印件（加盖公章）</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否则</w:t>
            </w:r>
            <w:r>
              <w:rPr>
                <w:rFonts w:hint="eastAsia" w:asciiTheme="minorEastAsia" w:hAnsiTheme="minorEastAsia" w:eastAsiaTheme="minorEastAsia" w:cstheme="minorEastAsia"/>
                <w:sz w:val="24"/>
                <w:szCs w:val="24"/>
                <w:highlight w:val="none"/>
              </w:rPr>
              <w:t>将被视为无效投标。</w:t>
            </w:r>
          </w:p>
          <w:p>
            <w:pPr>
              <w:widowControl/>
              <w:tabs>
                <w:tab w:val="left" w:pos="720"/>
                <w:tab w:val="left" w:pos="900"/>
                <w:tab w:val="left" w:pos="1080"/>
                <w:tab w:val="left" w:pos="1260"/>
                <w:tab w:val="left" w:pos="1440"/>
                <w:tab w:val="left" w:pos="1800"/>
              </w:tabs>
              <w:spacing w:line="288"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根据财政部、发展改革委、生态环境部、市场监管总局联合发布的《关于调整优化节能产品、环境标志产品政府采购执行机制的通知》(财库[2019]9号)要求,本项目采购产品如属于《关于印发节能产品政府采购品目清单的通知》（财库[2019]19号）、《关于印发环境标志产品政府采购品目清单的通知》（财库[2019]18号）范围内的政府优先采购产品的，应取得有效期内的节能产品、环境标志产品认证证书，</w:t>
            </w:r>
            <w:r>
              <w:rPr>
                <w:rFonts w:hint="eastAsia" w:asciiTheme="minorEastAsia" w:hAnsiTheme="minorEastAsia" w:eastAsiaTheme="minorEastAsia" w:cstheme="minorEastAsia"/>
                <w:sz w:val="24"/>
                <w:szCs w:val="24"/>
                <w:highlight w:val="none"/>
                <w:lang w:eastAsia="zh-CN"/>
              </w:rPr>
              <w:t>投标人</w:t>
            </w:r>
            <w:r>
              <w:rPr>
                <w:rFonts w:hint="eastAsia" w:asciiTheme="minorEastAsia" w:hAnsiTheme="minorEastAsia" w:eastAsiaTheme="minorEastAsia" w:cstheme="minorEastAsia"/>
                <w:sz w:val="24"/>
                <w:szCs w:val="24"/>
                <w:highlight w:val="none"/>
              </w:rPr>
              <w:t>须在投标文件中提供认证证书复印件（加盖公章），否则不予认定。</w:t>
            </w:r>
          </w:p>
          <w:p>
            <w:pPr>
              <w:pStyle w:val="2"/>
              <w:rPr>
                <w:rFonts w:hint="eastAsia" w:eastAsiaTheme="minorEastAsia"/>
                <w:highlight w:val="none"/>
                <w:lang w:val="en-US" w:eastAsia="zh-CN"/>
              </w:rPr>
            </w:pPr>
            <w:r>
              <w:rPr>
                <w:rFonts w:hint="eastAsia" w:asciiTheme="minorEastAsia" w:hAnsiTheme="minorEastAsia" w:eastAsiaTheme="minorEastAsia" w:cstheme="minorEastAsia"/>
                <w:sz w:val="24"/>
                <w:szCs w:val="24"/>
                <w:highlight w:val="none"/>
                <w:lang w:val="en-US" w:eastAsia="zh-CN"/>
              </w:rPr>
              <w:t>4、本项目第十六包产品：“防水定位对讲机”属于无线电设备，根据《中华人民共和国无线电管理条例》规定，应取得有效期内的《无线电设备发射型号核准证》且在采购人要求的频率范围内，投标人须在投标文件中提供核准证复印件（加盖公章），否则将被视为无效投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25</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代理服务费用</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参照国家发展改革委员会发改价格【2011】534号、发改办价格【2003】857号文件和国家发展改革委“发改价格”和《招标代理服务收费管理暂行办法》（计价格【2002】1980号），以中标价为基准计算，采用差额定率累进计法计取，下浮20%，由中标单位支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26</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hint="eastAsia" w:asciiTheme="minorEastAsia" w:hAnsiTheme="minorEastAsia" w:eastAsiaTheme="minorEastAsia" w:cstheme="minorEastAsia"/>
                <w:spacing w:val="-4"/>
                <w:sz w:val="24"/>
                <w:szCs w:val="24"/>
                <w:highlight w:val="none"/>
              </w:rPr>
            </w:pPr>
            <w:r>
              <w:rPr>
                <w:rFonts w:hint="eastAsia" w:asciiTheme="minorEastAsia" w:hAnsiTheme="minorEastAsia" w:eastAsiaTheme="minorEastAsia" w:cstheme="minorEastAsia"/>
                <w:bCs/>
                <w:sz w:val="24"/>
                <w:szCs w:val="24"/>
                <w:highlight w:val="none"/>
              </w:rPr>
              <w:t>低于成本价不正当竞争预防措施</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left"/>
              <w:rPr>
                <w:rFonts w:hint="eastAsia" w:asciiTheme="minorEastAsia" w:hAnsiTheme="minorEastAsia" w:eastAsiaTheme="minorEastAsia" w:cstheme="minorEastAsia"/>
                <w:spacing w:val="-4"/>
                <w:sz w:val="24"/>
                <w:szCs w:val="24"/>
                <w:highlight w:val="none"/>
              </w:rPr>
            </w:pPr>
            <w:r>
              <w:rPr>
                <w:rFonts w:hint="eastAsia" w:asciiTheme="minorEastAsia" w:hAnsiTheme="minorEastAsia" w:eastAsiaTheme="minorEastAsia" w:cstheme="minorEastAsia"/>
                <w:spacing w:val="-4"/>
                <w:sz w:val="24"/>
                <w:szCs w:val="24"/>
                <w:highlight w:val="none"/>
              </w:rPr>
              <w:t>1.在评标过程中，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widowControl/>
              <w:tabs>
                <w:tab w:val="left" w:pos="720"/>
                <w:tab w:val="left" w:pos="900"/>
                <w:tab w:val="left" w:pos="1080"/>
                <w:tab w:val="left" w:pos="1260"/>
                <w:tab w:val="left" w:pos="1440"/>
                <w:tab w:val="left" w:pos="1800"/>
              </w:tabs>
              <w:spacing w:line="288" w:lineRule="auto"/>
              <w:jc w:val="left"/>
              <w:rPr>
                <w:rFonts w:hint="eastAsia" w:asciiTheme="minorEastAsia" w:hAnsiTheme="minorEastAsia" w:eastAsiaTheme="minorEastAsia" w:cstheme="minorEastAsia"/>
                <w:spacing w:val="-4"/>
                <w:sz w:val="24"/>
                <w:szCs w:val="24"/>
                <w:highlight w:val="none"/>
              </w:rPr>
            </w:pPr>
            <w:r>
              <w:rPr>
                <w:rFonts w:hint="eastAsia" w:asciiTheme="minorEastAsia" w:hAnsiTheme="minorEastAsia" w:eastAsiaTheme="minorEastAsia" w:cstheme="minorEastAsia"/>
                <w:spacing w:val="-4"/>
                <w:sz w:val="24"/>
                <w:szCs w:val="24"/>
                <w:highlight w:val="none"/>
              </w:rPr>
              <w:t>2.投标人书面说明应当签字确认并且加盖公章，否则无效。书面说明的签字确认，投标人为法人的，由其法定代表人或者代理人签字确认；投标人为其他组织的，由其主要负责人或者代理人签字确认；投标人为自然人的，由其本人或者代理人签字确认。</w:t>
            </w:r>
          </w:p>
          <w:p>
            <w:pPr>
              <w:widowControl/>
              <w:tabs>
                <w:tab w:val="left" w:pos="720"/>
                <w:tab w:val="left" w:pos="900"/>
                <w:tab w:val="left" w:pos="1080"/>
                <w:tab w:val="left" w:pos="1260"/>
                <w:tab w:val="left" w:pos="1440"/>
                <w:tab w:val="left" w:pos="1800"/>
              </w:tabs>
              <w:spacing w:line="288" w:lineRule="auto"/>
              <w:jc w:val="left"/>
              <w:rPr>
                <w:rFonts w:hint="eastAsia" w:asciiTheme="minorEastAsia" w:hAnsiTheme="minorEastAsia" w:eastAsiaTheme="minorEastAsia" w:cstheme="minorEastAsia"/>
                <w:spacing w:val="-4"/>
                <w:sz w:val="24"/>
                <w:szCs w:val="24"/>
                <w:highlight w:val="none"/>
              </w:rPr>
            </w:pPr>
            <w:r>
              <w:rPr>
                <w:rFonts w:hint="eastAsia" w:asciiTheme="minorEastAsia" w:hAnsiTheme="minorEastAsia" w:eastAsiaTheme="minorEastAsia" w:cstheme="minorEastAsia"/>
                <w:spacing w:val="-4"/>
                <w:sz w:val="24"/>
                <w:szCs w:val="24"/>
                <w:highlight w:val="none"/>
              </w:rPr>
              <w:t>3.投标人提供书面说明后，评标委员会应当结合采购项目采购需求、专业实际情况、投标人财务状况报告、与其他投标人比较情况等就投标人书面说明进行审查评价。投标人拒绝或者变相拒绝提供有效书面说明或者书面说明不能证明其报价合理性的，评标委员会应当将其投标文件作为无效处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27</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hint="eastAsia" w:asciiTheme="minorEastAsia" w:hAnsiTheme="minorEastAsia" w:eastAsiaTheme="minorEastAsia" w:cstheme="minorEastAsia"/>
                <w:spacing w:val="-4"/>
                <w:sz w:val="24"/>
                <w:szCs w:val="24"/>
                <w:highlight w:val="none"/>
              </w:rPr>
            </w:pPr>
            <w:r>
              <w:rPr>
                <w:rFonts w:hint="eastAsia" w:asciiTheme="minorEastAsia" w:hAnsiTheme="minorEastAsia" w:eastAsiaTheme="minorEastAsia" w:cstheme="minorEastAsia"/>
                <w:spacing w:val="-4"/>
                <w:sz w:val="24"/>
                <w:szCs w:val="24"/>
                <w:highlight w:val="none"/>
              </w:rPr>
              <w:t>中小企业所属行业</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left"/>
              <w:rPr>
                <w:rFonts w:hint="eastAsia" w:asciiTheme="minorEastAsia" w:hAnsiTheme="minorEastAsia" w:eastAsiaTheme="minorEastAsia" w:cstheme="minorEastAsia"/>
                <w:spacing w:val="-4"/>
                <w:sz w:val="24"/>
                <w:szCs w:val="24"/>
                <w:highlight w:val="none"/>
              </w:rPr>
            </w:pPr>
            <w:r>
              <w:rPr>
                <w:rFonts w:hint="eastAsia" w:asciiTheme="minorEastAsia" w:hAnsiTheme="minorEastAsia" w:eastAsiaTheme="minorEastAsia" w:cstheme="minorEastAsia"/>
                <w:spacing w:val="-4"/>
                <w:sz w:val="24"/>
                <w:szCs w:val="24"/>
                <w:highlight w:val="none"/>
              </w:rPr>
              <w:t xml:space="preserve">本项目采购标的对应的中小企业划分标准所属行业：工业（根据工信部联企业〔2011〕300 号中小企业划型标准规定：工业。从业人员1000 人以下或营业收入 40000 万元以下的为中小微型企业。其中，从业人员300 人及以上，且营业收入 2000 万元及以上的为中型企业；从业人员20 人及以上，且营业收入 300 万元及以上的为小型企业；从业人员20 人以下或营业收入 300 万元以下的为微型企业。）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57"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28</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hint="eastAsia" w:asciiTheme="minorEastAsia" w:hAnsiTheme="minorEastAsia" w:eastAsiaTheme="minorEastAsia" w:cstheme="minorEastAsia"/>
                <w:spacing w:val="-4"/>
                <w:sz w:val="24"/>
                <w:szCs w:val="24"/>
                <w:highlight w:val="none"/>
              </w:rPr>
            </w:pPr>
            <w:r>
              <w:rPr>
                <w:rFonts w:hint="eastAsia" w:asciiTheme="minorEastAsia" w:hAnsiTheme="minorEastAsia" w:eastAsiaTheme="minorEastAsia" w:cstheme="minorEastAsia"/>
                <w:spacing w:val="-4"/>
                <w:sz w:val="24"/>
                <w:szCs w:val="24"/>
                <w:highlight w:val="none"/>
              </w:rPr>
              <w:t>中小企业</w:t>
            </w:r>
          </w:p>
          <w:p>
            <w:pPr>
              <w:widowControl/>
              <w:tabs>
                <w:tab w:val="left" w:pos="720"/>
                <w:tab w:val="left" w:pos="900"/>
                <w:tab w:val="left" w:pos="1080"/>
                <w:tab w:val="left" w:pos="1260"/>
                <w:tab w:val="left" w:pos="1440"/>
                <w:tab w:val="left" w:pos="1800"/>
              </w:tabs>
              <w:spacing w:line="288" w:lineRule="auto"/>
              <w:jc w:val="center"/>
              <w:rPr>
                <w:rFonts w:hint="eastAsia" w:asciiTheme="minorEastAsia" w:hAnsiTheme="minorEastAsia" w:eastAsiaTheme="minorEastAsia" w:cstheme="minorEastAsia"/>
                <w:spacing w:val="-4"/>
                <w:sz w:val="24"/>
                <w:szCs w:val="24"/>
                <w:highlight w:val="none"/>
              </w:rPr>
            </w:pPr>
            <w:r>
              <w:rPr>
                <w:rFonts w:hint="eastAsia" w:asciiTheme="minorEastAsia" w:hAnsiTheme="minorEastAsia" w:eastAsiaTheme="minorEastAsia" w:cstheme="minorEastAsia"/>
                <w:spacing w:val="-4"/>
                <w:sz w:val="24"/>
                <w:szCs w:val="24"/>
                <w:highlight w:val="none"/>
              </w:rPr>
              <w:t>声明函</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 </w:t>
            </w:r>
            <w:r>
              <w:rPr>
                <w:rFonts w:hint="eastAsia" w:asciiTheme="minorEastAsia" w:hAnsiTheme="minorEastAsia" w:eastAsiaTheme="minorEastAsia" w:cstheme="minorEastAsia"/>
                <w:sz w:val="24"/>
                <w:szCs w:val="24"/>
                <w:highlight w:val="none"/>
                <w:lang w:val="zh-CN"/>
              </w:rPr>
              <w:t>“第十一包、第十二包、第十三包、第十五包、</w:t>
            </w:r>
            <w:r>
              <w:rPr>
                <w:rFonts w:hint="eastAsia" w:asciiTheme="minorEastAsia" w:hAnsiTheme="minorEastAsia" w:eastAsiaTheme="minorEastAsia" w:cstheme="minorEastAsia"/>
                <w:sz w:val="24"/>
                <w:szCs w:val="24"/>
                <w:highlight w:val="none"/>
                <w:lang w:val="en-US" w:eastAsia="zh-CN"/>
              </w:rPr>
              <w:t>第十六包</w:t>
            </w:r>
            <w:r>
              <w:rPr>
                <w:rFonts w:hint="eastAsia" w:asciiTheme="minorEastAsia" w:hAnsiTheme="minorEastAsia" w:eastAsiaTheme="minorEastAsia" w:cstheme="minorEastAsia"/>
                <w:sz w:val="24"/>
                <w:szCs w:val="24"/>
                <w:highlight w:val="none"/>
                <w:lang w:val="zh-CN"/>
              </w:rPr>
              <w:t>”专门面向中小企业采购，价格不再进行财政政策扣除；“第十包、第十四包”非专门面向中小企业采购，投标人所提供货物的制造商为小型、微型企业的，给予10%的价格扣除；</w:t>
            </w:r>
          </w:p>
          <w:p>
            <w:pPr>
              <w:widowControl/>
              <w:tabs>
                <w:tab w:val="left" w:pos="720"/>
                <w:tab w:val="left" w:pos="900"/>
                <w:tab w:val="left" w:pos="1080"/>
                <w:tab w:val="left" w:pos="1260"/>
                <w:tab w:val="left" w:pos="1440"/>
                <w:tab w:val="left" w:pos="1800"/>
              </w:tabs>
              <w:spacing w:line="288" w:lineRule="auto"/>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2.残疾人福利性单位、监狱和戒毒企业（简称监狱企业）视同小型、微型企业；残疾人福利单位、监狱企业同时属于小型、微型企业的，不重复享受财政政策。</w:t>
            </w:r>
          </w:p>
          <w:p>
            <w:pPr>
              <w:widowControl/>
              <w:tabs>
                <w:tab w:val="left" w:pos="720"/>
                <w:tab w:val="left" w:pos="900"/>
                <w:tab w:val="left" w:pos="1080"/>
                <w:tab w:val="left" w:pos="1260"/>
                <w:tab w:val="left" w:pos="1440"/>
                <w:tab w:val="left" w:pos="1800"/>
              </w:tabs>
              <w:spacing w:line="288" w:lineRule="auto"/>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3.根据《政府采购促进中小企业发展管理办法》（财库[2020]46号）和《财政部关于进一步加大政府采购支持中小企业力度的通知》要求，</w:t>
            </w:r>
            <w:r>
              <w:rPr>
                <w:rFonts w:hint="eastAsia" w:asciiTheme="minorEastAsia" w:hAnsiTheme="minorEastAsia" w:eastAsiaTheme="minorEastAsia" w:cstheme="minorEastAsia"/>
                <w:sz w:val="24"/>
                <w:szCs w:val="24"/>
                <w:highlight w:val="none"/>
                <w:lang w:eastAsia="zh-CN"/>
              </w:rPr>
              <w:t>投标人</w:t>
            </w:r>
            <w:r>
              <w:rPr>
                <w:rFonts w:hint="eastAsia" w:asciiTheme="minorEastAsia" w:hAnsiTheme="minorEastAsia" w:eastAsiaTheme="minorEastAsia" w:cstheme="minorEastAsia"/>
                <w:sz w:val="24"/>
                <w:szCs w:val="24"/>
                <w:highlight w:val="none"/>
              </w:rPr>
              <w:t>应提供合格的《中小企业声明函》，如投标人提供的《中小企业声明函》不合格或未提供《</w:t>
            </w:r>
            <w:r>
              <w:rPr>
                <w:rFonts w:hint="eastAsia" w:asciiTheme="minorEastAsia" w:hAnsiTheme="minorEastAsia" w:eastAsiaTheme="minorEastAsia" w:cstheme="minorEastAsia"/>
                <w:sz w:val="24"/>
                <w:szCs w:val="24"/>
                <w:highlight w:val="none"/>
                <w:lang w:eastAsia="zh-CN"/>
              </w:rPr>
              <w:t>中小企业声明函</w:t>
            </w:r>
            <w:r>
              <w:rPr>
                <w:rFonts w:hint="eastAsia" w:asciiTheme="minorEastAsia" w:hAnsiTheme="minorEastAsia" w:eastAsiaTheme="minorEastAsia" w:cstheme="minorEastAsia"/>
                <w:sz w:val="24"/>
                <w:szCs w:val="24"/>
                <w:highlight w:val="none"/>
              </w:rPr>
              <w:t>》的，不得享受相关中小微企业扶持政策。</w:t>
            </w:r>
          </w:p>
          <w:p>
            <w:pPr>
              <w:widowControl/>
              <w:tabs>
                <w:tab w:val="left" w:pos="720"/>
                <w:tab w:val="left" w:pos="900"/>
                <w:tab w:val="left" w:pos="1080"/>
                <w:tab w:val="left" w:pos="1260"/>
                <w:tab w:val="left" w:pos="1440"/>
                <w:tab w:val="left" w:pos="1800"/>
              </w:tabs>
              <w:spacing w:line="288" w:lineRule="auto"/>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根据《关于政府采购支持监狱企业发展有关问题的通知》（财库[2014]68号）和本招标文件要求，投标人应提供合格的《监狱企业声明函》，如投标人提供的《监狱企业声明函》不合格或未提供《监狱企业声明函》的，不得享受相关中小微企业扶持政策。</w:t>
            </w:r>
          </w:p>
          <w:p>
            <w:pPr>
              <w:widowControl/>
              <w:tabs>
                <w:tab w:val="left" w:pos="720"/>
                <w:tab w:val="left" w:pos="900"/>
                <w:tab w:val="left" w:pos="1080"/>
                <w:tab w:val="left" w:pos="1260"/>
                <w:tab w:val="left" w:pos="1440"/>
                <w:tab w:val="left" w:pos="1800"/>
              </w:tabs>
              <w:spacing w:line="288" w:lineRule="auto"/>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根据《关于促进残疾人就业政府采购政策的通知》（财库[2017]141号）要求，投标人应提供合格的《残疾人福利性单位声明函》，如投标人提供的《残疾人福利性单位声明函》不合格或未提供《残疾人福利性单位声明函》的，不得享受相关中小微企业扶持政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29</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hint="eastAsia" w:asciiTheme="minorEastAsia" w:hAnsiTheme="minorEastAsia" w:eastAsiaTheme="minorEastAsia" w:cstheme="minorEastAsia"/>
                <w:spacing w:val="-4"/>
                <w:sz w:val="24"/>
                <w:szCs w:val="24"/>
                <w:highlight w:val="none"/>
              </w:rPr>
            </w:pPr>
            <w:r>
              <w:rPr>
                <w:rFonts w:hint="eastAsia" w:asciiTheme="minorEastAsia" w:hAnsiTheme="minorEastAsia" w:eastAsiaTheme="minorEastAsia" w:cstheme="minorEastAsia"/>
                <w:spacing w:val="-4"/>
                <w:sz w:val="24"/>
                <w:szCs w:val="24"/>
                <w:highlight w:val="none"/>
              </w:rPr>
              <w:t>公告及检验</w:t>
            </w:r>
          </w:p>
          <w:p>
            <w:pPr>
              <w:widowControl/>
              <w:tabs>
                <w:tab w:val="left" w:pos="720"/>
                <w:tab w:val="left" w:pos="900"/>
                <w:tab w:val="left" w:pos="1080"/>
                <w:tab w:val="left" w:pos="1260"/>
                <w:tab w:val="left" w:pos="1440"/>
                <w:tab w:val="left" w:pos="1800"/>
              </w:tabs>
              <w:spacing w:line="288" w:lineRule="auto"/>
              <w:jc w:val="center"/>
              <w:rPr>
                <w:rFonts w:hint="eastAsia" w:asciiTheme="minorEastAsia" w:hAnsiTheme="minorEastAsia" w:eastAsiaTheme="minorEastAsia" w:cstheme="minorEastAsia"/>
                <w:spacing w:val="-4"/>
                <w:sz w:val="24"/>
                <w:szCs w:val="24"/>
                <w:highlight w:val="none"/>
              </w:rPr>
            </w:pPr>
            <w:r>
              <w:rPr>
                <w:rFonts w:hint="eastAsia" w:asciiTheme="minorEastAsia" w:hAnsiTheme="minorEastAsia" w:eastAsiaTheme="minorEastAsia" w:cstheme="minorEastAsia"/>
                <w:spacing w:val="-4"/>
                <w:sz w:val="24"/>
                <w:szCs w:val="24"/>
                <w:highlight w:val="none"/>
              </w:rPr>
              <w:t>检测报告</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有国家或行业标准的产品应提供国家消防产品合格评定中心所属国家消防装备质量检验检测中心（应急管理部上海消防研究所）、国家消防电子产品质量检验检测中心（应急管理部沈阳消防研究所）、国家防火建筑材料质量检验检测中心（应急管理部四川消防研究所）、国家固定灭火系统和耐火构件质量检验检测中心（应急管理部天津消防研究所）、国家消防产品质量检验检测中心（广东）、国家消防及阻燃产品质量检验检测中心（山东）、国家消防产品质量检验检测中心（江苏）、国家五金工具及门类产品质量检验检测中心出具的检验检测报告，或国家级质量检验检测机构出具的检验检测报告。</w:t>
            </w:r>
          </w:p>
          <w:p>
            <w:pPr>
              <w:widowControl/>
              <w:tabs>
                <w:tab w:val="left" w:pos="720"/>
                <w:tab w:val="left" w:pos="900"/>
                <w:tab w:val="left" w:pos="1080"/>
                <w:tab w:val="left" w:pos="1260"/>
                <w:tab w:val="left" w:pos="1440"/>
                <w:tab w:val="left" w:pos="1800"/>
              </w:tabs>
              <w:spacing w:line="288" w:lineRule="auto"/>
              <w:jc w:val="left"/>
              <w:rPr>
                <w:rFonts w:hint="eastAsia" w:asciiTheme="minorEastAsia" w:hAnsiTheme="minorEastAsia" w:eastAsiaTheme="minorEastAsia" w:cstheme="minorEastAsia"/>
                <w:spacing w:val="-4"/>
                <w:sz w:val="24"/>
                <w:szCs w:val="24"/>
                <w:highlight w:val="none"/>
              </w:rPr>
            </w:pPr>
            <w:r>
              <w:rPr>
                <w:rFonts w:hint="eastAsia" w:asciiTheme="minorEastAsia" w:hAnsiTheme="minorEastAsia" w:eastAsiaTheme="minorEastAsia" w:cstheme="minorEastAsia"/>
                <w:sz w:val="24"/>
                <w:szCs w:val="24"/>
                <w:highlight w:val="none"/>
              </w:rPr>
              <w:t>2.无国家或行业标准的产品</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投标时应</w:t>
            </w:r>
            <w:r>
              <w:rPr>
                <w:rFonts w:hint="eastAsia" w:asciiTheme="minorEastAsia" w:hAnsiTheme="minorEastAsia" w:eastAsiaTheme="minorEastAsia" w:cstheme="minorEastAsia"/>
                <w:sz w:val="24"/>
                <w:szCs w:val="24"/>
                <w:highlight w:val="none"/>
              </w:rPr>
              <w:t>提供国家认可的质量检验检测机构出具的检验检测报告</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如有</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；如投标时未提供，应在产品交付验收时提供国家认可的质量检验检测机构出具的检验检测报告。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30</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hint="eastAsia" w:asciiTheme="minorEastAsia" w:hAnsiTheme="minorEastAsia" w:eastAsiaTheme="minorEastAsia" w:cstheme="minorEastAsia"/>
                <w:spacing w:val="-4"/>
                <w:sz w:val="24"/>
                <w:szCs w:val="24"/>
                <w:highlight w:val="none"/>
                <w:lang w:val="en-US" w:eastAsia="zh-CN"/>
              </w:rPr>
            </w:pPr>
            <w:r>
              <w:rPr>
                <w:rFonts w:hint="eastAsia" w:asciiTheme="minorEastAsia" w:hAnsiTheme="minorEastAsia" w:eastAsiaTheme="minorEastAsia" w:cstheme="minorEastAsia"/>
                <w:spacing w:val="-4"/>
                <w:sz w:val="24"/>
                <w:szCs w:val="24"/>
                <w:highlight w:val="none"/>
              </w:rPr>
              <w:t>样品</w:t>
            </w:r>
            <w:r>
              <w:rPr>
                <w:rFonts w:hint="eastAsia" w:asciiTheme="minorEastAsia" w:hAnsiTheme="minorEastAsia" w:eastAsiaTheme="minorEastAsia" w:cstheme="minorEastAsia"/>
                <w:spacing w:val="-4"/>
                <w:sz w:val="24"/>
                <w:szCs w:val="24"/>
                <w:highlight w:val="none"/>
                <w:lang w:val="en-US" w:eastAsia="zh-CN"/>
              </w:rPr>
              <w:t>、样品讲解视频视频</w:t>
            </w:r>
          </w:p>
        </w:tc>
        <w:tc>
          <w:tcPr>
            <w:tcW w:w="6639" w:type="dxa"/>
            <w:tcBorders>
              <w:top w:val="single" w:color="auto" w:sz="4" w:space="0"/>
              <w:left w:val="single" w:color="auto" w:sz="4" w:space="0"/>
              <w:bottom w:val="single" w:color="auto" w:sz="4" w:space="0"/>
              <w:right w:val="single" w:color="auto" w:sz="4" w:space="0"/>
            </w:tcBorders>
            <w:vAlign w:val="center"/>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1.样品</w:t>
            </w:r>
            <w:r>
              <w:rPr>
                <w:rFonts w:hint="eastAsia" w:asciiTheme="minorEastAsia" w:hAnsiTheme="minorEastAsia" w:eastAsiaTheme="minorEastAsia" w:cstheme="minorEastAsia"/>
                <w:sz w:val="24"/>
                <w:szCs w:val="24"/>
                <w:highlight w:val="none"/>
                <w:lang w:val="en-US" w:eastAsia="zh-CN"/>
              </w:rPr>
              <w:t>、样品讲解视频</w:t>
            </w:r>
            <w:r>
              <w:rPr>
                <w:rFonts w:hint="eastAsia" w:asciiTheme="minorEastAsia" w:hAnsiTheme="minorEastAsia" w:eastAsiaTheme="minorEastAsia" w:cstheme="minorEastAsia"/>
                <w:sz w:val="24"/>
                <w:szCs w:val="24"/>
                <w:highlight w:val="none"/>
              </w:rPr>
              <w:t>：</w:t>
            </w:r>
          </w:p>
          <w:p>
            <w:pP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第</w:t>
            </w:r>
            <w:r>
              <w:rPr>
                <w:rFonts w:hint="eastAsia" w:asciiTheme="minorEastAsia" w:hAnsiTheme="minorEastAsia" w:eastAsiaTheme="minorEastAsia" w:cstheme="minorEastAsia"/>
                <w:sz w:val="24"/>
                <w:szCs w:val="24"/>
                <w:highlight w:val="none"/>
                <w:lang w:val="en-US" w:eastAsia="zh-CN"/>
              </w:rPr>
              <w:t>十</w:t>
            </w:r>
            <w:r>
              <w:rPr>
                <w:rFonts w:hint="eastAsia" w:asciiTheme="minorEastAsia" w:hAnsiTheme="minorEastAsia" w:eastAsiaTheme="minorEastAsia" w:cstheme="minorEastAsia"/>
                <w:sz w:val="24"/>
                <w:szCs w:val="24"/>
                <w:highlight w:val="none"/>
              </w:rPr>
              <w:t>包：</w:t>
            </w:r>
            <w:r>
              <w:rPr>
                <w:rFonts w:hint="eastAsia" w:asciiTheme="minorEastAsia" w:hAnsiTheme="minorEastAsia" w:eastAsiaTheme="minorEastAsia" w:cstheme="minorEastAsia"/>
                <w:i w:val="0"/>
                <w:iCs w:val="0"/>
                <w:color w:val="000000"/>
                <w:kern w:val="0"/>
                <w:sz w:val="24"/>
                <w:szCs w:val="24"/>
                <w:highlight w:val="none"/>
                <w:u w:val="none"/>
                <w:lang w:val="en-US" w:eastAsia="zh-CN"/>
              </w:rPr>
              <w:t>空气呼吸器</w:t>
            </w:r>
            <w:r>
              <w:rPr>
                <w:rFonts w:hint="eastAsia" w:asciiTheme="minorEastAsia" w:hAnsiTheme="minorEastAsia" w:eastAsiaTheme="minorEastAsia" w:cstheme="minorEastAsia"/>
                <w:sz w:val="24"/>
                <w:szCs w:val="24"/>
                <w:highlight w:val="none"/>
              </w:rPr>
              <w:t>（提供样品）</w:t>
            </w:r>
            <w:r>
              <w:rPr>
                <w:rFonts w:hint="eastAsia" w:asciiTheme="minorEastAsia" w:hAnsiTheme="minorEastAsia" w:eastAsiaTheme="minorEastAsia" w:cstheme="minorEastAsia"/>
                <w:sz w:val="24"/>
                <w:szCs w:val="24"/>
                <w:highlight w:val="none"/>
                <w:lang w:eastAsia="zh-CN"/>
              </w:rPr>
              <w:t>。</w:t>
            </w:r>
          </w:p>
          <w:p>
            <w:pPr>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第十</w:t>
            </w:r>
            <w:r>
              <w:rPr>
                <w:rFonts w:hint="eastAsia" w:asciiTheme="minorEastAsia" w:hAnsiTheme="minorEastAsia" w:eastAsiaTheme="minorEastAsia" w:cstheme="minorEastAsia"/>
                <w:sz w:val="24"/>
                <w:szCs w:val="24"/>
                <w:highlight w:val="none"/>
                <w:lang w:val="en-US" w:eastAsia="zh-CN"/>
              </w:rPr>
              <w:t>一</w:t>
            </w:r>
            <w:r>
              <w:rPr>
                <w:rFonts w:hint="eastAsia" w:asciiTheme="minorEastAsia" w:hAnsiTheme="minorEastAsia" w:eastAsiaTheme="minorEastAsia" w:cstheme="minorEastAsia"/>
                <w:sz w:val="24"/>
                <w:szCs w:val="24"/>
                <w:highlight w:val="none"/>
              </w:rPr>
              <w:t>包：不要求</w:t>
            </w:r>
            <w:r>
              <w:rPr>
                <w:rFonts w:hint="eastAsia" w:asciiTheme="minorEastAsia" w:hAnsiTheme="minorEastAsia" w:eastAsiaTheme="minorEastAsia" w:cstheme="minorEastAsia"/>
                <w:sz w:val="24"/>
                <w:szCs w:val="24"/>
                <w:highlight w:val="none"/>
                <w:lang w:eastAsia="zh-CN"/>
              </w:rPr>
              <w:t>。</w:t>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第十</w:t>
            </w:r>
            <w:r>
              <w:rPr>
                <w:rFonts w:hint="eastAsia" w:asciiTheme="minorEastAsia" w:hAnsiTheme="minorEastAsia" w:eastAsiaTheme="minorEastAsia" w:cstheme="minorEastAsia"/>
                <w:sz w:val="24"/>
                <w:szCs w:val="24"/>
                <w:highlight w:val="none"/>
                <w:lang w:val="en-US" w:eastAsia="zh-CN"/>
              </w:rPr>
              <w:t>二</w:t>
            </w:r>
            <w:r>
              <w:rPr>
                <w:rFonts w:hint="eastAsia" w:asciiTheme="minorEastAsia" w:hAnsiTheme="minorEastAsia" w:eastAsiaTheme="minorEastAsia" w:cstheme="minorEastAsia"/>
                <w:sz w:val="24"/>
                <w:szCs w:val="24"/>
                <w:highlight w:val="none"/>
              </w:rPr>
              <w:t>包：不提供样品，但需提供样品讲解视频。</w:t>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第</w:t>
            </w:r>
            <w:r>
              <w:rPr>
                <w:rFonts w:hint="eastAsia" w:asciiTheme="minorEastAsia" w:hAnsiTheme="minorEastAsia" w:eastAsiaTheme="minorEastAsia" w:cstheme="minorEastAsia"/>
                <w:sz w:val="24"/>
                <w:szCs w:val="24"/>
                <w:highlight w:val="none"/>
                <w:lang w:val="en-US" w:eastAsia="zh-CN"/>
              </w:rPr>
              <w:t>十三</w:t>
            </w:r>
            <w:r>
              <w:rPr>
                <w:rFonts w:hint="eastAsia" w:asciiTheme="minorEastAsia" w:hAnsiTheme="minorEastAsia" w:eastAsiaTheme="minorEastAsia" w:cstheme="minorEastAsia"/>
                <w:sz w:val="24"/>
                <w:szCs w:val="24"/>
                <w:highlight w:val="none"/>
              </w:rPr>
              <w:t>包：不提供样品，但需提供样品讲解视频。</w:t>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第</w:t>
            </w:r>
            <w:r>
              <w:rPr>
                <w:rFonts w:hint="eastAsia" w:asciiTheme="minorEastAsia" w:hAnsiTheme="minorEastAsia" w:eastAsiaTheme="minorEastAsia" w:cstheme="minorEastAsia"/>
                <w:sz w:val="24"/>
                <w:szCs w:val="24"/>
                <w:highlight w:val="none"/>
                <w:lang w:val="en-US" w:eastAsia="zh-CN"/>
              </w:rPr>
              <w:t>十四</w:t>
            </w:r>
            <w:r>
              <w:rPr>
                <w:rFonts w:hint="eastAsia" w:asciiTheme="minorEastAsia" w:hAnsiTheme="minorEastAsia" w:eastAsiaTheme="minorEastAsia" w:cstheme="minorEastAsia"/>
                <w:sz w:val="24"/>
                <w:szCs w:val="24"/>
                <w:highlight w:val="none"/>
              </w:rPr>
              <w:t>包：不提供样品，但需提供样品讲解视频。</w:t>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第</w:t>
            </w:r>
            <w:r>
              <w:rPr>
                <w:rFonts w:hint="eastAsia" w:asciiTheme="minorEastAsia" w:hAnsiTheme="minorEastAsia" w:eastAsiaTheme="minorEastAsia" w:cstheme="minorEastAsia"/>
                <w:sz w:val="24"/>
                <w:szCs w:val="24"/>
                <w:highlight w:val="none"/>
                <w:lang w:val="en-US" w:eastAsia="zh-CN"/>
              </w:rPr>
              <w:t>十五</w:t>
            </w:r>
            <w:r>
              <w:rPr>
                <w:rFonts w:hint="eastAsia" w:asciiTheme="minorEastAsia" w:hAnsiTheme="minorEastAsia" w:eastAsiaTheme="minorEastAsia" w:cstheme="minorEastAsia"/>
                <w:sz w:val="24"/>
                <w:szCs w:val="24"/>
                <w:highlight w:val="none"/>
              </w:rPr>
              <w:t>包：不要求。</w:t>
            </w:r>
          </w:p>
          <w:p>
            <w:pPr>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第</w:t>
            </w:r>
            <w:r>
              <w:rPr>
                <w:rFonts w:hint="eastAsia" w:asciiTheme="minorEastAsia" w:hAnsiTheme="minorEastAsia" w:eastAsiaTheme="minorEastAsia" w:cstheme="minorEastAsia"/>
                <w:sz w:val="24"/>
                <w:szCs w:val="24"/>
                <w:highlight w:val="none"/>
                <w:lang w:val="en-US" w:eastAsia="zh-CN"/>
              </w:rPr>
              <w:t>十六</w:t>
            </w:r>
            <w:r>
              <w:rPr>
                <w:rFonts w:hint="eastAsia" w:asciiTheme="minorEastAsia" w:hAnsiTheme="minorEastAsia" w:eastAsiaTheme="minorEastAsia" w:cstheme="minorEastAsia"/>
                <w:sz w:val="24"/>
                <w:szCs w:val="24"/>
                <w:highlight w:val="none"/>
              </w:rPr>
              <w:t>包：</w:t>
            </w:r>
            <w:r>
              <w:rPr>
                <w:rFonts w:hint="eastAsia" w:asciiTheme="minorEastAsia" w:hAnsiTheme="minorEastAsia" w:eastAsiaTheme="minorEastAsia" w:cstheme="minorEastAsia"/>
                <w:i w:val="0"/>
                <w:iCs w:val="0"/>
                <w:color w:val="000000"/>
                <w:kern w:val="0"/>
                <w:sz w:val="24"/>
                <w:szCs w:val="24"/>
                <w:highlight w:val="none"/>
                <w:u w:val="none"/>
                <w:lang w:val="en-US" w:eastAsia="zh-CN"/>
              </w:rPr>
              <w:t>管供式潜水装具（</w:t>
            </w:r>
            <w:r>
              <w:rPr>
                <w:rFonts w:hint="eastAsia" w:asciiTheme="minorEastAsia" w:hAnsiTheme="minorEastAsia" w:eastAsiaTheme="minorEastAsia" w:cstheme="minorEastAsia"/>
                <w:sz w:val="24"/>
                <w:szCs w:val="24"/>
                <w:highlight w:val="none"/>
              </w:rPr>
              <w:t>不提供样品，但需提供样品讲解视频</w:t>
            </w:r>
            <w:r>
              <w:rPr>
                <w:rFonts w:hint="eastAsia" w:asciiTheme="minorEastAsia" w:hAnsiTheme="minorEastAsia" w:eastAsiaTheme="minorEastAsia" w:cstheme="minorEastAsia"/>
                <w:i w:val="0"/>
                <w:iCs w:val="0"/>
                <w:color w:val="000000"/>
                <w:kern w:val="0"/>
                <w:sz w:val="24"/>
                <w:szCs w:val="24"/>
                <w:highlight w:val="none"/>
                <w:u w:val="none"/>
                <w:lang w:val="en-US" w:eastAsia="zh-CN"/>
              </w:rPr>
              <w:t>）；潜水全面罩</w:t>
            </w:r>
            <w:r>
              <w:rPr>
                <w:rFonts w:hint="eastAsia" w:asciiTheme="minorEastAsia" w:hAnsiTheme="minorEastAsia" w:eastAsiaTheme="minorEastAsia" w:cstheme="minorEastAsia"/>
                <w:sz w:val="24"/>
                <w:szCs w:val="24"/>
                <w:highlight w:val="none"/>
              </w:rPr>
              <w:t>（提供样品）</w:t>
            </w:r>
            <w:r>
              <w:rPr>
                <w:rFonts w:hint="eastAsia" w:asciiTheme="minorEastAsia" w:hAnsiTheme="minorEastAsia" w:eastAsiaTheme="minorEastAsia" w:cstheme="minorEastAsia"/>
                <w:sz w:val="24"/>
                <w:szCs w:val="24"/>
                <w:highlight w:val="none"/>
                <w:lang w:eastAsia="zh-CN"/>
              </w:rPr>
              <w:t>。</w:t>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因仅凭书面方式不能准确描述采购需求，需要投标人提供样品进行主观判断以确认是否满足采购需求。</w:t>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2.（1）样品递交时间和地点：投标文件递交截止时间前2日，投保人应将样品递交至新疆</w:t>
            </w:r>
            <w:r>
              <w:rPr>
                <w:rFonts w:hint="eastAsia" w:asciiTheme="minorEastAsia" w:hAnsiTheme="minorEastAsia" w:eastAsiaTheme="minorEastAsia" w:cstheme="minorEastAsia"/>
                <w:sz w:val="24"/>
                <w:szCs w:val="24"/>
                <w:highlight w:val="none"/>
                <w:lang w:val="en-US" w:eastAsia="zh-CN"/>
              </w:rPr>
              <w:t>新之建工程咨询有限公司</w:t>
            </w:r>
            <w:r>
              <w:rPr>
                <w:rFonts w:hint="eastAsia" w:asciiTheme="minorEastAsia" w:hAnsiTheme="minorEastAsia" w:eastAsiaTheme="minorEastAsia" w:cstheme="minorEastAsia"/>
                <w:sz w:val="24"/>
                <w:szCs w:val="24"/>
                <w:highlight w:val="none"/>
              </w:rPr>
              <w:t>（地址：乌鲁木齐市</w:t>
            </w:r>
            <w:r>
              <w:rPr>
                <w:rFonts w:hint="eastAsia" w:asciiTheme="minorEastAsia" w:hAnsiTheme="minorEastAsia" w:eastAsiaTheme="minorEastAsia" w:cstheme="minorEastAsia"/>
                <w:sz w:val="24"/>
                <w:szCs w:val="24"/>
                <w:highlight w:val="none"/>
                <w:lang w:val="en-US" w:eastAsia="zh-CN"/>
              </w:rPr>
              <w:t>沙依巴克区克拉玛依西路618号亚欣国际酒店5楼</w:t>
            </w:r>
            <w:r>
              <w:rPr>
                <w:rFonts w:hint="eastAsia" w:asciiTheme="minorEastAsia" w:hAnsiTheme="minorEastAsia" w:eastAsiaTheme="minorEastAsia" w:cstheme="minorEastAsia"/>
                <w:sz w:val="24"/>
                <w:szCs w:val="24"/>
                <w:highlight w:val="none"/>
              </w:rPr>
              <w:t>）；如未按上述方式将样品递交至指定地点，也可在投标文件递交截止时间前，随投标文件一并现场递交。</w:t>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（2）样品递交截止时间：同投标文件递交截止时间。</w:t>
            </w:r>
          </w:p>
          <w:p>
            <w:pPr>
              <w:widowControl/>
              <w:numPr>
                <w:ilvl w:val="0"/>
                <w:numId w:val="0"/>
              </w:numPr>
              <w:tabs>
                <w:tab w:val="left" w:pos="720"/>
                <w:tab w:val="left" w:pos="900"/>
                <w:tab w:val="left" w:pos="1080"/>
                <w:tab w:val="left" w:pos="1260"/>
                <w:tab w:val="left" w:pos="1440"/>
                <w:tab w:val="left" w:pos="1800"/>
              </w:tabs>
              <w:spacing w:line="288" w:lineRule="auto"/>
              <w:jc w:val="left"/>
              <w:rPr>
                <w:rFonts w:hint="eastAsia" w:asciiTheme="minorEastAsia" w:hAnsiTheme="minorEastAsia" w:eastAsiaTheme="minorEastAsia" w:cstheme="minorEastAsia"/>
                <w:color w:val="auto"/>
                <w:kern w:val="2"/>
                <w:sz w:val="24"/>
                <w:szCs w:val="24"/>
                <w:highlight w:val="none"/>
                <w:shd w:val="clear" w:color="auto" w:fill="auto"/>
                <w:lang w:val="en-US" w:eastAsia="zh-CN" w:bidi="ar-SA"/>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shd w:val="clear" w:color="auto" w:fill="auto"/>
                <w:lang w:val="en-US" w:eastAsia="zh-CN"/>
              </w:rPr>
              <w:t>（1）</w:t>
            </w:r>
            <w:r>
              <w:rPr>
                <w:rFonts w:hint="eastAsia" w:asciiTheme="minorEastAsia" w:hAnsiTheme="minorEastAsia" w:eastAsiaTheme="minorEastAsia" w:cstheme="minorEastAsia"/>
                <w:color w:val="auto"/>
                <w:sz w:val="24"/>
                <w:szCs w:val="24"/>
                <w:highlight w:val="none"/>
                <w:lang w:val="en-US" w:eastAsia="zh-CN"/>
              </w:rPr>
              <w:t>样品制作的标准和要求：按采购文件第六章“项目需求”的要求制作。所递交样品上不得体现投标人或制造商名称或其他标识，相应位置须一律空白。</w:t>
            </w:r>
          </w:p>
          <w:p>
            <w:pPr>
              <w:pStyle w:val="37"/>
              <w:spacing w:line="240" w:lineRule="auto"/>
              <w:ind w:left="0" w:leftChars="0" w:firstLine="0" w:firstLineChars="0"/>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shd w:val="clear" w:color="auto" w:fill="auto"/>
                <w:lang w:val="en-US" w:eastAsia="zh-CN"/>
              </w:rPr>
              <w:t>（2）</w:t>
            </w:r>
            <w:r>
              <w:rPr>
                <w:rFonts w:hint="eastAsia" w:asciiTheme="minorEastAsia" w:hAnsiTheme="minorEastAsia" w:eastAsiaTheme="minorEastAsia" w:cstheme="minorEastAsia"/>
                <w:color w:val="auto"/>
                <w:kern w:val="2"/>
                <w:sz w:val="24"/>
                <w:szCs w:val="24"/>
                <w:highlight w:val="none"/>
                <w:shd w:val="clear" w:color="auto" w:fill="auto"/>
                <w:lang w:val="en-US" w:eastAsia="zh-CN" w:bidi="ar-SA"/>
              </w:rPr>
              <w:t>样</w:t>
            </w:r>
            <w:r>
              <w:rPr>
                <w:rFonts w:hint="eastAsia" w:asciiTheme="minorEastAsia" w:hAnsiTheme="minorEastAsia" w:eastAsiaTheme="minorEastAsia" w:cstheme="minorEastAsia"/>
                <w:color w:val="auto"/>
                <w:kern w:val="2"/>
                <w:sz w:val="24"/>
                <w:szCs w:val="24"/>
                <w:highlight w:val="none"/>
                <w:lang w:val="en-US" w:eastAsia="zh-CN" w:bidi="ar-SA"/>
              </w:rPr>
              <w:t>品讲解视频：样品讲解视频中不得透露品牌型号，视频内容需体现：①、使用材质；②、制作工艺水平；③使用功能演示；④有无操作安全隐患。</w:t>
            </w:r>
          </w:p>
          <w:p>
            <w:pPr>
              <w:widowControl/>
              <w:numPr>
                <w:ilvl w:val="0"/>
                <w:numId w:val="0"/>
              </w:numPr>
              <w:tabs>
                <w:tab w:val="left" w:pos="720"/>
                <w:tab w:val="left" w:pos="900"/>
                <w:tab w:val="left" w:pos="1080"/>
                <w:tab w:val="left" w:pos="1260"/>
                <w:tab w:val="left" w:pos="1440"/>
                <w:tab w:val="left" w:pos="1800"/>
              </w:tabs>
              <w:spacing w:line="288" w:lineRule="auto"/>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bidi="ar-SA"/>
              </w:rPr>
              <w:t>4.是否需要随样品提交相关</w:t>
            </w:r>
            <w:r>
              <w:rPr>
                <w:rFonts w:hint="eastAsia" w:asciiTheme="minorEastAsia" w:hAnsiTheme="minorEastAsia" w:eastAsiaTheme="minorEastAsia" w:cstheme="minorEastAsia"/>
                <w:color w:val="auto"/>
                <w:sz w:val="24"/>
                <w:szCs w:val="24"/>
                <w:highlight w:val="none"/>
                <w:lang w:val="en-US" w:eastAsia="zh-CN"/>
              </w:rPr>
              <w:t>检测报告：相关检测报告无需随样品提交。</w:t>
            </w:r>
          </w:p>
          <w:p>
            <w:pPr>
              <w:widowControl/>
              <w:numPr>
                <w:ilvl w:val="0"/>
                <w:numId w:val="0"/>
              </w:numPr>
              <w:tabs>
                <w:tab w:val="left" w:pos="720"/>
                <w:tab w:val="left" w:pos="900"/>
                <w:tab w:val="left" w:pos="1080"/>
                <w:tab w:val="left" w:pos="1260"/>
                <w:tab w:val="left" w:pos="1440"/>
                <w:tab w:val="left" w:pos="1800"/>
              </w:tabs>
              <w:spacing w:line="288" w:lineRule="auto"/>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5.样品或视频的评审方法以及评审标准：详见第三章“评分办法及评分标准”。</w:t>
            </w:r>
          </w:p>
          <w:p>
            <w:pPr>
              <w:widowControl/>
              <w:tabs>
                <w:tab w:val="left" w:pos="720"/>
                <w:tab w:val="left" w:pos="900"/>
                <w:tab w:val="left" w:pos="1080"/>
                <w:tab w:val="left" w:pos="1260"/>
                <w:tab w:val="left" w:pos="1440"/>
                <w:tab w:val="left" w:pos="1800"/>
              </w:tabs>
              <w:spacing w:line="288" w:lineRule="auto"/>
              <w:jc w:val="left"/>
              <w:rPr>
                <w:rFonts w:hint="eastAsia" w:asciiTheme="minorEastAsia" w:hAnsiTheme="minorEastAsia" w:eastAsiaTheme="minorEastAsia" w:cstheme="minorEastAsia"/>
                <w:color w:val="auto"/>
                <w:spacing w:val="-4"/>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6.样品的密封及包装：所提交样品须分包装箱密封，并在外包装上粘贴A4纸注明项目名称、项目编号、包号、投标人名称、样品名称。密封箱中须随样品附样品清单一份（样品清单表格自拟，须包含项目名称、项目编号、包号、投标人名称、样品名称等信息），并附样品正面、背面、左侧面 45 度角清晰照片三张。</w:t>
            </w:r>
          </w:p>
          <w:p>
            <w:pPr>
              <w:widowControl/>
              <w:tabs>
                <w:tab w:val="left" w:pos="720"/>
                <w:tab w:val="left" w:pos="900"/>
                <w:tab w:val="left" w:pos="1080"/>
                <w:tab w:val="left" w:pos="1260"/>
                <w:tab w:val="left" w:pos="1440"/>
                <w:tab w:val="left" w:pos="1800"/>
              </w:tabs>
              <w:spacing w:line="288" w:lineRule="auto"/>
              <w:jc w:val="left"/>
              <w:rPr>
                <w:rFonts w:hint="eastAsia" w:asciiTheme="minorEastAsia" w:hAnsiTheme="minorEastAsia" w:eastAsiaTheme="minorEastAsia" w:cstheme="minorEastAsia"/>
                <w:b/>
                <w:bCs/>
                <w:color w:val="auto"/>
                <w:spacing w:val="-4"/>
                <w:sz w:val="24"/>
                <w:szCs w:val="24"/>
                <w:highlight w:val="none"/>
                <w:lang w:eastAsia="zh-CN"/>
              </w:rPr>
            </w:pPr>
            <w:r>
              <w:rPr>
                <w:rFonts w:hint="eastAsia" w:asciiTheme="minorEastAsia" w:hAnsiTheme="minorEastAsia" w:eastAsiaTheme="minorEastAsia" w:cstheme="minorEastAsia"/>
                <w:b/>
                <w:bCs/>
                <w:color w:val="auto"/>
                <w:spacing w:val="-4"/>
                <w:sz w:val="24"/>
                <w:szCs w:val="24"/>
                <w:highlight w:val="none"/>
                <w:lang w:eastAsia="zh-CN"/>
              </w:rPr>
              <w:t>特别说明：</w:t>
            </w:r>
          </w:p>
          <w:p>
            <w:pPr>
              <w:widowControl/>
              <w:tabs>
                <w:tab w:val="left" w:pos="720"/>
                <w:tab w:val="left" w:pos="900"/>
                <w:tab w:val="left" w:pos="1080"/>
                <w:tab w:val="left" w:pos="1260"/>
                <w:tab w:val="left" w:pos="1440"/>
                <w:tab w:val="left" w:pos="1800"/>
              </w:tabs>
              <w:spacing w:line="288" w:lineRule="auto"/>
              <w:jc w:val="left"/>
              <w:rPr>
                <w:rFonts w:hint="eastAsia" w:asciiTheme="minorEastAsia" w:hAnsiTheme="minorEastAsia" w:eastAsiaTheme="minorEastAsia" w:cstheme="minorEastAsia"/>
                <w:color w:val="auto"/>
                <w:spacing w:val="0"/>
                <w:sz w:val="24"/>
                <w:szCs w:val="24"/>
                <w:highlight w:val="none"/>
                <w:lang w:val="en-US" w:eastAsia="zh-CN"/>
              </w:rPr>
            </w:pPr>
            <w:r>
              <w:rPr>
                <w:rFonts w:hint="eastAsia" w:asciiTheme="minorEastAsia" w:hAnsiTheme="minorEastAsia" w:eastAsiaTheme="minorEastAsia" w:cstheme="minorEastAsia"/>
                <w:color w:val="auto"/>
                <w:spacing w:val="0"/>
                <w:sz w:val="24"/>
                <w:szCs w:val="24"/>
                <w:highlight w:val="none"/>
                <w:lang w:eastAsia="zh-CN"/>
              </w:rPr>
              <w:t>（</w:t>
            </w:r>
            <w:r>
              <w:rPr>
                <w:rFonts w:hint="eastAsia" w:asciiTheme="minorEastAsia" w:hAnsiTheme="minorEastAsia" w:eastAsiaTheme="minorEastAsia" w:cstheme="minorEastAsia"/>
                <w:color w:val="auto"/>
                <w:spacing w:val="0"/>
                <w:sz w:val="24"/>
                <w:szCs w:val="24"/>
                <w:highlight w:val="none"/>
                <w:lang w:val="en-US" w:eastAsia="zh-CN"/>
              </w:rPr>
              <w:t>1</w:t>
            </w:r>
            <w:r>
              <w:rPr>
                <w:rFonts w:hint="eastAsia" w:asciiTheme="minorEastAsia" w:hAnsiTheme="minorEastAsia" w:eastAsiaTheme="minorEastAsia" w:cstheme="minorEastAsia"/>
                <w:color w:val="auto"/>
                <w:spacing w:val="0"/>
                <w:sz w:val="24"/>
                <w:szCs w:val="24"/>
                <w:highlight w:val="none"/>
                <w:lang w:eastAsia="zh-CN"/>
              </w:rPr>
              <w:t>）若不满足以上</w:t>
            </w:r>
            <w:r>
              <w:rPr>
                <w:rFonts w:hint="eastAsia" w:asciiTheme="minorEastAsia" w:hAnsiTheme="minorEastAsia" w:eastAsiaTheme="minorEastAsia" w:cstheme="minorEastAsia"/>
                <w:color w:val="auto"/>
                <w:spacing w:val="-4"/>
                <w:sz w:val="24"/>
                <w:szCs w:val="24"/>
                <w:highlight w:val="none"/>
              </w:rPr>
              <w:t>样品</w:t>
            </w:r>
            <w:r>
              <w:rPr>
                <w:rFonts w:hint="eastAsia" w:asciiTheme="minorEastAsia" w:hAnsiTheme="minorEastAsia" w:eastAsiaTheme="minorEastAsia" w:cstheme="minorEastAsia"/>
                <w:color w:val="auto"/>
                <w:spacing w:val="-4"/>
                <w:sz w:val="24"/>
                <w:szCs w:val="24"/>
                <w:highlight w:val="none"/>
                <w:lang w:val="en-US" w:eastAsia="zh-CN"/>
              </w:rPr>
              <w:t>或视频</w:t>
            </w:r>
            <w:r>
              <w:rPr>
                <w:rFonts w:hint="eastAsia" w:asciiTheme="minorEastAsia" w:hAnsiTheme="minorEastAsia" w:eastAsiaTheme="minorEastAsia" w:cstheme="minorEastAsia"/>
                <w:color w:val="auto"/>
                <w:spacing w:val="0"/>
                <w:sz w:val="24"/>
                <w:szCs w:val="24"/>
                <w:highlight w:val="none"/>
                <w:lang w:eastAsia="zh-CN"/>
              </w:rPr>
              <w:t>制作的标准和要求，</w:t>
            </w:r>
            <w:r>
              <w:rPr>
                <w:rFonts w:hint="eastAsia" w:asciiTheme="minorEastAsia" w:hAnsiTheme="minorEastAsia" w:eastAsiaTheme="minorEastAsia" w:cstheme="minorEastAsia"/>
                <w:color w:val="auto"/>
                <w:spacing w:val="-4"/>
                <w:sz w:val="24"/>
                <w:szCs w:val="24"/>
                <w:highlight w:val="none"/>
              </w:rPr>
              <w:t>样品</w:t>
            </w:r>
            <w:r>
              <w:rPr>
                <w:rFonts w:hint="eastAsia" w:asciiTheme="minorEastAsia" w:hAnsiTheme="minorEastAsia" w:eastAsiaTheme="minorEastAsia" w:cstheme="minorEastAsia"/>
                <w:color w:val="auto"/>
                <w:spacing w:val="-4"/>
                <w:sz w:val="24"/>
                <w:szCs w:val="24"/>
                <w:highlight w:val="none"/>
                <w:lang w:val="en-US" w:eastAsia="zh-CN"/>
              </w:rPr>
              <w:t>或视频</w:t>
            </w:r>
            <w:r>
              <w:rPr>
                <w:rFonts w:hint="eastAsia" w:asciiTheme="minorEastAsia" w:hAnsiTheme="minorEastAsia" w:eastAsiaTheme="minorEastAsia" w:cstheme="minorEastAsia"/>
                <w:color w:val="auto"/>
                <w:spacing w:val="0"/>
                <w:sz w:val="24"/>
                <w:szCs w:val="24"/>
                <w:highlight w:val="none"/>
                <w:lang w:eastAsia="zh-CN"/>
              </w:rPr>
              <w:t>评分为</w:t>
            </w:r>
            <w:r>
              <w:rPr>
                <w:rFonts w:hint="eastAsia" w:asciiTheme="minorEastAsia" w:hAnsiTheme="minorEastAsia" w:eastAsiaTheme="minorEastAsia" w:cstheme="minorEastAsia"/>
                <w:color w:val="auto"/>
                <w:spacing w:val="0"/>
                <w:sz w:val="24"/>
                <w:szCs w:val="24"/>
                <w:highlight w:val="none"/>
                <w:lang w:val="en-US" w:eastAsia="zh-CN"/>
              </w:rPr>
              <w:t>0分。</w:t>
            </w:r>
          </w:p>
          <w:p>
            <w:pPr>
              <w:widowControl/>
              <w:tabs>
                <w:tab w:val="left" w:pos="720"/>
                <w:tab w:val="left" w:pos="900"/>
                <w:tab w:val="left" w:pos="1080"/>
                <w:tab w:val="left" w:pos="1260"/>
                <w:tab w:val="left" w:pos="1440"/>
                <w:tab w:val="left" w:pos="1800"/>
              </w:tabs>
              <w:spacing w:line="288" w:lineRule="auto"/>
              <w:jc w:val="left"/>
              <w:rPr>
                <w:rFonts w:hint="eastAsia" w:asciiTheme="minorEastAsia" w:hAnsiTheme="minorEastAsia" w:eastAsiaTheme="minorEastAsia" w:cstheme="minorEastAsia"/>
                <w:color w:val="auto"/>
                <w:spacing w:val="0"/>
                <w:sz w:val="24"/>
                <w:szCs w:val="24"/>
                <w:highlight w:val="none"/>
                <w:lang w:eastAsia="zh-CN"/>
              </w:rPr>
            </w:pPr>
            <w:r>
              <w:rPr>
                <w:rFonts w:hint="eastAsia" w:asciiTheme="minorEastAsia" w:hAnsiTheme="minorEastAsia" w:eastAsiaTheme="minorEastAsia" w:cstheme="minorEastAsia"/>
                <w:color w:val="auto"/>
                <w:spacing w:val="0"/>
                <w:sz w:val="24"/>
                <w:szCs w:val="24"/>
                <w:highlight w:val="none"/>
                <w:lang w:eastAsia="zh-CN"/>
              </w:rPr>
              <w:t>（</w:t>
            </w:r>
            <w:r>
              <w:rPr>
                <w:rFonts w:hint="eastAsia" w:asciiTheme="minorEastAsia" w:hAnsiTheme="minorEastAsia" w:eastAsiaTheme="minorEastAsia" w:cstheme="minorEastAsia"/>
                <w:color w:val="auto"/>
                <w:spacing w:val="0"/>
                <w:sz w:val="24"/>
                <w:szCs w:val="24"/>
                <w:highlight w:val="none"/>
                <w:lang w:val="en-US" w:eastAsia="zh-CN"/>
              </w:rPr>
              <w:t>2</w:t>
            </w:r>
            <w:r>
              <w:rPr>
                <w:rFonts w:hint="eastAsia" w:asciiTheme="minorEastAsia" w:hAnsiTheme="minorEastAsia" w:eastAsiaTheme="minorEastAsia" w:cstheme="minorEastAsia"/>
                <w:color w:val="auto"/>
                <w:spacing w:val="0"/>
                <w:sz w:val="24"/>
                <w:szCs w:val="24"/>
                <w:highlight w:val="none"/>
                <w:lang w:eastAsia="zh-CN"/>
              </w:rPr>
              <w:t>）投标人代表须随身携带加盖投标人公章的备用密封条（密封条形式不做要求，每包提供</w:t>
            </w:r>
            <w:r>
              <w:rPr>
                <w:rFonts w:hint="eastAsia" w:asciiTheme="minorEastAsia" w:hAnsiTheme="minorEastAsia" w:eastAsiaTheme="minorEastAsia" w:cstheme="minorEastAsia"/>
                <w:color w:val="auto"/>
                <w:spacing w:val="0"/>
                <w:sz w:val="24"/>
                <w:szCs w:val="24"/>
                <w:highlight w:val="none"/>
                <w:lang w:val="en-US" w:eastAsia="zh-CN"/>
              </w:rPr>
              <w:t>4个密封条</w:t>
            </w:r>
            <w:r>
              <w:rPr>
                <w:rFonts w:hint="eastAsia" w:asciiTheme="minorEastAsia" w:hAnsiTheme="minorEastAsia" w:eastAsiaTheme="minorEastAsia" w:cstheme="minorEastAsia"/>
                <w:color w:val="auto"/>
                <w:spacing w:val="0"/>
                <w:sz w:val="24"/>
                <w:szCs w:val="24"/>
                <w:highlight w:val="none"/>
                <w:lang w:eastAsia="zh-CN"/>
              </w:rPr>
              <w:t>）。</w:t>
            </w:r>
          </w:p>
          <w:p>
            <w:pPr>
              <w:widowControl/>
              <w:tabs>
                <w:tab w:val="left" w:pos="720"/>
                <w:tab w:val="left" w:pos="900"/>
                <w:tab w:val="left" w:pos="1080"/>
                <w:tab w:val="left" w:pos="1260"/>
                <w:tab w:val="left" w:pos="1440"/>
                <w:tab w:val="left" w:pos="1800"/>
              </w:tabs>
              <w:spacing w:line="288" w:lineRule="auto"/>
              <w:jc w:val="left"/>
              <w:rPr>
                <w:rFonts w:hint="eastAsia" w:asciiTheme="minorEastAsia" w:hAnsiTheme="minorEastAsia" w:eastAsiaTheme="minorEastAsia" w:cstheme="minorEastAsia"/>
                <w:color w:val="auto"/>
                <w:spacing w:val="0"/>
                <w:sz w:val="24"/>
                <w:szCs w:val="24"/>
                <w:highlight w:val="none"/>
                <w:lang w:eastAsia="zh-CN"/>
              </w:rPr>
            </w:pPr>
            <w:r>
              <w:rPr>
                <w:rFonts w:hint="eastAsia" w:asciiTheme="minorEastAsia" w:hAnsiTheme="minorEastAsia" w:eastAsiaTheme="minorEastAsia" w:cstheme="minorEastAsia"/>
                <w:color w:val="auto"/>
                <w:spacing w:val="0"/>
                <w:sz w:val="24"/>
                <w:szCs w:val="24"/>
                <w:highlight w:val="none"/>
                <w:lang w:eastAsia="zh-CN"/>
              </w:rPr>
              <w:t>（</w:t>
            </w:r>
            <w:r>
              <w:rPr>
                <w:rFonts w:hint="eastAsia" w:asciiTheme="minorEastAsia" w:hAnsiTheme="minorEastAsia" w:eastAsiaTheme="minorEastAsia" w:cstheme="minorEastAsia"/>
                <w:color w:val="auto"/>
                <w:spacing w:val="0"/>
                <w:sz w:val="24"/>
                <w:szCs w:val="24"/>
                <w:highlight w:val="none"/>
                <w:lang w:val="en-US" w:eastAsia="zh-CN"/>
              </w:rPr>
              <w:t>3</w:t>
            </w:r>
            <w:r>
              <w:rPr>
                <w:rFonts w:hint="eastAsia" w:asciiTheme="minorEastAsia" w:hAnsiTheme="minorEastAsia" w:eastAsiaTheme="minorEastAsia" w:cstheme="minorEastAsia"/>
                <w:color w:val="auto"/>
                <w:spacing w:val="0"/>
                <w:sz w:val="24"/>
                <w:szCs w:val="24"/>
                <w:highlight w:val="none"/>
                <w:lang w:eastAsia="zh-CN"/>
              </w:rPr>
              <w:t>）投标人应具有所投标包样品的所有权，并确保采购人和采购代理机构免于受到第三方基于样品所有权产生的起诉。</w:t>
            </w:r>
          </w:p>
          <w:p>
            <w:pPr>
              <w:widowControl/>
              <w:tabs>
                <w:tab w:val="left" w:pos="720"/>
                <w:tab w:val="left" w:pos="900"/>
                <w:tab w:val="left" w:pos="1080"/>
                <w:tab w:val="left" w:pos="1260"/>
                <w:tab w:val="left" w:pos="1440"/>
                <w:tab w:val="left" w:pos="1800"/>
              </w:tabs>
              <w:spacing w:line="288" w:lineRule="auto"/>
              <w:jc w:val="left"/>
              <w:rPr>
                <w:rFonts w:hint="eastAsia" w:asciiTheme="minorEastAsia" w:hAnsiTheme="minorEastAsia" w:eastAsiaTheme="minorEastAsia" w:cstheme="minorEastAsia"/>
                <w:color w:val="auto"/>
                <w:spacing w:val="0"/>
                <w:sz w:val="24"/>
                <w:szCs w:val="24"/>
                <w:highlight w:val="none"/>
                <w:lang w:eastAsia="zh-CN"/>
              </w:rPr>
            </w:pPr>
            <w:r>
              <w:rPr>
                <w:rFonts w:hint="eastAsia" w:asciiTheme="minorEastAsia" w:hAnsiTheme="minorEastAsia" w:eastAsiaTheme="minorEastAsia" w:cstheme="minorEastAsia"/>
                <w:color w:val="auto"/>
                <w:spacing w:val="0"/>
                <w:sz w:val="24"/>
                <w:szCs w:val="24"/>
                <w:highlight w:val="none"/>
                <w:lang w:eastAsia="zh-CN"/>
              </w:rPr>
              <w:t>（</w:t>
            </w:r>
            <w:r>
              <w:rPr>
                <w:rFonts w:hint="eastAsia" w:asciiTheme="minorEastAsia" w:hAnsiTheme="minorEastAsia" w:eastAsiaTheme="minorEastAsia" w:cstheme="minorEastAsia"/>
                <w:color w:val="auto"/>
                <w:spacing w:val="0"/>
                <w:sz w:val="24"/>
                <w:szCs w:val="24"/>
                <w:highlight w:val="none"/>
                <w:lang w:val="en-US" w:eastAsia="zh-CN"/>
              </w:rPr>
              <w:t>4</w:t>
            </w:r>
            <w:r>
              <w:rPr>
                <w:rFonts w:hint="eastAsia" w:asciiTheme="minorEastAsia" w:hAnsiTheme="minorEastAsia" w:eastAsiaTheme="minorEastAsia" w:cstheme="minorEastAsia"/>
                <w:color w:val="auto"/>
                <w:spacing w:val="0"/>
                <w:sz w:val="24"/>
                <w:szCs w:val="24"/>
                <w:highlight w:val="none"/>
                <w:lang w:eastAsia="zh-CN"/>
              </w:rPr>
              <w:t>）现场根据评标委员会的要求可以对样品进行破坏性测试，采购人及采购代理机构不承担任何责任。</w:t>
            </w:r>
          </w:p>
          <w:p>
            <w:pPr>
              <w:widowControl/>
              <w:tabs>
                <w:tab w:val="left" w:pos="720"/>
                <w:tab w:val="left" w:pos="900"/>
                <w:tab w:val="left" w:pos="1080"/>
                <w:tab w:val="left" w:pos="1260"/>
                <w:tab w:val="left" w:pos="1440"/>
                <w:tab w:val="left" w:pos="1800"/>
              </w:tabs>
              <w:spacing w:line="288" w:lineRule="auto"/>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auto"/>
                <w:spacing w:val="0"/>
                <w:sz w:val="24"/>
                <w:szCs w:val="24"/>
                <w:highlight w:val="none"/>
                <w:lang w:eastAsia="zh-CN"/>
              </w:rPr>
              <w:t>（</w:t>
            </w:r>
            <w:r>
              <w:rPr>
                <w:rFonts w:hint="eastAsia" w:asciiTheme="minorEastAsia" w:hAnsiTheme="minorEastAsia" w:eastAsiaTheme="minorEastAsia" w:cstheme="minorEastAsia"/>
                <w:color w:val="auto"/>
                <w:spacing w:val="0"/>
                <w:sz w:val="24"/>
                <w:szCs w:val="24"/>
                <w:highlight w:val="none"/>
                <w:lang w:val="en-US" w:eastAsia="zh-CN"/>
              </w:rPr>
              <w:t>5</w:t>
            </w:r>
            <w:r>
              <w:rPr>
                <w:rFonts w:hint="eastAsia" w:asciiTheme="minorEastAsia" w:hAnsiTheme="minorEastAsia" w:eastAsiaTheme="minorEastAsia" w:cstheme="minorEastAsia"/>
                <w:color w:val="auto"/>
                <w:spacing w:val="0"/>
                <w:sz w:val="24"/>
                <w:szCs w:val="24"/>
                <w:highlight w:val="none"/>
                <w:lang w:eastAsia="zh-CN"/>
              </w:rPr>
              <w:t>）评审结束后，中标人的样品经密封封存于指定位置，作为履约验收的参考。未中标人的投标样品应在中标公告发布之日起</w:t>
            </w:r>
            <w:r>
              <w:rPr>
                <w:rFonts w:hint="eastAsia" w:asciiTheme="minorEastAsia" w:hAnsiTheme="minorEastAsia" w:eastAsiaTheme="minorEastAsia" w:cstheme="minorEastAsia"/>
                <w:color w:val="auto"/>
                <w:spacing w:val="0"/>
                <w:sz w:val="24"/>
                <w:szCs w:val="24"/>
                <w:highlight w:val="none"/>
                <w:lang w:val="en-US" w:eastAsia="zh-CN"/>
              </w:rPr>
              <w:t>7个工作日由投标人自行联系采购代理机构取回，或自行委托采购代理机构邮寄退回，邮寄样品所产生的费用由投标人自行承担。若未中标人未按时取回样品又拒绝以邮寄方式退回样品，则视为同意采购代理机构有权自行处置相关样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13" w:hRule="atLeast"/>
          <w:jc w:val="center"/>
        </w:trPr>
        <w:tc>
          <w:tcPr>
            <w:tcW w:w="68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00" w:lineRule="exact"/>
              <w:jc w:val="center"/>
              <w:rPr>
                <w:rFonts w:hint="eastAsia" w:asciiTheme="minorEastAsia" w:hAnsiTheme="minorEastAsia" w:eastAsiaTheme="minorEastAsia" w:cstheme="minorEastAsia"/>
                <w:bCs/>
                <w:sz w:val="24"/>
                <w:szCs w:val="24"/>
                <w:highlight w:val="none"/>
                <w:lang w:val="en-US" w:eastAsia="zh-CN"/>
              </w:rPr>
            </w:pPr>
            <w:r>
              <w:rPr>
                <w:rFonts w:hint="eastAsia" w:asciiTheme="minorEastAsia" w:hAnsiTheme="minorEastAsia" w:eastAsiaTheme="minorEastAsia" w:cstheme="minorEastAsia"/>
                <w:bCs/>
                <w:sz w:val="24"/>
                <w:szCs w:val="24"/>
                <w:highlight w:val="none"/>
                <w:lang w:val="en-US" w:eastAsia="zh-CN"/>
              </w:rPr>
              <w:t>31</w:t>
            </w:r>
          </w:p>
        </w:tc>
        <w:tc>
          <w:tcPr>
            <w:tcW w:w="169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tabs>
                <w:tab w:val="left" w:pos="720"/>
                <w:tab w:val="left" w:pos="900"/>
                <w:tab w:val="left" w:pos="1080"/>
                <w:tab w:val="left" w:pos="1260"/>
                <w:tab w:val="left" w:pos="1440"/>
                <w:tab w:val="left" w:pos="1800"/>
              </w:tabs>
              <w:spacing w:line="288" w:lineRule="auto"/>
              <w:jc w:val="center"/>
              <w:rPr>
                <w:rFonts w:hint="eastAsia" w:asciiTheme="minorEastAsia" w:hAnsiTheme="minorEastAsia" w:eastAsiaTheme="minorEastAsia" w:cstheme="minorEastAsia"/>
                <w:spacing w:val="-4"/>
                <w:sz w:val="24"/>
                <w:szCs w:val="24"/>
                <w:highlight w:val="none"/>
                <w:lang w:val="en-US" w:eastAsia="zh-CN"/>
              </w:rPr>
            </w:pPr>
            <w:r>
              <w:rPr>
                <w:rFonts w:hint="eastAsia" w:asciiTheme="minorEastAsia" w:hAnsiTheme="minorEastAsia" w:eastAsiaTheme="minorEastAsia" w:cstheme="minorEastAsia"/>
                <w:spacing w:val="-4"/>
                <w:sz w:val="24"/>
                <w:szCs w:val="24"/>
                <w:highlight w:val="none"/>
                <w:lang w:val="en-US" w:eastAsia="zh-CN"/>
              </w:rPr>
              <w:t>兼投兼中</w:t>
            </w:r>
          </w:p>
        </w:tc>
        <w:tc>
          <w:tcPr>
            <w:tcW w:w="663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hd w:val="clear"/>
              <w:tabs>
                <w:tab w:val="left" w:pos="720"/>
                <w:tab w:val="left" w:pos="900"/>
                <w:tab w:val="left" w:pos="1080"/>
                <w:tab w:val="left" w:pos="1260"/>
                <w:tab w:val="left" w:pos="1440"/>
                <w:tab w:val="left" w:pos="1800"/>
              </w:tabs>
              <w:spacing w:line="288" w:lineRule="auto"/>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本项目是否允许兼投兼中：</w:t>
            </w:r>
          </w:p>
          <w:p>
            <w:pPr>
              <w:pStyle w:val="2"/>
              <w:shd w:val="clear"/>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kern w:val="2"/>
                <w:sz w:val="24"/>
                <w:szCs w:val="24"/>
                <w:highlight w:val="none"/>
                <w:lang w:val="en-US" w:eastAsia="zh-CN" w:bidi="ar-SA"/>
              </w:rPr>
              <w:sym w:font="Wingdings 2" w:char="0052"/>
            </w:r>
            <w:r>
              <w:rPr>
                <w:rFonts w:hint="eastAsia" w:asciiTheme="minorEastAsia" w:hAnsiTheme="minorEastAsia" w:eastAsiaTheme="minorEastAsia" w:cstheme="minorEastAsia"/>
                <w:kern w:val="2"/>
                <w:sz w:val="24"/>
                <w:szCs w:val="24"/>
                <w:highlight w:val="none"/>
                <w:lang w:val="en-US" w:eastAsia="zh-CN" w:bidi="ar-SA"/>
              </w:rPr>
              <w:t>允许</w:t>
            </w:r>
          </w:p>
          <w:p>
            <w:pPr>
              <w:pStyle w:val="2"/>
              <w:shd w:val="clea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kern w:val="2"/>
                <w:sz w:val="24"/>
                <w:szCs w:val="24"/>
                <w:highlight w:val="none"/>
                <w:lang w:val="en-US" w:eastAsia="zh-CN" w:bidi="ar-SA"/>
              </w:rPr>
              <w:sym w:font="Wingdings 2" w:char="00A3"/>
            </w:r>
            <w:r>
              <w:rPr>
                <w:rFonts w:hint="eastAsia" w:asciiTheme="minorEastAsia" w:hAnsiTheme="minorEastAsia" w:eastAsiaTheme="minorEastAsia" w:cstheme="minorEastAsia"/>
                <w:kern w:val="2"/>
                <w:sz w:val="24"/>
                <w:szCs w:val="24"/>
                <w:highlight w:val="none"/>
                <w:lang w:val="en-US" w:eastAsia="zh-CN" w:bidi="ar-SA"/>
              </w:rPr>
              <w:t>不允许</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Theme="minorEastAsia" w:hAnsiTheme="minorEastAsia" w:eastAsiaTheme="minorEastAsia" w:cstheme="minorEastAsia"/>
                <w:bCs/>
                <w:sz w:val="24"/>
                <w:szCs w:val="24"/>
                <w:highlight w:val="none"/>
                <w:lang w:val="en-US" w:eastAsia="zh-CN"/>
              </w:rPr>
            </w:pPr>
            <w:r>
              <w:rPr>
                <w:rFonts w:hint="eastAsia" w:asciiTheme="minorEastAsia" w:hAnsiTheme="minorEastAsia" w:eastAsiaTheme="minorEastAsia" w:cstheme="minorEastAsia"/>
                <w:bCs/>
                <w:sz w:val="24"/>
                <w:szCs w:val="24"/>
                <w:highlight w:val="none"/>
              </w:rPr>
              <w:t>3</w:t>
            </w:r>
            <w:r>
              <w:rPr>
                <w:rFonts w:hint="eastAsia" w:asciiTheme="minorEastAsia" w:hAnsiTheme="minorEastAsia" w:eastAsiaTheme="minorEastAsia" w:cstheme="minorEastAsia"/>
                <w:bCs/>
                <w:sz w:val="24"/>
                <w:szCs w:val="24"/>
                <w:highlight w:val="none"/>
                <w:lang w:val="en-US" w:eastAsia="zh-CN"/>
              </w:rPr>
              <w:t>2</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hint="eastAsia" w:asciiTheme="minorEastAsia" w:hAnsiTheme="minorEastAsia" w:eastAsiaTheme="minorEastAsia" w:cstheme="minorEastAsia"/>
                <w:spacing w:val="-4"/>
                <w:sz w:val="24"/>
                <w:szCs w:val="24"/>
                <w:highlight w:val="none"/>
              </w:rPr>
            </w:pPr>
            <w:r>
              <w:rPr>
                <w:rFonts w:hint="eastAsia" w:asciiTheme="minorEastAsia" w:hAnsiTheme="minorEastAsia" w:eastAsiaTheme="minorEastAsia" w:cstheme="minorEastAsia"/>
                <w:spacing w:val="-4"/>
                <w:sz w:val="24"/>
                <w:szCs w:val="24"/>
                <w:highlight w:val="none"/>
              </w:rPr>
              <w:t>其他</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1、根据《国家消防救援局办公室关于推广应用新版消防装备管理系统的通知》要求，中标投标人在交付装备时须附着由“消防装备物资信息采集系统”统一发行的装备物资二维码和RFID。</w:t>
            </w:r>
          </w:p>
          <w:p>
            <w:pPr>
              <w:widowControl/>
              <w:tabs>
                <w:tab w:val="left" w:pos="720"/>
                <w:tab w:val="left" w:pos="900"/>
                <w:tab w:val="left" w:pos="1080"/>
                <w:tab w:val="left" w:pos="1260"/>
                <w:tab w:val="left" w:pos="1440"/>
                <w:tab w:val="left" w:pos="1800"/>
              </w:tabs>
              <w:spacing w:line="288" w:lineRule="auto"/>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除法律、法规和规章规定外，招标文件中用“拒绝”“不接受”“无效”“不得”“必须”“应当”等文字规定的条款为实质性要求条款（即重要条款），对其中任何一条偏离的，在评标时将其视为无效投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35" w:hRule="atLeast"/>
          <w:jc w:val="center"/>
        </w:trPr>
        <w:tc>
          <w:tcPr>
            <w:tcW w:w="9018" w:type="dxa"/>
            <w:gridSpan w:val="3"/>
            <w:tcBorders>
              <w:top w:val="single" w:color="auto" w:sz="4" w:space="0"/>
              <w:left w:val="single" w:color="auto" w:sz="4" w:space="0"/>
              <w:bottom w:val="single" w:color="auto" w:sz="4" w:space="0"/>
              <w:right w:val="single" w:color="auto" w:sz="4" w:space="0"/>
            </w:tcBorders>
            <w:vAlign w:val="center"/>
          </w:tcPr>
          <w:p>
            <w:pPr>
              <w:spacing w:line="300" w:lineRule="exact"/>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
                <w:bCs/>
                <w:sz w:val="24"/>
                <w:szCs w:val="24"/>
                <w:highlight w:val="none"/>
              </w:rPr>
              <w:t>备注：本投标人须知前附表是对招标文件中的重要内容进行罗列；如与招标文件不符，应以本表为准。</w:t>
            </w:r>
          </w:p>
        </w:tc>
      </w:tr>
    </w:tbl>
    <w:p>
      <w:pPr>
        <w:rPr>
          <w:highlight w:val="none"/>
        </w:rPr>
      </w:pPr>
      <w:r>
        <w:rPr>
          <w:rFonts w:hint="eastAsia"/>
          <w:highlight w:val="none"/>
        </w:rPr>
        <w:br w:type="page"/>
      </w:r>
    </w:p>
    <w:p>
      <w:pPr>
        <w:pStyle w:val="3"/>
        <w:rPr>
          <w:highlight w:val="none"/>
        </w:rPr>
      </w:pPr>
      <w:bookmarkStart w:id="13" w:name="_Toc32510"/>
      <w:r>
        <w:rPr>
          <w:rFonts w:hint="eastAsia"/>
          <w:highlight w:val="none"/>
        </w:rPr>
        <w:t xml:space="preserve">第一章 </w:t>
      </w:r>
      <w:bookmarkEnd w:id="0"/>
      <w:bookmarkEnd w:id="1"/>
      <w:bookmarkEnd w:id="10"/>
      <w:r>
        <w:rPr>
          <w:rFonts w:hint="eastAsia"/>
          <w:highlight w:val="none"/>
        </w:rPr>
        <w:t>招标邀请</w:t>
      </w:r>
      <w:bookmarkEnd w:id="11"/>
      <w:bookmarkEnd w:id="12"/>
      <w:bookmarkEnd w:id="13"/>
    </w:p>
    <w:bookmarkEnd w:id="2"/>
    <w:bookmarkEnd w:id="3"/>
    <w:bookmarkEnd w:id="4"/>
    <w:bookmarkEnd w:id="5"/>
    <w:bookmarkEnd w:id="6"/>
    <w:p>
      <w:pPr>
        <w:jc w:val="center"/>
        <w:rPr>
          <w:rFonts w:hint="eastAsia" w:eastAsia="宋体"/>
          <w:sz w:val="24"/>
          <w:szCs w:val="24"/>
          <w:highlight w:val="none"/>
          <w:lang w:eastAsia="zh-CN"/>
        </w:rPr>
      </w:pPr>
      <w:bookmarkStart w:id="14" w:name="_Toc120614211"/>
      <w:bookmarkStart w:id="15" w:name="_Toc534725597"/>
      <w:bookmarkStart w:id="16" w:name="_Toc494375079"/>
      <w:bookmarkStart w:id="17" w:name="_Toc20823314"/>
      <w:bookmarkStart w:id="18" w:name="_Toc120614221"/>
      <w:bookmarkStart w:id="19" w:name="_Toc479757207"/>
      <w:bookmarkStart w:id="20" w:name="_Toc16938558"/>
      <w:bookmarkStart w:id="21" w:name="_Toc513029242"/>
      <w:r>
        <w:rPr>
          <w:rFonts w:hint="eastAsia"/>
          <w:sz w:val="24"/>
          <w:szCs w:val="24"/>
          <w:highlight w:val="none"/>
          <w:lang w:eastAsia="zh-CN"/>
        </w:rPr>
        <w:t>新疆消防救援总队昌吉支队“自然灾害应急能力提升工程”装备配备项目（二）</w:t>
      </w:r>
    </w:p>
    <w:p>
      <w:pPr>
        <w:jc w:val="center"/>
        <w:rPr>
          <w:sz w:val="24"/>
          <w:szCs w:val="24"/>
          <w:highlight w:val="none"/>
        </w:rPr>
      </w:pPr>
      <w:r>
        <w:rPr>
          <w:rFonts w:hint="eastAsia"/>
          <w:sz w:val="24"/>
          <w:szCs w:val="24"/>
          <w:highlight w:val="none"/>
        </w:rPr>
        <w:t>公开</w:t>
      </w:r>
      <w:r>
        <w:rPr>
          <w:sz w:val="24"/>
          <w:szCs w:val="24"/>
          <w:highlight w:val="none"/>
        </w:rPr>
        <w:t>招标</w:t>
      </w:r>
      <w:r>
        <w:rPr>
          <w:rFonts w:hint="eastAsia"/>
          <w:sz w:val="24"/>
          <w:szCs w:val="24"/>
          <w:highlight w:val="none"/>
        </w:rPr>
        <w:t>公告</w:t>
      </w:r>
    </w:p>
    <w:p>
      <w:pPr>
        <w:pBdr>
          <w:top w:val="single" w:color="auto" w:sz="4" w:space="1"/>
          <w:left w:val="single" w:color="auto" w:sz="4" w:space="4"/>
          <w:bottom w:val="single" w:color="auto" w:sz="4" w:space="15"/>
          <w:right w:val="single" w:color="auto" w:sz="4" w:space="4"/>
        </w:pBdr>
        <w:spacing w:line="500" w:lineRule="exact"/>
        <w:jc w:val="both"/>
        <w:rPr>
          <w:rFonts w:ascii="宋体" w:hAnsi="宋体" w:cs="宋体"/>
          <w:b/>
          <w:bCs/>
          <w:sz w:val="24"/>
          <w:szCs w:val="24"/>
          <w:highlight w:val="none"/>
        </w:rPr>
      </w:pPr>
      <w:r>
        <w:rPr>
          <w:rFonts w:hint="eastAsia" w:ascii="宋体" w:hAnsi="宋体" w:cs="宋体"/>
          <w:b/>
          <w:bCs/>
          <w:sz w:val="24"/>
          <w:szCs w:val="24"/>
          <w:highlight w:val="none"/>
        </w:rPr>
        <w:t>项目概况</w:t>
      </w:r>
    </w:p>
    <w:p>
      <w:pPr>
        <w:pBdr>
          <w:top w:val="single" w:color="auto" w:sz="4" w:space="1"/>
          <w:left w:val="single" w:color="auto" w:sz="4" w:space="4"/>
          <w:bottom w:val="single" w:color="auto" w:sz="4" w:space="15"/>
          <w:right w:val="single" w:color="auto" w:sz="4" w:space="4"/>
        </w:pBd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u w:val="single"/>
          <w:lang w:eastAsia="zh-CN"/>
        </w:rPr>
        <w:t>新疆消防救援总队昌吉支队“自然灾害应急能力提升工程”装备配备项目（二）</w:t>
      </w:r>
      <w:r>
        <w:rPr>
          <w:rFonts w:hint="eastAsia" w:ascii="宋体" w:hAnsi="宋体" w:cs="宋体"/>
          <w:sz w:val="24"/>
          <w:szCs w:val="24"/>
          <w:highlight w:val="none"/>
        </w:rPr>
        <w:t>的潜在</w:t>
      </w:r>
      <w:r>
        <w:rPr>
          <w:rFonts w:hint="eastAsia" w:ascii="宋体" w:hAnsi="宋体" w:cs="宋体"/>
          <w:sz w:val="24"/>
          <w:szCs w:val="24"/>
          <w:highlight w:val="none"/>
          <w:lang w:val="en-US" w:eastAsia="zh-CN"/>
        </w:rPr>
        <w:t>投标人</w:t>
      </w:r>
      <w:r>
        <w:rPr>
          <w:rFonts w:hint="eastAsia" w:ascii="宋体" w:hAnsi="宋体" w:cs="宋体"/>
          <w:sz w:val="24"/>
          <w:szCs w:val="24"/>
          <w:highlight w:val="none"/>
        </w:rPr>
        <w:t>应在</w:t>
      </w:r>
      <w:r>
        <w:rPr>
          <w:rFonts w:hint="eastAsia" w:ascii="宋体" w:hAnsi="宋体" w:cs="宋体"/>
          <w:spacing w:val="10"/>
          <w:sz w:val="24"/>
          <w:szCs w:val="24"/>
          <w:highlight w:val="none"/>
          <w:u w:val="single"/>
        </w:rPr>
        <w:t>线上</w:t>
      </w:r>
      <w:r>
        <w:rPr>
          <w:rFonts w:hint="eastAsia" w:ascii="宋体" w:hAnsi="宋体" w:cs="宋体"/>
          <w:sz w:val="24"/>
          <w:szCs w:val="24"/>
          <w:highlight w:val="none"/>
        </w:rPr>
        <w:t>获取招标文件，并于</w:t>
      </w:r>
      <w:r>
        <w:rPr>
          <w:rFonts w:hint="eastAsia" w:ascii="宋体" w:hAnsi="宋体" w:cs="宋体"/>
          <w:sz w:val="24"/>
          <w:szCs w:val="24"/>
          <w:highlight w:val="none"/>
          <w:u w:val="single"/>
        </w:rPr>
        <w:t>2</w:t>
      </w:r>
      <w:r>
        <w:rPr>
          <w:rFonts w:ascii="宋体" w:hAnsi="宋体" w:cs="宋体"/>
          <w:sz w:val="24"/>
          <w:szCs w:val="24"/>
          <w:highlight w:val="none"/>
          <w:u w:val="single"/>
        </w:rPr>
        <w:t>024</w:t>
      </w:r>
      <w:r>
        <w:rPr>
          <w:rFonts w:hint="eastAsia" w:ascii="宋体" w:hAnsi="宋体" w:cs="宋体"/>
          <w:bCs/>
          <w:sz w:val="24"/>
          <w:szCs w:val="24"/>
          <w:highlight w:val="none"/>
          <w:u w:val="single"/>
        </w:rPr>
        <w:t>年</w:t>
      </w:r>
      <w:r>
        <w:rPr>
          <w:rFonts w:hint="eastAsia" w:ascii="宋体" w:hAnsi="宋体" w:cs="宋体"/>
          <w:bCs/>
          <w:sz w:val="24"/>
          <w:szCs w:val="24"/>
          <w:highlight w:val="none"/>
          <w:u w:val="single"/>
          <w:lang w:val="en-US" w:eastAsia="zh-CN"/>
        </w:rPr>
        <w:t>04</w:t>
      </w:r>
      <w:r>
        <w:rPr>
          <w:rFonts w:hint="eastAsia" w:ascii="宋体" w:hAnsi="宋体" w:cs="宋体"/>
          <w:bCs/>
          <w:sz w:val="24"/>
          <w:szCs w:val="24"/>
          <w:highlight w:val="none"/>
          <w:u w:val="single"/>
        </w:rPr>
        <w:t>月</w:t>
      </w:r>
      <w:r>
        <w:rPr>
          <w:rFonts w:hint="eastAsia" w:ascii="宋体" w:hAnsi="宋体" w:cs="宋体"/>
          <w:bCs/>
          <w:sz w:val="24"/>
          <w:szCs w:val="24"/>
          <w:highlight w:val="none"/>
          <w:u w:val="single"/>
          <w:lang w:val="en-US" w:eastAsia="zh-CN"/>
        </w:rPr>
        <w:t>23</w:t>
      </w:r>
      <w:r>
        <w:rPr>
          <w:rFonts w:hint="eastAsia" w:ascii="宋体" w:hAnsi="宋体" w:cs="宋体"/>
          <w:bCs/>
          <w:sz w:val="24"/>
          <w:szCs w:val="24"/>
          <w:highlight w:val="none"/>
          <w:u w:val="single"/>
        </w:rPr>
        <w:t>日</w:t>
      </w:r>
      <w:r>
        <w:rPr>
          <w:rFonts w:hint="eastAsia" w:ascii="宋体" w:hAnsi="宋体" w:cs="宋体"/>
          <w:bCs/>
          <w:sz w:val="24"/>
          <w:szCs w:val="24"/>
          <w:highlight w:val="none"/>
          <w:u w:val="single"/>
          <w:lang w:val="en-US" w:eastAsia="zh-CN"/>
        </w:rPr>
        <w:t>10</w:t>
      </w:r>
      <w:r>
        <w:rPr>
          <w:rFonts w:ascii="宋体" w:hAnsi="宋体" w:cs="宋体"/>
          <w:bCs/>
          <w:sz w:val="24"/>
          <w:szCs w:val="24"/>
          <w:highlight w:val="none"/>
          <w:u w:val="single"/>
        </w:rPr>
        <w:t>点00分</w:t>
      </w:r>
      <w:r>
        <w:rPr>
          <w:rFonts w:hint="eastAsia" w:ascii="宋体" w:hAnsi="宋体" w:cs="宋体"/>
          <w:bCs/>
          <w:sz w:val="24"/>
          <w:szCs w:val="24"/>
          <w:highlight w:val="none"/>
        </w:rPr>
        <w:t>（北京时间）前</w:t>
      </w:r>
      <w:r>
        <w:rPr>
          <w:rFonts w:hint="eastAsia" w:ascii="宋体" w:hAnsi="宋体" w:cs="宋体"/>
          <w:bCs/>
          <w:sz w:val="24"/>
          <w:szCs w:val="24"/>
          <w:highlight w:val="none"/>
          <w:lang w:val="en-US" w:eastAsia="zh-CN"/>
        </w:rPr>
        <w:t>递</w:t>
      </w:r>
      <w:r>
        <w:rPr>
          <w:rFonts w:hint="eastAsia" w:ascii="宋体" w:hAnsi="宋体" w:cs="宋体"/>
          <w:bCs/>
          <w:sz w:val="24"/>
          <w:szCs w:val="24"/>
          <w:highlight w:val="none"/>
        </w:rPr>
        <w:t>交投标文件</w:t>
      </w:r>
      <w:r>
        <w:rPr>
          <w:rFonts w:hint="eastAsia" w:ascii="宋体" w:hAnsi="宋体" w:cs="宋体"/>
          <w:sz w:val="24"/>
          <w:szCs w:val="24"/>
          <w:highlight w:val="none"/>
        </w:rPr>
        <w:t>。</w:t>
      </w:r>
    </w:p>
    <w:p>
      <w:pPr>
        <w:pStyle w:val="5"/>
        <w:rPr>
          <w:rFonts w:hint="eastAsia"/>
          <w:highlight w:val="none"/>
        </w:rPr>
      </w:pPr>
      <w:r>
        <w:rPr>
          <w:rFonts w:hint="eastAsia"/>
          <w:highlight w:val="none"/>
        </w:rPr>
        <w:t>一、项目基本情况</w:t>
      </w:r>
    </w:p>
    <w:p>
      <w:pPr>
        <w:pStyle w:val="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项目编号：XZJ246-027-KW</w:t>
      </w:r>
    </w:p>
    <w:p>
      <w:pPr>
        <w:pStyle w:val="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项目名称：新疆消防救援总队昌吉支队“自然灾害应急能力提升工程”装备配备项目（二）</w:t>
      </w:r>
    </w:p>
    <w:p>
      <w:pPr>
        <w:pStyle w:val="4"/>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预算金额：1466.052000 万元（人民币）</w:t>
      </w:r>
    </w:p>
    <w:p>
      <w:pPr>
        <w:pStyle w:val="4"/>
        <w:rPr>
          <w:rFonts w:hint="eastAsia" w:ascii="宋体" w:hAnsi="宋体" w:cs="宋体"/>
          <w:b/>
          <w:bCs/>
          <w:sz w:val="24"/>
          <w:szCs w:val="24"/>
          <w:highlight w:val="none"/>
        </w:rPr>
      </w:pPr>
      <w:r>
        <w:rPr>
          <w:rFonts w:hint="eastAsia" w:asciiTheme="minorEastAsia" w:hAnsiTheme="minorEastAsia" w:eastAsiaTheme="minorEastAsia" w:cstheme="minorEastAsia"/>
          <w:sz w:val="24"/>
          <w:szCs w:val="24"/>
          <w:highlight w:val="none"/>
        </w:rPr>
        <w:t>最高限价（如有）：1466.052000 万元（人民币）</w:t>
      </w:r>
    </w:p>
    <w:p>
      <w:pPr>
        <w:spacing w:line="240" w:lineRule="auto"/>
        <w:jc w:val="left"/>
        <w:rPr>
          <w:rFonts w:hint="eastAsia" w:ascii="宋体" w:hAnsi="宋体" w:cs="宋体"/>
          <w:b/>
          <w:bCs/>
          <w:sz w:val="24"/>
          <w:szCs w:val="24"/>
          <w:highlight w:val="none"/>
        </w:rPr>
      </w:pPr>
      <w:r>
        <w:rPr>
          <w:rFonts w:hint="eastAsia" w:ascii="宋体" w:hAnsi="宋体" w:cs="宋体"/>
          <w:b/>
          <w:bCs/>
          <w:sz w:val="24"/>
          <w:szCs w:val="24"/>
          <w:highlight w:val="none"/>
        </w:rPr>
        <w:t>采购需求：</w:t>
      </w:r>
    </w:p>
    <w:p>
      <w:pPr>
        <w:spacing w:line="240" w:lineRule="auto"/>
        <w:jc w:val="left"/>
        <w:rPr>
          <w:rFonts w:hint="eastAsia" w:ascii="宋体" w:hAnsi="宋体" w:cs="宋体"/>
          <w:b/>
          <w:bCs/>
          <w:sz w:val="24"/>
          <w:szCs w:val="24"/>
          <w:highlight w:val="none"/>
          <w:lang w:val="en-US" w:eastAsia="zh-CN"/>
        </w:rPr>
      </w:pPr>
    </w:p>
    <w:p>
      <w:pPr>
        <w:spacing w:line="240" w:lineRule="auto"/>
        <w:jc w:val="lef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见附表</w:t>
      </w:r>
    </w:p>
    <w:p>
      <w:pPr>
        <w:spacing w:line="240" w:lineRule="auto"/>
        <w:jc w:val="left"/>
        <w:rPr>
          <w:rFonts w:hint="eastAsia" w:ascii="宋体" w:hAnsi="宋体" w:cs="宋体"/>
          <w:b/>
          <w:bCs/>
          <w:sz w:val="24"/>
          <w:szCs w:val="24"/>
          <w:highlight w:val="none"/>
          <w:lang w:val="en-US" w:eastAsia="zh-CN"/>
        </w:rPr>
      </w:pPr>
    </w:p>
    <w:tbl>
      <w:tblPr>
        <w:tblStyle w:val="39"/>
        <w:tblW w:w="8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32"/>
        <w:gridCol w:w="2016"/>
        <w:gridCol w:w="1191"/>
        <w:gridCol w:w="1090"/>
        <w:gridCol w:w="1513"/>
        <w:gridCol w:w="13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1432"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zh-CN" w:eastAsia="zh-CN"/>
              </w:rPr>
              <w:t>包号</w:t>
            </w:r>
          </w:p>
        </w:tc>
        <w:tc>
          <w:tcPr>
            <w:tcW w:w="2016"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zh-CN" w:eastAsia="zh-CN"/>
              </w:rPr>
              <w:t>装备名称</w:t>
            </w:r>
          </w:p>
        </w:tc>
        <w:tc>
          <w:tcPr>
            <w:tcW w:w="1191"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zh-CN" w:eastAsia="zh-CN"/>
              </w:rPr>
              <w:t>单位</w:t>
            </w:r>
          </w:p>
        </w:tc>
        <w:tc>
          <w:tcPr>
            <w:tcW w:w="1090"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zh-CN" w:eastAsia="zh-CN"/>
              </w:rPr>
              <w:t>数量</w:t>
            </w:r>
          </w:p>
        </w:tc>
        <w:tc>
          <w:tcPr>
            <w:tcW w:w="1513" w:type="dxa"/>
            <w:vAlign w:val="center"/>
          </w:tcPr>
          <w:p>
            <w:pPr>
              <w:spacing w:line="460" w:lineRule="exact"/>
              <w:jc w:val="center"/>
              <w:rPr>
                <w:rFonts w:hint="eastAsia" w:ascii="宋体" w:hAnsi="宋体" w:cs="宋体"/>
                <w:sz w:val="24"/>
                <w:szCs w:val="24"/>
                <w:highlight w:val="none"/>
                <w:lang w:val="zh-CN" w:eastAsia="zh-CN"/>
              </w:rPr>
            </w:pPr>
            <w:r>
              <w:rPr>
                <w:rFonts w:hint="eastAsia" w:ascii="宋体" w:hAnsi="宋体" w:cs="宋体"/>
                <w:sz w:val="24"/>
                <w:szCs w:val="24"/>
                <w:highlight w:val="none"/>
                <w:lang w:val="zh-CN" w:eastAsia="zh-CN"/>
              </w:rPr>
              <w:t>单价</w:t>
            </w:r>
          </w:p>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zh-CN" w:eastAsia="zh-CN"/>
              </w:rPr>
              <w:t>（万元）</w:t>
            </w:r>
          </w:p>
        </w:tc>
        <w:tc>
          <w:tcPr>
            <w:tcW w:w="1354"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合计</w:t>
            </w:r>
          </w:p>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zh-CN" w:eastAsia="zh-CN"/>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32" w:type="dxa"/>
            <w:vMerge w:val="restart"/>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eastAsia="zh-CN"/>
              </w:rPr>
              <w:t>第</w:t>
            </w:r>
            <w:r>
              <w:rPr>
                <w:rFonts w:hint="eastAsia" w:ascii="宋体" w:hAnsi="宋体" w:cs="宋体"/>
                <w:sz w:val="24"/>
                <w:szCs w:val="24"/>
                <w:highlight w:val="none"/>
                <w:lang w:val="en-US" w:eastAsia="zh-CN"/>
              </w:rPr>
              <w:t>十</w:t>
            </w:r>
            <w:r>
              <w:rPr>
                <w:rFonts w:hint="eastAsia" w:ascii="宋体" w:hAnsi="宋体" w:cs="宋体"/>
                <w:sz w:val="24"/>
                <w:szCs w:val="24"/>
                <w:highlight w:val="none"/>
                <w:lang w:eastAsia="zh-CN"/>
              </w:rPr>
              <w:t>包</w:t>
            </w:r>
          </w:p>
        </w:tc>
        <w:tc>
          <w:tcPr>
            <w:tcW w:w="2016"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空气呼吸器</w:t>
            </w:r>
          </w:p>
        </w:tc>
        <w:tc>
          <w:tcPr>
            <w:tcW w:w="1191" w:type="dxa"/>
            <w:vAlign w:val="center"/>
          </w:tcPr>
          <w:p>
            <w:pPr>
              <w:spacing w:line="460" w:lineRule="exact"/>
              <w:jc w:val="cente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具</w:t>
            </w:r>
          </w:p>
        </w:tc>
        <w:tc>
          <w:tcPr>
            <w:tcW w:w="1090" w:type="dxa"/>
            <w:vAlign w:val="center"/>
          </w:tcPr>
          <w:p>
            <w:pPr>
              <w:spacing w:line="460" w:lineRule="exact"/>
              <w:jc w:val="center"/>
              <w:rPr>
                <w:rFonts w:hint="eastAsia" w:ascii="宋体" w:hAnsi="宋体" w:cs="宋体"/>
                <w:sz w:val="24"/>
                <w:szCs w:val="24"/>
                <w:highlight w:val="none"/>
                <w:lang w:val="en-US" w:eastAsia="zh-CN"/>
              </w:rPr>
            </w:pPr>
            <w:r>
              <w:rPr>
                <w:rFonts w:hint="default" w:ascii="宋体" w:hAnsi="宋体" w:cs="宋体"/>
                <w:sz w:val="24"/>
                <w:szCs w:val="24"/>
                <w:highlight w:val="none"/>
                <w:lang w:val="en-US" w:eastAsia="zh-CN"/>
              </w:rPr>
              <w:t>570</w:t>
            </w:r>
          </w:p>
        </w:tc>
        <w:tc>
          <w:tcPr>
            <w:tcW w:w="1513"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zh-CN" w:eastAsia="zh-CN"/>
              </w:rPr>
              <w:t>0.8</w:t>
            </w:r>
            <w:r>
              <w:rPr>
                <w:rFonts w:hint="eastAsia" w:ascii="宋体" w:hAnsi="宋体" w:cs="宋体"/>
                <w:sz w:val="24"/>
                <w:szCs w:val="24"/>
                <w:highlight w:val="none"/>
                <w:lang w:val="en-US" w:eastAsia="zh-CN"/>
              </w:rPr>
              <w:t>000</w:t>
            </w:r>
          </w:p>
        </w:tc>
        <w:tc>
          <w:tcPr>
            <w:tcW w:w="1354" w:type="dxa"/>
            <w:vMerge w:val="restart"/>
            <w:vAlign w:val="center"/>
          </w:tcPr>
          <w:p>
            <w:pPr>
              <w:spacing w:line="460" w:lineRule="exact"/>
              <w:jc w:val="cente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641.812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1432" w:type="dxa"/>
            <w:vMerge w:val="continue"/>
            <w:vAlign w:val="center"/>
          </w:tcPr>
          <w:p>
            <w:pPr>
              <w:spacing w:line="460" w:lineRule="exact"/>
              <w:jc w:val="center"/>
              <w:rPr>
                <w:rFonts w:hint="eastAsia" w:ascii="宋体" w:hAnsi="宋体" w:cs="宋体"/>
                <w:sz w:val="24"/>
                <w:szCs w:val="24"/>
                <w:highlight w:val="none"/>
                <w:lang w:val="en-US" w:eastAsia="zh-CN"/>
              </w:rPr>
            </w:pPr>
          </w:p>
        </w:tc>
        <w:tc>
          <w:tcPr>
            <w:tcW w:w="2016"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高压气瓶</w:t>
            </w:r>
          </w:p>
        </w:tc>
        <w:tc>
          <w:tcPr>
            <w:tcW w:w="1191" w:type="dxa"/>
            <w:vAlign w:val="center"/>
          </w:tcPr>
          <w:p>
            <w:pPr>
              <w:spacing w:line="460" w:lineRule="exact"/>
              <w:jc w:val="cente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个</w:t>
            </w:r>
          </w:p>
        </w:tc>
        <w:tc>
          <w:tcPr>
            <w:tcW w:w="1090" w:type="dxa"/>
            <w:vAlign w:val="center"/>
          </w:tcPr>
          <w:p>
            <w:pPr>
              <w:spacing w:line="460" w:lineRule="exact"/>
              <w:jc w:val="center"/>
              <w:rPr>
                <w:rFonts w:hint="eastAsia" w:ascii="宋体" w:hAnsi="宋体" w:cs="宋体"/>
                <w:sz w:val="24"/>
                <w:szCs w:val="24"/>
                <w:highlight w:val="none"/>
                <w:lang w:val="en-US" w:eastAsia="zh-CN"/>
              </w:rPr>
            </w:pPr>
            <w:r>
              <w:rPr>
                <w:rFonts w:hint="default" w:ascii="宋体" w:hAnsi="宋体" w:cs="宋体"/>
                <w:sz w:val="24"/>
                <w:szCs w:val="24"/>
                <w:highlight w:val="none"/>
                <w:lang w:val="en-US" w:eastAsia="zh-CN"/>
              </w:rPr>
              <w:t>10</w:t>
            </w:r>
          </w:p>
        </w:tc>
        <w:tc>
          <w:tcPr>
            <w:tcW w:w="1513"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zh-CN" w:eastAsia="zh-CN"/>
              </w:rPr>
              <w:t>0.7</w:t>
            </w:r>
            <w:r>
              <w:rPr>
                <w:rFonts w:hint="eastAsia" w:ascii="宋体" w:hAnsi="宋体" w:cs="宋体"/>
                <w:sz w:val="24"/>
                <w:szCs w:val="24"/>
                <w:highlight w:val="none"/>
                <w:lang w:val="en-US" w:eastAsia="zh-CN"/>
              </w:rPr>
              <w:t>000</w:t>
            </w:r>
          </w:p>
        </w:tc>
        <w:tc>
          <w:tcPr>
            <w:tcW w:w="1354" w:type="dxa"/>
            <w:vMerge w:val="continue"/>
            <w:vAlign w:val="center"/>
          </w:tcPr>
          <w:p>
            <w:pPr>
              <w:spacing w:line="460" w:lineRule="exact"/>
              <w:jc w:val="center"/>
              <w:rPr>
                <w:rFonts w:hint="eastAsia" w:ascii="宋体" w:hAnsi="宋体" w:cs="宋体"/>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1432" w:type="dxa"/>
            <w:vMerge w:val="continue"/>
            <w:vAlign w:val="center"/>
          </w:tcPr>
          <w:p>
            <w:pPr>
              <w:spacing w:line="460" w:lineRule="exact"/>
              <w:jc w:val="center"/>
              <w:rPr>
                <w:rFonts w:hint="eastAsia" w:ascii="宋体" w:hAnsi="宋体" w:cs="宋体"/>
                <w:sz w:val="24"/>
                <w:szCs w:val="24"/>
                <w:highlight w:val="none"/>
                <w:lang w:val="en-US" w:eastAsia="zh-CN"/>
              </w:rPr>
            </w:pPr>
          </w:p>
        </w:tc>
        <w:tc>
          <w:tcPr>
            <w:tcW w:w="2016"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移动供气源</w:t>
            </w:r>
          </w:p>
        </w:tc>
        <w:tc>
          <w:tcPr>
            <w:tcW w:w="1191" w:type="dxa"/>
            <w:vAlign w:val="center"/>
          </w:tcPr>
          <w:p>
            <w:pPr>
              <w:spacing w:line="460" w:lineRule="exact"/>
              <w:jc w:val="cente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套</w:t>
            </w:r>
          </w:p>
        </w:tc>
        <w:tc>
          <w:tcPr>
            <w:tcW w:w="1090" w:type="dxa"/>
            <w:vAlign w:val="center"/>
          </w:tcPr>
          <w:p>
            <w:pPr>
              <w:spacing w:line="460" w:lineRule="exact"/>
              <w:jc w:val="center"/>
              <w:rPr>
                <w:rFonts w:hint="eastAsia" w:ascii="宋体" w:hAnsi="宋体" w:cs="宋体"/>
                <w:sz w:val="24"/>
                <w:szCs w:val="24"/>
                <w:highlight w:val="none"/>
                <w:lang w:val="en-US" w:eastAsia="zh-CN"/>
              </w:rPr>
            </w:pPr>
            <w:r>
              <w:rPr>
                <w:rFonts w:hint="default" w:ascii="宋体" w:hAnsi="宋体" w:cs="宋体"/>
                <w:sz w:val="24"/>
                <w:szCs w:val="24"/>
                <w:highlight w:val="none"/>
                <w:lang w:val="en-US" w:eastAsia="zh-CN"/>
              </w:rPr>
              <w:t>18</w:t>
            </w:r>
          </w:p>
        </w:tc>
        <w:tc>
          <w:tcPr>
            <w:tcW w:w="1513"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zh-CN" w:eastAsia="zh-CN"/>
              </w:rPr>
              <w:t>2.</w:t>
            </w:r>
            <w:r>
              <w:rPr>
                <w:rFonts w:hint="eastAsia" w:ascii="宋体" w:hAnsi="宋体" w:cs="宋体"/>
                <w:sz w:val="24"/>
                <w:szCs w:val="24"/>
                <w:highlight w:val="none"/>
                <w:lang w:val="en-US" w:eastAsia="zh-CN"/>
              </w:rPr>
              <w:t>1000</w:t>
            </w:r>
          </w:p>
        </w:tc>
        <w:tc>
          <w:tcPr>
            <w:tcW w:w="1354" w:type="dxa"/>
            <w:vMerge w:val="continue"/>
            <w:vAlign w:val="center"/>
          </w:tcPr>
          <w:p>
            <w:pPr>
              <w:spacing w:line="460" w:lineRule="exact"/>
              <w:jc w:val="center"/>
              <w:rPr>
                <w:rFonts w:hint="eastAsia" w:ascii="宋体" w:hAnsi="宋体" w:cs="宋体"/>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1432" w:type="dxa"/>
            <w:vMerge w:val="continue"/>
            <w:vAlign w:val="center"/>
          </w:tcPr>
          <w:p>
            <w:pPr>
              <w:spacing w:line="460" w:lineRule="exact"/>
              <w:jc w:val="center"/>
              <w:rPr>
                <w:rFonts w:hint="eastAsia" w:ascii="宋体" w:hAnsi="宋体" w:cs="宋体"/>
                <w:sz w:val="24"/>
                <w:szCs w:val="24"/>
                <w:highlight w:val="none"/>
                <w:lang w:val="en-US" w:eastAsia="zh-CN"/>
              </w:rPr>
            </w:pPr>
          </w:p>
        </w:tc>
        <w:tc>
          <w:tcPr>
            <w:tcW w:w="2016"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空呼气瓶</w:t>
            </w:r>
          </w:p>
        </w:tc>
        <w:tc>
          <w:tcPr>
            <w:tcW w:w="1191"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个</w:t>
            </w:r>
          </w:p>
        </w:tc>
        <w:tc>
          <w:tcPr>
            <w:tcW w:w="1090" w:type="dxa"/>
            <w:vAlign w:val="center"/>
          </w:tcPr>
          <w:p>
            <w:pPr>
              <w:spacing w:line="460" w:lineRule="exact"/>
              <w:jc w:val="center"/>
              <w:rPr>
                <w:rFonts w:hint="eastAsia" w:ascii="宋体" w:hAnsi="宋体" w:cs="宋体"/>
                <w:sz w:val="24"/>
                <w:szCs w:val="24"/>
                <w:highlight w:val="none"/>
                <w:lang w:val="en-US" w:eastAsia="zh-CN"/>
              </w:rPr>
            </w:pPr>
            <w:r>
              <w:rPr>
                <w:rFonts w:hint="default" w:ascii="宋体" w:hAnsi="宋体" w:cs="宋体"/>
                <w:sz w:val="24"/>
                <w:szCs w:val="24"/>
                <w:highlight w:val="none"/>
                <w:lang w:val="en-US" w:eastAsia="zh-CN"/>
              </w:rPr>
              <w:t>520</w:t>
            </w:r>
          </w:p>
        </w:tc>
        <w:tc>
          <w:tcPr>
            <w:tcW w:w="1513"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zh-CN" w:eastAsia="zh-CN"/>
              </w:rPr>
              <w:t>0.</w:t>
            </w:r>
            <w:r>
              <w:rPr>
                <w:rFonts w:hint="eastAsia" w:ascii="宋体" w:hAnsi="宋体" w:cs="宋体"/>
                <w:sz w:val="24"/>
                <w:szCs w:val="24"/>
                <w:highlight w:val="none"/>
                <w:lang w:val="en-US" w:eastAsia="zh-CN"/>
              </w:rPr>
              <w:t>1800</w:t>
            </w:r>
          </w:p>
        </w:tc>
        <w:tc>
          <w:tcPr>
            <w:tcW w:w="1354" w:type="dxa"/>
            <w:vMerge w:val="continue"/>
            <w:vAlign w:val="center"/>
          </w:tcPr>
          <w:p>
            <w:pPr>
              <w:spacing w:line="460" w:lineRule="exact"/>
              <w:jc w:val="center"/>
              <w:rPr>
                <w:rFonts w:hint="eastAsia" w:ascii="宋体" w:hAnsi="宋体" w:cs="宋体"/>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1432" w:type="dxa"/>
            <w:vMerge w:val="continue"/>
            <w:vAlign w:val="center"/>
          </w:tcPr>
          <w:p>
            <w:pPr>
              <w:spacing w:line="460" w:lineRule="exact"/>
              <w:jc w:val="center"/>
              <w:rPr>
                <w:rFonts w:hint="eastAsia" w:ascii="宋体" w:hAnsi="宋体" w:cs="宋体"/>
                <w:sz w:val="24"/>
                <w:szCs w:val="24"/>
                <w:highlight w:val="none"/>
                <w:lang w:val="en-US" w:eastAsia="zh-CN"/>
              </w:rPr>
            </w:pPr>
          </w:p>
        </w:tc>
        <w:tc>
          <w:tcPr>
            <w:tcW w:w="2016"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化学氧自救呼吸器</w:t>
            </w:r>
          </w:p>
        </w:tc>
        <w:tc>
          <w:tcPr>
            <w:tcW w:w="1191"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具</w:t>
            </w:r>
          </w:p>
        </w:tc>
        <w:tc>
          <w:tcPr>
            <w:tcW w:w="1090" w:type="dxa"/>
            <w:vAlign w:val="center"/>
          </w:tcPr>
          <w:p>
            <w:pPr>
              <w:spacing w:line="460" w:lineRule="exact"/>
              <w:jc w:val="center"/>
              <w:rPr>
                <w:rFonts w:hint="eastAsia" w:ascii="宋体" w:hAnsi="宋体" w:cs="宋体"/>
                <w:sz w:val="24"/>
                <w:szCs w:val="24"/>
                <w:highlight w:val="none"/>
                <w:lang w:val="en-US" w:eastAsia="zh-CN"/>
              </w:rPr>
            </w:pPr>
            <w:r>
              <w:rPr>
                <w:rFonts w:hint="default" w:ascii="宋体" w:hAnsi="宋体" w:cs="宋体"/>
                <w:sz w:val="24"/>
                <w:szCs w:val="24"/>
                <w:highlight w:val="none"/>
                <w:lang w:val="en-US" w:eastAsia="zh-CN"/>
              </w:rPr>
              <w:t>72</w:t>
            </w:r>
          </w:p>
        </w:tc>
        <w:tc>
          <w:tcPr>
            <w:tcW w:w="1513"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zh-CN" w:eastAsia="zh-CN"/>
              </w:rPr>
              <w:t>0.3</w:t>
            </w:r>
            <w:r>
              <w:rPr>
                <w:rFonts w:hint="eastAsia" w:ascii="宋体" w:hAnsi="宋体" w:cs="宋体"/>
                <w:sz w:val="24"/>
                <w:szCs w:val="24"/>
                <w:highlight w:val="none"/>
                <w:lang w:val="en-US" w:eastAsia="zh-CN"/>
              </w:rPr>
              <w:t>460</w:t>
            </w:r>
          </w:p>
        </w:tc>
        <w:tc>
          <w:tcPr>
            <w:tcW w:w="1354" w:type="dxa"/>
            <w:vMerge w:val="continue"/>
            <w:vAlign w:val="center"/>
          </w:tcPr>
          <w:p>
            <w:pPr>
              <w:spacing w:line="460" w:lineRule="exact"/>
              <w:jc w:val="center"/>
              <w:rPr>
                <w:rFonts w:hint="eastAsia" w:ascii="宋体" w:hAnsi="宋体" w:cs="宋体"/>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1432" w:type="dxa"/>
            <w:vMerge w:val="continue"/>
            <w:vAlign w:val="center"/>
          </w:tcPr>
          <w:p>
            <w:pPr>
              <w:spacing w:line="460" w:lineRule="exact"/>
              <w:jc w:val="center"/>
              <w:rPr>
                <w:rFonts w:hint="eastAsia" w:ascii="宋体" w:hAnsi="宋体" w:cs="宋体"/>
                <w:sz w:val="24"/>
                <w:szCs w:val="24"/>
                <w:highlight w:val="none"/>
                <w:lang w:val="en-US" w:eastAsia="zh-CN"/>
              </w:rPr>
            </w:pPr>
          </w:p>
        </w:tc>
        <w:tc>
          <w:tcPr>
            <w:tcW w:w="2016"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冰域呼吸器组件</w:t>
            </w:r>
          </w:p>
        </w:tc>
        <w:tc>
          <w:tcPr>
            <w:tcW w:w="1191" w:type="dxa"/>
            <w:vAlign w:val="center"/>
          </w:tcPr>
          <w:p>
            <w:pPr>
              <w:spacing w:line="460" w:lineRule="exact"/>
              <w:jc w:val="cente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套</w:t>
            </w:r>
          </w:p>
        </w:tc>
        <w:tc>
          <w:tcPr>
            <w:tcW w:w="1090" w:type="dxa"/>
            <w:vAlign w:val="center"/>
          </w:tcPr>
          <w:p>
            <w:pPr>
              <w:spacing w:line="460" w:lineRule="exact"/>
              <w:jc w:val="center"/>
              <w:rPr>
                <w:rFonts w:hint="eastAsia" w:ascii="宋体" w:hAnsi="宋体" w:cs="宋体"/>
                <w:sz w:val="24"/>
                <w:szCs w:val="24"/>
                <w:highlight w:val="none"/>
                <w:lang w:val="en-US" w:eastAsia="zh-CN"/>
              </w:rPr>
            </w:pPr>
            <w:r>
              <w:rPr>
                <w:rFonts w:hint="default" w:ascii="宋体" w:hAnsi="宋体" w:cs="宋体"/>
                <w:sz w:val="24"/>
                <w:szCs w:val="24"/>
                <w:highlight w:val="none"/>
                <w:lang w:val="en-US" w:eastAsia="zh-CN"/>
              </w:rPr>
              <w:t>15</w:t>
            </w:r>
          </w:p>
        </w:tc>
        <w:tc>
          <w:tcPr>
            <w:tcW w:w="1513"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zh-CN" w:eastAsia="zh-CN"/>
              </w:rPr>
              <w:t>1.5</w:t>
            </w:r>
            <w:r>
              <w:rPr>
                <w:rFonts w:hint="eastAsia" w:ascii="宋体" w:hAnsi="宋体" w:cs="宋体"/>
                <w:sz w:val="24"/>
                <w:szCs w:val="24"/>
                <w:highlight w:val="none"/>
                <w:lang w:val="en-US" w:eastAsia="zh-CN"/>
              </w:rPr>
              <w:t>000</w:t>
            </w:r>
          </w:p>
        </w:tc>
        <w:tc>
          <w:tcPr>
            <w:tcW w:w="1354" w:type="dxa"/>
            <w:vMerge w:val="continue"/>
            <w:vAlign w:val="center"/>
          </w:tcPr>
          <w:p>
            <w:pPr>
              <w:spacing w:line="460" w:lineRule="exact"/>
              <w:jc w:val="center"/>
              <w:rPr>
                <w:rFonts w:hint="eastAsia" w:ascii="宋体" w:hAnsi="宋体" w:cs="宋体"/>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1432" w:type="dxa"/>
            <w:vMerge w:val="restart"/>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eastAsia="zh-CN"/>
              </w:rPr>
              <w:t>第</w:t>
            </w:r>
            <w:r>
              <w:rPr>
                <w:rFonts w:hint="eastAsia" w:ascii="宋体" w:hAnsi="宋体" w:cs="宋体"/>
                <w:sz w:val="24"/>
                <w:szCs w:val="24"/>
                <w:highlight w:val="none"/>
                <w:lang w:val="en-US" w:eastAsia="zh-CN"/>
              </w:rPr>
              <w:t>十一</w:t>
            </w:r>
            <w:r>
              <w:rPr>
                <w:rFonts w:hint="eastAsia" w:ascii="宋体" w:hAnsi="宋体" w:cs="宋体"/>
                <w:sz w:val="24"/>
                <w:szCs w:val="24"/>
                <w:highlight w:val="none"/>
                <w:lang w:eastAsia="zh-CN"/>
              </w:rPr>
              <w:t>包</w:t>
            </w:r>
          </w:p>
        </w:tc>
        <w:tc>
          <w:tcPr>
            <w:tcW w:w="2016"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水上救生机器人</w:t>
            </w:r>
          </w:p>
        </w:tc>
        <w:tc>
          <w:tcPr>
            <w:tcW w:w="1191" w:type="dxa"/>
            <w:vAlign w:val="center"/>
          </w:tcPr>
          <w:p>
            <w:pPr>
              <w:spacing w:line="460" w:lineRule="exact"/>
              <w:jc w:val="cente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台</w:t>
            </w:r>
          </w:p>
        </w:tc>
        <w:tc>
          <w:tcPr>
            <w:tcW w:w="1090" w:type="dxa"/>
            <w:vAlign w:val="center"/>
          </w:tcPr>
          <w:p>
            <w:pPr>
              <w:spacing w:line="460" w:lineRule="exact"/>
              <w:jc w:val="center"/>
              <w:rPr>
                <w:rFonts w:hint="eastAsia" w:ascii="宋体" w:hAnsi="宋体" w:cs="宋体"/>
                <w:sz w:val="24"/>
                <w:szCs w:val="24"/>
                <w:highlight w:val="none"/>
                <w:lang w:val="en-US" w:eastAsia="zh-CN"/>
              </w:rPr>
            </w:pPr>
            <w:r>
              <w:rPr>
                <w:rFonts w:hint="default" w:ascii="宋体" w:hAnsi="宋体" w:cs="宋体"/>
                <w:sz w:val="24"/>
                <w:szCs w:val="24"/>
                <w:highlight w:val="none"/>
                <w:lang w:val="en-US" w:eastAsia="zh-CN"/>
              </w:rPr>
              <w:t>2</w:t>
            </w:r>
          </w:p>
        </w:tc>
        <w:tc>
          <w:tcPr>
            <w:tcW w:w="1513"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25</w:t>
            </w:r>
            <w:r>
              <w:rPr>
                <w:rFonts w:hint="eastAsia" w:ascii="宋体" w:hAnsi="宋体" w:cs="宋体"/>
                <w:sz w:val="24"/>
                <w:szCs w:val="24"/>
                <w:highlight w:val="none"/>
                <w:lang w:val="zh-CN" w:eastAsia="zh-CN"/>
              </w:rPr>
              <w:t>.0</w:t>
            </w:r>
            <w:r>
              <w:rPr>
                <w:rFonts w:hint="eastAsia" w:ascii="宋体" w:hAnsi="宋体" w:cs="宋体"/>
                <w:sz w:val="24"/>
                <w:szCs w:val="24"/>
                <w:highlight w:val="none"/>
                <w:lang w:val="en-US" w:eastAsia="zh-CN"/>
              </w:rPr>
              <w:t>000</w:t>
            </w:r>
          </w:p>
        </w:tc>
        <w:tc>
          <w:tcPr>
            <w:tcW w:w="1354" w:type="dxa"/>
            <w:vMerge w:val="restart"/>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212.0000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1432" w:type="dxa"/>
            <w:vMerge w:val="continue"/>
            <w:vAlign w:val="center"/>
          </w:tcPr>
          <w:p>
            <w:pPr>
              <w:spacing w:line="460" w:lineRule="exact"/>
              <w:jc w:val="center"/>
              <w:rPr>
                <w:rFonts w:hint="eastAsia" w:ascii="宋体" w:hAnsi="宋体" w:cs="宋体"/>
                <w:sz w:val="24"/>
                <w:szCs w:val="24"/>
                <w:highlight w:val="none"/>
                <w:lang w:val="en-US" w:eastAsia="zh-CN"/>
              </w:rPr>
            </w:pPr>
          </w:p>
        </w:tc>
        <w:tc>
          <w:tcPr>
            <w:tcW w:w="2016"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水下机器人</w:t>
            </w:r>
          </w:p>
        </w:tc>
        <w:tc>
          <w:tcPr>
            <w:tcW w:w="1191"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台</w:t>
            </w:r>
          </w:p>
        </w:tc>
        <w:tc>
          <w:tcPr>
            <w:tcW w:w="1090" w:type="dxa"/>
            <w:vAlign w:val="center"/>
          </w:tcPr>
          <w:p>
            <w:pPr>
              <w:spacing w:line="460" w:lineRule="exact"/>
              <w:jc w:val="center"/>
              <w:rPr>
                <w:rFonts w:hint="eastAsia" w:ascii="宋体" w:hAnsi="宋体" w:cs="宋体"/>
                <w:sz w:val="24"/>
                <w:szCs w:val="24"/>
                <w:highlight w:val="none"/>
                <w:lang w:val="en-US" w:eastAsia="zh-CN"/>
              </w:rPr>
            </w:pPr>
            <w:r>
              <w:rPr>
                <w:rFonts w:hint="default" w:ascii="宋体" w:hAnsi="宋体" w:cs="宋体"/>
                <w:sz w:val="24"/>
                <w:szCs w:val="24"/>
                <w:highlight w:val="none"/>
                <w:lang w:val="en-US" w:eastAsia="zh-CN"/>
              </w:rPr>
              <w:t>2</w:t>
            </w:r>
          </w:p>
        </w:tc>
        <w:tc>
          <w:tcPr>
            <w:tcW w:w="1513"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zh-CN" w:eastAsia="zh-CN"/>
              </w:rPr>
              <w:t>81.0</w:t>
            </w:r>
            <w:r>
              <w:rPr>
                <w:rFonts w:hint="eastAsia" w:ascii="宋体" w:hAnsi="宋体" w:cs="宋体"/>
                <w:sz w:val="24"/>
                <w:szCs w:val="24"/>
                <w:highlight w:val="none"/>
                <w:lang w:val="en-US" w:eastAsia="zh-CN"/>
              </w:rPr>
              <w:t>000</w:t>
            </w:r>
          </w:p>
        </w:tc>
        <w:tc>
          <w:tcPr>
            <w:tcW w:w="1354" w:type="dxa"/>
            <w:vMerge w:val="continue"/>
            <w:vAlign w:val="center"/>
          </w:tcPr>
          <w:p>
            <w:pPr>
              <w:spacing w:line="460" w:lineRule="exact"/>
              <w:jc w:val="center"/>
              <w:rPr>
                <w:rFonts w:hint="eastAsia" w:ascii="宋体" w:hAnsi="宋体" w:cs="宋体"/>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1432"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eastAsia="zh-CN"/>
              </w:rPr>
              <w:t>第</w:t>
            </w:r>
            <w:r>
              <w:rPr>
                <w:rFonts w:hint="eastAsia" w:ascii="宋体" w:hAnsi="宋体" w:cs="宋体"/>
                <w:sz w:val="24"/>
                <w:szCs w:val="24"/>
                <w:highlight w:val="none"/>
                <w:lang w:val="en-US" w:eastAsia="zh-CN"/>
              </w:rPr>
              <w:t>十二</w:t>
            </w:r>
            <w:r>
              <w:rPr>
                <w:rFonts w:hint="eastAsia" w:ascii="宋体" w:hAnsi="宋体" w:cs="宋体"/>
                <w:sz w:val="24"/>
                <w:szCs w:val="24"/>
                <w:highlight w:val="none"/>
                <w:lang w:eastAsia="zh-CN"/>
              </w:rPr>
              <w:t>包</w:t>
            </w:r>
          </w:p>
        </w:tc>
        <w:tc>
          <w:tcPr>
            <w:tcW w:w="2016"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排水机器人</w:t>
            </w:r>
          </w:p>
        </w:tc>
        <w:tc>
          <w:tcPr>
            <w:tcW w:w="1191"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台</w:t>
            </w:r>
          </w:p>
        </w:tc>
        <w:tc>
          <w:tcPr>
            <w:tcW w:w="1090" w:type="dxa"/>
            <w:vAlign w:val="center"/>
          </w:tcPr>
          <w:p>
            <w:pPr>
              <w:spacing w:line="460" w:lineRule="exact"/>
              <w:jc w:val="center"/>
              <w:rPr>
                <w:rFonts w:hint="eastAsia" w:ascii="宋体" w:hAnsi="宋体" w:cs="宋体"/>
                <w:sz w:val="24"/>
                <w:szCs w:val="24"/>
                <w:highlight w:val="none"/>
                <w:lang w:val="en-US" w:eastAsia="zh-CN"/>
              </w:rPr>
            </w:pPr>
            <w:r>
              <w:rPr>
                <w:rFonts w:hint="default" w:ascii="宋体" w:hAnsi="宋体" w:cs="宋体"/>
                <w:sz w:val="24"/>
                <w:szCs w:val="24"/>
                <w:highlight w:val="none"/>
                <w:lang w:val="en-US" w:eastAsia="zh-CN"/>
              </w:rPr>
              <w:t>1</w:t>
            </w:r>
          </w:p>
        </w:tc>
        <w:tc>
          <w:tcPr>
            <w:tcW w:w="1513"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zh-CN" w:eastAsia="zh-CN"/>
              </w:rPr>
              <w:t>96.0</w:t>
            </w:r>
            <w:r>
              <w:rPr>
                <w:rFonts w:hint="eastAsia" w:ascii="宋体" w:hAnsi="宋体" w:cs="宋体"/>
                <w:sz w:val="24"/>
                <w:szCs w:val="24"/>
                <w:highlight w:val="none"/>
                <w:lang w:val="en-US" w:eastAsia="zh-CN"/>
              </w:rPr>
              <w:t>000</w:t>
            </w:r>
          </w:p>
        </w:tc>
        <w:tc>
          <w:tcPr>
            <w:tcW w:w="1354"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96.0000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1432"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eastAsia="zh-CN"/>
              </w:rPr>
              <w:t>第</w:t>
            </w:r>
            <w:r>
              <w:rPr>
                <w:rFonts w:hint="eastAsia" w:ascii="宋体" w:hAnsi="宋体" w:cs="宋体"/>
                <w:sz w:val="24"/>
                <w:szCs w:val="24"/>
                <w:highlight w:val="none"/>
                <w:lang w:val="en-US" w:eastAsia="zh-CN"/>
              </w:rPr>
              <w:t>十三</w:t>
            </w:r>
            <w:r>
              <w:rPr>
                <w:rFonts w:hint="eastAsia" w:ascii="宋体" w:hAnsi="宋体" w:cs="宋体"/>
                <w:sz w:val="24"/>
                <w:szCs w:val="24"/>
                <w:highlight w:val="none"/>
                <w:lang w:eastAsia="zh-CN"/>
              </w:rPr>
              <w:t>包</w:t>
            </w:r>
          </w:p>
        </w:tc>
        <w:tc>
          <w:tcPr>
            <w:tcW w:w="2016"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破拆机器人</w:t>
            </w:r>
          </w:p>
        </w:tc>
        <w:tc>
          <w:tcPr>
            <w:tcW w:w="1191"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台</w:t>
            </w:r>
          </w:p>
        </w:tc>
        <w:tc>
          <w:tcPr>
            <w:tcW w:w="1090" w:type="dxa"/>
            <w:vAlign w:val="center"/>
          </w:tcPr>
          <w:p>
            <w:pPr>
              <w:spacing w:line="460" w:lineRule="exact"/>
              <w:jc w:val="center"/>
              <w:rPr>
                <w:rFonts w:hint="eastAsia" w:ascii="宋体" w:hAnsi="宋体" w:cs="宋体"/>
                <w:sz w:val="24"/>
                <w:szCs w:val="24"/>
                <w:highlight w:val="none"/>
                <w:lang w:val="en-US" w:eastAsia="zh-CN"/>
              </w:rPr>
            </w:pPr>
            <w:r>
              <w:rPr>
                <w:rFonts w:hint="default" w:ascii="宋体" w:hAnsi="宋体" w:cs="宋体"/>
                <w:sz w:val="24"/>
                <w:szCs w:val="24"/>
                <w:highlight w:val="none"/>
                <w:lang w:val="en-US" w:eastAsia="zh-CN"/>
              </w:rPr>
              <w:t>1</w:t>
            </w:r>
          </w:p>
        </w:tc>
        <w:tc>
          <w:tcPr>
            <w:tcW w:w="1513"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zh-CN" w:eastAsia="zh-CN"/>
              </w:rPr>
              <w:t>1</w:t>
            </w:r>
            <w:r>
              <w:rPr>
                <w:rFonts w:hint="eastAsia" w:ascii="宋体" w:hAnsi="宋体" w:cs="宋体"/>
                <w:sz w:val="24"/>
                <w:szCs w:val="24"/>
                <w:highlight w:val="none"/>
                <w:lang w:val="en-US" w:eastAsia="zh-CN"/>
              </w:rPr>
              <w:t>48</w:t>
            </w:r>
            <w:r>
              <w:rPr>
                <w:rFonts w:hint="eastAsia" w:ascii="宋体" w:hAnsi="宋体" w:cs="宋体"/>
                <w:sz w:val="24"/>
                <w:szCs w:val="24"/>
                <w:highlight w:val="none"/>
                <w:lang w:val="zh-CN" w:eastAsia="zh-CN"/>
              </w:rPr>
              <w:t>.0</w:t>
            </w:r>
            <w:r>
              <w:rPr>
                <w:rFonts w:hint="eastAsia" w:ascii="宋体" w:hAnsi="宋体" w:cs="宋体"/>
                <w:sz w:val="24"/>
                <w:szCs w:val="24"/>
                <w:highlight w:val="none"/>
                <w:lang w:val="en-US" w:eastAsia="zh-CN"/>
              </w:rPr>
              <w:t>000</w:t>
            </w:r>
          </w:p>
        </w:tc>
        <w:tc>
          <w:tcPr>
            <w:tcW w:w="1354"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148.0000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1432"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eastAsia="zh-CN"/>
              </w:rPr>
              <w:t>第</w:t>
            </w:r>
            <w:r>
              <w:rPr>
                <w:rFonts w:hint="eastAsia" w:ascii="宋体" w:hAnsi="宋体" w:cs="宋体"/>
                <w:sz w:val="24"/>
                <w:szCs w:val="24"/>
                <w:highlight w:val="none"/>
                <w:lang w:val="en-US" w:eastAsia="zh-CN"/>
              </w:rPr>
              <w:t>十四</w:t>
            </w:r>
            <w:r>
              <w:rPr>
                <w:rFonts w:hint="eastAsia" w:ascii="宋体" w:hAnsi="宋体" w:cs="宋体"/>
                <w:sz w:val="24"/>
                <w:szCs w:val="24"/>
                <w:highlight w:val="none"/>
                <w:lang w:eastAsia="zh-CN"/>
              </w:rPr>
              <w:t>包</w:t>
            </w:r>
          </w:p>
        </w:tc>
        <w:tc>
          <w:tcPr>
            <w:tcW w:w="2016"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灭火机器人</w:t>
            </w:r>
          </w:p>
        </w:tc>
        <w:tc>
          <w:tcPr>
            <w:tcW w:w="1191"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台</w:t>
            </w:r>
          </w:p>
        </w:tc>
        <w:tc>
          <w:tcPr>
            <w:tcW w:w="1090" w:type="dxa"/>
            <w:vAlign w:val="center"/>
          </w:tcPr>
          <w:p>
            <w:pPr>
              <w:spacing w:line="460" w:lineRule="exact"/>
              <w:jc w:val="center"/>
              <w:rPr>
                <w:rFonts w:hint="eastAsia" w:ascii="宋体" w:hAnsi="宋体" w:cs="宋体"/>
                <w:sz w:val="24"/>
                <w:szCs w:val="24"/>
                <w:highlight w:val="none"/>
                <w:lang w:val="en-US" w:eastAsia="zh-CN"/>
              </w:rPr>
            </w:pPr>
            <w:r>
              <w:rPr>
                <w:rFonts w:hint="default" w:ascii="宋体" w:hAnsi="宋体" w:cs="宋体"/>
                <w:sz w:val="24"/>
                <w:szCs w:val="24"/>
                <w:highlight w:val="none"/>
                <w:lang w:val="en-US" w:eastAsia="zh-CN"/>
              </w:rPr>
              <w:t>1</w:t>
            </w:r>
          </w:p>
        </w:tc>
        <w:tc>
          <w:tcPr>
            <w:tcW w:w="1513"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100</w:t>
            </w:r>
            <w:r>
              <w:rPr>
                <w:rFonts w:hint="eastAsia" w:ascii="宋体" w:hAnsi="宋体" w:cs="宋体"/>
                <w:sz w:val="24"/>
                <w:szCs w:val="24"/>
                <w:highlight w:val="none"/>
                <w:lang w:val="zh-CN" w:eastAsia="zh-CN"/>
              </w:rPr>
              <w:t>.0</w:t>
            </w:r>
            <w:r>
              <w:rPr>
                <w:rFonts w:hint="eastAsia" w:ascii="宋体" w:hAnsi="宋体" w:cs="宋体"/>
                <w:sz w:val="24"/>
                <w:szCs w:val="24"/>
                <w:highlight w:val="none"/>
                <w:lang w:val="en-US" w:eastAsia="zh-CN"/>
              </w:rPr>
              <w:t>000</w:t>
            </w:r>
          </w:p>
        </w:tc>
        <w:tc>
          <w:tcPr>
            <w:tcW w:w="1354"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1432" w:type="dxa"/>
            <w:vMerge w:val="restart"/>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eastAsia="zh-CN"/>
              </w:rPr>
              <w:t>第</w:t>
            </w:r>
            <w:r>
              <w:rPr>
                <w:rFonts w:hint="eastAsia" w:ascii="宋体" w:hAnsi="宋体" w:cs="宋体"/>
                <w:sz w:val="24"/>
                <w:szCs w:val="24"/>
                <w:highlight w:val="none"/>
                <w:lang w:val="en-US" w:eastAsia="zh-CN"/>
              </w:rPr>
              <w:t>十五</w:t>
            </w:r>
            <w:r>
              <w:rPr>
                <w:rFonts w:hint="eastAsia" w:ascii="宋体" w:hAnsi="宋体" w:cs="宋体"/>
                <w:sz w:val="24"/>
                <w:szCs w:val="24"/>
                <w:highlight w:val="none"/>
                <w:lang w:eastAsia="zh-CN"/>
              </w:rPr>
              <w:t>包</w:t>
            </w:r>
          </w:p>
        </w:tc>
        <w:tc>
          <w:tcPr>
            <w:tcW w:w="2016"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轮式装载机</w:t>
            </w:r>
          </w:p>
        </w:tc>
        <w:tc>
          <w:tcPr>
            <w:tcW w:w="1191" w:type="dxa"/>
            <w:vAlign w:val="center"/>
          </w:tcPr>
          <w:p>
            <w:pPr>
              <w:spacing w:line="460" w:lineRule="exact"/>
              <w:jc w:val="cente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台</w:t>
            </w:r>
          </w:p>
        </w:tc>
        <w:tc>
          <w:tcPr>
            <w:tcW w:w="1090"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w:t>
            </w:r>
          </w:p>
        </w:tc>
        <w:tc>
          <w:tcPr>
            <w:tcW w:w="1513"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31.0000</w:t>
            </w:r>
          </w:p>
        </w:tc>
        <w:tc>
          <w:tcPr>
            <w:tcW w:w="1354" w:type="dxa"/>
            <w:vMerge w:val="restart"/>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105.9000</w:t>
            </w:r>
          </w:p>
          <w:p>
            <w:pPr>
              <w:spacing w:line="460" w:lineRule="exact"/>
              <w:jc w:val="center"/>
              <w:rPr>
                <w:rFonts w:hint="eastAsia" w:ascii="宋体" w:hAnsi="宋体" w:cs="宋体"/>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1432" w:type="dxa"/>
            <w:vMerge w:val="continue"/>
            <w:vAlign w:val="center"/>
          </w:tcPr>
          <w:p>
            <w:pPr>
              <w:spacing w:line="460" w:lineRule="exact"/>
              <w:jc w:val="center"/>
              <w:rPr>
                <w:rFonts w:hint="eastAsia" w:ascii="宋体" w:hAnsi="宋体" w:cs="宋体"/>
                <w:sz w:val="24"/>
                <w:szCs w:val="24"/>
                <w:highlight w:val="none"/>
                <w:lang w:val="en-US" w:eastAsia="zh-CN"/>
              </w:rPr>
            </w:pPr>
          </w:p>
        </w:tc>
        <w:tc>
          <w:tcPr>
            <w:tcW w:w="2016"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履带式挖掘机</w:t>
            </w:r>
          </w:p>
        </w:tc>
        <w:tc>
          <w:tcPr>
            <w:tcW w:w="1191"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台</w:t>
            </w:r>
          </w:p>
        </w:tc>
        <w:tc>
          <w:tcPr>
            <w:tcW w:w="1090"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w:t>
            </w:r>
          </w:p>
        </w:tc>
        <w:tc>
          <w:tcPr>
            <w:tcW w:w="1513"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74.9000</w:t>
            </w:r>
          </w:p>
        </w:tc>
        <w:tc>
          <w:tcPr>
            <w:tcW w:w="1354" w:type="dxa"/>
            <w:vMerge w:val="continue"/>
            <w:vAlign w:val="center"/>
          </w:tcPr>
          <w:p>
            <w:pPr>
              <w:spacing w:line="460" w:lineRule="exact"/>
              <w:jc w:val="center"/>
              <w:rPr>
                <w:rFonts w:hint="eastAsia" w:ascii="宋体" w:hAnsi="宋体" w:cs="宋体"/>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1432" w:type="dxa"/>
            <w:vMerge w:val="restart"/>
            <w:vAlign w:val="center"/>
          </w:tcPr>
          <w:p>
            <w:pPr>
              <w:spacing w:line="460" w:lineRule="exact"/>
              <w:jc w:val="center"/>
              <w:rPr>
                <w:rFonts w:hint="eastAsia" w:ascii="宋体" w:hAnsi="宋体" w:cs="宋体"/>
                <w:sz w:val="24"/>
                <w:szCs w:val="24"/>
                <w:highlight w:val="none"/>
                <w:lang w:eastAsia="zh-CN"/>
              </w:rPr>
            </w:pPr>
            <w:r>
              <w:rPr>
                <w:rFonts w:hint="eastAsia" w:ascii="宋体" w:hAnsi="宋体" w:cs="宋体"/>
                <w:sz w:val="24"/>
                <w:szCs w:val="24"/>
                <w:highlight w:val="none"/>
                <w:lang w:eastAsia="zh-CN"/>
              </w:rPr>
              <w:t>第</w:t>
            </w:r>
            <w:r>
              <w:rPr>
                <w:rFonts w:hint="eastAsia" w:ascii="宋体" w:hAnsi="宋体" w:cs="宋体"/>
                <w:sz w:val="24"/>
                <w:szCs w:val="24"/>
                <w:highlight w:val="none"/>
                <w:lang w:val="en-US" w:eastAsia="zh-CN"/>
              </w:rPr>
              <w:t>十六</w:t>
            </w:r>
            <w:r>
              <w:rPr>
                <w:rFonts w:hint="eastAsia" w:ascii="宋体" w:hAnsi="宋体" w:cs="宋体"/>
                <w:sz w:val="24"/>
                <w:szCs w:val="24"/>
                <w:highlight w:val="none"/>
                <w:lang w:eastAsia="zh-CN"/>
              </w:rPr>
              <w:t>包</w:t>
            </w:r>
          </w:p>
          <w:p>
            <w:pPr>
              <w:spacing w:line="460" w:lineRule="exact"/>
              <w:jc w:val="center"/>
              <w:rPr>
                <w:rFonts w:hint="eastAsia" w:ascii="宋体" w:hAnsi="宋体" w:cs="宋体"/>
                <w:sz w:val="24"/>
                <w:szCs w:val="24"/>
                <w:highlight w:val="none"/>
                <w:lang w:val="en-US" w:eastAsia="zh-CN"/>
              </w:rPr>
            </w:pPr>
          </w:p>
        </w:tc>
        <w:tc>
          <w:tcPr>
            <w:tcW w:w="2016"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水下推进器</w:t>
            </w:r>
          </w:p>
        </w:tc>
        <w:tc>
          <w:tcPr>
            <w:tcW w:w="1191"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台</w:t>
            </w:r>
          </w:p>
        </w:tc>
        <w:tc>
          <w:tcPr>
            <w:tcW w:w="1090" w:type="dxa"/>
            <w:vAlign w:val="center"/>
          </w:tcPr>
          <w:p>
            <w:pPr>
              <w:spacing w:line="460" w:lineRule="exact"/>
              <w:jc w:val="center"/>
              <w:rPr>
                <w:rFonts w:hint="eastAsia" w:ascii="宋体" w:hAnsi="宋体" w:cs="宋体"/>
                <w:sz w:val="24"/>
                <w:szCs w:val="24"/>
                <w:highlight w:val="none"/>
                <w:lang w:val="en-US" w:eastAsia="zh-CN"/>
              </w:rPr>
            </w:pPr>
            <w:r>
              <w:rPr>
                <w:rFonts w:hint="default" w:ascii="宋体" w:hAnsi="宋体" w:cs="宋体"/>
                <w:sz w:val="24"/>
                <w:szCs w:val="24"/>
                <w:highlight w:val="none"/>
                <w:lang w:val="en-US" w:eastAsia="zh-CN"/>
              </w:rPr>
              <w:t>2</w:t>
            </w:r>
          </w:p>
        </w:tc>
        <w:tc>
          <w:tcPr>
            <w:tcW w:w="1513"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w:t>
            </w:r>
            <w:r>
              <w:rPr>
                <w:rFonts w:hint="eastAsia" w:ascii="宋体" w:hAnsi="宋体" w:cs="宋体"/>
                <w:sz w:val="24"/>
                <w:szCs w:val="24"/>
                <w:highlight w:val="none"/>
                <w:lang w:val="zh-CN" w:eastAsia="zh-CN"/>
              </w:rPr>
              <w:t>.</w:t>
            </w:r>
            <w:r>
              <w:rPr>
                <w:rFonts w:hint="eastAsia" w:ascii="宋体" w:hAnsi="宋体" w:cs="宋体"/>
                <w:sz w:val="24"/>
                <w:szCs w:val="24"/>
                <w:highlight w:val="none"/>
                <w:lang w:val="en-US" w:eastAsia="zh-CN"/>
              </w:rPr>
              <w:t>8000</w:t>
            </w:r>
          </w:p>
        </w:tc>
        <w:tc>
          <w:tcPr>
            <w:tcW w:w="1354" w:type="dxa"/>
            <w:vMerge w:val="restart"/>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162.3400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1432" w:type="dxa"/>
            <w:vMerge w:val="continue"/>
            <w:vAlign w:val="center"/>
          </w:tcPr>
          <w:p>
            <w:pPr>
              <w:spacing w:line="460" w:lineRule="exact"/>
              <w:jc w:val="center"/>
              <w:rPr>
                <w:rFonts w:hint="eastAsia" w:ascii="宋体" w:hAnsi="宋体" w:cs="宋体"/>
                <w:sz w:val="24"/>
                <w:szCs w:val="24"/>
                <w:highlight w:val="none"/>
                <w:lang w:val="en-US" w:eastAsia="zh-CN"/>
              </w:rPr>
            </w:pPr>
          </w:p>
        </w:tc>
        <w:tc>
          <w:tcPr>
            <w:tcW w:w="2016"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水下摄像机</w:t>
            </w:r>
          </w:p>
        </w:tc>
        <w:tc>
          <w:tcPr>
            <w:tcW w:w="1191" w:type="dxa"/>
            <w:vAlign w:val="center"/>
          </w:tcPr>
          <w:p>
            <w:pPr>
              <w:spacing w:line="460" w:lineRule="exact"/>
              <w:jc w:val="cente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台</w:t>
            </w:r>
          </w:p>
        </w:tc>
        <w:tc>
          <w:tcPr>
            <w:tcW w:w="1090" w:type="dxa"/>
            <w:vAlign w:val="center"/>
          </w:tcPr>
          <w:p>
            <w:pPr>
              <w:spacing w:line="460" w:lineRule="exact"/>
              <w:jc w:val="center"/>
              <w:rPr>
                <w:rFonts w:hint="eastAsia" w:ascii="宋体" w:hAnsi="宋体" w:cs="宋体"/>
                <w:sz w:val="24"/>
                <w:szCs w:val="24"/>
                <w:highlight w:val="none"/>
                <w:lang w:val="en-US" w:eastAsia="zh-CN"/>
              </w:rPr>
            </w:pPr>
            <w:r>
              <w:rPr>
                <w:rFonts w:hint="default" w:ascii="宋体" w:hAnsi="宋体" w:cs="宋体"/>
                <w:sz w:val="24"/>
                <w:szCs w:val="24"/>
                <w:highlight w:val="none"/>
                <w:lang w:val="en-US" w:eastAsia="zh-CN"/>
              </w:rPr>
              <w:t>2</w:t>
            </w:r>
          </w:p>
        </w:tc>
        <w:tc>
          <w:tcPr>
            <w:tcW w:w="1513"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zh-CN" w:eastAsia="zh-CN"/>
              </w:rPr>
              <w:t>0.</w:t>
            </w:r>
            <w:r>
              <w:rPr>
                <w:rFonts w:hint="eastAsia" w:ascii="宋体" w:hAnsi="宋体" w:cs="宋体"/>
                <w:sz w:val="24"/>
                <w:szCs w:val="24"/>
                <w:highlight w:val="none"/>
                <w:lang w:val="en-US" w:eastAsia="zh-CN"/>
              </w:rPr>
              <w:t>7500</w:t>
            </w:r>
          </w:p>
        </w:tc>
        <w:tc>
          <w:tcPr>
            <w:tcW w:w="1354" w:type="dxa"/>
            <w:vMerge w:val="continue"/>
            <w:vAlign w:val="center"/>
          </w:tcPr>
          <w:p>
            <w:pPr>
              <w:spacing w:line="460" w:lineRule="exact"/>
              <w:jc w:val="center"/>
              <w:rPr>
                <w:rFonts w:hint="eastAsia" w:ascii="宋体" w:hAnsi="宋体" w:cs="宋体"/>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1432" w:type="dxa"/>
            <w:vMerge w:val="continue"/>
            <w:vAlign w:val="center"/>
          </w:tcPr>
          <w:p>
            <w:pPr>
              <w:spacing w:line="460" w:lineRule="exact"/>
              <w:jc w:val="center"/>
              <w:rPr>
                <w:rFonts w:hint="eastAsia" w:ascii="宋体" w:hAnsi="宋体" w:cs="宋体"/>
                <w:sz w:val="24"/>
                <w:szCs w:val="24"/>
                <w:highlight w:val="none"/>
                <w:lang w:val="en-US" w:eastAsia="zh-CN"/>
              </w:rPr>
            </w:pPr>
          </w:p>
        </w:tc>
        <w:tc>
          <w:tcPr>
            <w:tcW w:w="2016"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潜水浮力装置</w:t>
            </w:r>
          </w:p>
        </w:tc>
        <w:tc>
          <w:tcPr>
            <w:tcW w:w="1191"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套</w:t>
            </w:r>
          </w:p>
        </w:tc>
        <w:tc>
          <w:tcPr>
            <w:tcW w:w="1090" w:type="dxa"/>
            <w:vAlign w:val="center"/>
          </w:tcPr>
          <w:p>
            <w:pPr>
              <w:spacing w:line="460" w:lineRule="exact"/>
              <w:jc w:val="center"/>
              <w:rPr>
                <w:rFonts w:hint="eastAsia" w:ascii="宋体" w:hAnsi="宋体" w:cs="宋体"/>
                <w:sz w:val="24"/>
                <w:szCs w:val="24"/>
                <w:highlight w:val="none"/>
                <w:lang w:val="en-US" w:eastAsia="zh-CN"/>
              </w:rPr>
            </w:pPr>
            <w:r>
              <w:rPr>
                <w:rFonts w:hint="default" w:ascii="宋体" w:hAnsi="宋体" w:cs="宋体"/>
                <w:sz w:val="24"/>
                <w:szCs w:val="24"/>
                <w:highlight w:val="none"/>
                <w:lang w:val="en-US" w:eastAsia="zh-CN"/>
              </w:rPr>
              <w:t>12</w:t>
            </w:r>
          </w:p>
        </w:tc>
        <w:tc>
          <w:tcPr>
            <w:tcW w:w="1513"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zh-CN" w:eastAsia="zh-CN"/>
              </w:rPr>
              <w:t>0.4</w:t>
            </w:r>
            <w:r>
              <w:rPr>
                <w:rFonts w:hint="eastAsia" w:ascii="宋体" w:hAnsi="宋体" w:cs="宋体"/>
                <w:sz w:val="24"/>
                <w:szCs w:val="24"/>
                <w:highlight w:val="none"/>
                <w:lang w:val="en-US" w:eastAsia="zh-CN"/>
              </w:rPr>
              <w:t>000</w:t>
            </w:r>
          </w:p>
        </w:tc>
        <w:tc>
          <w:tcPr>
            <w:tcW w:w="1354" w:type="dxa"/>
            <w:vMerge w:val="continue"/>
            <w:vAlign w:val="center"/>
          </w:tcPr>
          <w:p>
            <w:pPr>
              <w:spacing w:line="460" w:lineRule="exact"/>
              <w:jc w:val="center"/>
              <w:rPr>
                <w:rFonts w:hint="eastAsia" w:ascii="宋体" w:hAnsi="宋体" w:cs="宋体"/>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1432" w:type="dxa"/>
            <w:vMerge w:val="continue"/>
            <w:vAlign w:val="center"/>
          </w:tcPr>
          <w:p>
            <w:pPr>
              <w:spacing w:line="460" w:lineRule="exact"/>
              <w:jc w:val="center"/>
              <w:rPr>
                <w:rFonts w:hint="eastAsia" w:ascii="宋体" w:hAnsi="宋体" w:cs="宋体"/>
                <w:sz w:val="24"/>
                <w:szCs w:val="24"/>
                <w:highlight w:val="none"/>
                <w:lang w:val="en-US" w:eastAsia="zh-CN"/>
              </w:rPr>
            </w:pPr>
          </w:p>
        </w:tc>
        <w:tc>
          <w:tcPr>
            <w:tcW w:w="2016"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潜水气瓶</w:t>
            </w:r>
          </w:p>
        </w:tc>
        <w:tc>
          <w:tcPr>
            <w:tcW w:w="1191"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个</w:t>
            </w:r>
          </w:p>
        </w:tc>
        <w:tc>
          <w:tcPr>
            <w:tcW w:w="1090" w:type="dxa"/>
            <w:vAlign w:val="center"/>
          </w:tcPr>
          <w:p>
            <w:pPr>
              <w:spacing w:line="460" w:lineRule="exact"/>
              <w:jc w:val="center"/>
              <w:rPr>
                <w:rFonts w:hint="eastAsia" w:ascii="宋体" w:hAnsi="宋体" w:cs="宋体"/>
                <w:sz w:val="24"/>
                <w:szCs w:val="24"/>
                <w:highlight w:val="none"/>
                <w:lang w:val="en-US" w:eastAsia="zh-CN"/>
              </w:rPr>
            </w:pPr>
            <w:r>
              <w:rPr>
                <w:rFonts w:hint="default" w:ascii="宋体" w:hAnsi="宋体" w:cs="宋体"/>
                <w:sz w:val="24"/>
                <w:szCs w:val="24"/>
                <w:highlight w:val="none"/>
                <w:lang w:val="en-US" w:eastAsia="zh-CN"/>
              </w:rPr>
              <w:t>20</w:t>
            </w:r>
          </w:p>
        </w:tc>
        <w:tc>
          <w:tcPr>
            <w:tcW w:w="1513"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zh-CN" w:eastAsia="zh-CN"/>
              </w:rPr>
              <w:t>0.2</w:t>
            </w:r>
            <w:r>
              <w:rPr>
                <w:rFonts w:hint="eastAsia" w:ascii="宋体" w:hAnsi="宋体" w:cs="宋体"/>
                <w:sz w:val="24"/>
                <w:szCs w:val="24"/>
                <w:highlight w:val="none"/>
                <w:lang w:val="en-US" w:eastAsia="zh-CN"/>
              </w:rPr>
              <w:t>400</w:t>
            </w:r>
          </w:p>
        </w:tc>
        <w:tc>
          <w:tcPr>
            <w:tcW w:w="1354" w:type="dxa"/>
            <w:vMerge w:val="continue"/>
            <w:vAlign w:val="center"/>
          </w:tcPr>
          <w:p>
            <w:pPr>
              <w:spacing w:line="460" w:lineRule="exact"/>
              <w:jc w:val="center"/>
              <w:rPr>
                <w:rFonts w:hint="eastAsia" w:ascii="宋体" w:hAnsi="宋体" w:cs="宋体"/>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1432" w:type="dxa"/>
            <w:vMerge w:val="continue"/>
            <w:vAlign w:val="center"/>
          </w:tcPr>
          <w:p>
            <w:pPr>
              <w:spacing w:line="460" w:lineRule="exact"/>
              <w:jc w:val="center"/>
              <w:rPr>
                <w:rFonts w:hint="eastAsia" w:ascii="宋体" w:hAnsi="宋体" w:cs="宋体"/>
                <w:sz w:val="24"/>
                <w:szCs w:val="24"/>
                <w:highlight w:val="none"/>
                <w:lang w:val="en-US" w:eastAsia="zh-CN"/>
              </w:rPr>
            </w:pPr>
          </w:p>
        </w:tc>
        <w:tc>
          <w:tcPr>
            <w:tcW w:w="2016"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潜水调节器（含附件）</w:t>
            </w:r>
          </w:p>
        </w:tc>
        <w:tc>
          <w:tcPr>
            <w:tcW w:w="1191"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套</w:t>
            </w:r>
          </w:p>
        </w:tc>
        <w:tc>
          <w:tcPr>
            <w:tcW w:w="1090" w:type="dxa"/>
            <w:vAlign w:val="center"/>
          </w:tcPr>
          <w:p>
            <w:pPr>
              <w:spacing w:line="460" w:lineRule="exact"/>
              <w:jc w:val="center"/>
              <w:rPr>
                <w:rFonts w:hint="eastAsia" w:ascii="宋体" w:hAnsi="宋体" w:cs="宋体"/>
                <w:sz w:val="24"/>
                <w:szCs w:val="24"/>
                <w:highlight w:val="none"/>
                <w:lang w:val="en-US" w:eastAsia="zh-CN"/>
              </w:rPr>
            </w:pPr>
            <w:r>
              <w:rPr>
                <w:rFonts w:hint="default" w:ascii="宋体" w:hAnsi="宋体" w:cs="宋体"/>
                <w:sz w:val="24"/>
                <w:szCs w:val="24"/>
                <w:highlight w:val="none"/>
                <w:lang w:val="en-US" w:eastAsia="zh-CN"/>
              </w:rPr>
              <w:t>12</w:t>
            </w:r>
          </w:p>
        </w:tc>
        <w:tc>
          <w:tcPr>
            <w:tcW w:w="1513"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zh-CN" w:eastAsia="zh-CN"/>
              </w:rPr>
              <w:t>0.5</w:t>
            </w:r>
            <w:r>
              <w:rPr>
                <w:rFonts w:hint="eastAsia" w:ascii="宋体" w:hAnsi="宋体" w:cs="宋体"/>
                <w:sz w:val="24"/>
                <w:szCs w:val="24"/>
                <w:highlight w:val="none"/>
                <w:lang w:val="en-US" w:eastAsia="zh-CN"/>
              </w:rPr>
              <w:t>000</w:t>
            </w:r>
          </w:p>
        </w:tc>
        <w:tc>
          <w:tcPr>
            <w:tcW w:w="1354" w:type="dxa"/>
            <w:vMerge w:val="continue"/>
            <w:vAlign w:val="center"/>
          </w:tcPr>
          <w:p>
            <w:pPr>
              <w:spacing w:line="460" w:lineRule="exact"/>
              <w:jc w:val="center"/>
              <w:rPr>
                <w:rFonts w:hint="eastAsia" w:ascii="宋体" w:hAnsi="宋体" w:cs="宋体"/>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1432" w:type="dxa"/>
            <w:vMerge w:val="continue"/>
            <w:vAlign w:val="center"/>
          </w:tcPr>
          <w:p>
            <w:pPr>
              <w:spacing w:line="460" w:lineRule="exact"/>
              <w:jc w:val="center"/>
              <w:rPr>
                <w:rFonts w:hint="eastAsia" w:ascii="宋体" w:hAnsi="宋体" w:cs="宋体"/>
                <w:sz w:val="24"/>
                <w:szCs w:val="24"/>
                <w:highlight w:val="none"/>
                <w:lang w:val="en-US" w:eastAsia="zh-CN"/>
              </w:rPr>
            </w:pPr>
          </w:p>
        </w:tc>
        <w:tc>
          <w:tcPr>
            <w:tcW w:w="2016"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潜水电脑表</w:t>
            </w:r>
          </w:p>
        </w:tc>
        <w:tc>
          <w:tcPr>
            <w:tcW w:w="1191" w:type="dxa"/>
            <w:vAlign w:val="center"/>
          </w:tcPr>
          <w:p>
            <w:pPr>
              <w:spacing w:line="460" w:lineRule="exact"/>
              <w:jc w:val="cente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块</w:t>
            </w:r>
          </w:p>
        </w:tc>
        <w:tc>
          <w:tcPr>
            <w:tcW w:w="1090" w:type="dxa"/>
            <w:vAlign w:val="center"/>
          </w:tcPr>
          <w:p>
            <w:pPr>
              <w:spacing w:line="460" w:lineRule="exact"/>
              <w:jc w:val="center"/>
              <w:rPr>
                <w:rFonts w:hint="eastAsia" w:ascii="宋体" w:hAnsi="宋体" w:cs="宋体"/>
                <w:sz w:val="24"/>
                <w:szCs w:val="24"/>
                <w:highlight w:val="none"/>
                <w:lang w:val="en-US" w:eastAsia="zh-CN"/>
              </w:rPr>
            </w:pPr>
            <w:r>
              <w:rPr>
                <w:rFonts w:hint="default" w:ascii="宋体" w:hAnsi="宋体" w:cs="宋体"/>
                <w:sz w:val="24"/>
                <w:szCs w:val="24"/>
                <w:highlight w:val="none"/>
                <w:lang w:val="en-US" w:eastAsia="zh-CN"/>
              </w:rPr>
              <w:t>12</w:t>
            </w:r>
          </w:p>
        </w:tc>
        <w:tc>
          <w:tcPr>
            <w:tcW w:w="1513"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zh-CN" w:eastAsia="zh-CN"/>
              </w:rPr>
              <w:t>0.4</w:t>
            </w:r>
            <w:r>
              <w:rPr>
                <w:rFonts w:hint="eastAsia" w:ascii="宋体" w:hAnsi="宋体" w:cs="宋体"/>
                <w:sz w:val="24"/>
                <w:szCs w:val="24"/>
                <w:highlight w:val="none"/>
                <w:lang w:val="en-US" w:eastAsia="zh-CN"/>
              </w:rPr>
              <w:t>200</w:t>
            </w:r>
          </w:p>
        </w:tc>
        <w:tc>
          <w:tcPr>
            <w:tcW w:w="1354" w:type="dxa"/>
            <w:vMerge w:val="continue"/>
            <w:vAlign w:val="center"/>
          </w:tcPr>
          <w:p>
            <w:pPr>
              <w:spacing w:line="460" w:lineRule="exact"/>
              <w:jc w:val="center"/>
              <w:rPr>
                <w:rFonts w:hint="eastAsia" w:ascii="宋体" w:hAnsi="宋体" w:cs="宋体"/>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1432" w:type="dxa"/>
            <w:vMerge w:val="continue"/>
            <w:vAlign w:val="center"/>
          </w:tcPr>
          <w:p>
            <w:pPr>
              <w:spacing w:line="460" w:lineRule="exact"/>
              <w:jc w:val="center"/>
              <w:rPr>
                <w:rFonts w:hint="eastAsia" w:ascii="宋体" w:hAnsi="宋体" w:cs="宋体"/>
                <w:sz w:val="24"/>
                <w:szCs w:val="24"/>
                <w:highlight w:val="none"/>
                <w:lang w:val="en-US" w:eastAsia="zh-CN"/>
              </w:rPr>
            </w:pPr>
          </w:p>
        </w:tc>
        <w:tc>
          <w:tcPr>
            <w:tcW w:w="2016"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管供式潜水装具</w:t>
            </w:r>
          </w:p>
        </w:tc>
        <w:tc>
          <w:tcPr>
            <w:tcW w:w="1191"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套</w:t>
            </w:r>
          </w:p>
        </w:tc>
        <w:tc>
          <w:tcPr>
            <w:tcW w:w="1090" w:type="dxa"/>
            <w:vAlign w:val="center"/>
          </w:tcPr>
          <w:p>
            <w:pPr>
              <w:spacing w:line="460" w:lineRule="exact"/>
              <w:jc w:val="center"/>
              <w:rPr>
                <w:rFonts w:hint="eastAsia" w:ascii="宋体" w:hAnsi="宋体" w:cs="宋体"/>
                <w:sz w:val="24"/>
                <w:szCs w:val="24"/>
                <w:highlight w:val="none"/>
                <w:lang w:val="en-US" w:eastAsia="zh-CN"/>
              </w:rPr>
            </w:pPr>
            <w:r>
              <w:rPr>
                <w:rFonts w:hint="default" w:ascii="宋体" w:hAnsi="宋体" w:cs="宋体"/>
                <w:sz w:val="24"/>
                <w:szCs w:val="24"/>
                <w:highlight w:val="none"/>
                <w:lang w:val="en-US" w:eastAsia="zh-CN"/>
              </w:rPr>
              <w:t>1</w:t>
            </w:r>
          </w:p>
        </w:tc>
        <w:tc>
          <w:tcPr>
            <w:tcW w:w="1513"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68</w:t>
            </w:r>
            <w:r>
              <w:rPr>
                <w:rFonts w:hint="eastAsia" w:ascii="宋体" w:hAnsi="宋体" w:cs="宋体"/>
                <w:sz w:val="24"/>
                <w:szCs w:val="24"/>
                <w:highlight w:val="none"/>
                <w:lang w:val="zh-CN" w:eastAsia="zh-CN"/>
              </w:rPr>
              <w:t>.</w:t>
            </w:r>
            <w:r>
              <w:rPr>
                <w:rFonts w:hint="eastAsia" w:ascii="宋体" w:hAnsi="宋体" w:cs="宋体"/>
                <w:sz w:val="24"/>
                <w:szCs w:val="24"/>
                <w:highlight w:val="none"/>
                <w:lang w:val="en-US" w:eastAsia="zh-CN"/>
              </w:rPr>
              <w:t>0000</w:t>
            </w:r>
          </w:p>
        </w:tc>
        <w:tc>
          <w:tcPr>
            <w:tcW w:w="1354" w:type="dxa"/>
            <w:vMerge w:val="continue"/>
            <w:vAlign w:val="center"/>
          </w:tcPr>
          <w:p>
            <w:pPr>
              <w:spacing w:line="460" w:lineRule="exact"/>
              <w:jc w:val="center"/>
              <w:rPr>
                <w:rFonts w:hint="eastAsia" w:ascii="宋体" w:hAnsi="宋体" w:cs="宋体"/>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1432" w:type="dxa"/>
            <w:vMerge w:val="continue"/>
            <w:vAlign w:val="center"/>
          </w:tcPr>
          <w:p>
            <w:pPr>
              <w:spacing w:line="460" w:lineRule="exact"/>
              <w:jc w:val="center"/>
              <w:rPr>
                <w:rFonts w:hint="eastAsia" w:ascii="宋体" w:hAnsi="宋体" w:cs="宋体"/>
                <w:sz w:val="24"/>
                <w:szCs w:val="24"/>
                <w:highlight w:val="none"/>
                <w:lang w:val="en-US" w:eastAsia="zh-CN"/>
              </w:rPr>
            </w:pPr>
          </w:p>
        </w:tc>
        <w:tc>
          <w:tcPr>
            <w:tcW w:w="2016"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防水定位对讲机</w:t>
            </w:r>
          </w:p>
        </w:tc>
        <w:tc>
          <w:tcPr>
            <w:tcW w:w="1191" w:type="dxa"/>
            <w:vAlign w:val="center"/>
          </w:tcPr>
          <w:p>
            <w:pPr>
              <w:spacing w:line="460" w:lineRule="exact"/>
              <w:jc w:val="cente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部</w:t>
            </w:r>
          </w:p>
        </w:tc>
        <w:tc>
          <w:tcPr>
            <w:tcW w:w="1090" w:type="dxa"/>
            <w:vAlign w:val="center"/>
          </w:tcPr>
          <w:p>
            <w:pPr>
              <w:spacing w:line="460" w:lineRule="exact"/>
              <w:jc w:val="center"/>
              <w:rPr>
                <w:rFonts w:hint="eastAsia" w:ascii="宋体" w:hAnsi="宋体" w:cs="宋体"/>
                <w:sz w:val="24"/>
                <w:szCs w:val="24"/>
                <w:highlight w:val="none"/>
                <w:lang w:val="en-US" w:eastAsia="zh-CN"/>
              </w:rPr>
            </w:pPr>
            <w:r>
              <w:rPr>
                <w:rFonts w:hint="default" w:ascii="宋体" w:hAnsi="宋体" w:cs="宋体"/>
                <w:sz w:val="24"/>
                <w:szCs w:val="24"/>
                <w:highlight w:val="none"/>
                <w:lang w:val="en-US" w:eastAsia="zh-CN"/>
              </w:rPr>
              <w:t>60</w:t>
            </w:r>
          </w:p>
        </w:tc>
        <w:tc>
          <w:tcPr>
            <w:tcW w:w="1513"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zh-CN" w:eastAsia="zh-CN"/>
              </w:rPr>
              <w:t>0.</w:t>
            </w:r>
            <w:r>
              <w:rPr>
                <w:rFonts w:hint="eastAsia" w:ascii="宋体" w:hAnsi="宋体" w:cs="宋体"/>
                <w:sz w:val="24"/>
                <w:szCs w:val="24"/>
                <w:highlight w:val="none"/>
                <w:lang w:val="en-US" w:eastAsia="zh-CN"/>
              </w:rPr>
              <w:t>3900</w:t>
            </w:r>
          </w:p>
        </w:tc>
        <w:tc>
          <w:tcPr>
            <w:tcW w:w="1354" w:type="dxa"/>
            <w:vMerge w:val="continue"/>
            <w:vAlign w:val="center"/>
          </w:tcPr>
          <w:p>
            <w:pPr>
              <w:spacing w:line="460" w:lineRule="exact"/>
              <w:jc w:val="center"/>
              <w:rPr>
                <w:rFonts w:hint="eastAsia" w:ascii="宋体" w:hAnsi="宋体" w:cs="宋体"/>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1432" w:type="dxa"/>
            <w:vMerge w:val="continue"/>
            <w:vAlign w:val="center"/>
          </w:tcPr>
          <w:p>
            <w:pPr>
              <w:spacing w:line="460" w:lineRule="exact"/>
              <w:jc w:val="center"/>
              <w:rPr>
                <w:rFonts w:hint="eastAsia" w:ascii="宋体" w:hAnsi="宋体" w:cs="宋体"/>
                <w:sz w:val="24"/>
                <w:szCs w:val="24"/>
                <w:highlight w:val="none"/>
                <w:lang w:val="en-US" w:eastAsia="zh-CN"/>
              </w:rPr>
            </w:pPr>
          </w:p>
        </w:tc>
        <w:tc>
          <w:tcPr>
            <w:tcW w:w="2016"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潜水全面罩</w:t>
            </w:r>
          </w:p>
        </w:tc>
        <w:tc>
          <w:tcPr>
            <w:tcW w:w="1191"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套</w:t>
            </w:r>
          </w:p>
        </w:tc>
        <w:tc>
          <w:tcPr>
            <w:tcW w:w="1090" w:type="dxa"/>
            <w:vAlign w:val="center"/>
          </w:tcPr>
          <w:p>
            <w:pPr>
              <w:spacing w:line="460" w:lineRule="exact"/>
              <w:jc w:val="center"/>
              <w:rPr>
                <w:rFonts w:hint="eastAsia" w:ascii="宋体" w:hAnsi="宋体" w:cs="宋体"/>
                <w:sz w:val="24"/>
                <w:szCs w:val="24"/>
                <w:highlight w:val="none"/>
                <w:lang w:val="en-US" w:eastAsia="zh-CN"/>
              </w:rPr>
            </w:pPr>
            <w:r>
              <w:rPr>
                <w:rFonts w:hint="default" w:ascii="宋体" w:hAnsi="宋体" w:cs="宋体"/>
                <w:sz w:val="24"/>
                <w:szCs w:val="24"/>
                <w:highlight w:val="none"/>
                <w:lang w:val="en-US" w:eastAsia="zh-CN"/>
              </w:rPr>
              <w:t>27</w:t>
            </w:r>
          </w:p>
        </w:tc>
        <w:tc>
          <w:tcPr>
            <w:tcW w:w="1513" w:type="dxa"/>
            <w:vAlign w:val="center"/>
          </w:tcPr>
          <w:p>
            <w:pPr>
              <w:spacing w:line="46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zh-CN" w:eastAsia="zh-CN"/>
              </w:rPr>
              <w:t>1.6</w:t>
            </w:r>
            <w:r>
              <w:rPr>
                <w:rFonts w:hint="eastAsia" w:ascii="宋体" w:hAnsi="宋体" w:cs="宋体"/>
                <w:sz w:val="24"/>
                <w:szCs w:val="24"/>
                <w:highlight w:val="none"/>
                <w:lang w:val="en-US" w:eastAsia="zh-CN"/>
              </w:rPr>
              <w:t>000</w:t>
            </w:r>
          </w:p>
        </w:tc>
        <w:tc>
          <w:tcPr>
            <w:tcW w:w="1354" w:type="dxa"/>
            <w:vMerge w:val="continue"/>
            <w:vAlign w:val="center"/>
          </w:tcPr>
          <w:p>
            <w:pPr>
              <w:spacing w:line="460" w:lineRule="exact"/>
              <w:jc w:val="center"/>
              <w:rPr>
                <w:rFonts w:hint="eastAsia" w:ascii="宋体" w:hAnsi="宋体" w:cs="宋体"/>
                <w:sz w:val="24"/>
                <w:szCs w:val="24"/>
                <w:highlight w:val="none"/>
                <w:lang w:val="en-US" w:eastAsia="zh-CN"/>
              </w:rPr>
            </w:pPr>
          </w:p>
        </w:tc>
      </w:tr>
    </w:tbl>
    <w:p>
      <w:pPr>
        <w:spacing w:line="460" w:lineRule="exact"/>
        <w:jc w:val="center"/>
        <w:rPr>
          <w:rFonts w:hint="eastAsia" w:ascii="宋体" w:hAnsi="宋体" w:cs="宋体"/>
          <w:sz w:val="24"/>
          <w:szCs w:val="24"/>
          <w:highlight w:val="none"/>
          <w:lang w:val="en-US" w:eastAsia="zh-CN"/>
        </w:rPr>
      </w:pPr>
    </w:p>
    <w:p>
      <w:pPr>
        <w:spacing w:line="460" w:lineRule="exact"/>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lang w:val="en-US" w:eastAsia="zh-CN"/>
        </w:rPr>
        <w:t>供货</w:t>
      </w:r>
      <w:r>
        <w:rPr>
          <w:rFonts w:hint="eastAsia" w:ascii="宋体" w:hAnsi="宋体" w:cs="宋体"/>
          <w:sz w:val="24"/>
          <w:szCs w:val="24"/>
          <w:highlight w:val="none"/>
          <w:lang w:val="zh-CN"/>
        </w:rPr>
        <w:t>地点：</w:t>
      </w:r>
      <w:r>
        <w:rPr>
          <w:rFonts w:hint="eastAsia" w:ascii="宋体" w:hAnsi="宋体" w:cs="宋体"/>
          <w:sz w:val="24"/>
          <w:szCs w:val="24"/>
          <w:highlight w:val="none"/>
        </w:rPr>
        <w:t>招标人指定地点。</w:t>
      </w:r>
    </w:p>
    <w:p>
      <w:pPr>
        <w:spacing w:line="460" w:lineRule="exact"/>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lang w:val="en-US" w:eastAsia="zh-CN"/>
        </w:rPr>
        <w:t>合同履行期限</w:t>
      </w:r>
      <w:r>
        <w:rPr>
          <w:rFonts w:hint="eastAsia" w:ascii="宋体" w:hAnsi="宋体" w:cs="宋体"/>
          <w:sz w:val="24"/>
          <w:szCs w:val="24"/>
          <w:highlight w:val="none"/>
        </w:rPr>
        <w:t>：签订合同后45日内交付货物。</w:t>
      </w:r>
    </w:p>
    <w:p>
      <w:pPr>
        <w:spacing w:line="460" w:lineRule="exact"/>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本项目</w:t>
      </w:r>
      <w:r>
        <w:rPr>
          <w:rFonts w:hint="eastAsia" w:ascii="宋体" w:hAnsi="宋体" w:cs="宋体"/>
          <w:sz w:val="24"/>
          <w:szCs w:val="24"/>
          <w:highlight w:val="none"/>
          <w:lang w:eastAsia="zh-CN"/>
        </w:rPr>
        <w:t>（</w:t>
      </w:r>
      <w:r>
        <w:rPr>
          <w:rFonts w:hint="eastAsia" w:ascii="宋体" w:hAnsi="宋体" w:cs="宋体"/>
          <w:sz w:val="24"/>
          <w:szCs w:val="24"/>
          <w:highlight w:val="none"/>
        </w:rPr>
        <w:t>不接受</w:t>
      </w:r>
      <w:r>
        <w:rPr>
          <w:rFonts w:hint="eastAsia" w:ascii="宋体" w:hAnsi="宋体" w:cs="宋体"/>
          <w:sz w:val="24"/>
          <w:szCs w:val="24"/>
          <w:highlight w:val="none"/>
          <w:lang w:eastAsia="zh-CN"/>
        </w:rPr>
        <w:t>）</w:t>
      </w:r>
      <w:r>
        <w:rPr>
          <w:rFonts w:hint="eastAsia" w:ascii="宋体" w:hAnsi="宋体" w:cs="宋体"/>
          <w:sz w:val="24"/>
          <w:szCs w:val="24"/>
          <w:highlight w:val="none"/>
        </w:rPr>
        <w:t>联合体投标。</w:t>
      </w:r>
    </w:p>
    <w:p>
      <w:pPr>
        <w:pStyle w:val="5"/>
        <w:rPr>
          <w:highlight w:val="none"/>
        </w:rPr>
      </w:pPr>
      <w:r>
        <w:rPr>
          <w:rFonts w:hint="eastAsia"/>
          <w:highlight w:val="none"/>
        </w:rPr>
        <w:t>二、申请人的资格要求</w:t>
      </w:r>
    </w:p>
    <w:p>
      <w:pPr>
        <w:spacing w:line="460" w:lineRule="exact"/>
        <w:ind w:firstLine="480" w:firstLineChars="200"/>
        <w:jc w:val="left"/>
        <w:rPr>
          <w:rFonts w:ascii="宋体" w:hAnsi="宋体" w:cs="宋体"/>
          <w:sz w:val="24"/>
          <w:szCs w:val="24"/>
          <w:highlight w:val="none"/>
          <w:lang w:val="zh-CN"/>
        </w:rPr>
      </w:pPr>
      <w:r>
        <w:rPr>
          <w:rFonts w:hint="eastAsia" w:ascii="宋体" w:hAnsi="宋体" w:cs="宋体"/>
          <w:sz w:val="24"/>
          <w:szCs w:val="24"/>
          <w:highlight w:val="none"/>
          <w:lang w:val="zh-CN"/>
        </w:rPr>
        <w:t>1.满足《中华人民共和国政府采购法》第二十二条规定；</w:t>
      </w:r>
    </w:p>
    <w:p>
      <w:pPr>
        <w:spacing w:line="460" w:lineRule="exact"/>
        <w:ind w:firstLine="480" w:firstLineChars="200"/>
        <w:jc w:val="left"/>
        <w:rPr>
          <w:rFonts w:hint="eastAsia" w:ascii="宋体" w:hAnsi="宋体" w:cs="宋体"/>
          <w:sz w:val="24"/>
          <w:szCs w:val="24"/>
          <w:highlight w:val="none"/>
          <w:lang w:val="zh-CN"/>
        </w:rPr>
      </w:pPr>
      <w:r>
        <w:rPr>
          <w:rFonts w:hint="eastAsia" w:ascii="宋体" w:hAnsi="宋体" w:cs="宋体"/>
          <w:sz w:val="24"/>
          <w:szCs w:val="24"/>
          <w:highlight w:val="none"/>
          <w:lang w:val="zh-CN"/>
        </w:rPr>
        <w:t>2.落实政府采购政策需满足的资格要求：</w:t>
      </w:r>
    </w:p>
    <w:p>
      <w:pPr>
        <w:spacing w:line="460" w:lineRule="exact"/>
        <w:ind w:firstLine="480" w:firstLineChars="200"/>
        <w:jc w:val="left"/>
        <w:rPr>
          <w:rFonts w:ascii="宋体" w:hAnsi="宋体" w:cs="宋体"/>
          <w:sz w:val="24"/>
          <w:szCs w:val="24"/>
          <w:highlight w:val="none"/>
          <w:lang w:val="zh-CN"/>
        </w:rPr>
      </w:pPr>
      <w:r>
        <w:rPr>
          <w:rFonts w:hint="eastAsia" w:ascii="宋体" w:hAnsi="宋体" w:cs="宋体"/>
          <w:sz w:val="24"/>
          <w:szCs w:val="24"/>
          <w:highlight w:val="none"/>
        </w:rPr>
        <w:t>1</w:t>
      </w:r>
      <w:r>
        <w:rPr>
          <w:rFonts w:hint="eastAsia" w:ascii="宋体" w:hAnsi="宋体" w:cs="宋体"/>
          <w:sz w:val="24"/>
          <w:szCs w:val="24"/>
          <w:highlight w:val="none"/>
          <w:lang w:val="zh-CN"/>
        </w:rPr>
        <w:t>）“第</w:t>
      </w:r>
      <w:r>
        <w:rPr>
          <w:rFonts w:hint="eastAsia" w:ascii="宋体" w:hAnsi="宋体" w:cs="宋体"/>
          <w:sz w:val="24"/>
          <w:szCs w:val="24"/>
          <w:highlight w:val="none"/>
          <w:lang w:val="en-US" w:eastAsia="zh-CN"/>
        </w:rPr>
        <w:t>十一</w:t>
      </w:r>
      <w:r>
        <w:rPr>
          <w:rFonts w:hint="eastAsia" w:ascii="宋体" w:hAnsi="宋体" w:cs="宋体"/>
          <w:sz w:val="24"/>
          <w:szCs w:val="24"/>
          <w:highlight w:val="none"/>
          <w:lang w:val="zh-CN"/>
        </w:rPr>
        <w:t>包、第</w:t>
      </w:r>
      <w:r>
        <w:rPr>
          <w:rFonts w:hint="eastAsia" w:ascii="宋体" w:hAnsi="宋体" w:cs="宋体"/>
          <w:sz w:val="24"/>
          <w:szCs w:val="24"/>
          <w:highlight w:val="none"/>
          <w:lang w:val="en-US" w:eastAsia="zh-CN"/>
        </w:rPr>
        <w:t>十二</w:t>
      </w:r>
      <w:r>
        <w:rPr>
          <w:rFonts w:hint="eastAsia" w:ascii="宋体" w:hAnsi="宋体" w:cs="宋体"/>
          <w:sz w:val="24"/>
          <w:szCs w:val="24"/>
          <w:highlight w:val="none"/>
          <w:lang w:val="zh-CN"/>
        </w:rPr>
        <w:t>包、第</w:t>
      </w:r>
      <w:r>
        <w:rPr>
          <w:rFonts w:hint="eastAsia" w:ascii="宋体" w:hAnsi="宋体" w:cs="宋体"/>
          <w:sz w:val="24"/>
          <w:szCs w:val="24"/>
          <w:highlight w:val="none"/>
          <w:lang w:val="en-US" w:eastAsia="zh-CN"/>
        </w:rPr>
        <w:t>十三</w:t>
      </w:r>
      <w:r>
        <w:rPr>
          <w:rFonts w:hint="eastAsia" w:ascii="宋体" w:hAnsi="宋体" w:cs="宋体"/>
          <w:sz w:val="24"/>
          <w:szCs w:val="24"/>
          <w:highlight w:val="none"/>
          <w:lang w:val="zh-CN"/>
        </w:rPr>
        <w:t>包、第</w:t>
      </w:r>
      <w:r>
        <w:rPr>
          <w:rFonts w:hint="eastAsia" w:ascii="宋体" w:hAnsi="宋体" w:cs="宋体"/>
          <w:sz w:val="24"/>
          <w:szCs w:val="24"/>
          <w:highlight w:val="none"/>
          <w:lang w:val="en-US" w:eastAsia="zh-CN"/>
        </w:rPr>
        <w:t>十五</w:t>
      </w:r>
      <w:r>
        <w:rPr>
          <w:rFonts w:hint="eastAsia" w:ascii="宋体" w:hAnsi="宋体" w:cs="宋体"/>
          <w:sz w:val="24"/>
          <w:szCs w:val="24"/>
          <w:highlight w:val="none"/>
          <w:lang w:val="zh-CN"/>
        </w:rPr>
        <w:t>包、</w:t>
      </w:r>
      <w:r>
        <w:rPr>
          <w:rFonts w:hint="eastAsia" w:ascii="宋体" w:hAnsi="宋体" w:cs="宋体"/>
          <w:sz w:val="24"/>
          <w:szCs w:val="24"/>
          <w:highlight w:val="none"/>
          <w:lang w:val="en-US" w:eastAsia="zh-CN"/>
        </w:rPr>
        <w:t>第十六包</w:t>
      </w:r>
      <w:r>
        <w:rPr>
          <w:rFonts w:hint="eastAsia" w:ascii="宋体" w:hAnsi="宋体" w:cs="宋体"/>
          <w:sz w:val="24"/>
          <w:szCs w:val="24"/>
          <w:highlight w:val="none"/>
          <w:lang w:val="zh-CN"/>
        </w:rPr>
        <w:t>”专门面向中小企业采购，价格不再进行财政政策扣除；“第</w:t>
      </w:r>
      <w:r>
        <w:rPr>
          <w:rFonts w:hint="eastAsia" w:ascii="宋体" w:hAnsi="宋体" w:cs="宋体"/>
          <w:sz w:val="24"/>
          <w:szCs w:val="24"/>
          <w:highlight w:val="none"/>
          <w:lang w:val="en-US" w:eastAsia="zh-CN"/>
        </w:rPr>
        <w:t>十</w:t>
      </w:r>
      <w:r>
        <w:rPr>
          <w:rFonts w:hint="eastAsia" w:ascii="宋体" w:hAnsi="宋体" w:cs="宋体"/>
          <w:sz w:val="24"/>
          <w:szCs w:val="24"/>
          <w:highlight w:val="none"/>
          <w:lang w:val="zh-CN"/>
        </w:rPr>
        <w:t>包、第</w:t>
      </w:r>
      <w:r>
        <w:rPr>
          <w:rFonts w:hint="eastAsia" w:ascii="宋体" w:hAnsi="宋体" w:cs="宋体"/>
          <w:sz w:val="24"/>
          <w:szCs w:val="24"/>
          <w:highlight w:val="none"/>
          <w:lang w:val="en-US" w:eastAsia="zh-CN"/>
        </w:rPr>
        <w:t>十四</w:t>
      </w:r>
      <w:r>
        <w:rPr>
          <w:rFonts w:hint="eastAsia" w:ascii="宋体" w:hAnsi="宋体" w:cs="宋体"/>
          <w:sz w:val="24"/>
          <w:szCs w:val="24"/>
          <w:highlight w:val="none"/>
          <w:lang w:val="zh-CN"/>
        </w:rPr>
        <w:t>包”非专门面向中小企业采购，投标人所提供货物的制造商为小型、微型企业的，给予10%的价格扣除；</w:t>
      </w:r>
      <w:r>
        <w:rPr>
          <w:rFonts w:hint="eastAsia"/>
          <w:highlight w:val="none"/>
          <w:lang w:val="zh-CN"/>
        </w:rPr>
        <w:t xml:space="preserve"> </w:t>
      </w:r>
      <w:r>
        <w:rPr>
          <w:rFonts w:hint="eastAsia" w:ascii="宋体" w:hAnsi="宋体" w:cs="宋体"/>
          <w:sz w:val="24"/>
          <w:szCs w:val="24"/>
          <w:highlight w:val="none"/>
          <w:lang w:val="zh-CN"/>
        </w:rPr>
        <w:t>2）落实《关于调整优化节能产品、环境标志产品政府采购执行机制的通知》（财库[2019]9号）、财政部《关于进一步加大政府采购支持中小企业力度的通知》（财库〔2022〕19号）、关于印发《政府采购促进中小企业发展管理办法》的通知（财库[2020]46号）、《财政部、司法部关于政府采购支持监狱企业发展有关问题的通知》（财库[2014]68号）和《关于促进残疾人就业政府采购政策的通知》（财库[2017]141号）等政府采购政策。</w:t>
      </w:r>
    </w:p>
    <w:p>
      <w:pPr>
        <w:spacing w:line="460" w:lineRule="exact"/>
        <w:ind w:firstLine="480" w:firstLineChars="200"/>
        <w:jc w:val="left"/>
        <w:rPr>
          <w:highlight w:val="none"/>
        </w:rPr>
      </w:pPr>
      <w:r>
        <w:rPr>
          <w:rFonts w:hint="eastAsia" w:ascii="宋体" w:hAnsi="宋体" w:cs="宋体"/>
          <w:sz w:val="24"/>
          <w:szCs w:val="24"/>
          <w:highlight w:val="none"/>
        </w:rPr>
        <w:t>3</w:t>
      </w:r>
      <w:r>
        <w:rPr>
          <w:rFonts w:hint="eastAsia" w:ascii="宋体" w:hAnsi="宋体" w:cs="宋体"/>
          <w:sz w:val="24"/>
          <w:szCs w:val="24"/>
          <w:highlight w:val="none"/>
          <w:lang w:val="zh-CN"/>
        </w:rPr>
        <w:t>.本项目的特定资格要求：3.1</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与招标人存在利害关系可能影响招标公正性的法人、其他组织或者个人，不得参加同一标段投标或者未划分标段的同一招标项目投标；</w:t>
      </w:r>
    </w:p>
    <w:p>
      <w:pPr>
        <w:spacing w:line="46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3.</w:t>
      </w:r>
      <w:r>
        <w:rPr>
          <w:rFonts w:hint="eastAsia" w:ascii="宋体" w:hAnsi="宋体" w:cs="宋体"/>
          <w:sz w:val="24"/>
          <w:szCs w:val="24"/>
          <w:highlight w:val="none"/>
          <w:lang w:val="en-US" w:eastAsia="zh-CN"/>
        </w:rPr>
        <w:t>2</w:t>
      </w:r>
      <w:r>
        <w:rPr>
          <w:rFonts w:hint="eastAsia" w:ascii="宋体" w:hAnsi="宋体" w:cs="宋体"/>
          <w:sz w:val="24"/>
          <w:szCs w:val="24"/>
          <w:highlight w:val="none"/>
        </w:rPr>
        <w:t>投标人负责人为同一人或者存在控股、管理关系的不同单位，不得同时参加本项目的投标；</w:t>
      </w:r>
    </w:p>
    <w:p>
      <w:pPr>
        <w:spacing w:line="46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3.</w:t>
      </w:r>
      <w:r>
        <w:rPr>
          <w:rFonts w:hint="eastAsia" w:ascii="宋体" w:hAnsi="宋体" w:cs="宋体"/>
          <w:sz w:val="24"/>
          <w:szCs w:val="24"/>
          <w:highlight w:val="none"/>
          <w:lang w:val="en-US" w:eastAsia="zh-CN"/>
        </w:rPr>
        <w:t xml:space="preserve">3 </w:t>
      </w:r>
      <w:r>
        <w:rPr>
          <w:rFonts w:hint="eastAsia" w:ascii="宋体" w:hAnsi="宋体" w:cs="宋体"/>
          <w:sz w:val="24"/>
          <w:szCs w:val="24"/>
          <w:highlight w:val="none"/>
        </w:rPr>
        <w:t>根据《财政部关于在政府采购活动中查询及使用信用记录有关问题的通知》（财库﹝2016﹞125号）的要求，凡拟参加本次招标项目的投标</w:t>
      </w:r>
      <w:r>
        <w:rPr>
          <w:rFonts w:hint="eastAsia" w:ascii="宋体" w:hAnsi="宋体" w:cs="宋体"/>
          <w:sz w:val="24"/>
          <w:szCs w:val="24"/>
          <w:highlight w:val="none"/>
          <w:lang w:eastAsia="zh-CN"/>
        </w:rPr>
        <w:t>投标人</w:t>
      </w:r>
      <w:r>
        <w:rPr>
          <w:rFonts w:hint="eastAsia" w:ascii="宋体" w:hAnsi="宋体" w:cs="宋体"/>
          <w:sz w:val="24"/>
          <w:szCs w:val="24"/>
          <w:highlight w:val="none"/>
        </w:rPr>
        <w:t>，如在“信用中国”网（www.creditchina.gov.cn）、中国政府采购网（www.ccgp.gov.cn）列入失信被执行人、重大税收违法案件当事人名单、政府采购严重违法失信行为记录名单的（尚在处罚期内的），将拒绝其参加本次项目投标；</w:t>
      </w:r>
    </w:p>
    <w:p>
      <w:pPr>
        <w:spacing w:line="46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4.本项目不接受联合体投标。</w:t>
      </w:r>
    </w:p>
    <w:p>
      <w:pPr>
        <w:pStyle w:val="5"/>
        <w:rPr>
          <w:highlight w:val="none"/>
        </w:rPr>
      </w:pPr>
      <w:r>
        <w:rPr>
          <w:rFonts w:hint="eastAsia"/>
          <w:highlight w:val="none"/>
        </w:rPr>
        <w:t>三、获取招标文件</w:t>
      </w:r>
    </w:p>
    <w:p>
      <w:pPr>
        <w:spacing w:line="400" w:lineRule="exact"/>
        <w:ind w:firstLine="480" w:firstLineChars="200"/>
        <w:jc w:val="left"/>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时间：2024年0</w:t>
      </w:r>
      <w:r>
        <w:rPr>
          <w:rFonts w:hint="eastAsia" w:ascii="宋体" w:hAnsi="宋体" w:cs="宋体"/>
          <w:color w:val="000000"/>
          <w:kern w:val="0"/>
          <w:sz w:val="24"/>
          <w:szCs w:val="24"/>
          <w:highlight w:val="none"/>
          <w:lang w:val="en-US" w:eastAsia="zh-CN"/>
        </w:rPr>
        <w:t>4</w:t>
      </w:r>
      <w:r>
        <w:rPr>
          <w:rFonts w:hint="eastAsia" w:ascii="宋体" w:hAnsi="宋体" w:cs="宋体"/>
          <w:color w:val="000000"/>
          <w:kern w:val="0"/>
          <w:sz w:val="24"/>
          <w:szCs w:val="24"/>
          <w:highlight w:val="none"/>
        </w:rPr>
        <w:t>月</w:t>
      </w:r>
      <w:r>
        <w:rPr>
          <w:rFonts w:hint="eastAsia" w:ascii="宋体" w:hAnsi="宋体" w:cs="宋体"/>
          <w:color w:val="000000"/>
          <w:kern w:val="0"/>
          <w:sz w:val="24"/>
          <w:szCs w:val="24"/>
          <w:highlight w:val="none"/>
          <w:lang w:val="en-US" w:eastAsia="zh-CN"/>
        </w:rPr>
        <w:t>01</w:t>
      </w:r>
      <w:r>
        <w:rPr>
          <w:rFonts w:hint="eastAsia" w:ascii="宋体" w:hAnsi="宋体" w:cs="宋体"/>
          <w:color w:val="000000"/>
          <w:kern w:val="0"/>
          <w:sz w:val="24"/>
          <w:szCs w:val="24"/>
          <w:highlight w:val="none"/>
        </w:rPr>
        <w:t>日至2024年0</w:t>
      </w:r>
      <w:r>
        <w:rPr>
          <w:rFonts w:hint="eastAsia" w:ascii="宋体" w:hAnsi="宋体" w:cs="宋体"/>
          <w:color w:val="000000"/>
          <w:kern w:val="0"/>
          <w:sz w:val="24"/>
          <w:szCs w:val="24"/>
          <w:highlight w:val="none"/>
          <w:lang w:val="en-US" w:eastAsia="zh-CN"/>
        </w:rPr>
        <w:t>4</w:t>
      </w:r>
      <w:r>
        <w:rPr>
          <w:rFonts w:hint="eastAsia" w:ascii="宋体" w:hAnsi="宋体" w:cs="宋体"/>
          <w:color w:val="000000"/>
          <w:kern w:val="0"/>
          <w:sz w:val="24"/>
          <w:szCs w:val="24"/>
          <w:highlight w:val="none"/>
        </w:rPr>
        <w:t>月</w:t>
      </w:r>
      <w:r>
        <w:rPr>
          <w:rFonts w:hint="eastAsia" w:ascii="宋体" w:hAnsi="宋体" w:cs="宋体"/>
          <w:color w:val="000000"/>
          <w:kern w:val="0"/>
          <w:sz w:val="24"/>
          <w:szCs w:val="24"/>
          <w:highlight w:val="none"/>
          <w:lang w:val="en-US" w:eastAsia="zh-CN"/>
        </w:rPr>
        <w:t>09</w:t>
      </w:r>
      <w:r>
        <w:rPr>
          <w:rFonts w:hint="eastAsia" w:ascii="宋体" w:hAnsi="宋体" w:cs="宋体"/>
          <w:color w:val="000000"/>
          <w:kern w:val="0"/>
          <w:sz w:val="24"/>
          <w:szCs w:val="24"/>
          <w:highlight w:val="none"/>
        </w:rPr>
        <w:t>日，每天上午</w:t>
      </w:r>
      <w:r>
        <w:rPr>
          <w:rFonts w:hint="eastAsia" w:ascii="宋体" w:hAnsi="宋体" w:cs="宋体"/>
          <w:color w:val="000000"/>
          <w:kern w:val="0"/>
          <w:sz w:val="24"/>
          <w:szCs w:val="24"/>
          <w:highlight w:val="none"/>
          <w:lang w:val="en-US" w:eastAsia="zh-CN"/>
        </w:rPr>
        <w:t>08</w:t>
      </w:r>
      <w:r>
        <w:rPr>
          <w:rFonts w:hint="eastAsia" w:ascii="宋体" w:hAnsi="宋体" w:cs="宋体"/>
          <w:color w:val="000000"/>
          <w:kern w:val="0"/>
          <w:sz w:val="24"/>
          <w:szCs w:val="24"/>
          <w:highlight w:val="none"/>
        </w:rPr>
        <w:t>:00至</w:t>
      </w:r>
      <w:r>
        <w:rPr>
          <w:rFonts w:hint="eastAsia" w:ascii="宋体" w:hAnsi="宋体" w:cs="宋体"/>
          <w:color w:val="000000"/>
          <w:kern w:val="0"/>
          <w:sz w:val="24"/>
          <w:szCs w:val="24"/>
          <w:highlight w:val="none"/>
          <w:lang w:val="en-US" w:eastAsia="zh-CN"/>
        </w:rPr>
        <w:t>14</w:t>
      </w:r>
      <w:r>
        <w:rPr>
          <w:rFonts w:hint="eastAsia" w:ascii="宋体" w:hAnsi="宋体" w:cs="宋体"/>
          <w:color w:val="000000"/>
          <w:kern w:val="0"/>
          <w:sz w:val="24"/>
          <w:szCs w:val="24"/>
          <w:highlight w:val="none"/>
        </w:rPr>
        <w:t>:</w:t>
      </w:r>
      <w:r>
        <w:rPr>
          <w:rFonts w:hint="eastAsia" w:ascii="宋体" w:hAnsi="宋体" w:cs="宋体"/>
          <w:color w:val="000000"/>
          <w:kern w:val="0"/>
          <w:sz w:val="24"/>
          <w:szCs w:val="24"/>
          <w:highlight w:val="none"/>
          <w:lang w:val="en-US" w:eastAsia="zh-CN"/>
        </w:rPr>
        <w:t>00</w:t>
      </w:r>
      <w:r>
        <w:rPr>
          <w:rFonts w:hint="eastAsia" w:ascii="宋体" w:hAnsi="宋体" w:cs="宋体"/>
          <w:color w:val="000000"/>
          <w:kern w:val="0"/>
          <w:sz w:val="24"/>
          <w:szCs w:val="24"/>
          <w:highlight w:val="none"/>
        </w:rPr>
        <w:t>，下午</w:t>
      </w:r>
      <w:r>
        <w:rPr>
          <w:rFonts w:hint="eastAsia" w:ascii="宋体" w:hAnsi="宋体" w:cs="宋体"/>
          <w:color w:val="000000"/>
          <w:kern w:val="0"/>
          <w:sz w:val="24"/>
          <w:szCs w:val="24"/>
          <w:highlight w:val="none"/>
          <w:lang w:val="en-US" w:eastAsia="zh-CN"/>
        </w:rPr>
        <w:t>14</w:t>
      </w:r>
      <w:r>
        <w:rPr>
          <w:rFonts w:hint="eastAsia" w:ascii="宋体" w:hAnsi="宋体" w:cs="宋体"/>
          <w:color w:val="000000"/>
          <w:kern w:val="0"/>
          <w:sz w:val="24"/>
          <w:szCs w:val="24"/>
          <w:highlight w:val="none"/>
        </w:rPr>
        <w:t>：</w:t>
      </w:r>
      <w:r>
        <w:rPr>
          <w:rFonts w:hint="eastAsia" w:ascii="宋体" w:hAnsi="宋体" w:cs="宋体"/>
          <w:color w:val="000000"/>
          <w:kern w:val="0"/>
          <w:sz w:val="24"/>
          <w:szCs w:val="24"/>
          <w:highlight w:val="none"/>
          <w:lang w:val="en-US" w:eastAsia="zh-CN"/>
        </w:rPr>
        <w:t>00</w:t>
      </w:r>
      <w:r>
        <w:rPr>
          <w:rFonts w:hint="eastAsia" w:ascii="宋体" w:hAnsi="宋体" w:cs="宋体"/>
          <w:color w:val="000000"/>
          <w:kern w:val="0"/>
          <w:sz w:val="24"/>
          <w:szCs w:val="24"/>
          <w:highlight w:val="none"/>
        </w:rPr>
        <w:t>至</w:t>
      </w:r>
      <w:r>
        <w:rPr>
          <w:rFonts w:hint="eastAsia" w:ascii="宋体" w:hAnsi="宋体" w:cs="宋体"/>
          <w:color w:val="000000"/>
          <w:kern w:val="0"/>
          <w:sz w:val="24"/>
          <w:szCs w:val="24"/>
          <w:highlight w:val="none"/>
          <w:lang w:val="en-US" w:eastAsia="zh-CN"/>
        </w:rPr>
        <w:t>21</w:t>
      </w:r>
      <w:r>
        <w:rPr>
          <w:rFonts w:hint="eastAsia" w:ascii="宋体" w:hAnsi="宋体" w:cs="宋体"/>
          <w:color w:val="000000"/>
          <w:kern w:val="0"/>
          <w:sz w:val="24"/>
          <w:szCs w:val="24"/>
          <w:highlight w:val="none"/>
        </w:rPr>
        <w:t>:</w:t>
      </w:r>
      <w:r>
        <w:rPr>
          <w:rFonts w:hint="eastAsia" w:ascii="宋体" w:hAnsi="宋体" w:cs="宋体"/>
          <w:color w:val="000000"/>
          <w:kern w:val="0"/>
          <w:sz w:val="24"/>
          <w:szCs w:val="24"/>
          <w:highlight w:val="none"/>
          <w:lang w:val="en-US" w:eastAsia="zh-CN"/>
        </w:rPr>
        <w:t>00</w:t>
      </w:r>
      <w:r>
        <w:rPr>
          <w:rFonts w:hint="eastAsia" w:ascii="宋体" w:hAnsi="宋体" w:cs="宋体"/>
          <w:color w:val="000000"/>
          <w:kern w:val="0"/>
          <w:sz w:val="24"/>
          <w:szCs w:val="24"/>
          <w:highlight w:val="none"/>
        </w:rPr>
        <w:t xml:space="preserve">（北京时间，法定节假日除外） </w:t>
      </w:r>
    </w:p>
    <w:p>
      <w:pPr>
        <w:spacing w:line="400" w:lineRule="exact"/>
        <w:ind w:firstLine="480" w:firstLineChars="200"/>
        <w:jc w:val="left"/>
        <w:rPr>
          <w:rFonts w:ascii="仿宋" w:hAnsi="仿宋" w:cs="宋体"/>
          <w:kern w:val="0"/>
          <w:sz w:val="24"/>
          <w:szCs w:val="24"/>
          <w:highlight w:val="none"/>
        </w:rPr>
      </w:pPr>
      <w:r>
        <w:rPr>
          <w:rFonts w:hint="eastAsia" w:ascii="宋体" w:hAnsi="宋体" w:cs="宋体"/>
          <w:sz w:val="24"/>
          <w:szCs w:val="24"/>
          <w:highlight w:val="none"/>
        </w:rPr>
        <w:t>地点：线上</w:t>
      </w:r>
    </w:p>
    <w:p>
      <w:pPr>
        <w:widowControl/>
        <w:spacing w:line="400" w:lineRule="exact"/>
        <w:ind w:firstLine="480" w:firstLineChars="200"/>
        <w:rPr>
          <w:highlight w:val="none"/>
        </w:rPr>
      </w:pPr>
      <w:r>
        <w:rPr>
          <w:rFonts w:hint="eastAsia" w:ascii="宋体" w:hAnsi="宋体" w:cs="宋体"/>
          <w:sz w:val="24"/>
          <w:szCs w:val="24"/>
          <w:highlight w:val="none"/>
        </w:rPr>
        <w:t>方式：需将单位名称、所投项目名称、联系人、联系方式和电子邮箱号书写在一张A4纸上并加盖公章，扫描后发送至指定邮箱</w:t>
      </w:r>
      <w:r>
        <w:rPr>
          <w:rFonts w:hint="eastAsia" w:ascii="宋体" w:hAnsi="宋体" w:cs="宋体"/>
          <w:sz w:val="24"/>
          <w:szCs w:val="24"/>
          <w:highlight w:val="none"/>
          <w:lang w:val="en-US" w:eastAsia="zh-CN"/>
        </w:rPr>
        <w:t>445438337</w:t>
      </w:r>
      <w:r>
        <w:rPr>
          <w:rFonts w:hint="eastAsia" w:ascii="宋体" w:hAnsi="宋体" w:cs="宋体"/>
          <w:sz w:val="24"/>
          <w:szCs w:val="24"/>
          <w:highlight w:val="none"/>
        </w:rPr>
        <w:t>@qq.com。</w:t>
      </w:r>
    </w:p>
    <w:p>
      <w:pPr>
        <w:spacing w:line="460" w:lineRule="exact"/>
        <w:ind w:firstLine="480" w:firstLineChars="200"/>
        <w:jc w:val="left"/>
        <w:rPr>
          <w:rFonts w:hint="default" w:ascii="宋体" w:hAnsi="宋体" w:eastAsia="宋体" w:cs="宋体"/>
          <w:sz w:val="24"/>
          <w:szCs w:val="24"/>
          <w:highlight w:val="none"/>
          <w:u w:val="single"/>
          <w:lang w:val="en-US" w:eastAsia="zh-CN"/>
        </w:rPr>
      </w:pPr>
      <w:r>
        <w:rPr>
          <w:rFonts w:hint="eastAsia" w:ascii="仿宋" w:hAnsi="仿宋" w:cs="宋体"/>
          <w:kern w:val="0"/>
          <w:sz w:val="24"/>
          <w:szCs w:val="24"/>
          <w:highlight w:val="none"/>
        </w:rPr>
        <w:t>售价：</w:t>
      </w:r>
      <w:r>
        <w:rPr>
          <w:rFonts w:ascii="宋体" w:hAnsi="宋体" w:cs="宋体"/>
          <w:kern w:val="0"/>
          <w:sz w:val="24"/>
          <w:szCs w:val="24"/>
          <w:highlight w:val="none"/>
        </w:rPr>
        <w:t>¥</w:t>
      </w:r>
      <w:r>
        <w:rPr>
          <w:rFonts w:hint="eastAsia" w:ascii="仿宋" w:hAnsi="仿宋" w:cs="宋体"/>
          <w:kern w:val="0"/>
          <w:sz w:val="24"/>
          <w:szCs w:val="24"/>
          <w:highlight w:val="none"/>
        </w:rPr>
        <w:t>0</w:t>
      </w:r>
      <w:r>
        <w:rPr>
          <w:rFonts w:hint="eastAsia" w:ascii="仿宋" w:hAnsi="仿宋" w:cs="宋体"/>
          <w:kern w:val="0"/>
          <w:sz w:val="24"/>
          <w:szCs w:val="24"/>
          <w:highlight w:val="none"/>
          <w:lang w:val="en-US" w:eastAsia="zh-CN"/>
        </w:rPr>
        <w:t>.0</w:t>
      </w:r>
      <w:r>
        <w:rPr>
          <w:rFonts w:hint="eastAsia" w:ascii="仿宋" w:hAnsi="仿宋" w:cs="宋体"/>
          <w:kern w:val="0"/>
          <w:sz w:val="24"/>
          <w:szCs w:val="24"/>
          <w:highlight w:val="none"/>
        </w:rPr>
        <w:t>元</w:t>
      </w:r>
      <w:r>
        <w:rPr>
          <w:rFonts w:hint="eastAsia" w:ascii="仿宋" w:hAnsi="仿宋" w:cs="宋体"/>
          <w:kern w:val="0"/>
          <w:sz w:val="24"/>
          <w:szCs w:val="24"/>
          <w:highlight w:val="none"/>
          <w:lang w:eastAsia="zh-CN"/>
        </w:rPr>
        <w:t>，</w:t>
      </w:r>
      <w:r>
        <w:rPr>
          <w:rFonts w:hint="eastAsia" w:ascii="仿宋" w:hAnsi="仿宋" w:cs="宋体"/>
          <w:kern w:val="0"/>
          <w:sz w:val="24"/>
          <w:szCs w:val="24"/>
          <w:highlight w:val="none"/>
          <w:lang w:val="en-US" w:eastAsia="zh-CN"/>
        </w:rPr>
        <w:t>本公告包含的招标文件售价总和</w:t>
      </w:r>
    </w:p>
    <w:p>
      <w:pPr>
        <w:pStyle w:val="5"/>
        <w:rPr>
          <w:highlight w:val="none"/>
        </w:rPr>
      </w:pPr>
      <w:r>
        <w:rPr>
          <w:rFonts w:hint="eastAsia"/>
          <w:highlight w:val="none"/>
        </w:rPr>
        <w:t>四、</w:t>
      </w:r>
      <w:r>
        <w:rPr>
          <w:rFonts w:hint="eastAsia"/>
          <w:highlight w:val="none"/>
          <w:lang w:val="en-US" w:eastAsia="zh-CN"/>
        </w:rPr>
        <w:t>提交投标文件截止时间、开标时间和地点</w:t>
      </w:r>
    </w:p>
    <w:p>
      <w:pPr>
        <w:spacing w:line="400" w:lineRule="exact"/>
        <w:ind w:firstLine="480" w:firstLineChars="200"/>
        <w:jc w:val="left"/>
        <w:rPr>
          <w:rFonts w:hint="eastAsia" w:ascii="宋体" w:hAnsi="宋体" w:cs="宋体"/>
          <w:color w:val="000000"/>
          <w:kern w:val="0"/>
          <w:sz w:val="24"/>
          <w:szCs w:val="24"/>
          <w:highlight w:val="none"/>
          <w:lang w:val="en-US" w:eastAsia="zh-CN"/>
        </w:rPr>
      </w:pPr>
      <w:r>
        <w:rPr>
          <w:rFonts w:hint="eastAsia" w:ascii="宋体" w:hAnsi="宋体" w:cs="宋体"/>
          <w:color w:val="000000"/>
          <w:kern w:val="0"/>
          <w:sz w:val="24"/>
          <w:szCs w:val="24"/>
          <w:highlight w:val="none"/>
          <w:lang w:val="en-US" w:eastAsia="zh-CN"/>
        </w:rPr>
        <w:t>提交投标文件截止时间：2024年04月23日 10点00分（北京时间）</w:t>
      </w:r>
    </w:p>
    <w:p>
      <w:pPr>
        <w:spacing w:line="400" w:lineRule="exact"/>
        <w:ind w:firstLine="480" w:firstLineChars="200"/>
        <w:jc w:val="left"/>
        <w:rPr>
          <w:rFonts w:hint="eastAsia" w:ascii="宋体" w:hAnsi="宋体" w:cs="宋体"/>
          <w:color w:val="000000"/>
          <w:kern w:val="0"/>
          <w:sz w:val="24"/>
          <w:szCs w:val="24"/>
          <w:highlight w:val="none"/>
          <w:lang w:val="en-US" w:eastAsia="zh-CN"/>
        </w:rPr>
      </w:pPr>
      <w:r>
        <w:rPr>
          <w:rFonts w:hint="eastAsia" w:ascii="宋体" w:hAnsi="宋体" w:cs="宋体"/>
          <w:color w:val="000000"/>
          <w:kern w:val="0"/>
          <w:sz w:val="24"/>
          <w:szCs w:val="24"/>
          <w:highlight w:val="none"/>
          <w:lang w:val="en-US" w:eastAsia="zh-CN"/>
        </w:rPr>
        <w:t>开标时间：2024年04月23日 10点00分（北京时间）</w:t>
      </w:r>
    </w:p>
    <w:p>
      <w:pPr>
        <w:spacing w:line="400" w:lineRule="exact"/>
        <w:ind w:firstLine="480" w:firstLineChars="200"/>
        <w:jc w:val="left"/>
        <w:rPr>
          <w:rFonts w:hint="eastAsia" w:ascii="宋体" w:hAnsi="宋体" w:cs="宋体"/>
          <w:color w:val="000000"/>
          <w:kern w:val="0"/>
          <w:sz w:val="24"/>
          <w:szCs w:val="24"/>
          <w:highlight w:val="none"/>
          <w:lang w:val="en-US" w:eastAsia="zh-CN"/>
        </w:rPr>
      </w:pPr>
      <w:r>
        <w:rPr>
          <w:rFonts w:hint="eastAsia" w:ascii="宋体" w:hAnsi="宋体" w:cs="宋体"/>
          <w:color w:val="000000"/>
          <w:kern w:val="0"/>
          <w:sz w:val="24"/>
          <w:szCs w:val="24"/>
          <w:highlight w:val="none"/>
          <w:lang w:val="en-US" w:eastAsia="zh-CN"/>
        </w:rPr>
        <w:t>地点：昌吉回族自治州政务服务和公共资源交易中心公共资源交易大厅负一楼第2开标大厅</w:t>
      </w:r>
    </w:p>
    <w:p>
      <w:pPr>
        <w:spacing w:line="460" w:lineRule="exact"/>
        <w:ind w:firstLine="480" w:firstLineChars="200"/>
        <w:jc w:val="left"/>
        <w:rPr>
          <w:rFonts w:ascii="宋体" w:hAnsi="宋体" w:cs="宋体"/>
          <w:bCs/>
          <w:sz w:val="24"/>
          <w:szCs w:val="24"/>
          <w:highlight w:val="none"/>
          <w:u w:val="single"/>
        </w:rPr>
      </w:pPr>
    </w:p>
    <w:p>
      <w:pPr>
        <w:pStyle w:val="5"/>
        <w:rPr>
          <w:highlight w:val="none"/>
        </w:rPr>
      </w:pPr>
      <w:r>
        <w:rPr>
          <w:rFonts w:hint="eastAsia"/>
          <w:highlight w:val="none"/>
          <w:lang w:val="en-US" w:eastAsia="zh-CN"/>
        </w:rPr>
        <w:t>五</w:t>
      </w:r>
      <w:r>
        <w:rPr>
          <w:rFonts w:hint="eastAsia"/>
          <w:highlight w:val="none"/>
        </w:rPr>
        <w:t>、公告期限</w:t>
      </w:r>
    </w:p>
    <w:p>
      <w:pPr>
        <w:spacing w:line="500" w:lineRule="exact"/>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自本公告发布之日起5个工作日。</w:t>
      </w:r>
    </w:p>
    <w:p>
      <w:pPr>
        <w:pStyle w:val="5"/>
        <w:numPr>
          <w:ilvl w:val="0"/>
          <w:numId w:val="0"/>
        </w:numPr>
        <w:rPr>
          <w:highlight w:val="none"/>
        </w:rPr>
      </w:pPr>
      <w:r>
        <w:rPr>
          <w:rFonts w:hint="eastAsia"/>
          <w:highlight w:val="none"/>
          <w:lang w:val="en-US" w:eastAsia="zh-CN"/>
        </w:rPr>
        <w:t>六、</w:t>
      </w:r>
      <w:r>
        <w:rPr>
          <w:rFonts w:hint="eastAsia"/>
          <w:highlight w:val="none"/>
        </w:rPr>
        <w:t>其他补充事宜</w:t>
      </w:r>
    </w:p>
    <w:p>
      <w:pPr>
        <w:pStyle w:val="5"/>
        <w:ind w:firstLine="602" w:firstLineChars="200"/>
        <w:rPr>
          <w:rFonts w:hint="default"/>
          <w:highlight w:val="none"/>
          <w:lang w:val="en-US" w:eastAsia="zh-CN"/>
        </w:rPr>
      </w:pPr>
      <w:r>
        <w:rPr>
          <w:rFonts w:hint="eastAsia"/>
          <w:highlight w:val="none"/>
          <w:lang w:val="en-US" w:eastAsia="zh-CN"/>
        </w:rPr>
        <w:t>无</w:t>
      </w:r>
    </w:p>
    <w:p>
      <w:pPr>
        <w:pStyle w:val="5"/>
        <w:rPr>
          <w:rFonts w:hint="eastAsia" w:eastAsia="宋体"/>
          <w:highlight w:val="none"/>
          <w:lang w:eastAsia="zh-CN"/>
        </w:rPr>
      </w:pPr>
      <w:r>
        <w:rPr>
          <w:rFonts w:hint="eastAsia"/>
          <w:highlight w:val="none"/>
          <w:lang w:val="en-US" w:eastAsia="zh-CN"/>
        </w:rPr>
        <w:t>七</w:t>
      </w:r>
      <w:r>
        <w:rPr>
          <w:rFonts w:hint="eastAsia"/>
          <w:highlight w:val="none"/>
        </w:rPr>
        <w:t>、对本次</w:t>
      </w:r>
      <w:r>
        <w:rPr>
          <w:rFonts w:hint="eastAsia"/>
          <w:highlight w:val="none"/>
          <w:lang w:val="en-US" w:eastAsia="zh-CN"/>
        </w:rPr>
        <w:t>招标</w:t>
      </w:r>
      <w:r>
        <w:rPr>
          <w:rFonts w:hint="eastAsia"/>
          <w:highlight w:val="none"/>
        </w:rPr>
        <w:t>提出询问，请按以下方式联系</w:t>
      </w:r>
      <w:r>
        <w:rPr>
          <w:rFonts w:hint="eastAsia"/>
          <w:highlight w:val="none"/>
          <w:lang w:eastAsia="zh-CN"/>
        </w:rPr>
        <w:t>。</w:t>
      </w:r>
    </w:p>
    <w:p>
      <w:pPr>
        <w:spacing w:line="500" w:lineRule="exact"/>
        <w:ind w:firstLine="720" w:firstLineChars="300"/>
        <w:jc w:val="left"/>
        <w:rPr>
          <w:rFonts w:ascii="宋体" w:hAnsi="宋体" w:cs="宋体"/>
          <w:sz w:val="24"/>
          <w:szCs w:val="24"/>
          <w:highlight w:val="none"/>
        </w:rPr>
      </w:pPr>
      <w:r>
        <w:rPr>
          <w:rFonts w:hint="eastAsia" w:ascii="宋体" w:hAnsi="宋体" w:cs="宋体"/>
          <w:sz w:val="24"/>
          <w:szCs w:val="24"/>
          <w:highlight w:val="none"/>
        </w:rPr>
        <w:t>1.采购人信息</w:t>
      </w:r>
    </w:p>
    <w:p>
      <w:pPr>
        <w:spacing w:line="460" w:lineRule="exact"/>
        <w:ind w:firstLine="720" w:firstLineChars="300"/>
        <w:jc w:val="left"/>
        <w:rPr>
          <w:rFonts w:ascii="宋体" w:hAnsi="宋体" w:cs="宋体"/>
          <w:sz w:val="24"/>
          <w:szCs w:val="24"/>
          <w:highlight w:val="none"/>
          <w:u w:val="single"/>
        </w:rPr>
      </w:pPr>
      <w:r>
        <w:rPr>
          <w:rFonts w:hint="eastAsia" w:ascii="宋体" w:hAnsi="宋体" w:cs="宋体"/>
          <w:sz w:val="24"/>
          <w:szCs w:val="24"/>
          <w:highlight w:val="none"/>
        </w:rPr>
        <w:t>名    称：昌吉回族自治州消防救援支队</w:t>
      </w:r>
      <w:r>
        <w:rPr>
          <w:rFonts w:hint="eastAsia" w:ascii="宋体" w:hAnsi="宋体" w:cs="宋体"/>
          <w:sz w:val="24"/>
          <w:szCs w:val="24"/>
          <w:highlight w:val="none"/>
          <w:u w:val="single"/>
        </w:rPr>
        <w:t xml:space="preserve">   </w:t>
      </w:r>
    </w:p>
    <w:p>
      <w:pPr>
        <w:spacing w:line="460" w:lineRule="exact"/>
        <w:ind w:firstLine="720" w:firstLineChars="300"/>
        <w:jc w:val="left"/>
        <w:rPr>
          <w:rFonts w:ascii="宋体" w:hAnsi="宋体" w:cs="宋体"/>
          <w:sz w:val="24"/>
          <w:szCs w:val="24"/>
          <w:highlight w:val="none"/>
        </w:rPr>
      </w:pPr>
      <w:r>
        <w:rPr>
          <w:rFonts w:hint="eastAsia" w:ascii="宋体" w:hAnsi="宋体" w:cs="宋体"/>
          <w:sz w:val="24"/>
          <w:szCs w:val="24"/>
          <w:highlight w:val="none"/>
        </w:rPr>
        <w:t>地    址：新疆昌吉州昌吉市世纪大道131号</w:t>
      </w:r>
      <w:r>
        <w:rPr>
          <w:rFonts w:hint="eastAsia" w:ascii="宋体" w:hAnsi="宋体" w:cs="宋体"/>
          <w:sz w:val="24"/>
          <w:szCs w:val="24"/>
          <w:highlight w:val="none"/>
          <w:u w:val="single"/>
        </w:rPr>
        <w:t xml:space="preserve">        </w:t>
      </w:r>
    </w:p>
    <w:p>
      <w:pPr>
        <w:spacing w:line="460" w:lineRule="exact"/>
        <w:ind w:firstLine="630" w:firstLineChars="300"/>
        <w:jc w:val="left"/>
        <w:rPr>
          <w:rFonts w:ascii="宋体" w:hAnsi="宋体" w:cs="宋体"/>
          <w:kern w:val="2"/>
          <w:highlight w:val="none"/>
          <w:u w:val="single"/>
          <w:lang w:eastAsia="zh-CN" w:bidi="ar-SA"/>
        </w:rPr>
      </w:pPr>
      <w:r>
        <w:rPr>
          <w:rFonts w:hint="eastAsia" w:ascii="宋体" w:hAnsi="宋体" w:cs="宋体"/>
          <w:highlight w:val="none"/>
          <w:lang w:eastAsia="zh-CN"/>
        </w:rPr>
        <w:t>联</w:t>
      </w:r>
      <w:r>
        <w:rPr>
          <w:rFonts w:hint="eastAsia" w:ascii="宋体" w:hAnsi="宋体" w:cs="宋体"/>
          <w:kern w:val="2"/>
          <w:highlight w:val="none"/>
          <w:lang w:eastAsia="zh-CN" w:bidi="ar-SA"/>
        </w:rPr>
        <w:t>系方式：</w:t>
      </w:r>
      <w:r>
        <w:rPr>
          <w:rFonts w:hint="eastAsia" w:ascii="宋体" w:hAnsi="宋体" w:cs="宋体"/>
          <w:sz w:val="24"/>
          <w:szCs w:val="24"/>
          <w:highlight w:val="none"/>
          <w:lang w:val="zh-CN"/>
        </w:rPr>
        <w:t>米娜、郭晓宇</w:t>
      </w:r>
      <w:r>
        <w:rPr>
          <w:rFonts w:hint="eastAsia" w:ascii="宋体" w:hAnsi="宋体" w:cs="宋体"/>
          <w:sz w:val="24"/>
          <w:szCs w:val="24"/>
          <w:highlight w:val="none"/>
          <w:u w:val="none"/>
          <w:lang w:eastAsia="zh-CN"/>
        </w:rPr>
        <w:t>；</w:t>
      </w:r>
      <w:r>
        <w:rPr>
          <w:rFonts w:hint="eastAsia" w:ascii="宋体" w:hAnsi="宋体" w:cs="宋体"/>
          <w:kern w:val="2"/>
          <w:highlight w:val="none"/>
          <w:lang w:eastAsia="zh-CN" w:bidi="ar-SA"/>
        </w:rPr>
        <w:t>13031398090、15769051697</w:t>
      </w:r>
    </w:p>
    <w:p>
      <w:pPr>
        <w:spacing w:line="460" w:lineRule="exact"/>
        <w:ind w:firstLine="720" w:firstLineChars="300"/>
        <w:jc w:val="left"/>
        <w:rPr>
          <w:rFonts w:ascii="宋体" w:hAnsi="宋体" w:cs="宋体"/>
          <w:sz w:val="24"/>
          <w:szCs w:val="24"/>
          <w:highlight w:val="none"/>
        </w:rPr>
      </w:pPr>
      <w:r>
        <w:rPr>
          <w:rFonts w:hint="eastAsia" w:ascii="宋体" w:hAnsi="宋体" w:cs="宋体"/>
          <w:sz w:val="24"/>
          <w:szCs w:val="24"/>
          <w:highlight w:val="none"/>
        </w:rPr>
        <w:t>2.采购代理机构信息</w:t>
      </w:r>
    </w:p>
    <w:p>
      <w:pPr>
        <w:spacing w:line="460" w:lineRule="exact"/>
        <w:ind w:firstLine="720" w:firstLineChars="300"/>
        <w:jc w:val="left"/>
        <w:rPr>
          <w:rFonts w:ascii="宋体" w:hAnsi="宋体" w:cs="宋体"/>
          <w:sz w:val="24"/>
          <w:szCs w:val="24"/>
          <w:highlight w:val="none"/>
        </w:rPr>
      </w:pPr>
      <w:r>
        <w:rPr>
          <w:rFonts w:hint="eastAsia" w:ascii="宋体" w:hAnsi="宋体" w:cs="宋体"/>
          <w:sz w:val="24"/>
          <w:szCs w:val="24"/>
          <w:highlight w:val="none"/>
        </w:rPr>
        <w:t>名    称：新疆新之建工程咨询有限公司</w:t>
      </w:r>
    </w:p>
    <w:p>
      <w:pPr>
        <w:spacing w:line="460" w:lineRule="exact"/>
        <w:ind w:left="1798" w:leftChars="342" w:hanging="1080" w:hangingChars="450"/>
        <w:jc w:val="left"/>
        <w:rPr>
          <w:rFonts w:ascii="宋体" w:hAnsi="宋体" w:cs="宋体"/>
          <w:sz w:val="24"/>
          <w:szCs w:val="24"/>
          <w:highlight w:val="none"/>
          <w:u w:val="single"/>
        </w:rPr>
      </w:pPr>
      <w:r>
        <w:rPr>
          <w:rFonts w:hint="eastAsia" w:ascii="宋体" w:hAnsi="宋体" w:cs="宋体"/>
          <w:sz w:val="24"/>
          <w:szCs w:val="24"/>
          <w:highlight w:val="none"/>
        </w:rPr>
        <w:t>地　　址：新疆乌鲁木齐市沙依巴克区克拉玛依西路618号亚欣国际酒店5楼</w:t>
      </w:r>
    </w:p>
    <w:p>
      <w:pPr>
        <w:spacing w:line="460" w:lineRule="exact"/>
        <w:ind w:left="1198" w:leftChars="342" w:hanging="480" w:hangingChars="200"/>
        <w:jc w:val="left"/>
        <w:rPr>
          <w:rFonts w:hint="eastAsia" w:ascii="宋体" w:hAnsi="宋体" w:cs="宋体"/>
          <w:sz w:val="24"/>
          <w:szCs w:val="24"/>
          <w:highlight w:val="none"/>
        </w:rPr>
      </w:pPr>
      <w:r>
        <w:rPr>
          <w:rFonts w:hint="eastAsia" w:ascii="宋体" w:hAnsi="宋体" w:cs="宋体"/>
          <w:sz w:val="24"/>
          <w:szCs w:val="24"/>
          <w:highlight w:val="none"/>
        </w:rPr>
        <w:t>联系方式：15099358708、15276696466</w:t>
      </w:r>
    </w:p>
    <w:p>
      <w:pPr>
        <w:spacing w:line="460" w:lineRule="exact"/>
        <w:ind w:firstLine="720" w:firstLineChars="300"/>
        <w:jc w:val="left"/>
        <w:rPr>
          <w:rFonts w:hint="eastAsia" w:ascii="宋体" w:hAnsi="宋体" w:cs="宋体"/>
          <w:sz w:val="24"/>
          <w:szCs w:val="24"/>
          <w:highlight w:val="none"/>
        </w:rPr>
      </w:pPr>
      <w:r>
        <w:rPr>
          <w:rFonts w:hint="eastAsia" w:ascii="宋体" w:hAnsi="宋体" w:cs="宋体"/>
          <w:sz w:val="24"/>
          <w:szCs w:val="24"/>
          <w:highlight w:val="none"/>
        </w:rPr>
        <w:t>3.项目联系方式</w:t>
      </w:r>
    </w:p>
    <w:p>
      <w:pPr>
        <w:spacing w:line="460" w:lineRule="exact"/>
        <w:ind w:firstLine="720" w:firstLineChars="300"/>
        <w:jc w:val="left"/>
        <w:rPr>
          <w:rFonts w:hint="eastAsia" w:ascii="宋体" w:hAnsi="宋体" w:cs="宋体"/>
          <w:sz w:val="24"/>
          <w:szCs w:val="24"/>
          <w:highlight w:val="none"/>
        </w:rPr>
      </w:pPr>
      <w:r>
        <w:rPr>
          <w:rFonts w:hint="eastAsia" w:ascii="宋体" w:hAnsi="宋体" w:cs="宋体"/>
          <w:sz w:val="24"/>
          <w:szCs w:val="24"/>
          <w:highlight w:val="none"/>
        </w:rPr>
        <w:t>项目联系人：李家成、姚雨彤</w:t>
      </w:r>
    </w:p>
    <w:p>
      <w:pPr>
        <w:spacing w:line="460" w:lineRule="exact"/>
        <w:ind w:firstLine="720" w:firstLineChars="300"/>
        <w:jc w:val="left"/>
        <w:rPr>
          <w:rFonts w:hint="eastAsia" w:ascii="宋体" w:hAnsi="宋体" w:cs="宋体"/>
          <w:sz w:val="24"/>
          <w:szCs w:val="24"/>
          <w:highlight w:val="none"/>
        </w:rPr>
      </w:pPr>
      <w:r>
        <w:rPr>
          <w:rFonts w:hint="eastAsia" w:ascii="宋体" w:hAnsi="宋体" w:cs="宋体"/>
          <w:sz w:val="24"/>
          <w:szCs w:val="24"/>
          <w:highlight w:val="none"/>
        </w:rPr>
        <w:t>电　话：15099358708、15276696466</w:t>
      </w:r>
    </w:p>
    <w:p>
      <w:pPr>
        <w:pStyle w:val="2"/>
        <w:rPr>
          <w:highlight w:val="none"/>
        </w:rPr>
      </w:pPr>
    </w:p>
    <w:p>
      <w:pPr>
        <w:pStyle w:val="124"/>
        <w:ind w:left="432" w:right="130"/>
        <w:jc w:val="right"/>
        <w:rPr>
          <w:rFonts w:ascii="宋体" w:hAnsi="宋体" w:cs="宋体"/>
          <w:spacing w:val="10"/>
          <w:highlight w:val="none"/>
          <w:lang w:eastAsia="zh-CN"/>
        </w:rPr>
      </w:pPr>
      <w:r>
        <w:rPr>
          <w:rFonts w:hint="eastAsia" w:ascii="宋体" w:hAnsi="宋体" w:cs="宋体"/>
          <w:spacing w:val="10"/>
          <w:highlight w:val="none"/>
          <w:lang w:eastAsia="zh-CN"/>
        </w:rPr>
        <w:t>2</w:t>
      </w:r>
      <w:r>
        <w:rPr>
          <w:rFonts w:ascii="宋体" w:hAnsi="宋体" w:cs="宋体"/>
          <w:spacing w:val="10"/>
          <w:highlight w:val="none"/>
          <w:lang w:eastAsia="zh-CN"/>
        </w:rPr>
        <w:t>024</w:t>
      </w:r>
      <w:r>
        <w:rPr>
          <w:rFonts w:hint="eastAsia" w:ascii="宋体" w:hAnsi="宋体" w:cs="宋体"/>
          <w:spacing w:val="10"/>
          <w:highlight w:val="none"/>
          <w:lang w:eastAsia="zh-CN"/>
        </w:rPr>
        <w:t>年</w:t>
      </w:r>
      <w:r>
        <w:rPr>
          <w:rFonts w:ascii="宋体" w:hAnsi="宋体" w:cs="宋体"/>
          <w:spacing w:val="10"/>
          <w:highlight w:val="none"/>
          <w:lang w:eastAsia="zh-CN"/>
        </w:rPr>
        <w:t xml:space="preserve">  </w:t>
      </w:r>
      <w:r>
        <w:rPr>
          <w:rFonts w:hint="eastAsia" w:ascii="宋体" w:hAnsi="宋体" w:cs="宋体"/>
          <w:spacing w:val="10"/>
          <w:highlight w:val="none"/>
          <w:lang w:eastAsia="zh-CN"/>
        </w:rPr>
        <w:t>月</w:t>
      </w:r>
      <w:r>
        <w:rPr>
          <w:rFonts w:ascii="宋体" w:hAnsi="宋体" w:cs="宋体"/>
          <w:spacing w:val="10"/>
          <w:highlight w:val="none"/>
          <w:lang w:eastAsia="zh-CN"/>
        </w:rPr>
        <w:t xml:space="preserve">  </w:t>
      </w:r>
      <w:r>
        <w:rPr>
          <w:rFonts w:hint="eastAsia" w:ascii="宋体" w:hAnsi="宋体" w:cs="宋体"/>
          <w:spacing w:val="10"/>
          <w:highlight w:val="none"/>
          <w:lang w:eastAsia="zh-CN"/>
        </w:rPr>
        <w:t>日</w:t>
      </w:r>
    </w:p>
    <w:p>
      <w:pPr>
        <w:spacing w:line="460" w:lineRule="exact"/>
        <w:ind w:left="1174" w:leftChars="342" w:hanging="456" w:hangingChars="200"/>
        <w:jc w:val="left"/>
        <w:rPr>
          <w:rFonts w:ascii="宋体" w:hAnsi="宋体" w:cs="宋体"/>
          <w:spacing w:val="-6"/>
          <w:sz w:val="24"/>
          <w:szCs w:val="24"/>
          <w:highlight w:val="none"/>
          <w:u w:val="single"/>
        </w:rPr>
      </w:pPr>
    </w:p>
    <w:p>
      <w:pPr>
        <w:spacing w:line="460" w:lineRule="exact"/>
        <w:ind w:left="1174" w:leftChars="342" w:hanging="456" w:hangingChars="200"/>
        <w:jc w:val="left"/>
        <w:rPr>
          <w:rFonts w:ascii="宋体" w:hAnsi="宋体" w:cs="宋体"/>
          <w:spacing w:val="-6"/>
          <w:sz w:val="24"/>
          <w:szCs w:val="24"/>
          <w:highlight w:val="none"/>
          <w:u w:val="single"/>
        </w:rPr>
      </w:pPr>
    </w:p>
    <w:p>
      <w:pPr>
        <w:spacing w:line="460" w:lineRule="exact"/>
        <w:ind w:left="1174" w:leftChars="342" w:hanging="456" w:hangingChars="200"/>
        <w:jc w:val="left"/>
        <w:rPr>
          <w:rFonts w:ascii="宋体" w:hAnsi="宋体" w:cs="宋体"/>
          <w:spacing w:val="-6"/>
          <w:sz w:val="24"/>
          <w:szCs w:val="24"/>
          <w:highlight w:val="none"/>
          <w:u w:val="single"/>
        </w:rPr>
      </w:pPr>
    </w:p>
    <w:p>
      <w:pPr>
        <w:spacing w:line="460" w:lineRule="exact"/>
        <w:ind w:left="1174" w:leftChars="342" w:hanging="456" w:hangingChars="200"/>
        <w:jc w:val="left"/>
        <w:rPr>
          <w:rFonts w:ascii="宋体" w:hAnsi="宋体" w:cs="宋体"/>
          <w:spacing w:val="-6"/>
          <w:sz w:val="24"/>
          <w:szCs w:val="24"/>
          <w:highlight w:val="none"/>
          <w:u w:val="single"/>
        </w:rPr>
      </w:pPr>
    </w:p>
    <w:p>
      <w:pPr>
        <w:pStyle w:val="2"/>
        <w:rPr>
          <w:rFonts w:ascii="宋体" w:hAnsi="宋体" w:cs="宋体"/>
          <w:spacing w:val="-6"/>
          <w:sz w:val="24"/>
          <w:szCs w:val="24"/>
          <w:highlight w:val="none"/>
          <w:u w:val="single"/>
        </w:rPr>
      </w:pPr>
    </w:p>
    <w:p>
      <w:pPr>
        <w:pStyle w:val="2"/>
        <w:rPr>
          <w:rFonts w:ascii="宋体" w:hAnsi="宋体" w:cs="宋体"/>
          <w:spacing w:val="-6"/>
          <w:sz w:val="24"/>
          <w:szCs w:val="24"/>
          <w:highlight w:val="none"/>
          <w:u w:val="single"/>
        </w:rPr>
      </w:pPr>
    </w:p>
    <w:bookmarkEnd w:id="14"/>
    <w:p>
      <w:pPr>
        <w:pStyle w:val="3"/>
        <w:rPr>
          <w:highlight w:val="none"/>
        </w:rPr>
      </w:pPr>
      <w:bookmarkStart w:id="22" w:name="_Toc20823274"/>
      <w:bookmarkStart w:id="23" w:name="_Toc13939"/>
      <w:bookmarkStart w:id="24" w:name="_Toc9359"/>
      <w:bookmarkStart w:id="25" w:name="_Toc513029202"/>
      <w:bookmarkStart w:id="26" w:name="_Toc120614213"/>
      <w:bookmarkStart w:id="27" w:name="_Toc26763"/>
      <w:bookmarkStart w:id="28" w:name="_Toc16938518"/>
      <w:r>
        <w:rPr>
          <w:rFonts w:hint="eastAsia"/>
          <w:highlight w:val="none"/>
        </w:rPr>
        <w:t>第二章 投标人须知</w:t>
      </w:r>
      <w:bookmarkEnd w:id="15"/>
      <w:bookmarkEnd w:id="22"/>
      <w:bookmarkEnd w:id="23"/>
      <w:bookmarkEnd w:id="24"/>
      <w:bookmarkEnd w:id="25"/>
      <w:bookmarkEnd w:id="26"/>
      <w:bookmarkEnd w:id="27"/>
      <w:bookmarkEnd w:id="28"/>
    </w:p>
    <w:p>
      <w:pPr>
        <w:pStyle w:val="5"/>
        <w:rPr>
          <w:highlight w:val="none"/>
        </w:rPr>
      </w:pPr>
      <w:bookmarkStart w:id="29" w:name="_Toc19352"/>
      <w:bookmarkStart w:id="30" w:name="_Toc21065"/>
      <w:bookmarkStart w:id="31" w:name="_Toc534725606"/>
      <w:r>
        <w:rPr>
          <w:rFonts w:hint="eastAsia"/>
          <w:highlight w:val="none"/>
        </w:rPr>
        <w:t xml:space="preserve">一、总  </w:t>
      </w:r>
      <w:bookmarkStart w:id="32" w:name="_Toc9510635"/>
      <w:r>
        <w:rPr>
          <w:rFonts w:hint="eastAsia"/>
          <w:highlight w:val="none"/>
        </w:rPr>
        <w:t>则</w:t>
      </w:r>
      <w:bookmarkEnd w:id="29"/>
      <w:bookmarkEnd w:id="30"/>
    </w:p>
    <w:p>
      <w:pPr>
        <w:pStyle w:val="6"/>
        <w:rPr>
          <w:highlight w:val="none"/>
        </w:rPr>
      </w:pPr>
      <w:bookmarkStart w:id="33" w:name="_Toc26214"/>
      <w:r>
        <w:rPr>
          <w:rFonts w:hint="eastAsia"/>
          <w:highlight w:val="none"/>
        </w:rPr>
        <w:t>1、适用</w:t>
      </w:r>
      <w:bookmarkEnd w:id="32"/>
      <w:r>
        <w:rPr>
          <w:rFonts w:hint="eastAsia"/>
          <w:highlight w:val="none"/>
        </w:rPr>
        <w:t>范围</w:t>
      </w:r>
      <w:bookmarkEnd w:id="33"/>
    </w:p>
    <w:p>
      <w:pPr>
        <w:adjustRightInd w:val="0"/>
        <w:snapToGrid w:val="0"/>
        <w:spacing w:line="500" w:lineRule="exact"/>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本招标文件适用于</w:t>
      </w:r>
      <w:r>
        <w:rPr>
          <w:rFonts w:hint="eastAsia" w:ascii="宋体" w:hAnsi="宋体" w:eastAsia="宋体" w:cs="宋体"/>
          <w:bCs/>
          <w:sz w:val="24"/>
          <w:szCs w:val="24"/>
          <w:highlight w:val="none"/>
        </w:rPr>
        <w:t>本次采购项目</w:t>
      </w:r>
      <w:r>
        <w:rPr>
          <w:rFonts w:hint="eastAsia" w:ascii="宋体" w:hAnsi="宋体" w:eastAsia="宋体" w:cs="宋体"/>
          <w:sz w:val="24"/>
          <w:szCs w:val="24"/>
          <w:highlight w:val="none"/>
        </w:rPr>
        <w:t>的招标、投标、评标、定标、验收、合同履约、付款等行为（法律、法规另有规定的，从其规定）。</w:t>
      </w:r>
    </w:p>
    <w:p>
      <w:pPr>
        <w:pStyle w:val="6"/>
        <w:rPr>
          <w:highlight w:val="none"/>
        </w:rPr>
      </w:pPr>
      <w:bookmarkStart w:id="34" w:name="_Toc24800"/>
      <w:r>
        <w:rPr>
          <w:rFonts w:hint="eastAsia"/>
          <w:highlight w:val="none"/>
        </w:rPr>
        <w:t>2、定义</w:t>
      </w:r>
      <w:bookmarkEnd w:id="34"/>
    </w:p>
    <w:p>
      <w:pPr>
        <w:adjustRightInd w:val="0"/>
        <w:snapToGrid w:val="0"/>
        <w:spacing w:line="500" w:lineRule="exact"/>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2.1 招标采购单位（采购人）系指采购单位。</w:t>
      </w:r>
    </w:p>
    <w:p>
      <w:pPr>
        <w:adjustRightInd w:val="0"/>
        <w:snapToGrid w:val="0"/>
        <w:spacing w:line="500" w:lineRule="exact"/>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2.2 “投标人”系指向采购方提交投标文件的法人、其他组织或者自然人。</w:t>
      </w:r>
    </w:p>
    <w:p>
      <w:pPr>
        <w:adjustRightInd w:val="0"/>
        <w:snapToGrid w:val="0"/>
        <w:spacing w:line="500" w:lineRule="exact"/>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2.3 “产品”系指供方按招标文件规定，须向采购人提供的一切设备、保险、税金、备品备件、工具、手册及其它有关技术资料和材料。</w:t>
      </w:r>
    </w:p>
    <w:p>
      <w:pPr>
        <w:adjustRightInd w:val="0"/>
        <w:snapToGrid w:val="0"/>
        <w:spacing w:line="500" w:lineRule="exact"/>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2.4 “服务”系指招标文件规定投标人须承担的安装、调试、技术协助、校准、培训、技术指导以及其他类似的义务。</w:t>
      </w:r>
    </w:p>
    <w:p>
      <w:pPr>
        <w:adjustRightInd w:val="0"/>
        <w:snapToGrid w:val="0"/>
        <w:spacing w:line="500" w:lineRule="exact"/>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2.5 “项目”系指投标人按招标文件规定向采购人提供的产品和服务。</w:t>
      </w:r>
    </w:p>
    <w:p>
      <w:pPr>
        <w:adjustRightInd w:val="0"/>
        <w:snapToGrid w:val="0"/>
        <w:spacing w:line="500" w:lineRule="exact"/>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2.6 “书面形式”包括信函、传真、电子邮件等。</w:t>
      </w:r>
    </w:p>
    <w:p>
      <w:pPr>
        <w:adjustRightInd w:val="0"/>
        <w:snapToGrid w:val="0"/>
        <w:spacing w:line="500" w:lineRule="exact"/>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2.7实质性响应:系指投标文件符合招标文件规定的实质性内容、条件和规定。</w:t>
      </w:r>
    </w:p>
    <w:p>
      <w:pPr>
        <w:adjustRightInd w:val="0"/>
        <w:snapToGrid w:val="0"/>
        <w:spacing w:line="500" w:lineRule="exact"/>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2.8重大偏离或保留：系指将会影响到招标文件规定的服务范围、质量标准，或会给合同中规定的招标人的权利和投标人的责任造成实质性限制，而纠正这些偏离或保留将对其他提交了实质性响应的投标文件的投标人产生不公平影响的。</w:t>
      </w:r>
    </w:p>
    <w:p>
      <w:pPr>
        <w:adjustRightInd w:val="0"/>
        <w:snapToGrid w:val="0"/>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2.9 细微偏离：系指投标文件对招标文件的非实质性内容存在不完全响应或不响应。</w:t>
      </w:r>
    </w:p>
    <w:p>
      <w:pPr>
        <w:pStyle w:val="6"/>
        <w:rPr>
          <w:highlight w:val="none"/>
        </w:rPr>
      </w:pPr>
      <w:bookmarkStart w:id="35" w:name="_Toc17392"/>
      <w:r>
        <w:rPr>
          <w:rFonts w:hint="eastAsia"/>
          <w:highlight w:val="none"/>
        </w:rPr>
        <w:t>3、招标方式</w:t>
      </w:r>
      <w:bookmarkEnd w:id="35"/>
    </w:p>
    <w:p>
      <w:pPr>
        <w:adjustRightInd w:val="0"/>
        <w:snapToGrid w:val="0"/>
        <w:spacing w:line="400" w:lineRule="exact"/>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本项目采用公开招标方式进行。</w:t>
      </w:r>
    </w:p>
    <w:p>
      <w:pPr>
        <w:pStyle w:val="6"/>
        <w:rPr>
          <w:highlight w:val="none"/>
        </w:rPr>
      </w:pPr>
      <w:bookmarkStart w:id="36" w:name="_Toc32376"/>
      <w:r>
        <w:rPr>
          <w:rFonts w:hint="eastAsia"/>
          <w:highlight w:val="none"/>
        </w:rPr>
        <w:t>4、投标委托</w:t>
      </w:r>
      <w:bookmarkEnd w:id="36"/>
    </w:p>
    <w:p>
      <w:pPr>
        <w:adjustRightInd w:val="0"/>
        <w:snapToGrid w:val="0"/>
        <w:spacing w:line="500" w:lineRule="exact"/>
        <w:ind w:firstLine="464" w:firstLineChars="200"/>
        <w:jc w:val="left"/>
        <w:rPr>
          <w:rFonts w:ascii="宋体" w:hAnsi="宋体" w:eastAsia="宋体" w:cs="宋体"/>
          <w:spacing w:val="-4"/>
          <w:sz w:val="24"/>
          <w:szCs w:val="24"/>
          <w:highlight w:val="none"/>
        </w:rPr>
      </w:pPr>
      <w:r>
        <w:rPr>
          <w:rFonts w:hint="eastAsia" w:ascii="宋体" w:hAnsi="宋体" w:eastAsia="宋体" w:cs="宋体"/>
          <w:spacing w:val="-4"/>
          <w:sz w:val="24"/>
          <w:szCs w:val="24"/>
          <w:highlight w:val="none"/>
        </w:rPr>
        <w:t>投标人代表须携带有效身份证件。如投标人代表不是法定代表人（负责人、自然人），须有法定代表人（负责人、自然人）出具的授权委托书（格式见第五章）。</w:t>
      </w:r>
    </w:p>
    <w:p>
      <w:pPr>
        <w:pStyle w:val="6"/>
        <w:rPr>
          <w:highlight w:val="none"/>
        </w:rPr>
      </w:pPr>
      <w:bookmarkStart w:id="37" w:name="_Toc21031"/>
      <w:r>
        <w:rPr>
          <w:rFonts w:hint="eastAsia"/>
          <w:highlight w:val="none"/>
        </w:rPr>
        <w:t>5、投标费用</w:t>
      </w:r>
      <w:bookmarkEnd w:id="37"/>
    </w:p>
    <w:p>
      <w:pPr>
        <w:adjustRightInd w:val="0"/>
        <w:snapToGrid w:val="0"/>
        <w:spacing w:line="400" w:lineRule="exact"/>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不论投标结果如何，投标人均应自行承担所有与投标有关的全部费用。</w:t>
      </w:r>
    </w:p>
    <w:p>
      <w:pPr>
        <w:pStyle w:val="6"/>
        <w:rPr>
          <w:highlight w:val="none"/>
        </w:rPr>
      </w:pPr>
      <w:bookmarkStart w:id="38" w:name="_Toc505"/>
      <w:r>
        <w:rPr>
          <w:rFonts w:hint="eastAsia"/>
          <w:highlight w:val="none"/>
        </w:rPr>
        <w:t>6、分包转包</w:t>
      </w:r>
      <w:bookmarkEnd w:id="38"/>
    </w:p>
    <w:p>
      <w:pPr>
        <w:adjustRightInd w:val="0"/>
        <w:snapToGrid w:val="0"/>
        <w:spacing w:line="400" w:lineRule="exact"/>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本项目不允许分包和转包。</w:t>
      </w:r>
    </w:p>
    <w:p>
      <w:pPr>
        <w:pStyle w:val="6"/>
        <w:rPr>
          <w:highlight w:val="none"/>
        </w:rPr>
      </w:pPr>
      <w:bookmarkStart w:id="39" w:name="_Toc5076"/>
      <w:r>
        <w:rPr>
          <w:rFonts w:hint="eastAsia"/>
          <w:highlight w:val="none"/>
        </w:rPr>
        <w:t>7、提供相同品牌产品处理</w:t>
      </w:r>
      <w:bookmarkEnd w:id="39"/>
    </w:p>
    <w:p>
      <w:pPr>
        <w:adjustRightInd w:val="0"/>
        <w:snapToGrid w:val="0"/>
        <w:spacing w:line="500" w:lineRule="exact"/>
        <w:ind w:firstLine="470" w:firstLineChars="196"/>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提供相同品牌产品且通过资格审查、符合性审查的不同投标人参加同一合同项下投标的，按一家投标人计算，评审后得分最高的同品牌投标人获得中标人推荐资格；评审得分相同的，商务部分得分最高的获得中标人推荐资格，商务部分得分相同的采取随机抽取方式确定，其他同品牌投标人不作为中标候选人。 </w:t>
      </w:r>
    </w:p>
    <w:p>
      <w:pPr>
        <w:adjustRightInd w:val="0"/>
        <w:snapToGrid w:val="0"/>
        <w:spacing w:line="500" w:lineRule="exact"/>
        <w:ind w:firstLine="470" w:firstLineChars="196"/>
        <w:jc w:val="left"/>
        <w:rPr>
          <w:rFonts w:ascii="宋体" w:hAnsi="宋体" w:eastAsia="宋体" w:cs="宋体"/>
          <w:sz w:val="24"/>
          <w:szCs w:val="24"/>
          <w:highlight w:val="none"/>
        </w:rPr>
      </w:pPr>
      <w:r>
        <w:rPr>
          <w:rFonts w:hint="eastAsia" w:ascii="宋体" w:hAnsi="宋体" w:eastAsia="宋体" w:cs="宋体"/>
          <w:sz w:val="24"/>
          <w:szCs w:val="24"/>
          <w:highlight w:val="none"/>
        </w:rPr>
        <w:t>非单一产品采购项目，采购人应当根据采购项目技术构成、产品价格比重等合理确定核心产品，并在招标文件中载明。多家投标人提供的任一核心产品品牌相同的，按前款规定处理。</w:t>
      </w:r>
    </w:p>
    <w:p>
      <w:pPr>
        <w:pStyle w:val="6"/>
        <w:rPr>
          <w:highlight w:val="none"/>
        </w:rPr>
      </w:pPr>
      <w:bookmarkStart w:id="40" w:name="_Toc21631"/>
      <w:r>
        <w:rPr>
          <w:rFonts w:hint="eastAsia"/>
          <w:highlight w:val="none"/>
        </w:rPr>
        <w:t>8、特别说明</w:t>
      </w:r>
      <w:bookmarkEnd w:id="40"/>
    </w:p>
    <w:p>
      <w:pPr>
        <w:adjustRightInd w:val="0"/>
        <w:snapToGrid w:val="0"/>
        <w:spacing w:line="500" w:lineRule="exact"/>
        <w:ind w:firstLine="470" w:firstLineChars="196"/>
        <w:jc w:val="left"/>
        <w:rPr>
          <w:rFonts w:ascii="宋体" w:hAnsi="宋体" w:eastAsia="宋体" w:cs="宋体"/>
          <w:b/>
          <w:sz w:val="24"/>
          <w:szCs w:val="24"/>
          <w:highlight w:val="none"/>
        </w:rPr>
      </w:pPr>
      <w:r>
        <w:rPr>
          <w:rFonts w:hint="eastAsia" w:ascii="宋体" w:hAnsi="宋体" w:eastAsia="宋体" w:cs="宋体"/>
          <w:sz w:val="24"/>
          <w:szCs w:val="24"/>
          <w:highlight w:val="none"/>
        </w:rPr>
        <w:t>8.1 投标人投标所使用的资格、信誉、荣誉、业绩与认证证书必须为本法人（其他组织、个人）所拥有。</w:t>
      </w:r>
    </w:p>
    <w:p>
      <w:pPr>
        <w:adjustRightInd w:val="0"/>
        <w:snapToGrid w:val="0"/>
        <w:spacing w:line="500" w:lineRule="exact"/>
        <w:ind w:left="2" w:leftChars="1"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8.2 投标人应仔细阅读招标文件的所有内容，按照招标文件的要求提交投标文件，并对所提供的全部资料的真实性承担法律责任。</w:t>
      </w:r>
    </w:p>
    <w:p>
      <w:pPr>
        <w:adjustRightInd w:val="0"/>
        <w:snapToGrid w:val="0"/>
        <w:spacing w:line="500" w:lineRule="exact"/>
        <w:ind w:left="2" w:leftChars="1"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8.3 投标人在投标活动中提供任何虚假材料,其投标无效，并报监管部门查处；中标后发现的,中标人须依照《中华人民共和国消费者权益保护法》第49条之规定双倍赔偿采购人，且民事赔偿并不免除违法投标人的行政与刑事责任。</w:t>
      </w:r>
    </w:p>
    <w:p>
      <w:pPr>
        <w:pStyle w:val="6"/>
        <w:rPr>
          <w:highlight w:val="none"/>
        </w:rPr>
      </w:pPr>
      <w:bookmarkStart w:id="41" w:name="_Toc24888"/>
      <w:r>
        <w:rPr>
          <w:rFonts w:hint="eastAsia"/>
          <w:highlight w:val="none"/>
        </w:rPr>
        <w:t>9、质疑</w:t>
      </w:r>
      <w:bookmarkEnd w:id="41"/>
    </w:p>
    <w:p>
      <w:pPr>
        <w:adjustRightInd w:val="0"/>
        <w:snapToGrid w:val="0"/>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9.1</w:t>
      </w:r>
      <w:r>
        <w:rPr>
          <w:rFonts w:hint="eastAsia" w:ascii="宋体" w:hAnsi="宋体" w:cs="宋体"/>
          <w:sz w:val="24"/>
          <w:szCs w:val="24"/>
          <w:highlight w:val="none"/>
          <w:lang w:eastAsia="zh-CN"/>
        </w:rPr>
        <w:t>投标人</w:t>
      </w:r>
      <w:r>
        <w:rPr>
          <w:rFonts w:hint="eastAsia" w:ascii="宋体" w:hAnsi="宋体" w:eastAsia="宋体" w:cs="宋体"/>
          <w:sz w:val="24"/>
          <w:szCs w:val="24"/>
          <w:highlight w:val="none"/>
        </w:rPr>
        <w:t>认为招标文件、采购过程和中标、成交结果使自己的权益受到损害的，可以在知道或者应知其权益受到损害之日起七个工作日内，以书面形式向采购人提出质疑。</w:t>
      </w:r>
      <w:r>
        <w:rPr>
          <w:rFonts w:hint="eastAsia" w:ascii="宋体" w:hAnsi="宋体" w:eastAsia="宋体" w:cs="宋体"/>
          <w:bCs/>
          <w:sz w:val="24"/>
          <w:szCs w:val="24"/>
          <w:highlight w:val="none"/>
        </w:rPr>
        <w:t>投标人应在法定质疑期内一次性提出针对同一采购程序环节的质疑。</w:t>
      </w:r>
    </w:p>
    <w:p>
      <w:pPr>
        <w:adjustRightInd w:val="0"/>
        <w:snapToGrid w:val="0"/>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质疑</w:t>
      </w:r>
      <w:r>
        <w:rPr>
          <w:rFonts w:hint="eastAsia" w:ascii="宋体" w:hAnsi="宋体" w:cs="宋体"/>
          <w:sz w:val="24"/>
          <w:szCs w:val="24"/>
          <w:highlight w:val="none"/>
          <w:lang w:eastAsia="zh-CN"/>
        </w:rPr>
        <w:t>投标人</w:t>
      </w:r>
      <w:r>
        <w:rPr>
          <w:rFonts w:hint="eastAsia" w:ascii="宋体" w:hAnsi="宋体" w:eastAsia="宋体" w:cs="宋体"/>
          <w:sz w:val="24"/>
          <w:szCs w:val="24"/>
          <w:highlight w:val="none"/>
        </w:rPr>
        <w:t>对采购人、采购代理机构的答复不满意或者采购人、采购代理机构未在规定的时间内作出答复的，可以在答复期满后十五个工作日内向同级政府采购监督管理部门投诉。</w:t>
      </w:r>
    </w:p>
    <w:p>
      <w:pPr>
        <w:adjustRightInd w:val="0"/>
        <w:snapToGrid w:val="0"/>
        <w:spacing w:line="500" w:lineRule="exact"/>
        <w:ind w:firstLine="480" w:firstLineChars="200"/>
        <w:rPr>
          <w:rFonts w:ascii="宋体" w:hAnsi="宋体" w:eastAsia="宋体" w:cs="宋体"/>
          <w:bCs/>
          <w:sz w:val="24"/>
          <w:szCs w:val="24"/>
          <w:highlight w:val="none"/>
        </w:rPr>
      </w:pPr>
      <w:r>
        <w:rPr>
          <w:rFonts w:hint="eastAsia" w:ascii="宋体" w:hAnsi="宋体" w:eastAsia="宋体" w:cs="宋体"/>
          <w:bCs/>
          <w:sz w:val="24"/>
          <w:szCs w:val="24"/>
          <w:highlight w:val="none"/>
        </w:rPr>
        <w:t>9.2 质疑、投诉应当采用书面形式，质疑书、投诉书均应明确阐述招标文件、招标过程或中标结果中使自己合法权益受到损害的实质性内容，提供相关事实、依据和证据及其来源或线索，便于有关单位调查、答复和处理。</w:t>
      </w:r>
    </w:p>
    <w:p>
      <w:pPr>
        <w:adjustRightInd w:val="0"/>
        <w:snapToGrid w:val="0"/>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9.3质疑（投诉）书应载明质疑（投诉）人全称、地址、邮编、传真、联系人、联系电话，电子邮箱。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投标人委托代理人提出质疑（投诉），应当提交</w:t>
      </w:r>
      <w:r>
        <w:rPr>
          <w:rFonts w:hint="eastAsia" w:ascii="宋体" w:hAnsi="宋体" w:cs="宋体"/>
          <w:bCs/>
          <w:sz w:val="24"/>
          <w:szCs w:val="24"/>
          <w:highlight w:val="none"/>
          <w:lang w:eastAsia="zh-CN"/>
        </w:rPr>
        <w:t>投标人</w:t>
      </w:r>
      <w:r>
        <w:rPr>
          <w:rFonts w:hint="eastAsia" w:ascii="宋体" w:hAnsi="宋体" w:eastAsia="宋体" w:cs="宋体"/>
          <w:bCs/>
          <w:sz w:val="24"/>
          <w:szCs w:val="24"/>
          <w:highlight w:val="none"/>
        </w:rPr>
        <w:t>签署的授权委托书。质疑（投诉）书必须有联系人署名。（质疑函格式见本文件质疑函范本）</w:t>
      </w:r>
    </w:p>
    <w:p>
      <w:pPr>
        <w:adjustRightInd w:val="0"/>
        <w:snapToGrid w:val="0"/>
        <w:spacing w:line="500" w:lineRule="exact"/>
        <w:ind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9.4接收方式：书面 </w:t>
      </w:r>
    </w:p>
    <w:p>
      <w:pPr>
        <w:adjustRightInd w:val="0"/>
        <w:snapToGrid w:val="0"/>
        <w:spacing w:line="500" w:lineRule="exact"/>
        <w:ind w:firstLine="960" w:firstLineChars="400"/>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接收部门：新疆新之建工程咨询有限公司</w:t>
      </w:r>
    </w:p>
    <w:p>
      <w:pPr>
        <w:adjustRightInd w:val="0"/>
        <w:snapToGrid w:val="0"/>
        <w:spacing w:line="500" w:lineRule="exact"/>
        <w:ind w:firstLine="960" w:firstLineChars="400"/>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联系电话：0991-4321218</w:t>
      </w:r>
    </w:p>
    <w:p>
      <w:pPr>
        <w:adjustRightInd w:val="0"/>
        <w:snapToGrid w:val="0"/>
        <w:spacing w:line="500" w:lineRule="exact"/>
        <w:ind w:firstLine="960" w:firstLineChars="400"/>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通讯地址：乌鲁木齐市沙依巴克区克拉玛依西路618号亚欣国际酒店5楼</w:t>
      </w:r>
      <w:r>
        <w:rPr>
          <w:rFonts w:hint="eastAsia" w:ascii="宋体" w:hAnsi="宋体" w:cs="宋体"/>
          <w:bCs/>
          <w:sz w:val="24"/>
          <w:szCs w:val="24"/>
          <w:highlight w:val="none"/>
          <w:lang w:val="en-US" w:eastAsia="zh-CN"/>
        </w:rPr>
        <w:t>。</w:t>
      </w:r>
    </w:p>
    <w:p>
      <w:pPr>
        <w:pStyle w:val="5"/>
        <w:rPr>
          <w:highlight w:val="none"/>
        </w:rPr>
      </w:pPr>
      <w:bookmarkStart w:id="42" w:name="_Toc12925"/>
      <w:bookmarkStart w:id="43" w:name="_Toc31383"/>
      <w:r>
        <w:rPr>
          <w:rFonts w:hint="eastAsia"/>
          <w:highlight w:val="none"/>
        </w:rPr>
        <w:t>二、</w:t>
      </w:r>
      <w:bookmarkEnd w:id="42"/>
      <w:bookmarkEnd w:id="43"/>
      <w:bookmarkStart w:id="44" w:name="_Toc9510636"/>
      <w:r>
        <w:rPr>
          <w:rFonts w:hint="eastAsia"/>
          <w:highlight w:val="none"/>
        </w:rPr>
        <w:t>招标文件</w:t>
      </w:r>
    </w:p>
    <w:p>
      <w:pPr>
        <w:pStyle w:val="6"/>
        <w:rPr>
          <w:highlight w:val="none"/>
        </w:rPr>
      </w:pPr>
      <w:bookmarkStart w:id="45" w:name="_Toc11465"/>
      <w:r>
        <w:rPr>
          <w:rFonts w:hint="eastAsia"/>
          <w:highlight w:val="none"/>
        </w:rPr>
        <w:t>10、</w:t>
      </w:r>
      <w:bookmarkEnd w:id="44"/>
      <w:r>
        <w:rPr>
          <w:rFonts w:hint="eastAsia"/>
          <w:highlight w:val="none"/>
        </w:rPr>
        <w:t>招标文件的构成</w:t>
      </w:r>
      <w:bookmarkEnd w:id="45"/>
      <w:r>
        <w:rPr>
          <w:rFonts w:hint="eastAsia" w:ascii="宋体" w:hAnsi="宋体" w:eastAsia="宋体" w:cs="宋体"/>
          <w:b w:val="0"/>
          <w:bCs w:val="0"/>
          <w:sz w:val="24"/>
          <w:szCs w:val="24"/>
          <w:highlight w:val="none"/>
        </w:rPr>
        <w:t>（详见本招标文件目录明细）</w:t>
      </w:r>
    </w:p>
    <w:p>
      <w:pPr>
        <w:pStyle w:val="6"/>
        <w:rPr>
          <w:highlight w:val="none"/>
        </w:rPr>
      </w:pPr>
      <w:bookmarkStart w:id="46" w:name="_Toc9329"/>
      <w:r>
        <w:rPr>
          <w:rFonts w:hint="eastAsia"/>
          <w:highlight w:val="none"/>
        </w:rPr>
        <w:t>11、投标人的风险</w:t>
      </w:r>
      <w:bookmarkEnd w:id="46"/>
    </w:p>
    <w:p>
      <w:pPr>
        <w:adjustRightInd w:val="0"/>
        <w:snapToGrid w:val="0"/>
        <w:spacing w:line="500" w:lineRule="exact"/>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投标人没有按照招标文件要求提供全部资料，或者投标人没有对招标文件在各方面作出实质性响应是投标人的风险，并可能导致其投标被拒绝。</w:t>
      </w:r>
    </w:p>
    <w:p>
      <w:pPr>
        <w:pStyle w:val="6"/>
        <w:rPr>
          <w:highlight w:val="none"/>
        </w:rPr>
      </w:pPr>
      <w:bookmarkStart w:id="47" w:name="_Toc14128"/>
      <w:r>
        <w:rPr>
          <w:rFonts w:hint="eastAsia"/>
          <w:highlight w:val="none"/>
        </w:rPr>
        <w:t>1</w:t>
      </w:r>
      <w:bookmarkStart w:id="48" w:name="_Toc9510637"/>
      <w:r>
        <w:rPr>
          <w:rFonts w:hint="eastAsia"/>
          <w:highlight w:val="none"/>
        </w:rPr>
        <w:t>2、招标文件的澄清与修改</w:t>
      </w:r>
      <w:bookmarkEnd w:id="47"/>
    </w:p>
    <w:p>
      <w:pPr>
        <w:spacing w:line="500" w:lineRule="exact"/>
        <w:ind w:firstLine="480" w:firstLineChars="200"/>
        <w:rPr>
          <w:sz w:val="24"/>
          <w:szCs w:val="24"/>
          <w:highlight w:val="none"/>
        </w:rPr>
      </w:pPr>
      <w:r>
        <w:rPr>
          <w:rFonts w:hint="eastAsia"/>
          <w:sz w:val="24"/>
          <w:szCs w:val="24"/>
          <w:highlight w:val="none"/>
        </w:rPr>
        <w:t>12.1采购人或采购代理机构对已发出的招标文件进行必要澄清或者修改的，应当在投标人须知前附表规定的提交投标文件截止时间15日前，在原刊登招标公告的媒体上发布更正公告，并以书面形式通知所有招标文件收受人。</w:t>
      </w:r>
    </w:p>
    <w:p>
      <w:pPr>
        <w:spacing w:line="500" w:lineRule="exact"/>
        <w:ind w:firstLine="480" w:firstLineChars="200"/>
        <w:rPr>
          <w:sz w:val="24"/>
          <w:szCs w:val="24"/>
          <w:highlight w:val="none"/>
        </w:rPr>
      </w:pPr>
      <w:r>
        <w:rPr>
          <w:rFonts w:hint="eastAsia"/>
          <w:sz w:val="24"/>
          <w:szCs w:val="24"/>
          <w:highlight w:val="none"/>
        </w:rPr>
        <w:t>12.2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pPr>
        <w:spacing w:line="500" w:lineRule="exact"/>
        <w:ind w:firstLine="480" w:firstLineChars="200"/>
        <w:rPr>
          <w:sz w:val="24"/>
          <w:szCs w:val="24"/>
          <w:highlight w:val="none"/>
        </w:rPr>
      </w:pPr>
      <w:r>
        <w:rPr>
          <w:rFonts w:hint="eastAsia"/>
          <w:sz w:val="24"/>
          <w:szCs w:val="24"/>
          <w:highlight w:val="none"/>
        </w:rPr>
        <w:t>12.3澄清或者修改内容为招标文件的组成部分，对所有领取了招标文件的潜在投标人均具有约束力。</w:t>
      </w:r>
    </w:p>
    <w:p>
      <w:pPr>
        <w:pStyle w:val="5"/>
        <w:rPr>
          <w:highlight w:val="none"/>
        </w:rPr>
      </w:pPr>
      <w:bookmarkStart w:id="49" w:name="_Toc25731"/>
      <w:bookmarkStart w:id="50" w:name="_Toc3009"/>
      <w:r>
        <w:rPr>
          <w:rFonts w:hint="eastAsia"/>
          <w:highlight w:val="none"/>
        </w:rPr>
        <w:t>三、投标文件的编制</w:t>
      </w:r>
      <w:bookmarkEnd w:id="49"/>
      <w:bookmarkEnd w:id="50"/>
    </w:p>
    <w:bookmarkEnd w:id="48"/>
    <w:p>
      <w:pPr>
        <w:adjustRightInd w:val="0"/>
        <w:snapToGrid w:val="0"/>
        <w:spacing w:line="500" w:lineRule="exact"/>
        <w:ind w:firstLine="472" w:firstLineChars="196"/>
        <w:jc w:val="left"/>
        <w:rPr>
          <w:rFonts w:ascii="宋体" w:hAnsi="宋体" w:eastAsia="宋体" w:cs="宋体"/>
          <w:b/>
          <w:sz w:val="24"/>
          <w:szCs w:val="24"/>
          <w:highlight w:val="none"/>
        </w:rPr>
      </w:pPr>
      <w:r>
        <w:rPr>
          <w:rFonts w:hint="eastAsia" w:ascii="宋体" w:hAnsi="宋体" w:eastAsia="宋体" w:cs="宋体"/>
          <w:b/>
          <w:sz w:val="24"/>
          <w:szCs w:val="24"/>
          <w:highlight w:val="none"/>
        </w:rPr>
        <w:t>投标人应认真阅读招标文件中所有的事项、格式、条款和技术要求等内容。如果投标人没有按照招标文件的要求和规定编制投标文件及提交全部资料，或者投标文件没有对招标文件中的各方面作出实质性响应，其风险应由投标人承担。投标文件应按照每包的要求编制并独立密封，不得混装，否则视为无效标。</w:t>
      </w:r>
    </w:p>
    <w:p>
      <w:pPr>
        <w:pStyle w:val="6"/>
        <w:rPr>
          <w:highlight w:val="none"/>
        </w:rPr>
      </w:pPr>
      <w:bookmarkStart w:id="51" w:name="_Toc29638"/>
      <w:r>
        <w:rPr>
          <w:rFonts w:hint="eastAsia"/>
          <w:highlight w:val="none"/>
        </w:rPr>
        <w:t>13、投标文件的组成</w:t>
      </w:r>
      <w:bookmarkEnd w:id="51"/>
    </w:p>
    <w:p>
      <w:pPr>
        <w:adjustRightInd w:val="0"/>
        <w:snapToGrid w:val="0"/>
        <w:spacing w:line="500" w:lineRule="exact"/>
        <w:ind w:firstLine="472" w:firstLineChars="196"/>
        <w:jc w:val="left"/>
        <w:rPr>
          <w:rFonts w:ascii="宋体" w:hAnsi="宋体" w:eastAsia="宋体" w:cs="宋体"/>
          <w:b/>
          <w:sz w:val="24"/>
          <w:szCs w:val="24"/>
          <w:highlight w:val="none"/>
        </w:rPr>
      </w:pPr>
      <w:r>
        <w:rPr>
          <w:rFonts w:hint="eastAsia" w:ascii="宋体" w:hAnsi="宋体" w:eastAsia="宋体" w:cs="宋体"/>
          <w:b/>
          <w:sz w:val="24"/>
          <w:szCs w:val="24"/>
          <w:highlight w:val="none"/>
        </w:rPr>
        <w:t>投标文件由报价文件、商务技术文件组成，其中报价文件单独装订成一册（正本1份，副本4份）；商务技术文件装订成一册（正本1份，副本4份）。</w:t>
      </w:r>
    </w:p>
    <w:p>
      <w:pPr>
        <w:adjustRightInd w:val="0"/>
        <w:snapToGrid w:val="0"/>
        <w:spacing w:line="500" w:lineRule="exact"/>
        <w:ind w:firstLine="472" w:firstLineChars="196"/>
        <w:jc w:val="left"/>
        <w:rPr>
          <w:rFonts w:ascii="宋体" w:hAnsi="宋体" w:eastAsia="宋体" w:cs="宋体"/>
          <w:b/>
          <w:sz w:val="24"/>
          <w:szCs w:val="24"/>
          <w:highlight w:val="none"/>
        </w:rPr>
      </w:pPr>
      <w:r>
        <w:rPr>
          <w:rFonts w:hint="eastAsia" w:ascii="宋体" w:hAnsi="宋体" w:eastAsia="宋体" w:cs="宋体"/>
          <w:b/>
          <w:sz w:val="24"/>
          <w:szCs w:val="24"/>
          <w:highlight w:val="none"/>
        </w:rPr>
        <w:t>13.1 报价文件</w:t>
      </w:r>
    </w:p>
    <w:p>
      <w:pPr>
        <w:tabs>
          <w:tab w:val="left" w:pos="3870"/>
          <w:tab w:val="left" w:pos="4085"/>
        </w:tabs>
        <w:adjustRightInd w:val="0"/>
        <w:snapToGrid w:val="0"/>
        <w:spacing w:line="500" w:lineRule="exact"/>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（1）投标函（格式见附件）；</w:t>
      </w:r>
    </w:p>
    <w:p>
      <w:pPr>
        <w:tabs>
          <w:tab w:val="left" w:pos="3870"/>
          <w:tab w:val="left" w:pos="4085"/>
        </w:tabs>
        <w:adjustRightInd w:val="0"/>
        <w:snapToGrid w:val="0"/>
        <w:spacing w:line="500" w:lineRule="exact"/>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（2）开标一览表（格式见附件）；</w:t>
      </w:r>
    </w:p>
    <w:p>
      <w:pPr>
        <w:adjustRightInd w:val="0"/>
        <w:snapToGrid w:val="0"/>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（3）投标报价明细表（格式见附件）；</w:t>
      </w:r>
    </w:p>
    <w:p>
      <w:pPr>
        <w:adjustRightInd w:val="0"/>
        <w:snapToGrid w:val="0"/>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（4）投标保证金缴纳凭证复印件；</w:t>
      </w:r>
    </w:p>
    <w:p>
      <w:pPr>
        <w:adjustRightInd w:val="0"/>
        <w:snapToGrid w:val="0"/>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（5）投标人针对报价需要说明的其他文件和资料（如有）。</w:t>
      </w:r>
    </w:p>
    <w:p>
      <w:pPr>
        <w:adjustRightInd w:val="0"/>
        <w:snapToGrid w:val="0"/>
        <w:spacing w:line="500" w:lineRule="exact"/>
        <w:ind w:firstLine="472" w:firstLineChars="196"/>
        <w:jc w:val="left"/>
        <w:rPr>
          <w:rFonts w:ascii="宋体" w:hAnsi="宋体" w:eastAsia="宋体" w:cs="宋体"/>
          <w:b/>
          <w:sz w:val="24"/>
          <w:szCs w:val="24"/>
          <w:highlight w:val="none"/>
        </w:rPr>
      </w:pPr>
      <w:r>
        <w:rPr>
          <w:rFonts w:hint="eastAsia" w:ascii="宋体" w:hAnsi="宋体" w:eastAsia="宋体" w:cs="宋体"/>
          <w:b/>
          <w:sz w:val="24"/>
          <w:szCs w:val="24"/>
          <w:highlight w:val="none"/>
        </w:rPr>
        <w:t>13.2商务部分</w:t>
      </w:r>
    </w:p>
    <w:p>
      <w:pPr>
        <w:adjustRightInd w:val="0"/>
        <w:snapToGrid w:val="0"/>
        <w:spacing w:line="500" w:lineRule="exact"/>
        <w:ind w:firstLine="470" w:firstLineChars="196"/>
        <w:jc w:val="left"/>
        <w:rPr>
          <w:rFonts w:ascii="宋体" w:hAnsi="宋体" w:eastAsia="宋体" w:cs="宋体"/>
          <w:sz w:val="24"/>
          <w:szCs w:val="24"/>
          <w:highlight w:val="none"/>
        </w:rPr>
      </w:pPr>
      <w:r>
        <w:rPr>
          <w:rFonts w:hint="eastAsia" w:ascii="宋体" w:hAnsi="宋体" w:eastAsia="宋体" w:cs="宋体"/>
          <w:sz w:val="24"/>
          <w:szCs w:val="24"/>
          <w:highlight w:val="none"/>
        </w:rPr>
        <w:t>（1）投标声明书(格式见附件)；</w:t>
      </w:r>
    </w:p>
    <w:p>
      <w:pPr>
        <w:adjustRightInd w:val="0"/>
        <w:snapToGrid w:val="0"/>
        <w:spacing w:line="500" w:lineRule="exact"/>
        <w:ind w:firstLine="470" w:firstLineChars="196"/>
        <w:jc w:val="left"/>
        <w:rPr>
          <w:rFonts w:ascii="宋体" w:hAnsi="宋体" w:eastAsia="宋体" w:cs="宋体"/>
          <w:sz w:val="24"/>
          <w:szCs w:val="24"/>
          <w:highlight w:val="none"/>
        </w:rPr>
      </w:pPr>
      <w:r>
        <w:rPr>
          <w:rFonts w:hint="eastAsia" w:ascii="宋体" w:hAnsi="宋体" w:eastAsia="宋体" w:cs="宋体"/>
          <w:sz w:val="24"/>
          <w:szCs w:val="24"/>
          <w:highlight w:val="none"/>
        </w:rPr>
        <w:t>（2）授权委托书(格式见附件)；</w:t>
      </w:r>
    </w:p>
    <w:p>
      <w:pPr>
        <w:adjustRightInd w:val="0"/>
        <w:snapToGrid w:val="0"/>
        <w:spacing w:line="500" w:lineRule="exact"/>
        <w:ind w:firstLine="470" w:firstLineChars="196"/>
        <w:jc w:val="left"/>
        <w:rPr>
          <w:rFonts w:ascii="宋体" w:hAnsi="宋体" w:eastAsia="宋体" w:cs="宋体"/>
          <w:sz w:val="24"/>
          <w:szCs w:val="24"/>
          <w:highlight w:val="none"/>
        </w:rPr>
      </w:pPr>
      <w:r>
        <w:rPr>
          <w:rFonts w:hint="eastAsia" w:ascii="宋体" w:hAnsi="宋体" w:eastAsia="宋体" w:cs="宋体"/>
          <w:sz w:val="24"/>
          <w:szCs w:val="24"/>
          <w:highlight w:val="none"/>
        </w:rPr>
        <w:t>（3）有效的营业执照（事业单位法人证书、民办非企业单位登记证书、社会团体法人登记证书、基金会法人登记证书、自然人身份证）副本复印件；</w:t>
      </w:r>
    </w:p>
    <w:p>
      <w:pPr>
        <w:adjustRightInd w:val="0"/>
        <w:snapToGrid w:val="0"/>
        <w:spacing w:line="500" w:lineRule="exact"/>
        <w:ind w:firstLine="470" w:firstLineChars="196"/>
        <w:jc w:val="left"/>
        <w:rPr>
          <w:rFonts w:ascii="宋体" w:hAnsi="宋体" w:eastAsia="宋体" w:cs="宋体"/>
          <w:sz w:val="24"/>
          <w:szCs w:val="24"/>
          <w:highlight w:val="none"/>
        </w:rPr>
      </w:pPr>
      <w:r>
        <w:rPr>
          <w:rFonts w:hint="eastAsia" w:ascii="宋体" w:hAnsi="宋体" w:eastAsia="宋体" w:cs="宋体"/>
          <w:sz w:val="24"/>
          <w:szCs w:val="24"/>
          <w:highlight w:val="none"/>
        </w:rPr>
        <w:t>（4）投标人情况介绍（格式见附件）；</w:t>
      </w:r>
    </w:p>
    <w:p>
      <w:pPr>
        <w:adjustRightInd w:val="0"/>
        <w:snapToGrid w:val="0"/>
        <w:spacing w:line="500" w:lineRule="exact"/>
        <w:ind w:firstLine="470" w:firstLineChars="196"/>
        <w:jc w:val="left"/>
        <w:rPr>
          <w:rFonts w:ascii="宋体" w:hAnsi="宋体" w:eastAsia="宋体" w:cs="宋体"/>
          <w:sz w:val="24"/>
          <w:szCs w:val="24"/>
          <w:highlight w:val="none"/>
        </w:rPr>
      </w:pPr>
      <w:r>
        <w:rPr>
          <w:rFonts w:hint="eastAsia" w:ascii="宋体" w:hAnsi="宋体" w:eastAsia="宋体" w:cs="宋体"/>
          <w:sz w:val="24"/>
          <w:szCs w:val="24"/>
          <w:highlight w:val="none"/>
        </w:rPr>
        <w:t>（5）2021、2022年度经审计的财务报告（注册不满1年的企业无需提供）</w:t>
      </w:r>
    </w:p>
    <w:p>
      <w:pPr>
        <w:adjustRightInd w:val="0"/>
        <w:snapToGrid w:val="0"/>
        <w:spacing w:line="500" w:lineRule="exact"/>
        <w:ind w:firstLine="470" w:firstLineChars="196"/>
        <w:jc w:val="left"/>
        <w:rPr>
          <w:rFonts w:ascii="宋体" w:hAnsi="宋体" w:eastAsia="宋体" w:cs="宋体"/>
          <w:sz w:val="24"/>
          <w:szCs w:val="24"/>
          <w:highlight w:val="none"/>
        </w:rPr>
      </w:pPr>
      <w:r>
        <w:rPr>
          <w:rFonts w:hint="eastAsia" w:ascii="宋体" w:hAnsi="宋体" w:eastAsia="宋体" w:cs="宋体"/>
          <w:sz w:val="24"/>
          <w:szCs w:val="24"/>
          <w:highlight w:val="none"/>
        </w:rPr>
        <w:t>（6）投标人须具有履行合同所必需的设备和专业技术能力，须附相关证明材料或声明；</w:t>
      </w:r>
    </w:p>
    <w:p>
      <w:pPr>
        <w:adjustRightInd w:val="0"/>
        <w:snapToGrid w:val="0"/>
        <w:spacing w:line="500" w:lineRule="exact"/>
        <w:ind w:firstLine="470" w:firstLineChars="196"/>
        <w:jc w:val="left"/>
        <w:rPr>
          <w:rFonts w:ascii="宋体" w:hAnsi="宋体" w:eastAsia="宋体" w:cs="宋体"/>
          <w:sz w:val="24"/>
          <w:szCs w:val="24"/>
          <w:highlight w:val="none"/>
        </w:rPr>
      </w:pPr>
      <w:r>
        <w:rPr>
          <w:rFonts w:hint="eastAsia" w:ascii="宋体" w:hAnsi="宋体" w:eastAsia="宋体" w:cs="宋体"/>
          <w:sz w:val="24"/>
          <w:szCs w:val="24"/>
          <w:highlight w:val="none"/>
        </w:rPr>
        <w:t>（7）依法缴纳税收和社会保障资金的良好记录；</w:t>
      </w:r>
    </w:p>
    <w:p>
      <w:pPr>
        <w:adjustRightInd w:val="0"/>
        <w:snapToGrid w:val="0"/>
        <w:spacing w:line="500" w:lineRule="exact"/>
        <w:ind w:firstLine="470" w:firstLineChars="196"/>
        <w:jc w:val="left"/>
        <w:rPr>
          <w:rFonts w:ascii="宋体" w:hAnsi="宋体" w:eastAsia="宋体" w:cs="宋体"/>
          <w:sz w:val="24"/>
          <w:szCs w:val="24"/>
          <w:highlight w:val="none"/>
        </w:rPr>
      </w:pPr>
      <w:r>
        <w:rPr>
          <w:rFonts w:hint="eastAsia" w:ascii="宋体" w:hAnsi="宋体" w:eastAsia="宋体" w:cs="宋体"/>
          <w:sz w:val="24"/>
          <w:szCs w:val="24"/>
          <w:highlight w:val="none"/>
        </w:rPr>
        <w:t>（8）前三年内在经营活动中没有重大违法记录的书面声明（格式见附件）；</w:t>
      </w:r>
    </w:p>
    <w:p>
      <w:pPr>
        <w:adjustRightInd w:val="0"/>
        <w:snapToGrid w:val="0"/>
        <w:spacing w:line="500" w:lineRule="exact"/>
        <w:ind w:firstLine="470" w:firstLineChars="196"/>
        <w:jc w:val="left"/>
        <w:rPr>
          <w:rFonts w:ascii="宋体" w:hAnsi="宋体" w:eastAsia="宋体" w:cs="宋体"/>
          <w:sz w:val="24"/>
          <w:szCs w:val="24"/>
          <w:highlight w:val="none"/>
        </w:rPr>
      </w:pPr>
      <w:r>
        <w:rPr>
          <w:rFonts w:hint="eastAsia" w:ascii="宋体" w:hAnsi="宋体" w:eastAsia="宋体" w:cs="宋体"/>
          <w:sz w:val="24"/>
          <w:szCs w:val="24"/>
          <w:highlight w:val="none"/>
        </w:rPr>
        <w:t>（9）投标人未被列入失信被执行人、重大税收违法案件当事人名单、政府采购严重违法失信行为记录名单；</w:t>
      </w:r>
    </w:p>
    <w:p>
      <w:pPr>
        <w:adjustRightInd w:val="0"/>
        <w:snapToGrid w:val="0"/>
        <w:spacing w:line="500" w:lineRule="exact"/>
        <w:ind w:firstLine="470" w:firstLineChars="196"/>
        <w:jc w:val="left"/>
        <w:rPr>
          <w:rFonts w:ascii="宋体" w:hAnsi="宋体" w:eastAsia="宋体" w:cs="宋体"/>
          <w:sz w:val="24"/>
          <w:szCs w:val="24"/>
          <w:highlight w:val="none"/>
        </w:rPr>
      </w:pPr>
      <w:r>
        <w:rPr>
          <w:rFonts w:hint="eastAsia" w:ascii="宋体" w:hAnsi="宋体" w:eastAsia="宋体" w:cs="宋体"/>
          <w:sz w:val="24"/>
          <w:szCs w:val="24"/>
          <w:highlight w:val="none"/>
        </w:rPr>
        <w:t>（10）投标人已取得的各种有效认证证书、政府部门（企业）或第三方权威鉴定机构出具的信用等级证书或证明复印件；</w:t>
      </w:r>
    </w:p>
    <w:p>
      <w:pPr>
        <w:adjustRightInd w:val="0"/>
        <w:snapToGrid w:val="0"/>
        <w:spacing w:line="500" w:lineRule="exact"/>
        <w:ind w:firstLine="470" w:firstLineChars="196"/>
        <w:jc w:val="left"/>
        <w:rPr>
          <w:rFonts w:ascii="宋体" w:hAnsi="宋体" w:eastAsia="宋体" w:cs="宋体"/>
          <w:sz w:val="24"/>
          <w:szCs w:val="24"/>
          <w:highlight w:val="none"/>
        </w:rPr>
      </w:pPr>
      <w:r>
        <w:rPr>
          <w:rFonts w:hint="eastAsia" w:ascii="宋体" w:hAnsi="宋体" w:eastAsia="宋体" w:cs="宋体"/>
          <w:sz w:val="24"/>
          <w:szCs w:val="24"/>
          <w:highlight w:val="none"/>
        </w:rPr>
        <w:t>（11）投标人2021年3月1日至今做过与本项目类似的业绩；</w:t>
      </w:r>
    </w:p>
    <w:p>
      <w:pPr>
        <w:adjustRightInd w:val="0"/>
        <w:snapToGrid w:val="0"/>
        <w:spacing w:line="500" w:lineRule="exact"/>
        <w:ind w:firstLine="470" w:firstLineChars="196"/>
        <w:jc w:val="left"/>
        <w:rPr>
          <w:rFonts w:ascii="宋体" w:hAnsi="宋体" w:eastAsia="宋体" w:cs="宋体"/>
          <w:sz w:val="24"/>
          <w:szCs w:val="24"/>
          <w:highlight w:val="none"/>
        </w:rPr>
      </w:pPr>
      <w:r>
        <w:rPr>
          <w:rFonts w:hint="eastAsia" w:ascii="宋体" w:hAnsi="宋体" w:eastAsia="宋体" w:cs="宋体"/>
          <w:sz w:val="24"/>
          <w:szCs w:val="24"/>
          <w:highlight w:val="none"/>
        </w:rPr>
        <w:t>（12）政府采购政策扶持证明材料；</w:t>
      </w:r>
    </w:p>
    <w:p>
      <w:pPr>
        <w:adjustRightInd w:val="0"/>
        <w:snapToGrid w:val="0"/>
        <w:spacing w:line="500" w:lineRule="exact"/>
        <w:ind w:firstLine="470" w:firstLineChars="196"/>
        <w:jc w:val="left"/>
        <w:rPr>
          <w:rFonts w:ascii="宋体" w:hAnsi="宋体" w:eastAsia="宋体" w:cs="宋体"/>
          <w:sz w:val="24"/>
          <w:szCs w:val="24"/>
          <w:highlight w:val="none"/>
        </w:rPr>
      </w:pPr>
      <w:r>
        <w:rPr>
          <w:rFonts w:hint="eastAsia" w:ascii="宋体" w:hAnsi="宋体" w:eastAsia="宋体" w:cs="宋体"/>
          <w:sz w:val="24"/>
          <w:szCs w:val="24"/>
          <w:highlight w:val="none"/>
        </w:rPr>
        <w:t>（13）其他证明文件或</w:t>
      </w:r>
      <w:r>
        <w:rPr>
          <w:rFonts w:hint="eastAsia" w:ascii="宋体" w:hAnsi="宋体" w:cs="宋体"/>
          <w:sz w:val="24"/>
          <w:szCs w:val="24"/>
          <w:highlight w:val="none"/>
          <w:lang w:eastAsia="zh-CN"/>
        </w:rPr>
        <w:t>投标人</w:t>
      </w:r>
      <w:r>
        <w:rPr>
          <w:rFonts w:hint="eastAsia" w:ascii="宋体" w:hAnsi="宋体" w:eastAsia="宋体" w:cs="宋体"/>
          <w:sz w:val="24"/>
          <w:szCs w:val="24"/>
          <w:highlight w:val="none"/>
        </w:rPr>
        <w:t>认为应提交的商务文件（如有）。</w:t>
      </w:r>
    </w:p>
    <w:p>
      <w:pPr>
        <w:adjustRightInd w:val="0"/>
        <w:snapToGrid w:val="0"/>
        <w:spacing w:line="500" w:lineRule="exact"/>
        <w:ind w:firstLine="472" w:firstLineChars="196"/>
        <w:jc w:val="left"/>
        <w:rPr>
          <w:rFonts w:ascii="宋体" w:hAnsi="宋体" w:eastAsia="宋体" w:cs="宋体"/>
          <w:b/>
          <w:sz w:val="24"/>
          <w:szCs w:val="24"/>
          <w:highlight w:val="none"/>
        </w:rPr>
      </w:pPr>
      <w:r>
        <w:rPr>
          <w:rFonts w:hint="eastAsia" w:ascii="宋体" w:hAnsi="宋体" w:eastAsia="宋体" w:cs="宋体"/>
          <w:b/>
          <w:sz w:val="24"/>
          <w:szCs w:val="24"/>
          <w:highlight w:val="none"/>
        </w:rPr>
        <w:t>13.</w:t>
      </w:r>
      <w:r>
        <w:rPr>
          <w:rFonts w:hint="eastAsia" w:ascii="宋体" w:hAnsi="宋体" w:cs="宋体"/>
          <w:b/>
          <w:sz w:val="24"/>
          <w:szCs w:val="24"/>
          <w:highlight w:val="none"/>
          <w:lang w:val="en-US" w:eastAsia="zh-CN"/>
        </w:rPr>
        <w:t>3</w:t>
      </w:r>
      <w:r>
        <w:rPr>
          <w:rFonts w:hint="eastAsia" w:ascii="宋体" w:hAnsi="宋体" w:eastAsia="宋体" w:cs="宋体"/>
          <w:b/>
          <w:sz w:val="24"/>
          <w:szCs w:val="24"/>
          <w:highlight w:val="none"/>
        </w:rPr>
        <w:t>技术部分</w:t>
      </w:r>
    </w:p>
    <w:p>
      <w:pPr>
        <w:adjustRightInd w:val="0"/>
        <w:snapToGrid w:val="0"/>
        <w:spacing w:line="500" w:lineRule="exact"/>
        <w:ind w:firstLine="470" w:firstLineChars="196"/>
        <w:jc w:val="left"/>
        <w:rPr>
          <w:rFonts w:ascii="宋体" w:hAnsi="宋体" w:eastAsia="宋体" w:cs="宋体"/>
          <w:sz w:val="24"/>
          <w:szCs w:val="24"/>
          <w:highlight w:val="none"/>
        </w:rPr>
      </w:pPr>
      <w:r>
        <w:rPr>
          <w:rFonts w:hint="eastAsia" w:ascii="宋体" w:hAnsi="宋体" w:eastAsia="宋体" w:cs="宋体"/>
          <w:sz w:val="24"/>
          <w:szCs w:val="24"/>
          <w:highlight w:val="none"/>
        </w:rPr>
        <w:t>（14）技术响应偏离表（格式见附件）；</w:t>
      </w:r>
    </w:p>
    <w:p>
      <w:pPr>
        <w:adjustRightInd w:val="0"/>
        <w:snapToGrid w:val="0"/>
        <w:spacing w:line="500" w:lineRule="exact"/>
        <w:ind w:firstLine="470" w:firstLineChars="196"/>
        <w:jc w:val="left"/>
        <w:rPr>
          <w:rFonts w:ascii="宋体" w:hAnsi="宋体" w:eastAsia="宋体" w:cs="宋体"/>
          <w:sz w:val="24"/>
          <w:szCs w:val="24"/>
          <w:highlight w:val="none"/>
        </w:rPr>
      </w:pPr>
      <w:r>
        <w:rPr>
          <w:rFonts w:hint="eastAsia" w:ascii="宋体" w:hAnsi="宋体" w:eastAsia="宋体" w:cs="宋体"/>
          <w:sz w:val="24"/>
          <w:szCs w:val="24"/>
          <w:highlight w:val="none"/>
        </w:rPr>
        <w:t>（15）产品详细技术规格书（包括产品详细配置、技术性能指标等）（格式自拟）；</w:t>
      </w:r>
    </w:p>
    <w:p>
      <w:pPr>
        <w:adjustRightInd w:val="0"/>
        <w:snapToGrid w:val="0"/>
        <w:spacing w:line="500" w:lineRule="exact"/>
        <w:ind w:firstLine="470" w:firstLineChars="196"/>
        <w:jc w:val="left"/>
        <w:rPr>
          <w:rFonts w:ascii="宋体" w:hAnsi="宋体" w:eastAsia="宋体" w:cs="宋体"/>
          <w:sz w:val="24"/>
          <w:szCs w:val="24"/>
          <w:highlight w:val="none"/>
        </w:rPr>
      </w:pPr>
      <w:r>
        <w:rPr>
          <w:rFonts w:hint="eastAsia" w:ascii="宋体" w:hAnsi="宋体" w:eastAsia="宋体" w:cs="宋体"/>
          <w:sz w:val="24"/>
          <w:szCs w:val="24"/>
          <w:highlight w:val="none"/>
        </w:rPr>
        <w:t>（16）与产品相关的由国家认可的检测机构出具的检测报告（如有）；</w:t>
      </w:r>
    </w:p>
    <w:p>
      <w:pPr>
        <w:adjustRightInd w:val="0"/>
        <w:snapToGrid w:val="0"/>
        <w:spacing w:line="500" w:lineRule="exact"/>
        <w:ind w:firstLine="470" w:firstLineChars="196"/>
        <w:jc w:val="left"/>
        <w:rPr>
          <w:rFonts w:ascii="宋体" w:hAnsi="宋体" w:eastAsia="宋体" w:cs="宋体"/>
          <w:sz w:val="24"/>
          <w:szCs w:val="24"/>
          <w:highlight w:val="none"/>
        </w:rPr>
      </w:pPr>
      <w:r>
        <w:rPr>
          <w:rFonts w:hint="eastAsia" w:ascii="宋体" w:hAnsi="宋体" w:eastAsia="宋体" w:cs="宋体"/>
          <w:sz w:val="24"/>
          <w:szCs w:val="24"/>
          <w:highlight w:val="none"/>
        </w:rPr>
        <w:t>（17）针对项目的详细组织实施方案：包括（但不限于）项目人员安排、项目供货方案、质量管控方案、测试（调试）方案等内容（格式自拟）；</w:t>
      </w:r>
    </w:p>
    <w:p>
      <w:pPr>
        <w:adjustRightInd w:val="0"/>
        <w:snapToGrid w:val="0"/>
        <w:spacing w:line="500" w:lineRule="exact"/>
        <w:ind w:firstLine="470" w:firstLineChars="196"/>
        <w:jc w:val="left"/>
        <w:rPr>
          <w:rFonts w:ascii="宋体" w:hAnsi="宋体" w:eastAsia="宋体" w:cs="宋体"/>
          <w:sz w:val="24"/>
          <w:szCs w:val="24"/>
          <w:highlight w:val="none"/>
        </w:rPr>
      </w:pPr>
      <w:r>
        <w:rPr>
          <w:rFonts w:hint="eastAsia" w:ascii="宋体" w:hAnsi="宋体" w:eastAsia="宋体" w:cs="宋体"/>
          <w:sz w:val="24"/>
          <w:szCs w:val="24"/>
          <w:highlight w:val="none"/>
        </w:rPr>
        <w:t>（18）针对本项目的详细技术培训方案：包括（但不限于）</w:t>
      </w:r>
      <w:r>
        <w:rPr>
          <w:rFonts w:ascii="宋体" w:hAnsi="宋体" w:eastAsia="宋体" w:cs="宋体"/>
          <w:sz w:val="24"/>
          <w:szCs w:val="24"/>
          <w:highlight w:val="none"/>
        </w:rPr>
        <w:t>培训内容</w:t>
      </w:r>
      <w:r>
        <w:rPr>
          <w:rFonts w:hint="eastAsia" w:ascii="宋体" w:hAnsi="宋体" w:eastAsia="宋体" w:cs="宋体"/>
          <w:sz w:val="24"/>
          <w:szCs w:val="24"/>
          <w:highlight w:val="none"/>
        </w:rPr>
        <w:t>、</w:t>
      </w:r>
      <w:r>
        <w:rPr>
          <w:rFonts w:ascii="宋体" w:hAnsi="宋体" w:eastAsia="宋体" w:cs="宋体"/>
          <w:sz w:val="24"/>
          <w:szCs w:val="24"/>
          <w:highlight w:val="none"/>
        </w:rPr>
        <w:t>培训方式</w:t>
      </w:r>
      <w:r>
        <w:rPr>
          <w:rFonts w:hint="eastAsia" w:ascii="宋体" w:hAnsi="宋体" w:eastAsia="宋体" w:cs="宋体"/>
          <w:sz w:val="24"/>
          <w:szCs w:val="24"/>
          <w:highlight w:val="none"/>
        </w:rPr>
        <w:t>、</w:t>
      </w:r>
      <w:r>
        <w:rPr>
          <w:rFonts w:ascii="宋体" w:hAnsi="宋体" w:eastAsia="宋体" w:cs="宋体"/>
          <w:sz w:val="24"/>
          <w:szCs w:val="24"/>
          <w:highlight w:val="none"/>
        </w:rPr>
        <w:t>培训计划</w:t>
      </w:r>
      <w:r>
        <w:rPr>
          <w:rFonts w:hint="eastAsia" w:ascii="宋体" w:hAnsi="宋体" w:eastAsia="宋体" w:cs="宋体"/>
          <w:sz w:val="24"/>
          <w:szCs w:val="24"/>
          <w:highlight w:val="none"/>
        </w:rPr>
        <w:t>、</w:t>
      </w:r>
      <w:r>
        <w:rPr>
          <w:rFonts w:ascii="宋体" w:hAnsi="宋体" w:eastAsia="宋体" w:cs="宋体"/>
          <w:sz w:val="24"/>
          <w:szCs w:val="24"/>
          <w:highlight w:val="none"/>
        </w:rPr>
        <w:t>培训团队人员配置等</w:t>
      </w:r>
      <w:r>
        <w:rPr>
          <w:rFonts w:hint="eastAsia" w:ascii="宋体" w:hAnsi="宋体" w:eastAsia="宋体" w:cs="宋体"/>
          <w:sz w:val="24"/>
          <w:szCs w:val="24"/>
          <w:highlight w:val="none"/>
        </w:rPr>
        <w:t>内容（格式自拟）；</w:t>
      </w:r>
    </w:p>
    <w:p>
      <w:pPr>
        <w:adjustRightInd w:val="0"/>
        <w:snapToGrid w:val="0"/>
        <w:spacing w:line="500" w:lineRule="exact"/>
        <w:ind w:firstLine="470" w:firstLineChars="196"/>
        <w:jc w:val="left"/>
        <w:rPr>
          <w:rFonts w:ascii="宋体" w:hAnsi="宋体" w:eastAsia="宋体" w:cs="宋体"/>
          <w:sz w:val="24"/>
          <w:szCs w:val="24"/>
          <w:highlight w:val="none"/>
        </w:rPr>
      </w:pPr>
      <w:r>
        <w:rPr>
          <w:rFonts w:hint="eastAsia" w:ascii="宋体" w:hAnsi="宋体" w:eastAsia="宋体" w:cs="宋体"/>
          <w:sz w:val="24"/>
          <w:szCs w:val="24"/>
          <w:highlight w:val="none"/>
        </w:rPr>
        <w:t>（19）针对本项目的售后服务方案：包括（但不限于）售后</w:t>
      </w:r>
      <w:r>
        <w:rPr>
          <w:rFonts w:ascii="宋体" w:hAnsi="宋体" w:eastAsia="宋体" w:cs="宋体"/>
          <w:sz w:val="24"/>
          <w:szCs w:val="24"/>
          <w:highlight w:val="none"/>
        </w:rPr>
        <w:t>服务承诺</w:t>
      </w:r>
      <w:r>
        <w:rPr>
          <w:rFonts w:hint="eastAsia" w:ascii="宋体" w:hAnsi="宋体" w:eastAsia="宋体" w:cs="宋体"/>
          <w:sz w:val="24"/>
          <w:szCs w:val="24"/>
          <w:highlight w:val="none"/>
        </w:rPr>
        <w:t>、</w:t>
      </w:r>
      <w:r>
        <w:rPr>
          <w:rFonts w:ascii="宋体" w:hAnsi="宋体" w:eastAsia="宋体" w:cs="宋体"/>
          <w:sz w:val="24"/>
          <w:szCs w:val="24"/>
          <w:highlight w:val="none"/>
        </w:rPr>
        <w:t>服务响应方案</w:t>
      </w:r>
      <w:r>
        <w:rPr>
          <w:rFonts w:hint="eastAsia" w:ascii="宋体" w:hAnsi="宋体" w:eastAsia="宋体" w:cs="宋体"/>
          <w:sz w:val="24"/>
          <w:szCs w:val="24"/>
          <w:highlight w:val="none"/>
        </w:rPr>
        <w:t>、</w:t>
      </w:r>
      <w:r>
        <w:rPr>
          <w:rFonts w:ascii="宋体" w:hAnsi="宋体" w:eastAsia="宋体" w:cs="宋体"/>
          <w:sz w:val="24"/>
          <w:szCs w:val="24"/>
          <w:highlight w:val="none"/>
        </w:rPr>
        <w:t>备件（易耗品）供应方案</w:t>
      </w:r>
      <w:r>
        <w:rPr>
          <w:rFonts w:hint="eastAsia" w:ascii="宋体" w:hAnsi="宋体" w:eastAsia="宋体" w:cs="宋体"/>
          <w:sz w:val="24"/>
          <w:szCs w:val="24"/>
          <w:highlight w:val="none"/>
        </w:rPr>
        <w:t>（含备件价格）、</w:t>
      </w:r>
      <w:r>
        <w:rPr>
          <w:rFonts w:ascii="宋体" w:hAnsi="宋体" w:eastAsia="宋体" w:cs="宋体"/>
          <w:sz w:val="24"/>
          <w:szCs w:val="24"/>
          <w:highlight w:val="none"/>
        </w:rPr>
        <w:t>服务人员配备</w:t>
      </w:r>
      <w:r>
        <w:rPr>
          <w:rFonts w:hint="eastAsia" w:ascii="宋体" w:hAnsi="宋体" w:eastAsia="宋体" w:cs="宋体"/>
          <w:sz w:val="24"/>
          <w:szCs w:val="24"/>
          <w:highlight w:val="none"/>
        </w:rPr>
        <w:t>、</w:t>
      </w:r>
      <w:r>
        <w:rPr>
          <w:rFonts w:ascii="宋体" w:hAnsi="宋体" w:eastAsia="宋体" w:cs="宋体"/>
          <w:sz w:val="24"/>
          <w:szCs w:val="24"/>
          <w:highlight w:val="none"/>
        </w:rPr>
        <w:t>故障响应</w:t>
      </w:r>
      <w:r>
        <w:rPr>
          <w:rFonts w:hint="eastAsia" w:ascii="宋体" w:hAnsi="宋体" w:eastAsia="宋体" w:cs="宋体"/>
          <w:sz w:val="24"/>
          <w:szCs w:val="24"/>
          <w:highlight w:val="none"/>
        </w:rPr>
        <w:t>措施、</w:t>
      </w:r>
      <w:r>
        <w:rPr>
          <w:rFonts w:ascii="宋体" w:hAnsi="宋体" w:eastAsia="宋体" w:cs="宋体"/>
          <w:sz w:val="24"/>
          <w:szCs w:val="24"/>
          <w:highlight w:val="none"/>
        </w:rPr>
        <w:t>质保外服务措施等</w:t>
      </w:r>
      <w:r>
        <w:rPr>
          <w:rFonts w:hint="eastAsia" w:ascii="宋体" w:hAnsi="宋体" w:eastAsia="宋体" w:cs="宋体"/>
          <w:sz w:val="24"/>
          <w:szCs w:val="24"/>
          <w:highlight w:val="none"/>
        </w:rPr>
        <w:t>内容（格式自拟）；</w:t>
      </w:r>
    </w:p>
    <w:p>
      <w:pPr>
        <w:adjustRightInd w:val="0"/>
        <w:snapToGrid w:val="0"/>
        <w:spacing w:line="500" w:lineRule="exact"/>
        <w:ind w:firstLine="470" w:firstLineChars="196"/>
        <w:jc w:val="left"/>
        <w:rPr>
          <w:rFonts w:ascii="宋体" w:hAnsi="宋体" w:eastAsia="宋体" w:cs="宋体"/>
          <w:sz w:val="24"/>
          <w:szCs w:val="24"/>
          <w:highlight w:val="none"/>
        </w:rPr>
      </w:pPr>
      <w:r>
        <w:rPr>
          <w:rFonts w:hint="eastAsia" w:ascii="宋体" w:hAnsi="宋体" w:eastAsia="宋体" w:cs="宋体"/>
          <w:sz w:val="24"/>
          <w:szCs w:val="24"/>
          <w:highlight w:val="none"/>
        </w:rPr>
        <w:t>（20）其他优惠条件（如有）：投标人承诺给予采购人的各种优惠条件，包括备品备件、专用耗材等；</w:t>
      </w:r>
    </w:p>
    <w:p>
      <w:pPr>
        <w:adjustRightInd w:val="0"/>
        <w:snapToGrid w:val="0"/>
        <w:spacing w:line="500" w:lineRule="exact"/>
        <w:ind w:firstLine="470" w:firstLineChars="196"/>
        <w:jc w:val="left"/>
        <w:rPr>
          <w:rFonts w:ascii="宋体" w:hAnsi="宋体" w:eastAsia="宋体" w:cs="宋体"/>
          <w:sz w:val="24"/>
          <w:szCs w:val="24"/>
          <w:highlight w:val="none"/>
        </w:rPr>
      </w:pPr>
      <w:r>
        <w:rPr>
          <w:rFonts w:hint="eastAsia" w:ascii="宋体" w:hAnsi="宋体" w:eastAsia="宋体" w:cs="宋体"/>
          <w:sz w:val="24"/>
          <w:szCs w:val="24"/>
          <w:highlight w:val="none"/>
        </w:rPr>
        <w:t>（21）投标人需要提供的其他文件或资料（如有）。</w:t>
      </w:r>
    </w:p>
    <w:p>
      <w:pPr>
        <w:adjustRightInd w:val="0"/>
        <w:snapToGrid w:val="0"/>
        <w:spacing w:line="500" w:lineRule="exact"/>
        <w:ind w:left="479" w:leftChars="228"/>
        <w:jc w:val="left"/>
        <w:rPr>
          <w:rFonts w:ascii="宋体" w:hAnsi="宋体" w:eastAsia="宋体" w:cs="宋体"/>
          <w:b/>
          <w:bCs/>
          <w:sz w:val="24"/>
          <w:szCs w:val="24"/>
          <w:highlight w:val="none"/>
        </w:rPr>
      </w:pPr>
      <w:r>
        <w:rPr>
          <w:rFonts w:hint="eastAsia" w:ascii="宋体" w:hAnsi="宋体" w:eastAsia="宋体" w:cs="宋体"/>
          <w:b/>
          <w:bCs/>
          <w:sz w:val="24"/>
          <w:szCs w:val="24"/>
          <w:highlight w:val="none"/>
        </w:rPr>
        <w:t>注：a.授权委托书、投标声明书、投标函、开标一览表必须由法定代表人（负责人、自然人）或其授权代表签名（按格式要求）并加盖单位公章。</w:t>
      </w:r>
    </w:p>
    <w:p>
      <w:pPr>
        <w:adjustRightInd w:val="0"/>
        <w:snapToGrid w:val="0"/>
        <w:spacing w:line="500" w:lineRule="exact"/>
        <w:ind w:left="479" w:leftChars="228" w:firstLine="463" w:firstLineChars="192"/>
        <w:jc w:val="left"/>
        <w:rPr>
          <w:rFonts w:ascii="宋体" w:hAnsi="宋体" w:eastAsia="宋体" w:cs="宋体"/>
          <w:b/>
          <w:bCs/>
          <w:sz w:val="24"/>
          <w:szCs w:val="24"/>
          <w:highlight w:val="none"/>
        </w:rPr>
      </w:pPr>
      <w:r>
        <w:rPr>
          <w:rFonts w:hint="eastAsia" w:ascii="宋体" w:hAnsi="宋体" w:eastAsia="宋体" w:cs="宋体"/>
          <w:b/>
          <w:bCs/>
          <w:sz w:val="24"/>
          <w:szCs w:val="24"/>
          <w:highlight w:val="none"/>
        </w:rPr>
        <w:t>b.以上提供的各种证书、证件、证明资料如是复印件，须在复印件上加盖有效公章，如发现有造假嫌疑的，将根据有关规定以“提供虚假材料谋取中标”予以处罚。</w:t>
      </w:r>
    </w:p>
    <w:p>
      <w:pPr>
        <w:adjustRightInd w:val="0"/>
        <w:snapToGrid w:val="0"/>
        <w:spacing w:line="500" w:lineRule="exact"/>
        <w:ind w:left="479" w:leftChars="228" w:firstLine="463" w:firstLineChars="192"/>
        <w:jc w:val="left"/>
        <w:rPr>
          <w:rFonts w:ascii="宋体" w:hAnsi="宋体" w:eastAsia="宋体" w:cs="宋体"/>
          <w:b/>
          <w:bCs/>
          <w:sz w:val="24"/>
          <w:szCs w:val="24"/>
          <w:highlight w:val="none"/>
        </w:rPr>
      </w:pPr>
      <w:r>
        <w:rPr>
          <w:rFonts w:hint="eastAsia" w:ascii="宋体" w:hAnsi="宋体" w:eastAsia="宋体" w:cs="宋体"/>
          <w:b/>
          <w:bCs/>
          <w:sz w:val="24"/>
          <w:szCs w:val="24"/>
          <w:highlight w:val="none"/>
        </w:rPr>
        <w:t>c.《报价文件》单独装订成册，投标</w:t>
      </w:r>
      <w:r>
        <w:rPr>
          <w:rFonts w:hint="eastAsia" w:ascii="宋体" w:hAnsi="宋体" w:cs="宋体"/>
          <w:b/>
          <w:bCs/>
          <w:sz w:val="24"/>
          <w:szCs w:val="24"/>
          <w:highlight w:val="none"/>
          <w:lang w:eastAsia="zh-CN"/>
        </w:rPr>
        <w:t>投标人</w:t>
      </w:r>
      <w:r>
        <w:rPr>
          <w:rFonts w:hint="eastAsia" w:ascii="宋体" w:hAnsi="宋体" w:eastAsia="宋体" w:cs="宋体"/>
          <w:b/>
          <w:bCs/>
          <w:sz w:val="24"/>
          <w:szCs w:val="24"/>
          <w:highlight w:val="none"/>
        </w:rPr>
        <w:t>须按要求单独递交《报价文件》；投标文件中除《报价文件》外，其他部分不得有任何涉及本次投标报价的信息。</w:t>
      </w:r>
    </w:p>
    <w:p>
      <w:pPr>
        <w:adjustRightInd w:val="0"/>
        <w:snapToGrid w:val="0"/>
        <w:spacing w:line="500" w:lineRule="exact"/>
        <w:ind w:left="479" w:leftChars="228" w:firstLine="463" w:firstLineChars="192"/>
        <w:jc w:val="left"/>
        <w:rPr>
          <w:rFonts w:eastAsia="宋体"/>
          <w:highlight w:val="none"/>
        </w:rPr>
      </w:pPr>
      <w:r>
        <w:rPr>
          <w:rFonts w:hint="eastAsia" w:ascii="宋体" w:hAnsi="宋体" w:eastAsia="宋体" w:cs="宋体"/>
          <w:b/>
          <w:bCs/>
          <w:sz w:val="24"/>
          <w:szCs w:val="24"/>
          <w:highlight w:val="none"/>
        </w:rPr>
        <w:t>d.以上材料须加盖单位公章，投标人需将投标文件按上述顺序装订成一整册，请投标人编制投标文件的目录及页码。</w:t>
      </w:r>
    </w:p>
    <w:p>
      <w:pPr>
        <w:pStyle w:val="6"/>
        <w:rPr>
          <w:highlight w:val="none"/>
        </w:rPr>
      </w:pPr>
      <w:bookmarkStart w:id="52" w:name="_Toc26745"/>
      <w:r>
        <w:rPr>
          <w:rFonts w:hint="eastAsia"/>
          <w:highlight w:val="none"/>
        </w:rPr>
        <w:t>14、投标文件的语言及计量</w:t>
      </w:r>
      <w:bookmarkEnd w:id="52"/>
    </w:p>
    <w:p>
      <w:pPr>
        <w:adjustRightInd w:val="0"/>
        <w:snapToGrid w:val="0"/>
        <w:spacing w:line="500" w:lineRule="exact"/>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14.1 投标文件以及投标方与招标方就有关投标事宜的所有来往函电，均应以中文汉语书写。除签名、盖章、专用名称等特殊情形外，以中文汉语以外的文字表述的投标文件视同未提供。</w:t>
      </w:r>
    </w:p>
    <w:p>
      <w:pPr>
        <w:adjustRightInd w:val="0"/>
        <w:snapToGrid w:val="0"/>
        <w:spacing w:line="500" w:lineRule="exact"/>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14.2 投标计量单位，招标文件已有明确规定的，使用招标文件规定的计量单位；招标文件没有规定的，应采用中华人民共和国法定计量单位（货币单位：人民币元），否则视同未响应。</w:t>
      </w:r>
    </w:p>
    <w:p>
      <w:pPr>
        <w:pStyle w:val="6"/>
        <w:rPr>
          <w:highlight w:val="none"/>
        </w:rPr>
      </w:pPr>
      <w:bookmarkStart w:id="53" w:name="_Toc10847"/>
      <w:r>
        <w:rPr>
          <w:rFonts w:hint="eastAsia"/>
          <w:highlight w:val="none"/>
        </w:rPr>
        <w:t>15、投标报价</w:t>
      </w:r>
      <w:bookmarkEnd w:id="53"/>
    </w:p>
    <w:p>
      <w:pPr>
        <w:adjustRightInd w:val="0"/>
        <w:snapToGrid w:val="0"/>
        <w:spacing w:line="500" w:lineRule="exact"/>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15.1 投标报价按招标文件中相关附表格式填写，应为所投标包的产品的单价报价，每个产品只允许一个报价。</w:t>
      </w:r>
      <w:r>
        <w:rPr>
          <w:rFonts w:hint="eastAsia" w:ascii="宋体" w:hAnsi="宋体" w:eastAsia="宋体" w:cs="宋体"/>
          <w:bCs/>
          <w:sz w:val="24"/>
          <w:szCs w:val="24"/>
          <w:highlight w:val="none"/>
        </w:rPr>
        <w:t>同型号产品参与不同标包投标的，则其报价必须相同，否则视为有选择性报价，按无效标处理</w:t>
      </w:r>
      <w:r>
        <w:rPr>
          <w:rFonts w:hint="eastAsia" w:ascii="宋体" w:hAnsi="宋体" w:eastAsia="宋体" w:cs="宋体"/>
          <w:sz w:val="24"/>
          <w:szCs w:val="24"/>
          <w:highlight w:val="none"/>
        </w:rPr>
        <w:t>。</w:t>
      </w:r>
    </w:p>
    <w:p>
      <w:pPr>
        <w:adjustRightInd w:val="0"/>
        <w:snapToGrid w:val="0"/>
        <w:spacing w:line="500" w:lineRule="exact"/>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15.2 投标报价应包括货款、标准附件、备品备件、专用工具、包装、运输、装卸、保险、税金、货到就位以及安装、调试、培训、保修等一切税金和费用。</w:t>
      </w:r>
    </w:p>
    <w:p>
      <w:pPr>
        <w:tabs>
          <w:tab w:val="left" w:pos="525"/>
        </w:tabs>
        <w:adjustRightInd w:val="0"/>
        <w:snapToGrid w:val="0"/>
        <w:spacing w:line="500" w:lineRule="exact"/>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15.3 每种货物只允许有一个报价，有选择的或有条件的报价将不予接受。</w:t>
      </w:r>
    </w:p>
    <w:p>
      <w:pPr>
        <w:pStyle w:val="6"/>
        <w:rPr>
          <w:highlight w:val="none"/>
        </w:rPr>
      </w:pPr>
      <w:bookmarkStart w:id="54" w:name="_Toc11872"/>
      <w:r>
        <w:rPr>
          <w:rFonts w:hint="eastAsia"/>
          <w:highlight w:val="none"/>
        </w:rPr>
        <w:t>16、投标文件的有效期</w:t>
      </w:r>
      <w:bookmarkEnd w:id="54"/>
    </w:p>
    <w:p>
      <w:pPr>
        <w:tabs>
          <w:tab w:val="left" w:pos="454"/>
          <w:tab w:val="left" w:pos="720"/>
        </w:tabs>
        <w:adjustRightInd w:val="0"/>
        <w:snapToGrid w:val="0"/>
        <w:spacing w:line="500" w:lineRule="exact"/>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16.1 自投标截止日起</w:t>
      </w:r>
      <w:r>
        <w:rPr>
          <w:rFonts w:hint="eastAsia" w:ascii="宋体" w:hAnsi="宋体" w:eastAsia="宋体" w:cs="宋体"/>
          <w:kern w:val="0"/>
          <w:sz w:val="24"/>
          <w:szCs w:val="24"/>
          <w:highlight w:val="none"/>
          <w:u w:val="single"/>
        </w:rPr>
        <w:t>90</w:t>
      </w:r>
      <w:r>
        <w:rPr>
          <w:rFonts w:hint="eastAsia" w:ascii="宋体" w:hAnsi="宋体" w:eastAsia="宋体" w:cs="宋体"/>
          <w:kern w:val="0"/>
          <w:sz w:val="24"/>
          <w:szCs w:val="24"/>
          <w:highlight w:val="none"/>
        </w:rPr>
        <w:t>天投标文件应保持有效。</w:t>
      </w:r>
    </w:p>
    <w:p>
      <w:pPr>
        <w:tabs>
          <w:tab w:val="left" w:pos="454"/>
          <w:tab w:val="left" w:pos="720"/>
        </w:tabs>
        <w:adjustRightInd w:val="0"/>
        <w:snapToGrid w:val="0"/>
        <w:spacing w:line="500" w:lineRule="exact"/>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16.2 在特殊情况下，采购人可与投标人协商延长投标书的有效期，这种要求和答复均以书面形式进行。</w:t>
      </w:r>
    </w:p>
    <w:p>
      <w:pPr>
        <w:adjustRightInd w:val="0"/>
        <w:snapToGrid w:val="0"/>
        <w:spacing w:line="500" w:lineRule="exact"/>
        <w:ind w:firstLine="480" w:firstLineChars="200"/>
        <w:jc w:val="left"/>
        <w:rPr>
          <w:rFonts w:ascii="宋体" w:hAnsi="宋体" w:eastAsia="宋体" w:cs="宋体"/>
          <w:b/>
          <w:sz w:val="24"/>
          <w:szCs w:val="24"/>
          <w:highlight w:val="none"/>
        </w:rPr>
      </w:pPr>
      <w:r>
        <w:rPr>
          <w:rFonts w:hint="eastAsia" w:ascii="宋体" w:hAnsi="宋体" w:eastAsia="宋体" w:cs="宋体"/>
          <w:sz w:val="24"/>
          <w:szCs w:val="24"/>
          <w:highlight w:val="none"/>
        </w:rPr>
        <w:t>16.3 投标人可拒绝接受延期要求而不会导致投标保证金被没收。同意延长有效期的投标人需要相应延长投标保证金的有效期，但不能修改投标文件。</w:t>
      </w:r>
    </w:p>
    <w:p>
      <w:pPr>
        <w:adjustRightInd w:val="0"/>
        <w:snapToGrid w:val="0"/>
        <w:spacing w:line="500" w:lineRule="exact"/>
        <w:ind w:firstLine="480" w:firstLineChars="200"/>
        <w:jc w:val="left"/>
        <w:rPr>
          <w:rFonts w:ascii="宋体" w:hAnsi="宋体" w:eastAsia="宋体" w:cs="宋体"/>
          <w:b/>
          <w:sz w:val="24"/>
          <w:szCs w:val="24"/>
          <w:highlight w:val="none"/>
        </w:rPr>
      </w:pPr>
      <w:r>
        <w:rPr>
          <w:rFonts w:hint="eastAsia" w:ascii="宋体" w:hAnsi="宋体" w:eastAsia="宋体" w:cs="宋体"/>
          <w:sz w:val="24"/>
          <w:szCs w:val="24"/>
          <w:highlight w:val="none"/>
        </w:rPr>
        <w:t>16.4 中标人的投标文件自开标之日起至合同履行完毕止均应保持有效。</w:t>
      </w:r>
    </w:p>
    <w:p>
      <w:pPr>
        <w:pStyle w:val="6"/>
        <w:rPr>
          <w:highlight w:val="none"/>
        </w:rPr>
      </w:pPr>
      <w:bookmarkStart w:id="55" w:name="_Toc2098"/>
      <w:r>
        <w:rPr>
          <w:rFonts w:hint="eastAsia"/>
          <w:highlight w:val="none"/>
        </w:rPr>
        <w:t>17、投标保证金</w:t>
      </w:r>
      <w:bookmarkEnd w:id="55"/>
    </w:p>
    <w:p>
      <w:pPr>
        <w:adjustRightInd w:val="0"/>
        <w:snapToGrid w:val="0"/>
        <w:spacing w:line="500" w:lineRule="exact"/>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17.1 投标人须按规定提交投标保证金。否则，其投标将被拒绝。</w:t>
      </w:r>
    </w:p>
    <w:p>
      <w:pPr>
        <w:adjustRightInd w:val="0"/>
        <w:snapToGrid w:val="0"/>
        <w:spacing w:line="500" w:lineRule="exact"/>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17.2 保证金形式：投标保证金应当以支票、汇票、本票或者金融机构、担保机构出具的保函等非现金形式提交。</w:t>
      </w:r>
    </w:p>
    <w:p>
      <w:pPr>
        <w:adjustRightInd w:val="0"/>
        <w:snapToGrid w:val="0"/>
        <w:spacing w:line="500" w:lineRule="exact"/>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17.3 退还保证金时，投标人提供单位账户信息。</w:t>
      </w:r>
    </w:p>
    <w:p>
      <w:pPr>
        <w:adjustRightInd w:val="0"/>
        <w:snapToGrid w:val="0"/>
        <w:spacing w:line="500" w:lineRule="exact"/>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17.4 采购代理机构应当自中标通知书发出之日起5个工作日内退还未中标单位的投标保证金，自政府采购合同签订之日起 5 个工作日内退还中标单位的投标保证金。但因投标人自身原因导致无法及时退还的除外。</w:t>
      </w:r>
    </w:p>
    <w:p>
      <w:pPr>
        <w:adjustRightInd w:val="0"/>
        <w:snapToGrid w:val="0"/>
        <w:spacing w:line="500" w:lineRule="exact"/>
        <w:ind w:firstLine="472" w:firstLineChars="196"/>
        <w:jc w:val="left"/>
        <w:rPr>
          <w:rFonts w:ascii="宋体" w:hAnsi="宋体" w:eastAsia="宋体" w:cs="宋体"/>
          <w:b/>
          <w:bCs/>
          <w:sz w:val="24"/>
          <w:szCs w:val="24"/>
          <w:highlight w:val="none"/>
        </w:rPr>
      </w:pPr>
      <w:r>
        <w:rPr>
          <w:rFonts w:hint="eastAsia" w:ascii="宋体" w:hAnsi="宋体" w:eastAsia="宋体" w:cs="宋体"/>
          <w:b/>
          <w:bCs/>
          <w:sz w:val="24"/>
          <w:szCs w:val="24"/>
          <w:highlight w:val="none"/>
        </w:rPr>
        <w:t>17.5 投标人有下列情形之一的，投标保证金将不予退还：</w:t>
      </w:r>
    </w:p>
    <w:p>
      <w:pPr>
        <w:adjustRightInd w:val="0"/>
        <w:snapToGrid w:val="0"/>
        <w:spacing w:line="500" w:lineRule="exact"/>
        <w:ind w:firstLine="472" w:firstLineChars="196"/>
        <w:jc w:val="left"/>
        <w:rPr>
          <w:rFonts w:ascii="宋体" w:hAnsi="宋体" w:eastAsia="宋体" w:cs="宋体"/>
          <w:b/>
          <w:sz w:val="24"/>
          <w:szCs w:val="24"/>
          <w:highlight w:val="none"/>
        </w:rPr>
      </w:pPr>
      <w:r>
        <w:rPr>
          <w:rFonts w:hint="eastAsia" w:ascii="宋体" w:hAnsi="宋体" w:eastAsia="宋体" w:cs="宋体"/>
          <w:b/>
          <w:sz w:val="24"/>
          <w:szCs w:val="24"/>
          <w:highlight w:val="none"/>
        </w:rPr>
        <w:t>（1）投标人在投标有效期内撤回投标文件的；</w:t>
      </w:r>
    </w:p>
    <w:p>
      <w:pPr>
        <w:adjustRightInd w:val="0"/>
        <w:snapToGrid w:val="0"/>
        <w:spacing w:line="500" w:lineRule="exact"/>
        <w:ind w:firstLine="472" w:firstLineChars="196"/>
        <w:jc w:val="left"/>
        <w:rPr>
          <w:rFonts w:ascii="宋体" w:hAnsi="宋体" w:eastAsia="宋体" w:cs="宋体"/>
          <w:b/>
          <w:sz w:val="24"/>
          <w:szCs w:val="24"/>
          <w:highlight w:val="none"/>
        </w:rPr>
      </w:pPr>
      <w:r>
        <w:rPr>
          <w:rFonts w:hint="eastAsia" w:ascii="宋体" w:hAnsi="宋体" w:eastAsia="宋体" w:cs="宋体"/>
          <w:b/>
          <w:sz w:val="24"/>
          <w:szCs w:val="24"/>
          <w:highlight w:val="none"/>
        </w:rPr>
        <w:t>（2）投标人在投标过程中弄虚作假，提供虚假材料的；</w:t>
      </w:r>
    </w:p>
    <w:p>
      <w:pPr>
        <w:adjustRightInd w:val="0"/>
        <w:snapToGrid w:val="0"/>
        <w:spacing w:line="500" w:lineRule="exact"/>
        <w:ind w:firstLine="472" w:firstLineChars="196"/>
        <w:rPr>
          <w:rFonts w:ascii="宋体" w:hAnsi="宋体" w:eastAsia="宋体" w:cs="宋体"/>
          <w:b/>
          <w:sz w:val="24"/>
          <w:szCs w:val="24"/>
          <w:highlight w:val="none"/>
        </w:rPr>
      </w:pPr>
      <w:r>
        <w:rPr>
          <w:rFonts w:hint="eastAsia" w:ascii="宋体" w:hAnsi="宋体" w:eastAsia="宋体" w:cs="宋体"/>
          <w:b/>
          <w:sz w:val="24"/>
          <w:szCs w:val="24"/>
          <w:highlight w:val="none"/>
        </w:rPr>
        <w:t>（3）中标人无正当理由不与采购人签订合同的；</w:t>
      </w:r>
    </w:p>
    <w:p>
      <w:pPr>
        <w:adjustRightInd w:val="0"/>
        <w:snapToGrid w:val="0"/>
        <w:spacing w:line="500" w:lineRule="exact"/>
        <w:ind w:firstLine="472" w:firstLineChars="196"/>
        <w:rPr>
          <w:rFonts w:ascii="宋体" w:hAnsi="宋体" w:eastAsia="宋体" w:cs="宋体"/>
          <w:b/>
          <w:sz w:val="24"/>
          <w:szCs w:val="24"/>
          <w:highlight w:val="none"/>
        </w:rPr>
      </w:pPr>
      <w:r>
        <w:rPr>
          <w:rFonts w:hint="eastAsia" w:ascii="宋体" w:hAnsi="宋体" w:eastAsia="宋体" w:cs="宋体"/>
          <w:b/>
          <w:sz w:val="24"/>
          <w:szCs w:val="24"/>
          <w:highlight w:val="none"/>
        </w:rPr>
        <w:t>（4）</w:t>
      </w:r>
      <w:r>
        <w:rPr>
          <w:rFonts w:hint="eastAsia" w:ascii="宋体" w:hAnsi="宋体" w:eastAsia="宋体" w:cs="宋体"/>
          <w:b/>
          <w:bCs/>
          <w:sz w:val="24"/>
          <w:szCs w:val="24"/>
          <w:highlight w:val="none"/>
        </w:rPr>
        <w:t>将中标项目转让给他人或者在投标文件中未说明且未经招标采购单位同意，将项目分包给他人的；</w:t>
      </w:r>
    </w:p>
    <w:p>
      <w:pPr>
        <w:adjustRightInd w:val="0"/>
        <w:snapToGrid w:val="0"/>
        <w:spacing w:line="500" w:lineRule="exact"/>
        <w:ind w:firstLine="482" w:firstLineChars="200"/>
        <w:rPr>
          <w:rFonts w:ascii="宋体" w:hAnsi="宋体" w:eastAsia="宋体" w:cs="宋体"/>
          <w:b/>
          <w:sz w:val="24"/>
          <w:szCs w:val="24"/>
          <w:highlight w:val="none"/>
        </w:rPr>
      </w:pPr>
      <w:r>
        <w:rPr>
          <w:rFonts w:hint="eastAsia" w:ascii="宋体" w:hAnsi="宋体" w:eastAsia="宋体" w:cs="宋体"/>
          <w:b/>
          <w:sz w:val="24"/>
          <w:szCs w:val="24"/>
          <w:highlight w:val="none"/>
        </w:rPr>
        <w:t>（5）拒绝履行合同义务的；</w:t>
      </w:r>
    </w:p>
    <w:p>
      <w:pPr>
        <w:adjustRightInd w:val="0"/>
        <w:snapToGrid w:val="0"/>
        <w:spacing w:line="500" w:lineRule="exact"/>
        <w:ind w:firstLine="482" w:firstLineChars="200"/>
        <w:rPr>
          <w:rFonts w:ascii="宋体" w:hAnsi="宋体" w:eastAsia="宋体" w:cs="宋体"/>
          <w:b/>
          <w:sz w:val="24"/>
          <w:szCs w:val="24"/>
          <w:highlight w:val="none"/>
        </w:rPr>
      </w:pPr>
      <w:r>
        <w:rPr>
          <w:rFonts w:hint="eastAsia" w:ascii="宋体" w:hAnsi="宋体" w:eastAsia="宋体" w:cs="宋体"/>
          <w:b/>
          <w:sz w:val="24"/>
          <w:szCs w:val="24"/>
          <w:highlight w:val="none"/>
        </w:rPr>
        <w:t>（6）其他严重扰乱招投标程序的。</w:t>
      </w:r>
    </w:p>
    <w:p>
      <w:pPr>
        <w:pStyle w:val="6"/>
        <w:rPr>
          <w:rFonts w:ascii="宋体" w:hAnsi="宋体" w:eastAsia="宋体" w:cs="宋体"/>
          <w:sz w:val="24"/>
          <w:szCs w:val="24"/>
          <w:highlight w:val="none"/>
        </w:rPr>
      </w:pPr>
      <w:bookmarkStart w:id="56" w:name="_Toc16494"/>
      <w:r>
        <w:rPr>
          <w:rFonts w:hint="eastAsia" w:ascii="宋体" w:hAnsi="宋体" w:eastAsia="宋体" w:cs="宋体"/>
          <w:sz w:val="24"/>
          <w:szCs w:val="24"/>
          <w:highlight w:val="none"/>
        </w:rPr>
        <w:t>18、投标文件</w:t>
      </w:r>
      <w:r>
        <w:rPr>
          <w:rStyle w:val="84"/>
          <w:rFonts w:hint="eastAsia"/>
          <w:b/>
          <w:bCs/>
          <w:highlight w:val="none"/>
        </w:rPr>
        <w:t>的</w:t>
      </w:r>
      <w:r>
        <w:rPr>
          <w:rFonts w:hint="eastAsia" w:ascii="宋体" w:hAnsi="宋体" w:eastAsia="宋体" w:cs="宋体"/>
          <w:sz w:val="24"/>
          <w:szCs w:val="24"/>
          <w:highlight w:val="none"/>
        </w:rPr>
        <w:t>签署和份数</w:t>
      </w:r>
      <w:bookmarkEnd w:id="56"/>
    </w:p>
    <w:p>
      <w:pPr>
        <w:adjustRightInd w:val="0"/>
        <w:snapToGrid w:val="0"/>
        <w:spacing w:line="500" w:lineRule="exact"/>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18.1 投标人应按本招标文件规定的格式和顺序编制、装订投标文件并标注页码，投标文件内容不完整、编排混乱导致投标文件被误读、漏读或者查找不到相关内容的，是投标人的责任。</w:t>
      </w:r>
    </w:p>
    <w:p>
      <w:pPr>
        <w:adjustRightInd w:val="0"/>
        <w:snapToGrid w:val="0"/>
        <w:spacing w:line="500" w:lineRule="exact"/>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18.2投标人递交的纸质投标文件包括“正本”一份、“副本”四份。报价文件单独装订成一册“正本”一份、“副本”四份；商务技术文件内容不得体现价格合并装订。</w:t>
      </w:r>
      <w:r>
        <w:rPr>
          <w:rFonts w:hint="eastAsia" w:ascii="宋体" w:hAnsi="宋体" w:eastAsia="宋体" w:cs="宋体"/>
          <w:b/>
          <w:sz w:val="24"/>
          <w:szCs w:val="24"/>
          <w:highlight w:val="none"/>
        </w:rPr>
        <w:t>建议采用胶装，不得采用活页装订（是指用卡条、抽杆夹、订书机等形式装订，使投标文件可以拆卸或者在翻动过程中易脱落的一种装订方式）。</w:t>
      </w:r>
      <w:r>
        <w:rPr>
          <w:rFonts w:hint="eastAsia" w:ascii="宋体" w:hAnsi="宋体" w:eastAsia="宋体" w:cs="宋体"/>
          <w:sz w:val="24"/>
          <w:szCs w:val="24"/>
          <w:highlight w:val="none"/>
        </w:rPr>
        <w:t>在投标文件封面的须清楚的注明“正本”或“副本”。</w:t>
      </w:r>
    </w:p>
    <w:p>
      <w:pPr>
        <w:adjustRightInd w:val="0"/>
        <w:snapToGrid w:val="0"/>
        <w:spacing w:line="500" w:lineRule="exact"/>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18.3 投标文件的正本需打印或用不褪色的墨水填写，投标文件正本除本《投标人须知》中规定的可提供复印件外均须提供原件。副本可为正本的复印件。</w:t>
      </w:r>
    </w:p>
    <w:p>
      <w:pPr>
        <w:adjustRightInd w:val="0"/>
        <w:snapToGrid w:val="0"/>
        <w:spacing w:line="500" w:lineRule="exact"/>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18.4 投标文件须由投标人在规定位置盖章并由法定代表人（负责人、自然人）或法定代表人（负责人、自然人）的授权代表签署，投标人应写全称。</w:t>
      </w:r>
    </w:p>
    <w:p>
      <w:pPr>
        <w:adjustRightInd w:val="0"/>
        <w:snapToGrid w:val="0"/>
        <w:spacing w:line="500" w:lineRule="exact"/>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18.5 投标文件不得涂改，若有修改错漏处，须加盖单位公章或者法定代表人（负责人、自然人）或授权代表签字。投标文件因字迹潦草或表达不清所引起的后果由投标人负责。</w:t>
      </w:r>
    </w:p>
    <w:p>
      <w:pPr>
        <w:adjustRightInd w:val="0"/>
        <w:snapToGrid w:val="0"/>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18.6电子文件（1份光盘，1份U盘）</w:t>
      </w:r>
      <w:bookmarkStart w:id="57" w:name="_Toc86216991"/>
      <w:bookmarkStart w:id="58" w:name="_Toc233618975"/>
      <w:r>
        <w:rPr>
          <w:rFonts w:hint="eastAsia" w:ascii="宋体" w:hAnsi="宋体" w:eastAsia="宋体" w:cs="宋体"/>
          <w:b/>
          <w:sz w:val="24"/>
          <w:szCs w:val="24"/>
          <w:highlight w:val="none"/>
        </w:rPr>
        <w:t>U盘和1份电子版光盘中须包含投标文件的全部内容，包括报价文件</w:t>
      </w:r>
      <w:bookmarkStart w:id="59" w:name="_Hlt68072998"/>
      <w:bookmarkEnd w:id="59"/>
      <w:bookmarkStart w:id="60" w:name="_Hlt68403820"/>
      <w:bookmarkEnd w:id="60"/>
      <w:bookmarkStart w:id="61" w:name="_Hlt68073093"/>
      <w:bookmarkEnd w:id="61"/>
      <w:r>
        <w:rPr>
          <w:rFonts w:hint="eastAsia" w:ascii="宋体" w:hAnsi="宋体" w:eastAsia="宋体" w:cs="宋体"/>
          <w:b/>
          <w:sz w:val="24"/>
          <w:szCs w:val="24"/>
          <w:highlight w:val="none"/>
        </w:rPr>
        <w:t>和商务技术文件，格式为WORD版和签章后的投标文件正本扫描件PDF版两种。</w:t>
      </w:r>
      <w:r>
        <w:rPr>
          <w:rFonts w:hint="eastAsia" w:ascii="宋体" w:hAnsi="宋体" w:eastAsia="宋体" w:cs="宋体"/>
          <w:sz w:val="24"/>
          <w:szCs w:val="24"/>
          <w:highlight w:val="none"/>
        </w:rPr>
        <w:t>光盘上须注明投标人名称及所投标包及内容。光盘上的内容应与投标人纸制投标文件一致。</w:t>
      </w:r>
    </w:p>
    <w:p>
      <w:pPr>
        <w:snapToGrid w:val="0"/>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18.7</w:t>
      </w:r>
      <w:r>
        <w:rPr>
          <w:rFonts w:hint="eastAsia" w:ascii="宋体" w:hAnsi="宋体" w:eastAsia="宋体" w:cs="宋体"/>
          <w:b/>
          <w:sz w:val="24"/>
          <w:szCs w:val="24"/>
          <w:highlight w:val="none"/>
        </w:rPr>
        <w:t>投</w:t>
      </w:r>
      <w:bookmarkEnd w:id="57"/>
      <w:bookmarkEnd w:id="58"/>
      <w:r>
        <w:rPr>
          <w:rFonts w:hint="eastAsia" w:ascii="宋体" w:hAnsi="宋体" w:eastAsia="宋体" w:cs="宋体"/>
          <w:b/>
          <w:sz w:val="24"/>
          <w:szCs w:val="24"/>
          <w:highlight w:val="none"/>
        </w:rPr>
        <w:t>标人如投多个标包的，应当按照标包编号单独提供每一套投标文件</w:t>
      </w:r>
      <w:r>
        <w:rPr>
          <w:rFonts w:hint="eastAsia" w:ascii="宋体" w:hAnsi="宋体" w:eastAsia="宋体" w:cs="宋体"/>
          <w:sz w:val="24"/>
          <w:szCs w:val="24"/>
          <w:highlight w:val="none"/>
        </w:rPr>
        <w:t>。</w:t>
      </w:r>
      <w:r>
        <w:rPr>
          <w:rFonts w:hint="eastAsia" w:ascii="宋体" w:hAnsi="宋体" w:eastAsia="宋体" w:cs="宋体"/>
          <w:b/>
          <w:sz w:val="24"/>
          <w:szCs w:val="24"/>
          <w:highlight w:val="none"/>
        </w:rPr>
        <w:t>商务技术文件装订成一册，报价文件单独装订成一册，在投标文件封面上列明标包编号，商务技术文件的书脊处须写明投标单位公司全称。否则按照无效响应以处理。</w:t>
      </w:r>
    </w:p>
    <w:p>
      <w:pPr>
        <w:pStyle w:val="6"/>
        <w:rPr>
          <w:highlight w:val="none"/>
        </w:rPr>
      </w:pPr>
      <w:bookmarkStart w:id="62" w:name="_Toc8464"/>
      <w:r>
        <w:rPr>
          <w:rFonts w:hint="eastAsia"/>
          <w:highlight w:val="none"/>
        </w:rPr>
        <w:t>19、投标文件的包装、递交、修改和撤回</w:t>
      </w:r>
      <w:bookmarkEnd w:id="62"/>
    </w:p>
    <w:p>
      <w:pPr>
        <w:adjustRightInd w:val="0"/>
        <w:snapToGrid w:val="0"/>
        <w:spacing w:line="500" w:lineRule="exact"/>
        <w:ind w:firstLine="420"/>
        <w:jc w:val="left"/>
        <w:rPr>
          <w:rFonts w:ascii="宋体" w:hAnsi="宋体" w:eastAsia="宋体" w:cs="宋体"/>
          <w:sz w:val="24"/>
          <w:szCs w:val="24"/>
          <w:highlight w:val="none"/>
        </w:rPr>
      </w:pPr>
      <w:r>
        <w:rPr>
          <w:rFonts w:hint="eastAsia" w:ascii="宋体" w:hAnsi="宋体" w:eastAsia="宋体" w:cs="宋体"/>
          <w:b/>
          <w:bCs/>
          <w:sz w:val="24"/>
          <w:szCs w:val="24"/>
          <w:highlight w:val="none"/>
        </w:rPr>
        <w:t>19.1投标人应将报价文件单独装订成一册，商务文件和技术文件装订成一册,并分别密封包装，电子光盘单独密封并递交，包装封面上应注明“商务技术文件”、“报价文件”、“电子文件”及投标人名称、标包名称、标包编号及内容及“开标时启封”字样，并加盖投标人公章。</w:t>
      </w:r>
    </w:p>
    <w:p>
      <w:pPr>
        <w:pStyle w:val="194"/>
        <w:snapToGrid w:val="0"/>
        <w:spacing w:before="0" w:line="500" w:lineRule="exact"/>
        <w:ind w:left="0" w:firstLine="480" w:firstLineChars="200"/>
        <w:rPr>
          <w:rFonts w:hint="default" w:ascii="宋体" w:hAnsi="宋体" w:eastAsia="宋体" w:cs="宋体"/>
          <w:kern w:val="2"/>
          <w:sz w:val="24"/>
          <w:szCs w:val="24"/>
          <w:highlight w:val="none"/>
          <w:lang w:val="en-US"/>
        </w:rPr>
      </w:pPr>
      <w:r>
        <w:rPr>
          <w:rFonts w:hint="eastAsia" w:ascii="宋体" w:hAnsi="宋体" w:eastAsia="宋体" w:cs="宋体"/>
          <w:kern w:val="2"/>
          <w:sz w:val="24"/>
          <w:szCs w:val="24"/>
          <w:highlight w:val="none"/>
        </w:rPr>
        <w:t>19.2如果投标文件</w:t>
      </w:r>
      <w:r>
        <w:rPr>
          <w:rFonts w:hint="eastAsia" w:ascii="宋体" w:hAnsi="宋体" w:eastAsia="宋体" w:cs="宋体"/>
          <w:kern w:val="2"/>
          <w:sz w:val="24"/>
          <w:szCs w:val="24"/>
          <w:highlight w:val="none"/>
          <w:lang w:val="en-US" w:eastAsia="zh-CN"/>
        </w:rPr>
        <w:t>的包装没有按上述规定密封并加写标志，采购人或采购代理机构将拒绝接收。</w:t>
      </w:r>
    </w:p>
    <w:p>
      <w:pPr>
        <w:pStyle w:val="194"/>
        <w:snapToGrid w:val="0"/>
        <w:spacing w:before="0" w:line="500" w:lineRule="exact"/>
        <w:ind w:left="0" w:firstLine="480" w:firstLineChars="200"/>
        <w:rPr>
          <w:rFonts w:ascii="宋体" w:hAnsi="宋体" w:eastAsia="宋体" w:cs="宋体"/>
          <w:kern w:val="2"/>
          <w:sz w:val="24"/>
          <w:szCs w:val="24"/>
          <w:highlight w:val="none"/>
        </w:rPr>
      </w:pPr>
      <w:r>
        <w:rPr>
          <w:rFonts w:hint="eastAsia" w:ascii="宋体" w:hAnsi="宋体" w:eastAsia="宋体" w:cs="宋体"/>
          <w:kern w:val="2"/>
          <w:sz w:val="24"/>
          <w:szCs w:val="24"/>
          <w:highlight w:val="none"/>
        </w:rPr>
        <w:t>19.3 投标人在投标截止时间之前，可以对已提交的投标文件进行修改或撤回，并书面通知采购代理机构；投标截止时间后，投标人不得撤回、修改投标文件。修改后重新递交的投标文件应当按本招标文件的要求签署、盖章和密封。</w:t>
      </w:r>
    </w:p>
    <w:p>
      <w:pPr>
        <w:pStyle w:val="195"/>
        <w:adjustRightInd w:val="0"/>
        <w:snapToGrid w:val="0"/>
        <w:spacing w:before="0" w:line="500" w:lineRule="exact"/>
        <w:ind w:firstLine="482"/>
        <w:rPr>
          <w:rFonts w:ascii="宋体" w:hAnsi="宋体" w:eastAsia="宋体" w:cs="宋体"/>
          <w:b/>
          <w:szCs w:val="24"/>
          <w:highlight w:val="none"/>
        </w:rPr>
      </w:pPr>
      <w:r>
        <w:rPr>
          <w:rFonts w:hint="eastAsia" w:ascii="宋体" w:hAnsi="宋体" w:eastAsia="宋体" w:cs="宋体"/>
          <w:b/>
          <w:szCs w:val="24"/>
          <w:highlight w:val="none"/>
        </w:rPr>
        <w:t>19.4投标文件有下列情况之一的将不予接受：</w:t>
      </w:r>
    </w:p>
    <w:p>
      <w:pPr>
        <w:pStyle w:val="194"/>
        <w:snapToGrid w:val="0"/>
        <w:spacing w:before="0" w:line="500" w:lineRule="exact"/>
        <w:ind w:left="0" w:firstLine="480" w:firstLineChars="200"/>
        <w:rPr>
          <w:rFonts w:ascii="宋体" w:hAnsi="宋体" w:eastAsia="宋体" w:cs="宋体"/>
          <w:kern w:val="2"/>
          <w:sz w:val="24"/>
          <w:szCs w:val="24"/>
          <w:highlight w:val="none"/>
        </w:rPr>
      </w:pPr>
      <w:r>
        <w:rPr>
          <w:rFonts w:hint="eastAsia" w:ascii="宋体" w:hAnsi="宋体" w:eastAsia="宋体" w:cs="宋体"/>
          <w:kern w:val="2"/>
          <w:sz w:val="24"/>
          <w:szCs w:val="24"/>
          <w:highlight w:val="none"/>
        </w:rPr>
        <w:t>19.4.1在投标文件递交截止时间以后送达的投标文件；</w:t>
      </w:r>
    </w:p>
    <w:p>
      <w:pPr>
        <w:pStyle w:val="18"/>
        <w:adjustRightInd w:val="0"/>
        <w:snapToGrid w:val="0"/>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19.4.2投标文件没有密封包装或者由于包装不妥，在递交时严重破损或失散的投标文件；</w:t>
      </w:r>
    </w:p>
    <w:p>
      <w:pPr>
        <w:pStyle w:val="18"/>
        <w:adjustRightInd w:val="0"/>
        <w:snapToGrid w:val="0"/>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19.4.3投标文件未按19.1条款密封包装的；</w:t>
      </w:r>
    </w:p>
    <w:p>
      <w:pPr>
        <w:pStyle w:val="194"/>
        <w:snapToGrid w:val="0"/>
        <w:spacing w:before="0" w:line="500" w:lineRule="exact"/>
        <w:ind w:left="0" w:firstLine="480" w:firstLineChars="200"/>
        <w:rPr>
          <w:rFonts w:hint="eastAsia" w:ascii="宋体" w:hAnsi="宋体" w:eastAsia="宋体" w:cs="宋体"/>
          <w:kern w:val="2"/>
          <w:sz w:val="24"/>
          <w:szCs w:val="24"/>
          <w:highlight w:val="none"/>
          <w:lang w:eastAsia="zh-CN"/>
        </w:rPr>
      </w:pPr>
      <w:r>
        <w:rPr>
          <w:rFonts w:hint="eastAsia" w:ascii="宋体" w:hAnsi="宋体" w:eastAsia="宋体" w:cs="宋体"/>
          <w:kern w:val="2"/>
          <w:sz w:val="24"/>
          <w:szCs w:val="24"/>
          <w:highlight w:val="none"/>
        </w:rPr>
        <w:t>19.4.4仅以非纸制文本形式的投标文件</w:t>
      </w:r>
      <w:r>
        <w:rPr>
          <w:rFonts w:hint="eastAsia" w:ascii="宋体" w:hAnsi="宋体" w:eastAsia="宋体" w:cs="宋体"/>
          <w:kern w:val="2"/>
          <w:sz w:val="24"/>
          <w:szCs w:val="24"/>
          <w:highlight w:val="none"/>
          <w:lang w:eastAsia="zh-CN"/>
        </w:rPr>
        <w:t>。</w:t>
      </w:r>
    </w:p>
    <w:p>
      <w:pPr>
        <w:pStyle w:val="6"/>
        <w:rPr>
          <w:highlight w:val="none"/>
        </w:rPr>
      </w:pPr>
      <w:bookmarkStart w:id="63" w:name="_Toc5085"/>
      <w:r>
        <w:rPr>
          <w:rFonts w:hint="eastAsia"/>
          <w:highlight w:val="none"/>
        </w:rPr>
        <w:t>20、投标截止期</w:t>
      </w:r>
      <w:bookmarkEnd w:id="63"/>
    </w:p>
    <w:p>
      <w:pPr>
        <w:adjustRightInd w:val="0"/>
        <w:snapToGrid w:val="0"/>
        <w:spacing w:line="500" w:lineRule="exact"/>
        <w:ind w:firstLine="420"/>
        <w:jc w:val="left"/>
        <w:rPr>
          <w:rFonts w:ascii="宋体" w:hAnsi="宋体" w:eastAsia="宋体" w:cs="宋体"/>
          <w:sz w:val="24"/>
          <w:szCs w:val="24"/>
          <w:highlight w:val="none"/>
        </w:rPr>
      </w:pPr>
      <w:r>
        <w:rPr>
          <w:rFonts w:hint="eastAsia" w:ascii="宋体" w:hAnsi="宋体" w:eastAsia="宋体" w:cs="宋体"/>
          <w:sz w:val="24"/>
          <w:szCs w:val="24"/>
          <w:highlight w:val="none"/>
        </w:rPr>
        <w:t>20.1 投标人应按照前附表规定的日期、时间和地点递交投标文件。</w:t>
      </w:r>
    </w:p>
    <w:p>
      <w:pPr>
        <w:adjustRightInd w:val="0"/>
        <w:snapToGrid w:val="0"/>
        <w:spacing w:line="500" w:lineRule="exact"/>
        <w:ind w:firstLine="420"/>
        <w:jc w:val="left"/>
        <w:rPr>
          <w:rFonts w:ascii="宋体" w:hAnsi="宋体" w:eastAsia="宋体" w:cs="宋体"/>
          <w:sz w:val="24"/>
          <w:szCs w:val="24"/>
          <w:highlight w:val="none"/>
        </w:rPr>
      </w:pPr>
      <w:r>
        <w:rPr>
          <w:rFonts w:hint="eastAsia" w:ascii="宋体" w:hAnsi="宋体" w:eastAsia="宋体" w:cs="宋体"/>
          <w:sz w:val="24"/>
          <w:szCs w:val="24"/>
          <w:highlight w:val="none"/>
        </w:rPr>
        <w:t>20.2 采购人将拒绝并原封退回在前附表中规定的截止时间后收到的投标文件。</w:t>
      </w:r>
    </w:p>
    <w:p>
      <w:pPr>
        <w:adjustRightInd w:val="0"/>
        <w:snapToGrid w:val="0"/>
        <w:spacing w:line="500" w:lineRule="exact"/>
        <w:ind w:firstLine="420"/>
        <w:jc w:val="left"/>
        <w:rPr>
          <w:rFonts w:ascii="宋体" w:hAnsi="宋体" w:eastAsia="宋体" w:cs="宋体"/>
          <w:sz w:val="24"/>
          <w:szCs w:val="24"/>
          <w:highlight w:val="none"/>
        </w:rPr>
      </w:pPr>
      <w:r>
        <w:rPr>
          <w:rFonts w:hint="eastAsia" w:ascii="宋体" w:hAnsi="宋体" w:eastAsia="宋体" w:cs="宋体"/>
          <w:sz w:val="24"/>
          <w:szCs w:val="24"/>
          <w:highlight w:val="none"/>
        </w:rPr>
        <w:t>20.3 采购人可以按本须知第12条的规定，通过修改招标文件适当延长投标截止时间。如投标截止时间有延长的，采购人和投标人受投标截止期制约的所有权利和义务均应延长至新的截止期。</w:t>
      </w:r>
    </w:p>
    <w:p>
      <w:pPr>
        <w:pStyle w:val="6"/>
        <w:rPr>
          <w:highlight w:val="none"/>
        </w:rPr>
      </w:pPr>
      <w:bookmarkStart w:id="64" w:name="_Toc11084"/>
      <w:r>
        <w:rPr>
          <w:rFonts w:hint="eastAsia"/>
          <w:highlight w:val="none"/>
        </w:rPr>
        <w:t>21、投标无效的情形</w:t>
      </w:r>
      <w:bookmarkEnd w:id="64"/>
    </w:p>
    <w:p>
      <w:pPr>
        <w:adjustRightInd w:val="0"/>
        <w:snapToGrid w:val="0"/>
        <w:spacing w:line="500" w:lineRule="exact"/>
        <w:ind w:firstLine="480" w:firstLineChars="200"/>
        <w:rPr>
          <w:rFonts w:ascii="宋体" w:hAnsi="宋体" w:eastAsia="宋体" w:cs="宋体"/>
          <w:bCs/>
          <w:sz w:val="24"/>
          <w:szCs w:val="24"/>
          <w:highlight w:val="none"/>
        </w:rPr>
      </w:pPr>
      <w:r>
        <w:rPr>
          <w:rFonts w:hint="eastAsia" w:ascii="宋体" w:hAnsi="宋体" w:eastAsia="宋体" w:cs="宋体"/>
          <w:bCs/>
          <w:sz w:val="24"/>
          <w:szCs w:val="24"/>
          <w:highlight w:val="none"/>
        </w:rPr>
        <w:t>实质上没有响应招标文件要求的投标将被视为无效投标。投标人不得通过修正或撤销不合要求的偏离或保留从而使其投标成为实质上响应的投标。投标人修改、补正投标文件后，不影响评标委员会对其投标文件所作的评价和评分结果。</w:t>
      </w:r>
    </w:p>
    <w:p>
      <w:pPr>
        <w:adjustRightInd w:val="0"/>
        <w:snapToGrid w:val="0"/>
        <w:spacing w:line="500" w:lineRule="exact"/>
        <w:ind w:firstLine="472" w:firstLineChars="196"/>
        <w:rPr>
          <w:rFonts w:ascii="宋体" w:hAnsi="宋体" w:eastAsia="宋体" w:cs="宋体"/>
          <w:b/>
          <w:sz w:val="24"/>
          <w:szCs w:val="24"/>
          <w:highlight w:val="none"/>
        </w:rPr>
      </w:pPr>
      <w:r>
        <w:rPr>
          <w:rFonts w:hint="eastAsia" w:ascii="宋体" w:hAnsi="宋体" w:eastAsia="宋体" w:cs="宋体"/>
          <w:b/>
          <w:sz w:val="24"/>
          <w:szCs w:val="24"/>
          <w:highlight w:val="none"/>
        </w:rPr>
        <w:t>在评审时，如发现下列情形之一的，由评标委员会按少数服从多数原则进行认定，投标文件将被视为无效：</w:t>
      </w:r>
    </w:p>
    <w:p>
      <w:pPr>
        <w:adjustRightInd w:val="0"/>
        <w:snapToGrid w:val="0"/>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21.1 投标方未能提供合格的投标文件；</w:t>
      </w:r>
    </w:p>
    <w:p>
      <w:pPr>
        <w:adjustRightInd w:val="0"/>
        <w:snapToGrid w:val="0"/>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21.2未采用人民币报价或未按招标文件标明的币种或计量单位报价的；</w:t>
      </w:r>
    </w:p>
    <w:p>
      <w:pPr>
        <w:adjustRightInd w:val="0"/>
        <w:snapToGrid w:val="0"/>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21.3投标文件有采购人不能接受的附加条件的；</w:t>
      </w:r>
    </w:p>
    <w:p>
      <w:pPr>
        <w:adjustRightInd w:val="0"/>
        <w:snapToGrid w:val="0"/>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21.4有重大偏离的投标文件；</w:t>
      </w:r>
    </w:p>
    <w:p>
      <w:pPr>
        <w:adjustRightInd w:val="0"/>
        <w:snapToGrid w:val="0"/>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21.5未提供或未如实提供投标货物产品的技术参数；投标文件标明的商务、技术响应或偏离与事实不符或虚假投标的；</w:t>
      </w:r>
    </w:p>
    <w:p>
      <w:pPr>
        <w:adjustRightInd w:val="0"/>
        <w:snapToGrid w:val="0"/>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21.6投标人的报价明显低于其他通过符合性审查投标人的报价，有可能影响产品质量或者不能诚信履约的，投标人又不能在规定时间内作出合理说明或提供相关证明材料；</w:t>
      </w:r>
    </w:p>
    <w:p>
      <w:pPr>
        <w:adjustRightInd w:val="0"/>
        <w:snapToGrid w:val="0"/>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21.7 标包以赠送方式投标的、对一个标包提供两个投标方案或两个报价的；</w:t>
      </w:r>
    </w:p>
    <w:p>
      <w:pPr>
        <w:adjustRightInd w:val="0"/>
        <w:snapToGrid w:val="0"/>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21.8投标文件应盖公章而未盖公章或盖非公司公章、未按照本招标文件要求装订、正副本标书数量不足的、内容字迹严重模糊辨认不清的、未有效授权。</w:t>
      </w:r>
    </w:p>
    <w:p>
      <w:pPr>
        <w:adjustRightInd w:val="0"/>
        <w:snapToGrid w:val="0"/>
        <w:spacing w:line="500" w:lineRule="exact"/>
        <w:ind w:firstLine="480" w:firstLineChars="200"/>
        <w:rPr>
          <w:rFonts w:ascii="宋体" w:hAnsi="宋体" w:eastAsia="宋体" w:cs="宋体"/>
          <w:sz w:val="24"/>
          <w:szCs w:val="24"/>
          <w:highlight w:val="none"/>
        </w:rPr>
      </w:pPr>
      <w:bookmarkStart w:id="65" w:name="_Toc19368"/>
      <w:bookmarkStart w:id="66" w:name="_Toc12370"/>
      <w:r>
        <w:rPr>
          <w:rFonts w:hint="eastAsia" w:ascii="宋体" w:hAnsi="宋体" w:eastAsia="宋体" w:cs="宋体"/>
          <w:sz w:val="24"/>
          <w:szCs w:val="24"/>
          <w:highlight w:val="none"/>
        </w:rPr>
        <w:t>21.9 投标报价超出最高限价的；</w:t>
      </w:r>
    </w:p>
    <w:p>
      <w:pPr>
        <w:adjustRightInd w:val="0"/>
        <w:snapToGrid w:val="0"/>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21.10投标人不能在规定时间内提供原件核实或提供相关证明材料；</w:t>
      </w:r>
    </w:p>
    <w:p>
      <w:pPr>
        <w:adjustRightInd w:val="0"/>
        <w:snapToGrid w:val="0"/>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21.11不符合法律、法规和本招标文件明确规定的其他实质性要求的。</w:t>
      </w:r>
    </w:p>
    <w:p>
      <w:pPr>
        <w:pStyle w:val="5"/>
        <w:rPr>
          <w:highlight w:val="none"/>
        </w:rPr>
      </w:pPr>
      <w:r>
        <w:rPr>
          <w:rFonts w:hint="eastAsia"/>
          <w:highlight w:val="none"/>
        </w:rPr>
        <w:t>四、开标</w:t>
      </w:r>
      <w:bookmarkEnd w:id="65"/>
      <w:bookmarkEnd w:id="66"/>
    </w:p>
    <w:p>
      <w:pPr>
        <w:pStyle w:val="6"/>
        <w:rPr>
          <w:highlight w:val="none"/>
        </w:rPr>
      </w:pPr>
      <w:bookmarkStart w:id="67" w:name="_Toc9510638"/>
      <w:bookmarkStart w:id="68" w:name="_Toc21515"/>
      <w:r>
        <w:rPr>
          <w:rFonts w:hint="eastAsia"/>
          <w:highlight w:val="none"/>
        </w:rPr>
        <w:t>22、开</w:t>
      </w:r>
      <w:bookmarkEnd w:id="67"/>
      <w:r>
        <w:rPr>
          <w:rFonts w:hint="eastAsia"/>
          <w:highlight w:val="none"/>
        </w:rPr>
        <w:t>标准备</w:t>
      </w:r>
      <w:bookmarkEnd w:id="68"/>
    </w:p>
    <w:p>
      <w:pPr>
        <w:adjustRightInd w:val="0"/>
        <w:snapToGrid w:val="0"/>
        <w:spacing w:line="500" w:lineRule="exact"/>
        <w:ind w:firstLine="480" w:firstLineChars="200"/>
        <w:rPr>
          <w:rFonts w:ascii="宋体" w:hAnsi="宋体" w:eastAsia="宋体" w:cs="宋体"/>
          <w:bCs/>
          <w:sz w:val="24"/>
          <w:szCs w:val="24"/>
          <w:highlight w:val="none"/>
        </w:rPr>
      </w:pPr>
      <w:r>
        <w:rPr>
          <w:rFonts w:hint="eastAsia" w:ascii="宋体" w:hAnsi="宋体" w:eastAsia="宋体" w:cs="宋体"/>
          <w:bCs/>
          <w:sz w:val="24"/>
          <w:szCs w:val="24"/>
          <w:highlight w:val="none"/>
        </w:rPr>
        <w:t>22.1 采购代理机构将在规定的时间和地点进行开标，投标人的法定代表人</w:t>
      </w:r>
      <w:r>
        <w:rPr>
          <w:rFonts w:hint="eastAsia" w:ascii="宋体" w:hAnsi="宋体" w:eastAsia="宋体" w:cs="宋体"/>
          <w:sz w:val="24"/>
          <w:szCs w:val="24"/>
          <w:highlight w:val="none"/>
        </w:rPr>
        <w:t>（负责人、自然人）</w:t>
      </w:r>
      <w:r>
        <w:rPr>
          <w:rFonts w:hint="eastAsia" w:ascii="宋体" w:hAnsi="宋体" w:eastAsia="宋体" w:cs="宋体"/>
          <w:bCs/>
          <w:sz w:val="24"/>
          <w:szCs w:val="24"/>
          <w:highlight w:val="none"/>
        </w:rPr>
        <w:t>或其授权代表应参加开标会并签到。</w:t>
      </w:r>
    </w:p>
    <w:p>
      <w:pPr>
        <w:adjustRightInd w:val="0"/>
        <w:snapToGrid w:val="0"/>
        <w:spacing w:line="500" w:lineRule="exact"/>
        <w:ind w:firstLine="480" w:firstLineChars="200"/>
        <w:rPr>
          <w:rFonts w:ascii="宋体" w:hAnsi="宋体" w:eastAsia="宋体" w:cs="宋体"/>
          <w:bCs/>
          <w:sz w:val="24"/>
          <w:szCs w:val="24"/>
          <w:highlight w:val="none"/>
        </w:rPr>
      </w:pPr>
      <w:r>
        <w:rPr>
          <w:rFonts w:hint="eastAsia" w:ascii="宋体" w:hAnsi="宋体" w:eastAsia="宋体" w:cs="宋体"/>
          <w:bCs/>
          <w:sz w:val="24"/>
          <w:szCs w:val="24"/>
          <w:highlight w:val="none"/>
        </w:rPr>
        <w:t>22.2参加开标的投标人的法定代表人</w:t>
      </w:r>
      <w:r>
        <w:rPr>
          <w:rFonts w:hint="eastAsia" w:ascii="宋体" w:hAnsi="宋体" w:eastAsia="宋体" w:cs="宋体"/>
          <w:sz w:val="24"/>
          <w:szCs w:val="24"/>
          <w:highlight w:val="none"/>
        </w:rPr>
        <w:t>（负责人、自然人）</w:t>
      </w:r>
      <w:r>
        <w:rPr>
          <w:rFonts w:hint="eastAsia" w:ascii="宋体" w:hAnsi="宋体" w:eastAsia="宋体" w:cs="宋体"/>
          <w:bCs/>
          <w:sz w:val="24"/>
          <w:szCs w:val="24"/>
          <w:highlight w:val="none"/>
        </w:rPr>
        <w:t>或其授权代表须携带本人有效身份证明原件（身份证或公安机关出具的临时身份证明）和法定代表人</w:t>
      </w:r>
      <w:r>
        <w:rPr>
          <w:rFonts w:hint="eastAsia" w:ascii="宋体" w:hAnsi="宋体" w:eastAsia="宋体" w:cs="宋体"/>
          <w:sz w:val="24"/>
          <w:szCs w:val="24"/>
          <w:highlight w:val="none"/>
        </w:rPr>
        <w:t>（负责人、自然人）</w:t>
      </w:r>
      <w:r>
        <w:rPr>
          <w:rFonts w:hint="eastAsia" w:ascii="宋体" w:hAnsi="宋体" w:eastAsia="宋体" w:cs="宋体"/>
          <w:bCs/>
          <w:sz w:val="24"/>
          <w:szCs w:val="24"/>
          <w:highlight w:val="none"/>
        </w:rPr>
        <w:t>资格证明或法定代表人</w:t>
      </w:r>
      <w:r>
        <w:rPr>
          <w:rFonts w:hint="eastAsia" w:ascii="宋体" w:hAnsi="宋体" w:eastAsia="宋体" w:cs="宋体"/>
          <w:sz w:val="24"/>
          <w:szCs w:val="24"/>
          <w:highlight w:val="none"/>
        </w:rPr>
        <w:t>（负责人、自然人）</w:t>
      </w:r>
      <w:r>
        <w:rPr>
          <w:rFonts w:hint="eastAsia" w:ascii="宋体" w:hAnsi="宋体" w:eastAsia="宋体" w:cs="宋体"/>
          <w:bCs/>
          <w:sz w:val="24"/>
          <w:szCs w:val="24"/>
          <w:highlight w:val="none"/>
        </w:rPr>
        <w:t>授权委托书原件，投标人代表未对开标结果签字确认或者拒绝签字确认的，不影响评标过程。</w:t>
      </w:r>
    </w:p>
    <w:p>
      <w:pPr>
        <w:pStyle w:val="6"/>
        <w:rPr>
          <w:highlight w:val="none"/>
        </w:rPr>
      </w:pPr>
      <w:bookmarkStart w:id="69" w:name="_Toc26159"/>
      <w:r>
        <w:rPr>
          <w:rFonts w:hint="eastAsia"/>
          <w:highlight w:val="none"/>
        </w:rPr>
        <w:t>23、开标程序：</w:t>
      </w:r>
      <w:bookmarkEnd w:id="69"/>
    </w:p>
    <w:p>
      <w:pPr>
        <w:adjustRightInd w:val="0"/>
        <w:snapToGrid w:val="0"/>
        <w:spacing w:line="500" w:lineRule="exact"/>
        <w:ind w:firstLine="523" w:firstLineChars="218"/>
        <w:rPr>
          <w:rFonts w:ascii="宋体" w:hAnsi="宋体" w:eastAsia="宋体" w:cs="宋体"/>
          <w:bCs/>
          <w:sz w:val="24"/>
          <w:szCs w:val="24"/>
          <w:highlight w:val="none"/>
        </w:rPr>
      </w:pPr>
      <w:r>
        <w:rPr>
          <w:rFonts w:hint="eastAsia" w:ascii="宋体" w:hAnsi="宋体" w:eastAsia="宋体" w:cs="宋体"/>
          <w:bCs/>
          <w:sz w:val="24"/>
          <w:szCs w:val="24"/>
          <w:highlight w:val="none"/>
        </w:rPr>
        <w:t>23.1 开标会由采购代理机构主持，主持人宣布开标会议开始；</w:t>
      </w:r>
    </w:p>
    <w:p>
      <w:pPr>
        <w:adjustRightInd w:val="0"/>
        <w:snapToGrid w:val="0"/>
        <w:spacing w:line="500" w:lineRule="exact"/>
        <w:ind w:firstLine="523" w:firstLineChars="218"/>
        <w:rPr>
          <w:rFonts w:ascii="宋体" w:hAnsi="宋体" w:eastAsia="宋体" w:cs="宋体"/>
          <w:bCs/>
          <w:sz w:val="24"/>
          <w:szCs w:val="24"/>
          <w:highlight w:val="none"/>
        </w:rPr>
      </w:pPr>
      <w:r>
        <w:rPr>
          <w:rFonts w:hint="eastAsia" w:ascii="宋体" w:hAnsi="宋体" w:eastAsia="宋体" w:cs="宋体"/>
          <w:bCs/>
          <w:sz w:val="24"/>
          <w:szCs w:val="24"/>
          <w:highlight w:val="none"/>
        </w:rPr>
        <w:t>23.2 主持人介绍参加开标会的投标人名单；</w:t>
      </w:r>
    </w:p>
    <w:p>
      <w:pPr>
        <w:adjustRightInd w:val="0"/>
        <w:snapToGrid w:val="0"/>
        <w:spacing w:line="500" w:lineRule="exact"/>
        <w:ind w:firstLine="523" w:firstLineChars="218"/>
        <w:rPr>
          <w:rFonts w:ascii="宋体" w:hAnsi="宋体" w:eastAsia="宋体" w:cs="宋体"/>
          <w:bCs/>
          <w:sz w:val="24"/>
          <w:szCs w:val="24"/>
          <w:highlight w:val="none"/>
        </w:rPr>
      </w:pPr>
      <w:bookmarkStart w:id="70" w:name="_Toc14026"/>
      <w:r>
        <w:rPr>
          <w:rFonts w:hint="eastAsia" w:ascii="宋体" w:hAnsi="宋体" w:eastAsia="宋体" w:cs="宋体"/>
          <w:bCs/>
          <w:sz w:val="24"/>
          <w:szCs w:val="24"/>
          <w:highlight w:val="none"/>
        </w:rPr>
        <w:t>23.3投标人法定代表人</w:t>
      </w:r>
      <w:r>
        <w:rPr>
          <w:rFonts w:hint="eastAsia" w:ascii="宋体" w:hAnsi="宋体" w:eastAsia="宋体" w:cs="宋体"/>
          <w:sz w:val="24"/>
          <w:szCs w:val="24"/>
          <w:highlight w:val="none"/>
        </w:rPr>
        <w:t>（负责人、自然人）</w:t>
      </w:r>
      <w:r>
        <w:rPr>
          <w:rFonts w:hint="eastAsia" w:ascii="宋体" w:hAnsi="宋体" w:eastAsia="宋体" w:cs="宋体"/>
          <w:bCs/>
          <w:sz w:val="24"/>
          <w:szCs w:val="24"/>
          <w:highlight w:val="none"/>
        </w:rPr>
        <w:t>或其授权代表人，及采购人监督代表、公证员/律师（如有）检查投标文件密封的完整性并签字确认；</w:t>
      </w:r>
    </w:p>
    <w:p>
      <w:pPr>
        <w:adjustRightInd w:val="0"/>
        <w:snapToGrid w:val="0"/>
        <w:spacing w:line="500" w:lineRule="exact"/>
        <w:ind w:firstLine="523" w:firstLineChars="218"/>
        <w:rPr>
          <w:rFonts w:ascii="宋体" w:hAnsi="宋体" w:eastAsia="宋体" w:cs="宋体"/>
          <w:bCs/>
          <w:sz w:val="24"/>
          <w:szCs w:val="24"/>
          <w:highlight w:val="none"/>
        </w:rPr>
      </w:pPr>
      <w:r>
        <w:rPr>
          <w:rFonts w:hint="eastAsia" w:ascii="宋体" w:hAnsi="宋体" w:eastAsia="宋体" w:cs="宋体"/>
          <w:bCs/>
          <w:sz w:val="24"/>
          <w:szCs w:val="24"/>
          <w:highlight w:val="none"/>
        </w:rPr>
        <w:t>23.4开标时，核对授权代表身份后清点投标文件的正副本及电子文件，然后按递交标书的顺序进行唱标，采购人或采购代理机构工作人员即当众拆封，宣读《开标一览表》的内容并做记录；</w:t>
      </w:r>
    </w:p>
    <w:p>
      <w:pPr>
        <w:pStyle w:val="195"/>
        <w:adjustRightInd w:val="0"/>
        <w:snapToGrid w:val="0"/>
        <w:spacing w:before="0" w:line="500" w:lineRule="exact"/>
        <w:ind w:firstLine="480"/>
        <w:rPr>
          <w:rFonts w:ascii="宋体" w:hAnsi="宋体" w:eastAsia="宋体" w:cs="宋体"/>
          <w:bCs/>
          <w:szCs w:val="24"/>
          <w:highlight w:val="none"/>
        </w:rPr>
      </w:pPr>
      <w:r>
        <w:rPr>
          <w:rFonts w:hint="eastAsia" w:ascii="宋体" w:hAnsi="宋体" w:eastAsia="宋体" w:cs="宋体"/>
          <w:bCs/>
          <w:szCs w:val="24"/>
          <w:highlight w:val="none"/>
        </w:rPr>
        <w:t>23.5开标后投标人代表当场对开标结果进行签字确认，投标人代表未在开标记录上签字的，均视为对开标结果予以默认；</w:t>
      </w:r>
    </w:p>
    <w:p>
      <w:pPr>
        <w:adjustRightInd w:val="0"/>
        <w:snapToGrid w:val="0"/>
        <w:spacing w:line="500" w:lineRule="exact"/>
        <w:ind w:firstLine="523" w:firstLineChars="218"/>
        <w:rPr>
          <w:rFonts w:ascii="宋体" w:hAnsi="宋体" w:eastAsia="宋体" w:cs="宋体"/>
          <w:bCs/>
          <w:szCs w:val="24"/>
          <w:highlight w:val="none"/>
        </w:rPr>
      </w:pPr>
      <w:r>
        <w:rPr>
          <w:rFonts w:hint="eastAsia" w:ascii="宋体" w:hAnsi="宋体" w:eastAsia="宋体" w:cs="宋体"/>
          <w:bCs/>
          <w:sz w:val="24"/>
          <w:szCs w:val="24"/>
          <w:highlight w:val="none"/>
        </w:rPr>
        <w:t>23.6投标人代表对开标过程和开标记录有异议，以及认为采购人、采购代理机构相关工作人员有需要回避的情形的，应当场提出询问或者回避申请，采购人、采购代理机构将对投标人代表提出的询问或者回避申请及时处理。</w:t>
      </w:r>
    </w:p>
    <w:p>
      <w:pPr>
        <w:pStyle w:val="6"/>
        <w:rPr>
          <w:highlight w:val="none"/>
        </w:rPr>
      </w:pPr>
      <w:r>
        <w:rPr>
          <w:rFonts w:hint="eastAsia"/>
          <w:highlight w:val="none"/>
        </w:rPr>
        <w:t>24、资格审查</w:t>
      </w:r>
      <w:bookmarkEnd w:id="70"/>
    </w:p>
    <w:p>
      <w:pPr>
        <w:adjustRightInd w:val="0"/>
        <w:snapToGrid w:val="0"/>
        <w:spacing w:line="500" w:lineRule="exact"/>
        <w:ind w:firstLine="523" w:firstLineChars="218"/>
        <w:rPr>
          <w:rFonts w:ascii="宋体" w:hAnsi="宋体" w:eastAsia="宋体" w:cs="宋体"/>
          <w:bCs/>
          <w:sz w:val="24"/>
          <w:szCs w:val="24"/>
          <w:highlight w:val="none"/>
        </w:rPr>
      </w:pPr>
      <w:bookmarkStart w:id="71" w:name="_Toc21778"/>
      <w:bookmarkStart w:id="72" w:name="_Toc25332"/>
      <w:r>
        <w:rPr>
          <w:rFonts w:hint="eastAsia" w:ascii="宋体" w:hAnsi="宋体" w:eastAsia="宋体" w:cs="宋体"/>
          <w:bCs/>
          <w:sz w:val="24"/>
          <w:szCs w:val="24"/>
          <w:highlight w:val="none"/>
        </w:rPr>
        <w:t>公开招标采购项目开标结束后，采购人或者采购代理机构应当依法对投标人的资格进行审查。</w:t>
      </w:r>
    </w:p>
    <w:p>
      <w:pPr>
        <w:pStyle w:val="30"/>
        <w:rPr>
          <w:highlight w:val="none"/>
        </w:rPr>
      </w:pPr>
    </w:p>
    <w:tbl>
      <w:tblPr>
        <w:tblStyle w:val="38"/>
        <w:tblpPr w:leftFromText="180" w:rightFromText="180" w:vertAnchor="text" w:horzAnchor="page" w:tblpX="1698" w:tblpY="208"/>
        <w:tblOverlap w:val="never"/>
        <w:tblW w:w="8696" w:type="dxa"/>
        <w:tblInd w:w="0" w:type="dxa"/>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
      <w:tblGrid>
        <w:gridCol w:w="889"/>
        <w:gridCol w:w="7807"/>
      </w:tblGrid>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06" w:hRule="atLeast"/>
        </w:trPr>
        <w:tc>
          <w:tcPr>
            <w:tcW w:w="889"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snapToGrid w:val="0"/>
              <w:spacing w:line="40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序号</w:t>
            </w:r>
          </w:p>
        </w:tc>
        <w:tc>
          <w:tcPr>
            <w:tcW w:w="7807" w:type="dxa"/>
            <w:tcBorders>
              <w:top w:val="single" w:color="auto" w:sz="8" w:space="0"/>
              <w:left w:val="nil"/>
              <w:bottom w:val="single" w:color="auto" w:sz="8" w:space="0"/>
              <w:right w:val="single" w:color="auto" w:sz="8" w:space="0"/>
            </w:tcBorders>
            <w:tcMar>
              <w:left w:w="108" w:type="dxa"/>
              <w:right w:w="108" w:type="dxa"/>
            </w:tcMar>
            <w:vAlign w:val="center"/>
          </w:tcPr>
          <w:p>
            <w:pPr>
              <w:snapToGrid w:val="0"/>
              <w:spacing w:line="40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审查</w:t>
            </w:r>
            <w:r>
              <w:rPr>
                <w:rFonts w:hint="eastAsia" w:ascii="宋体" w:hAnsi="宋体" w:eastAsia="宋体" w:cs="宋体"/>
                <w:bCs/>
                <w:sz w:val="24"/>
                <w:szCs w:val="24"/>
                <w:highlight w:val="none"/>
              </w:rPr>
              <w:t>内容</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624" w:hRule="atLeast"/>
        </w:trPr>
        <w:tc>
          <w:tcPr>
            <w:tcW w:w="889" w:type="dxa"/>
            <w:tcBorders>
              <w:top w:val="nil"/>
              <w:left w:val="single" w:color="auto" w:sz="8" w:space="0"/>
              <w:bottom w:val="single" w:color="auto" w:sz="8" w:space="0"/>
              <w:right w:val="single" w:color="auto" w:sz="8" w:space="0"/>
            </w:tcBorders>
            <w:tcMar>
              <w:left w:w="108" w:type="dxa"/>
              <w:right w:w="108" w:type="dxa"/>
            </w:tcMar>
            <w:vAlign w:val="center"/>
          </w:tcPr>
          <w:p>
            <w:pPr>
              <w:snapToGrid w:val="0"/>
              <w:spacing w:line="400" w:lineRule="exact"/>
              <w:jc w:val="center"/>
              <w:rPr>
                <w:rFonts w:ascii="宋体" w:hAnsi="宋体" w:eastAsia="宋体" w:cs="宋体"/>
                <w:sz w:val="24"/>
                <w:szCs w:val="24"/>
                <w:highlight w:val="none"/>
              </w:rPr>
            </w:pPr>
            <w:r>
              <w:rPr>
                <w:rFonts w:ascii="宋体" w:hAnsi="宋体" w:eastAsia="宋体" w:cs="宋体"/>
                <w:sz w:val="24"/>
                <w:szCs w:val="24"/>
                <w:highlight w:val="none"/>
              </w:rPr>
              <w:t>1</w:t>
            </w:r>
          </w:p>
        </w:tc>
        <w:tc>
          <w:tcPr>
            <w:tcW w:w="7807" w:type="dxa"/>
            <w:tcBorders>
              <w:top w:val="nil"/>
              <w:left w:val="nil"/>
              <w:bottom w:val="single" w:color="auto" w:sz="8" w:space="0"/>
              <w:right w:val="single" w:color="auto" w:sz="8" w:space="0"/>
            </w:tcBorders>
            <w:tcMar>
              <w:left w:w="108" w:type="dxa"/>
              <w:right w:w="108" w:type="dxa"/>
            </w:tcMar>
            <w:vAlign w:val="center"/>
          </w:tcPr>
          <w:p>
            <w:pPr>
              <w:snapToGrid w:val="0"/>
              <w:spacing w:line="400" w:lineRule="exact"/>
              <w:rPr>
                <w:rFonts w:ascii="宋体" w:hAnsi="宋体" w:cs="宋体"/>
                <w:sz w:val="24"/>
                <w:szCs w:val="24"/>
                <w:highlight w:val="none"/>
              </w:rPr>
            </w:pPr>
            <w:r>
              <w:rPr>
                <w:rFonts w:hint="eastAsia" w:ascii="宋体" w:hAnsi="宋体" w:cs="宋体"/>
                <w:sz w:val="24"/>
                <w:szCs w:val="24"/>
                <w:highlight w:val="none"/>
              </w:rPr>
              <w:t>符合《中华人民共和国政府采购法》第二十二条的相关规定。</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624" w:hRule="atLeast"/>
        </w:trPr>
        <w:tc>
          <w:tcPr>
            <w:tcW w:w="889" w:type="dxa"/>
            <w:tcBorders>
              <w:top w:val="nil"/>
              <w:left w:val="single" w:color="auto" w:sz="8" w:space="0"/>
              <w:bottom w:val="single" w:color="auto" w:sz="8" w:space="0"/>
              <w:right w:val="single" w:color="auto" w:sz="8" w:space="0"/>
            </w:tcBorders>
            <w:tcMar>
              <w:left w:w="108" w:type="dxa"/>
              <w:right w:w="108" w:type="dxa"/>
            </w:tcMar>
            <w:vAlign w:val="center"/>
          </w:tcPr>
          <w:p>
            <w:pPr>
              <w:snapToGrid w:val="0"/>
              <w:spacing w:line="400" w:lineRule="exact"/>
              <w:jc w:val="center"/>
              <w:rPr>
                <w:rFonts w:ascii="宋体" w:hAnsi="宋体" w:eastAsia="宋体" w:cs="宋体"/>
                <w:sz w:val="24"/>
                <w:szCs w:val="24"/>
                <w:highlight w:val="none"/>
              </w:rPr>
            </w:pPr>
            <w:r>
              <w:rPr>
                <w:rFonts w:ascii="宋体" w:hAnsi="宋体" w:eastAsia="宋体" w:cs="宋体"/>
                <w:sz w:val="24"/>
                <w:szCs w:val="24"/>
                <w:highlight w:val="none"/>
              </w:rPr>
              <w:t>2</w:t>
            </w:r>
          </w:p>
        </w:tc>
        <w:tc>
          <w:tcPr>
            <w:tcW w:w="7807" w:type="dxa"/>
            <w:tcBorders>
              <w:top w:val="nil"/>
              <w:left w:val="nil"/>
              <w:bottom w:val="single" w:color="auto" w:sz="8" w:space="0"/>
              <w:right w:val="single" w:color="auto" w:sz="8" w:space="0"/>
            </w:tcBorders>
            <w:tcMar>
              <w:left w:w="108" w:type="dxa"/>
              <w:right w:w="108" w:type="dxa"/>
            </w:tcMar>
            <w:vAlign w:val="center"/>
          </w:tcPr>
          <w:p>
            <w:pPr>
              <w:snapToGrid w:val="0"/>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与采购人存在利害关系可能影响招标公正性的法人、其他组织或者个人，不得参加同一标段投标或者未划分标段的同一招标项目投标。</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964" w:hRule="atLeast"/>
        </w:trPr>
        <w:tc>
          <w:tcPr>
            <w:tcW w:w="889" w:type="dxa"/>
            <w:tcBorders>
              <w:top w:val="nil"/>
              <w:left w:val="single" w:color="auto" w:sz="8" w:space="0"/>
              <w:bottom w:val="single" w:color="auto" w:sz="8" w:space="0"/>
              <w:right w:val="single" w:color="auto" w:sz="8" w:space="0"/>
            </w:tcBorders>
            <w:tcMar>
              <w:left w:w="108" w:type="dxa"/>
              <w:right w:w="108" w:type="dxa"/>
            </w:tcMar>
            <w:vAlign w:val="center"/>
          </w:tcPr>
          <w:p>
            <w:pPr>
              <w:snapToGrid w:val="0"/>
              <w:spacing w:line="400" w:lineRule="exact"/>
              <w:jc w:val="center"/>
              <w:rPr>
                <w:rFonts w:ascii="宋体" w:hAnsi="宋体" w:eastAsia="宋体" w:cs="宋体"/>
                <w:sz w:val="24"/>
                <w:szCs w:val="24"/>
                <w:highlight w:val="none"/>
              </w:rPr>
            </w:pPr>
            <w:r>
              <w:rPr>
                <w:rFonts w:ascii="宋体" w:hAnsi="宋体" w:eastAsia="宋体" w:cs="宋体"/>
                <w:sz w:val="24"/>
                <w:szCs w:val="24"/>
                <w:highlight w:val="none"/>
              </w:rPr>
              <w:t>3</w:t>
            </w:r>
          </w:p>
        </w:tc>
        <w:tc>
          <w:tcPr>
            <w:tcW w:w="7807" w:type="dxa"/>
            <w:tcBorders>
              <w:top w:val="nil"/>
              <w:left w:val="nil"/>
              <w:bottom w:val="single" w:color="auto" w:sz="8" w:space="0"/>
              <w:right w:val="single" w:color="auto" w:sz="8" w:space="0"/>
            </w:tcBorders>
            <w:tcMar>
              <w:left w:w="108" w:type="dxa"/>
              <w:right w:w="108" w:type="dxa"/>
            </w:tcMar>
            <w:vAlign w:val="center"/>
          </w:tcPr>
          <w:p>
            <w:pPr>
              <w:snapToGrid w:val="0"/>
              <w:spacing w:line="400" w:lineRule="exact"/>
              <w:rPr>
                <w:rFonts w:ascii="宋体" w:hAnsi="宋体" w:cs="宋体"/>
                <w:sz w:val="24"/>
                <w:szCs w:val="24"/>
                <w:highlight w:val="none"/>
              </w:rPr>
            </w:pPr>
            <w:r>
              <w:rPr>
                <w:rFonts w:hint="eastAsia" w:ascii="宋体" w:hAnsi="宋体" w:cs="宋体"/>
                <w:sz w:val="24"/>
                <w:szCs w:val="24"/>
                <w:highlight w:val="none"/>
              </w:rPr>
              <w:t>投标单位负责人为同一人或者存在直接控股、管理关系的不同投标人不得参加同一合同项下的采购活动。</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1036" w:hRule="atLeast"/>
        </w:trPr>
        <w:tc>
          <w:tcPr>
            <w:tcW w:w="889" w:type="dxa"/>
            <w:tcBorders>
              <w:top w:val="nil"/>
              <w:left w:val="single" w:color="auto" w:sz="8" w:space="0"/>
              <w:bottom w:val="single" w:color="auto" w:sz="8" w:space="0"/>
              <w:right w:val="single" w:color="auto" w:sz="8" w:space="0"/>
            </w:tcBorders>
            <w:tcMar>
              <w:left w:w="108" w:type="dxa"/>
              <w:right w:w="108" w:type="dxa"/>
            </w:tcMar>
            <w:vAlign w:val="center"/>
          </w:tcPr>
          <w:p>
            <w:pPr>
              <w:snapToGrid w:val="0"/>
              <w:spacing w:line="400" w:lineRule="exact"/>
              <w:jc w:val="center"/>
              <w:rPr>
                <w:rFonts w:ascii="宋体" w:hAnsi="宋体" w:eastAsia="宋体" w:cs="宋体"/>
                <w:sz w:val="24"/>
                <w:szCs w:val="24"/>
                <w:highlight w:val="none"/>
              </w:rPr>
            </w:pPr>
            <w:r>
              <w:rPr>
                <w:rFonts w:ascii="宋体" w:hAnsi="宋体" w:eastAsia="宋体" w:cs="宋体"/>
                <w:sz w:val="24"/>
                <w:szCs w:val="24"/>
                <w:highlight w:val="none"/>
              </w:rPr>
              <w:t>4</w:t>
            </w:r>
          </w:p>
        </w:tc>
        <w:tc>
          <w:tcPr>
            <w:tcW w:w="7807" w:type="dxa"/>
            <w:tcBorders>
              <w:top w:val="nil"/>
              <w:left w:val="nil"/>
              <w:bottom w:val="single" w:color="auto" w:sz="8" w:space="0"/>
              <w:right w:val="single" w:color="auto" w:sz="8" w:space="0"/>
            </w:tcBorders>
            <w:tcMar>
              <w:left w:w="108" w:type="dxa"/>
              <w:right w:w="108" w:type="dxa"/>
            </w:tcMar>
            <w:vAlign w:val="center"/>
          </w:tcPr>
          <w:p>
            <w:pPr>
              <w:snapToGrid w:val="0"/>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投标单位未被列入失信被执行人、重大税收违法案件当事人名单、政府采购严重违法失信行为记录名单。</w:t>
            </w:r>
          </w:p>
          <w:p>
            <w:pPr>
              <w:snapToGrid w:val="0"/>
              <w:spacing w:line="400" w:lineRule="exact"/>
              <w:rPr>
                <w:rFonts w:ascii="宋体" w:hAnsi="宋体" w:cs="宋体"/>
                <w:sz w:val="24"/>
                <w:szCs w:val="24"/>
                <w:highlight w:val="none"/>
              </w:rPr>
            </w:pPr>
            <w:r>
              <w:rPr>
                <w:rFonts w:hint="eastAsia" w:ascii="宋体" w:hAnsi="宋体" w:eastAsia="宋体" w:cs="宋体"/>
                <w:sz w:val="24"/>
                <w:szCs w:val="24"/>
                <w:highlight w:val="none"/>
              </w:rPr>
              <w:t>注：开标当天采购代理机构将通过“信用中国”网站（</w:t>
            </w:r>
            <w:r>
              <w:rPr>
                <w:rFonts w:hint="eastAsia" w:ascii="宋体" w:hAnsi="宋体" w:eastAsia="宋体" w:cs="宋体"/>
                <w:spacing w:val="-34"/>
                <w:sz w:val="24"/>
                <w:szCs w:val="24"/>
                <w:highlight w:val="none"/>
              </w:rPr>
              <w:t>www.creditchina.gov.cn</w:t>
            </w:r>
            <w:r>
              <w:rPr>
                <w:rFonts w:hint="eastAsia" w:ascii="宋体" w:hAnsi="宋体" w:eastAsia="宋体" w:cs="宋体"/>
                <w:sz w:val="24"/>
                <w:szCs w:val="24"/>
                <w:highlight w:val="none"/>
              </w:rPr>
              <w:t>）和中国政府采购网（</w:t>
            </w:r>
            <w:r>
              <w:rPr>
                <w:rFonts w:hint="eastAsia" w:ascii="宋体" w:hAnsi="宋体" w:eastAsia="宋体" w:cs="宋体"/>
                <w:spacing w:val="-34"/>
                <w:sz w:val="24"/>
                <w:szCs w:val="24"/>
                <w:highlight w:val="none"/>
              </w:rPr>
              <w:t>www.ccgp.gov.cn</w:t>
            </w:r>
            <w:r>
              <w:rPr>
                <w:rFonts w:hint="eastAsia" w:ascii="宋体" w:hAnsi="宋体" w:eastAsia="宋体" w:cs="宋体"/>
                <w:sz w:val="24"/>
                <w:szCs w:val="24"/>
                <w:highlight w:val="none"/>
              </w:rPr>
              <w:t>）对投标人的信用信息进行查询，查询截止时间点即投标截止时间。</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90" w:hRule="atLeast"/>
        </w:trPr>
        <w:tc>
          <w:tcPr>
            <w:tcW w:w="889" w:type="dxa"/>
            <w:tcBorders>
              <w:top w:val="nil"/>
              <w:left w:val="single" w:color="auto" w:sz="8" w:space="0"/>
              <w:bottom w:val="single" w:color="auto" w:sz="8" w:space="0"/>
              <w:right w:val="single" w:color="auto" w:sz="8" w:space="0"/>
            </w:tcBorders>
            <w:tcMar>
              <w:left w:w="108" w:type="dxa"/>
              <w:right w:w="108" w:type="dxa"/>
            </w:tcMar>
            <w:vAlign w:val="center"/>
          </w:tcPr>
          <w:p>
            <w:pPr>
              <w:snapToGrid w:val="0"/>
              <w:spacing w:line="400" w:lineRule="exact"/>
              <w:jc w:val="center"/>
              <w:rPr>
                <w:rFonts w:ascii="宋体" w:hAnsi="宋体" w:eastAsia="宋体" w:cs="宋体"/>
                <w:sz w:val="24"/>
                <w:szCs w:val="24"/>
                <w:highlight w:val="none"/>
              </w:rPr>
            </w:pPr>
            <w:r>
              <w:rPr>
                <w:rFonts w:ascii="宋体" w:hAnsi="宋体" w:eastAsia="宋体" w:cs="宋体"/>
                <w:sz w:val="24"/>
                <w:szCs w:val="24"/>
                <w:highlight w:val="none"/>
              </w:rPr>
              <w:t>5</w:t>
            </w:r>
          </w:p>
        </w:tc>
        <w:tc>
          <w:tcPr>
            <w:tcW w:w="7807" w:type="dxa"/>
            <w:tcBorders>
              <w:top w:val="nil"/>
              <w:left w:val="nil"/>
              <w:bottom w:val="single" w:color="auto" w:sz="8" w:space="0"/>
              <w:right w:val="single" w:color="auto" w:sz="8" w:space="0"/>
            </w:tcBorders>
            <w:tcMar>
              <w:left w:w="108" w:type="dxa"/>
              <w:right w:w="108" w:type="dxa"/>
            </w:tcMar>
            <w:vAlign w:val="center"/>
          </w:tcPr>
          <w:p>
            <w:pPr>
              <w:snapToGrid w:val="0"/>
              <w:spacing w:line="400" w:lineRule="exact"/>
              <w:rPr>
                <w:rFonts w:ascii="宋体" w:hAnsi="宋体" w:cs="宋体"/>
                <w:sz w:val="24"/>
                <w:szCs w:val="24"/>
                <w:highlight w:val="none"/>
              </w:rPr>
            </w:pPr>
            <w:r>
              <w:rPr>
                <w:rFonts w:hint="eastAsia" w:ascii="宋体" w:hAnsi="宋体" w:cs="宋体"/>
                <w:sz w:val="24"/>
                <w:szCs w:val="24"/>
                <w:highlight w:val="none"/>
              </w:rPr>
              <w:t>按招标文件要求缴纳了投标保证金。</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1180" w:hRule="atLeast"/>
        </w:trPr>
        <w:tc>
          <w:tcPr>
            <w:tcW w:w="8696" w:type="dxa"/>
            <w:gridSpan w:val="2"/>
            <w:tcBorders>
              <w:top w:val="nil"/>
              <w:left w:val="single" w:color="auto" w:sz="8" w:space="0"/>
              <w:bottom w:val="single" w:color="auto" w:sz="8" w:space="0"/>
              <w:right w:val="single" w:color="auto" w:sz="8" w:space="0"/>
            </w:tcBorders>
            <w:tcMar>
              <w:left w:w="108" w:type="dxa"/>
              <w:right w:w="108" w:type="dxa"/>
            </w:tcMar>
            <w:vAlign w:val="center"/>
          </w:tcPr>
          <w:p>
            <w:pPr>
              <w:adjustRightInd w:val="0"/>
              <w:snapToGrid w:val="0"/>
              <w:spacing w:line="400" w:lineRule="exact"/>
              <w:ind w:firstLine="33" w:firstLineChars="14"/>
              <w:rPr>
                <w:rFonts w:ascii="宋体" w:hAnsi="宋体" w:cs="宋体"/>
                <w:sz w:val="24"/>
                <w:szCs w:val="24"/>
                <w:highlight w:val="none"/>
              </w:rPr>
            </w:pPr>
            <w:r>
              <w:rPr>
                <w:rFonts w:hint="eastAsia" w:ascii="宋体" w:hAnsi="宋体" w:cs="宋体"/>
                <w:sz w:val="24"/>
                <w:szCs w:val="24"/>
                <w:highlight w:val="none"/>
              </w:rPr>
              <w:t>备注：1.如果资格评审中有一项不满足审查标准的，将认定该投标人不通过资格审查，不得进入下一阶段评审，并且不允许</w:t>
            </w:r>
            <w:r>
              <w:rPr>
                <w:rFonts w:hint="eastAsia" w:ascii="宋体" w:hAnsi="宋体" w:cs="宋体"/>
                <w:sz w:val="24"/>
                <w:szCs w:val="24"/>
                <w:highlight w:val="none"/>
                <w:lang w:eastAsia="zh-CN"/>
              </w:rPr>
              <w:t>投标人</w:t>
            </w:r>
            <w:r>
              <w:rPr>
                <w:rFonts w:hint="eastAsia" w:ascii="宋体" w:hAnsi="宋体" w:cs="宋体"/>
                <w:sz w:val="24"/>
                <w:szCs w:val="24"/>
                <w:highlight w:val="none"/>
              </w:rPr>
              <w:t>通过修改或撤销其不符合要求的差异或保留，使其成为实质性响应。</w:t>
            </w:r>
          </w:p>
          <w:p>
            <w:pPr>
              <w:adjustRightInd w:val="0"/>
              <w:snapToGrid w:val="0"/>
              <w:spacing w:line="400" w:lineRule="exact"/>
              <w:ind w:firstLine="751" w:firstLineChars="313"/>
              <w:rPr>
                <w:highlight w:val="none"/>
              </w:rPr>
            </w:pPr>
            <w:r>
              <w:rPr>
                <w:rFonts w:hint="eastAsia" w:ascii="宋体" w:hAnsi="宋体" w:cs="宋体"/>
                <w:sz w:val="24"/>
                <w:szCs w:val="24"/>
                <w:highlight w:val="none"/>
              </w:rPr>
              <w:t>2.合格投标人不足3家的，不得评标。</w:t>
            </w:r>
          </w:p>
        </w:tc>
      </w:tr>
    </w:tbl>
    <w:p>
      <w:pPr>
        <w:pStyle w:val="30"/>
        <w:rPr>
          <w:highlight w:val="none"/>
        </w:rPr>
      </w:pPr>
    </w:p>
    <w:p>
      <w:pPr>
        <w:pStyle w:val="5"/>
        <w:rPr>
          <w:highlight w:val="none"/>
        </w:rPr>
      </w:pPr>
      <w:r>
        <w:rPr>
          <w:rFonts w:hint="eastAsia"/>
          <w:highlight w:val="none"/>
        </w:rPr>
        <w:t>五、评标</w:t>
      </w:r>
      <w:bookmarkEnd w:id="71"/>
      <w:bookmarkEnd w:id="72"/>
    </w:p>
    <w:p>
      <w:pPr>
        <w:pStyle w:val="6"/>
        <w:rPr>
          <w:highlight w:val="none"/>
        </w:rPr>
      </w:pPr>
      <w:bookmarkStart w:id="73" w:name="_Toc9510639"/>
      <w:bookmarkStart w:id="74" w:name="_Toc6750"/>
      <w:r>
        <w:rPr>
          <w:rFonts w:hint="eastAsia"/>
          <w:highlight w:val="none"/>
        </w:rPr>
        <w:t>25、组</w:t>
      </w:r>
      <w:bookmarkEnd w:id="73"/>
      <w:r>
        <w:rPr>
          <w:rFonts w:hint="eastAsia"/>
          <w:highlight w:val="none"/>
        </w:rPr>
        <w:t>建评标委员会</w:t>
      </w:r>
      <w:bookmarkEnd w:id="74"/>
    </w:p>
    <w:p>
      <w:pPr>
        <w:adjustRightInd w:val="0"/>
        <w:snapToGrid w:val="0"/>
        <w:spacing w:line="360" w:lineRule="auto"/>
        <w:ind w:firstLine="480" w:firstLineChars="200"/>
        <w:rPr>
          <w:rFonts w:ascii="宋体" w:hAnsi="宋体" w:eastAsia="宋体" w:cs="宋体"/>
          <w:sz w:val="24"/>
          <w:szCs w:val="24"/>
          <w:highlight w:val="none"/>
        </w:rPr>
      </w:pPr>
      <w:bookmarkStart w:id="75" w:name="_Toc14527"/>
      <w:r>
        <w:rPr>
          <w:rFonts w:hint="eastAsia" w:ascii="宋体" w:hAnsi="宋体" w:eastAsia="宋体" w:cs="宋体"/>
          <w:sz w:val="24"/>
          <w:szCs w:val="24"/>
          <w:highlight w:val="none"/>
        </w:rPr>
        <w:t>按《中华人民共和国政府采购法》相关要求，本项目评标委员会由</w:t>
      </w:r>
      <w:r>
        <w:rPr>
          <w:rFonts w:hint="eastAsia" w:ascii="宋体" w:hAnsi="宋体" w:cs="宋体"/>
          <w:color w:val="auto"/>
          <w:sz w:val="24"/>
          <w:szCs w:val="24"/>
          <w:highlight w:val="none"/>
          <w:lang w:val="en-US" w:eastAsia="zh-CN"/>
        </w:rPr>
        <w:t>新疆政府采购网</w:t>
      </w:r>
      <w:r>
        <w:rPr>
          <w:rFonts w:hint="eastAsia" w:ascii="宋体" w:hAnsi="宋体" w:cs="宋体"/>
          <w:color w:val="auto"/>
          <w:sz w:val="24"/>
          <w:szCs w:val="24"/>
          <w:highlight w:val="none"/>
        </w:rPr>
        <w:t>专家库</w:t>
      </w:r>
      <w:r>
        <w:rPr>
          <w:rFonts w:hint="eastAsia" w:ascii="宋体" w:hAnsi="宋体" w:eastAsia="宋体" w:cs="宋体"/>
          <w:sz w:val="24"/>
          <w:szCs w:val="24"/>
          <w:highlight w:val="none"/>
        </w:rPr>
        <w:t>随机抽取的5名评审专家和2名采购人代表组成，其中随机抽取专家人数不少于成员总数的三分之二。</w:t>
      </w:r>
    </w:p>
    <w:p>
      <w:pPr>
        <w:pStyle w:val="6"/>
        <w:rPr>
          <w:rFonts w:ascii="宋体" w:hAnsi="宋体" w:eastAsia="宋体" w:cs="宋体"/>
          <w:sz w:val="24"/>
          <w:szCs w:val="24"/>
          <w:highlight w:val="none"/>
        </w:rPr>
      </w:pPr>
      <w:r>
        <w:rPr>
          <w:rFonts w:hint="eastAsia"/>
          <w:highlight w:val="none"/>
        </w:rPr>
        <w:t>26、评标程序</w:t>
      </w:r>
      <w:bookmarkEnd w:id="75"/>
    </w:p>
    <w:p>
      <w:pPr>
        <w:adjustRightInd w:val="0"/>
        <w:snapToGrid w:val="0"/>
        <w:spacing w:line="400" w:lineRule="exact"/>
        <w:ind w:firstLine="472" w:firstLineChars="196"/>
        <w:rPr>
          <w:rFonts w:ascii="宋体" w:hAnsi="宋体" w:eastAsia="宋体" w:cs="宋体"/>
          <w:b/>
          <w:bCs/>
          <w:sz w:val="24"/>
          <w:szCs w:val="24"/>
          <w:highlight w:val="none"/>
        </w:rPr>
      </w:pPr>
      <w:r>
        <w:rPr>
          <w:rFonts w:hint="eastAsia" w:ascii="宋体" w:hAnsi="宋体" w:eastAsia="宋体" w:cs="宋体"/>
          <w:b/>
          <w:bCs/>
          <w:sz w:val="24"/>
          <w:szCs w:val="24"/>
          <w:highlight w:val="none"/>
        </w:rPr>
        <w:t>26.1符合性审查</w:t>
      </w:r>
    </w:p>
    <w:p>
      <w:pPr>
        <w:adjustRightInd w:val="0"/>
        <w:snapToGrid w:val="0"/>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评标委员会对投标文件的完整性、合法性等进行审查。</w:t>
      </w:r>
    </w:p>
    <w:p>
      <w:pPr>
        <w:adjustRightInd w:val="0"/>
        <w:snapToGrid w:val="0"/>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下列有一项未通过审查</w:t>
      </w:r>
      <w:r>
        <w:rPr>
          <w:rFonts w:hint="eastAsia" w:ascii="宋体" w:hAnsi="宋体" w:eastAsia="宋体" w:cs="宋体"/>
          <w:bCs/>
          <w:sz w:val="24"/>
          <w:szCs w:val="24"/>
          <w:highlight w:val="none"/>
        </w:rPr>
        <w:t>内容</w:t>
      </w:r>
      <w:r>
        <w:rPr>
          <w:rFonts w:hint="eastAsia" w:ascii="宋体" w:hAnsi="宋体" w:eastAsia="宋体" w:cs="宋体"/>
          <w:sz w:val="24"/>
          <w:szCs w:val="24"/>
          <w:highlight w:val="none"/>
        </w:rPr>
        <w:t>的，应在符合性审查时按照无效投标处理：</w:t>
      </w:r>
    </w:p>
    <w:tbl>
      <w:tblPr>
        <w:tblStyle w:val="38"/>
        <w:tblW w:w="86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78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850" w:type="dxa"/>
            <w:vAlign w:val="center"/>
          </w:tcPr>
          <w:p>
            <w:pPr>
              <w:adjustRightInd w:val="0"/>
              <w:snapToGrid w:val="0"/>
              <w:spacing w:line="400" w:lineRule="exact"/>
              <w:jc w:val="center"/>
              <w:rPr>
                <w:rFonts w:ascii="宋体" w:hAnsi="宋体" w:eastAsia="宋体" w:cs="宋体"/>
                <w:bCs/>
                <w:sz w:val="24"/>
                <w:szCs w:val="24"/>
                <w:highlight w:val="none"/>
              </w:rPr>
            </w:pPr>
            <w:r>
              <w:rPr>
                <w:rFonts w:hint="eastAsia" w:ascii="宋体" w:hAnsi="宋体" w:eastAsia="宋体" w:cs="宋体"/>
                <w:bCs/>
                <w:sz w:val="24"/>
                <w:szCs w:val="24"/>
                <w:highlight w:val="none"/>
              </w:rPr>
              <w:t>序号</w:t>
            </w:r>
          </w:p>
        </w:tc>
        <w:tc>
          <w:tcPr>
            <w:tcW w:w="7832" w:type="dxa"/>
            <w:vAlign w:val="center"/>
          </w:tcPr>
          <w:p>
            <w:pPr>
              <w:adjustRightInd w:val="0"/>
              <w:snapToGrid w:val="0"/>
              <w:spacing w:line="400" w:lineRule="exact"/>
              <w:jc w:val="center"/>
              <w:rPr>
                <w:rFonts w:ascii="宋体" w:hAnsi="宋体" w:eastAsia="宋体" w:cs="宋体"/>
                <w:bCs/>
                <w:sz w:val="24"/>
                <w:szCs w:val="24"/>
                <w:highlight w:val="none"/>
              </w:rPr>
            </w:pPr>
            <w:r>
              <w:rPr>
                <w:rFonts w:hint="eastAsia" w:ascii="宋体" w:hAnsi="宋体" w:eastAsia="宋体" w:cs="宋体"/>
                <w:sz w:val="24"/>
                <w:szCs w:val="24"/>
                <w:highlight w:val="none"/>
              </w:rPr>
              <w:t>审查</w:t>
            </w:r>
            <w:r>
              <w:rPr>
                <w:rFonts w:hint="eastAsia" w:ascii="宋体" w:hAnsi="宋体" w:eastAsia="宋体" w:cs="宋体"/>
                <w:bCs/>
                <w:sz w:val="24"/>
                <w:szCs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ascii="宋体" w:hAnsi="宋体" w:eastAsia="宋体" w:cs="宋体"/>
                <w:bCs/>
                <w:sz w:val="24"/>
                <w:szCs w:val="24"/>
                <w:highlight w:val="none"/>
              </w:rPr>
            </w:pPr>
            <w:r>
              <w:rPr>
                <w:rFonts w:hint="eastAsia" w:ascii="宋体" w:hAnsi="宋体" w:eastAsia="宋体" w:cs="宋体"/>
                <w:bCs/>
                <w:sz w:val="24"/>
                <w:szCs w:val="24"/>
                <w:highlight w:val="none"/>
              </w:rPr>
              <w:t>1</w:t>
            </w:r>
          </w:p>
        </w:tc>
        <w:tc>
          <w:tcPr>
            <w:tcW w:w="7832" w:type="dxa"/>
            <w:vAlign w:val="center"/>
          </w:tcPr>
          <w:p>
            <w:pPr>
              <w:adjustRightInd w:val="0"/>
              <w:snapToGrid w:val="0"/>
              <w:spacing w:line="400" w:lineRule="exact"/>
              <w:ind w:firstLine="33" w:firstLineChars="14"/>
              <w:rPr>
                <w:rFonts w:ascii="宋体" w:hAnsi="宋体" w:cs="宋体"/>
                <w:sz w:val="24"/>
                <w:szCs w:val="24"/>
                <w:highlight w:val="none"/>
              </w:rPr>
            </w:pPr>
            <w:r>
              <w:rPr>
                <w:rFonts w:hint="eastAsia" w:ascii="宋体" w:hAnsi="宋体" w:cs="宋体"/>
                <w:sz w:val="24"/>
                <w:szCs w:val="24"/>
                <w:highlight w:val="none"/>
              </w:rPr>
              <w:t>只允许有一个报价，不接受可变动性报价、赠送及“零”报价。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ascii="宋体" w:hAnsi="宋体" w:eastAsia="宋体" w:cs="宋体"/>
                <w:bCs/>
                <w:sz w:val="24"/>
                <w:szCs w:val="24"/>
                <w:highlight w:val="none"/>
              </w:rPr>
            </w:pPr>
            <w:r>
              <w:rPr>
                <w:rFonts w:hint="eastAsia" w:ascii="宋体" w:hAnsi="宋体" w:eastAsia="宋体" w:cs="宋体"/>
                <w:bCs/>
                <w:sz w:val="24"/>
                <w:szCs w:val="24"/>
                <w:highlight w:val="none"/>
              </w:rPr>
              <w:t>2</w:t>
            </w:r>
          </w:p>
        </w:tc>
        <w:tc>
          <w:tcPr>
            <w:tcW w:w="7832" w:type="dxa"/>
            <w:vAlign w:val="center"/>
          </w:tcPr>
          <w:p>
            <w:pPr>
              <w:adjustRightInd w:val="0"/>
              <w:snapToGrid w:val="0"/>
              <w:spacing w:line="400" w:lineRule="exact"/>
              <w:ind w:firstLine="33" w:firstLineChars="14"/>
              <w:rPr>
                <w:rFonts w:ascii="宋体" w:hAnsi="宋体" w:cs="宋体"/>
                <w:sz w:val="24"/>
                <w:szCs w:val="24"/>
                <w:highlight w:val="none"/>
              </w:rPr>
            </w:pPr>
            <w:r>
              <w:rPr>
                <w:rFonts w:hint="eastAsia" w:ascii="宋体" w:hAnsi="宋体" w:cs="宋体"/>
                <w:sz w:val="24"/>
                <w:szCs w:val="24"/>
                <w:highlight w:val="none"/>
              </w:rPr>
              <w:t>必须采用人民币报价。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0" w:hRule="exact"/>
          <w:jc w:val="center"/>
        </w:trPr>
        <w:tc>
          <w:tcPr>
            <w:tcW w:w="850" w:type="dxa"/>
            <w:vAlign w:val="center"/>
          </w:tcPr>
          <w:p>
            <w:pPr>
              <w:adjustRightInd w:val="0"/>
              <w:snapToGrid w:val="0"/>
              <w:spacing w:line="400" w:lineRule="exact"/>
              <w:jc w:val="center"/>
              <w:rPr>
                <w:rFonts w:ascii="宋体" w:hAnsi="宋体" w:eastAsia="宋体" w:cs="宋体"/>
                <w:bCs/>
                <w:sz w:val="24"/>
                <w:szCs w:val="24"/>
                <w:highlight w:val="none"/>
              </w:rPr>
            </w:pPr>
            <w:r>
              <w:rPr>
                <w:rFonts w:hint="eastAsia" w:ascii="宋体" w:hAnsi="宋体" w:eastAsia="宋体" w:cs="宋体"/>
                <w:bCs/>
                <w:sz w:val="24"/>
                <w:szCs w:val="24"/>
                <w:highlight w:val="none"/>
              </w:rPr>
              <w:t>3</w:t>
            </w:r>
          </w:p>
        </w:tc>
        <w:tc>
          <w:tcPr>
            <w:tcW w:w="7832" w:type="dxa"/>
            <w:vAlign w:val="center"/>
          </w:tcPr>
          <w:p>
            <w:pPr>
              <w:adjustRightInd w:val="0"/>
              <w:snapToGrid w:val="0"/>
              <w:spacing w:line="400" w:lineRule="exact"/>
              <w:ind w:firstLine="33" w:firstLineChars="14"/>
              <w:rPr>
                <w:highlight w:val="none"/>
              </w:rPr>
            </w:pPr>
            <w:r>
              <w:rPr>
                <w:rFonts w:hint="eastAsia" w:ascii="宋体" w:hAnsi="宋体" w:cs="宋体"/>
                <w:sz w:val="24"/>
                <w:szCs w:val="24"/>
                <w:highlight w:val="none"/>
              </w:rPr>
              <w:t>投标人的报价明显低于其他通过符合性审查投标人的报价，有可能影响产品质量或者不能诚信履约的。若有时，投标人能在规定时间内作出合理说明或提供相关证明材料。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850" w:type="dxa"/>
            <w:vAlign w:val="center"/>
          </w:tcPr>
          <w:p>
            <w:pPr>
              <w:adjustRightInd w:val="0"/>
              <w:snapToGrid w:val="0"/>
              <w:spacing w:line="400" w:lineRule="exact"/>
              <w:jc w:val="center"/>
              <w:rPr>
                <w:rFonts w:ascii="宋体" w:hAnsi="宋体" w:eastAsia="宋体" w:cs="宋体"/>
                <w:bCs/>
                <w:sz w:val="24"/>
                <w:szCs w:val="24"/>
                <w:highlight w:val="none"/>
              </w:rPr>
            </w:pPr>
            <w:r>
              <w:rPr>
                <w:rFonts w:hint="eastAsia" w:ascii="宋体" w:hAnsi="宋体" w:eastAsia="宋体" w:cs="宋体"/>
                <w:bCs/>
                <w:sz w:val="24"/>
                <w:szCs w:val="24"/>
                <w:highlight w:val="none"/>
              </w:rPr>
              <w:t>4</w:t>
            </w:r>
          </w:p>
        </w:tc>
        <w:tc>
          <w:tcPr>
            <w:tcW w:w="7832" w:type="dxa"/>
            <w:vAlign w:val="center"/>
          </w:tcPr>
          <w:p>
            <w:pPr>
              <w:adjustRightInd w:val="0"/>
              <w:snapToGrid w:val="0"/>
              <w:spacing w:line="400" w:lineRule="exact"/>
              <w:ind w:firstLine="33" w:firstLineChars="14"/>
              <w:rPr>
                <w:rFonts w:ascii="宋体" w:hAnsi="宋体" w:cs="宋体"/>
                <w:sz w:val="24"/>
                <w:szCs w:val="24"/>
                <w:highlight w:val="none"/>
              </w:rPr>
            </w:pPr>
            <w:r>
              <w:rPr>
                <w:rFonts w:hint="eastAsia" w:ascii="宋体" w:hAnsi="宋体" w:cs="宋体"/>
                <w:sz w:val="24"/>
                <w:szCs w:val="24"/>
                <w:highlight w:val="none"/>
              </w:rPr>
              <w:t>投标文件必须按招标文件规定格式完整提供，并要盖投标人章、法定代表人</w:t>
            </w:r>
            <w:r>
              <w:rPr>
                <w:rFonts w:hint="eastAsia" w:ascii="宋体" w:hAnsi="宋体" w:eastAsia="宋体" w:cs="宋体"/>
                <w:sz w:val="24"/>
                <w:szCs w:val="24"/>
                <w:highlight w:val="none"/>
              </w:rPr>
              <w:t>（负责人、自然人）</w:t>
            </w:r>
            <w:r>
              <w:rPr>
                <w:rFonts w:hint="eastAsia" w:ascii="宋体" w:hAnsi="宋体" w:cs="宋体"/>
                <w:sz w:val="24"/>
                <w:szCs w:val="24"/>
                <w:highlight w:val="none"/>
              </w:rPr>
              <w:t>或被授权人签字或盖章。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4" w:hRule="exact"/>
          <w:jc w:val="center"/>
        </w:trPr>
        <w:tc>
          <w:tcPr>
            <w:tcW w:w="850" w:type="dxa"/>
            <w:vAlign w:val="center"/>
          </w:tcPr>
          <w:p>
            <w:pPr>
              <w:adjustRightInd w:val="0"/>
              <w:snapToGrid w:val="0"/>
              <w:spacing w:line="400" w:lineRule="exact"/>
              <w:jc w:val="center"/>
              <w:rPr>
                <w:rFonts w:ascii="宋体" w:hAnsi="宋体" w:eastAsia="宋体" w:cs="宋体"/>
                <w:bCs/>
                <w:sz w:val="24"/>
                <w:szCs w:val="24"/>
                <w:highlight w:val="none"/>
              </w:rPr>
            </w:pPr>
            <w:r>
              <w:rPr>
                <w:rFonts w:hint="eastAsia" w:ascii="宋体" w:hAnsi="宋体" w:eastAsia="宋体" w:cs="宋体"/>
                <w:bCs/>
                <w:sz w:val="24"/>
                <w:szCs w:val="24"/>
                <w:highlight w:val="none"/>
              </w:rPr>
              <w:t>5</w:t>
            </w:r>
          </w:p>
        </w:tc>
        <w:tc>
          <w:tcPr>
            <w:tcW w:w="7832" w:type="dxa"/>
            <w:vAlign w:val="center"/>
          </w:tcPr>
          <w:p>
            <w:pPr>
              <w:adjustRightInd w:val="0"/>
              <w:snapToGrid w:val="0"/>
              <w:spacing w:line="400" w:lineRule="exact"/>
              <w:ind w:firstLine="33" w:firstLineChars="14"/>
              <w:rPr>
                <w:rFonts w:ascii="宋体" w:hAnsi="宋体" w:eastAsia="宋体" w:cs="宋体"/>
                <w:sz w:val="24"/>
                <w:szCs w:val="24"/>
                <w:highlight w:val="none"/>
              </w:rPr>
            </w:pPr>
            <w:r>
              <w:rPr>
                <w:rFonts w:hint="eastAsia" w:ascii="宋体" w:hAnsi="宋体" w:eastAsia="宋体" w:cs="宋体"/>
                <w:sz w:val="24"/>
                <w:szCs w:val="24"/>
                <w:highlight w:val="none"/>
              </w:rPr>
              <w:t>法定代表人（负责人、自然人）授权委托书必须按招标文件规定格式完整提供，并要盖投标人章、法定代表人（负责人、自然人）签字或盖章，被授权人签字或盖章。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ascii="宋体" w:hAnsi="宋体" w:eastAsia="宋体" w:cs="宋体"/>
                <w:bCs/>
                <w:sz w:val="24"/>
                <w:szCs w:val="24"/>
                <w:highlight w:val="none"/>
              </w:rPr>
            </w:pPr>
            <w:r>
              <w:rPr>
                <w:rFonts w:hint="eastAsia" w:ascii="宋体" w:hAnsi="宋体" w:eastAsia="宋体" w:cs="宋体"/>
                <w:bCs/>
                <w:sz w:val="24"/>
                <w:szCs w:val="24"/>
                <w:highlight w:val="none"/>
              </w:rPr>
              <w:t>6</w:t>
            </w:r>
          </w:p>
        </w:tc>
        <w:tc>
          <w:tcPr>
            <w:tcW w:w="7832" w:type="dxa"/>
            <w:vAlign w:val="center"/>
          </w:tcPr>
          <w:p>
            <w:pPr>
              <w:adjustRightInd w:val="0"/>
              <w:snapToGrid w:val="0"/>
              <w:spacing w:line="400" w:lineRule="exact"/>
              <w:ind w:firstLine="33" w:firstLineChars="14"/>
              <w:rPr>
                <w:rFonts w:ascii="宋体" w:hAnsi="宋体" w:eastAsia="宋体" w:cs="宋体"/>
                <w:sz w:val="24"/>
                <w:szCs w:val="24"/>
                <w:highlight w:val="none"/>
              </w:rPr>
            </w:pPr>
            <w:r>
              <w:rPr>
                <w:rFonts w:hint="eastAsia" w:ascii="宋体" w:hAnsi="宋体" w:eastAsia="宋体" w:cs="宋体"/>
                <w:sz w:val="24"/>
                <w:szCs w:val="24"/>
                <w:highlight w:val="none"/>
              </w:rPr>
              <w:t>投标文件必须注明“正本”或“副本”字样。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ascii="宋体" w:hAnsi="宋体" w:eastAsia="宋体" w:cs="宋体"/>
                <w:bCs/>
                <w:sz w:val="24"/>
                <w:szCs w:val="24"/>
                <w:highlight w:val="none"/>
              </w:rPr>
            </w:pPr>
            <w:r>
              <w:rPr>
                <w:rFonts w:hint="eastAsia" w:ascii="宋体" w:hAnsi="宋体" w:eastAsia="宋体" w:cs="宋体"/>
                <w:bCs/>
                <w:sz w:val="24"/>
                <w:szCs w:val="24"/>
                <w:highlight w:val="none"/>
              </w:rPr>
              <w:t>7</w:t>
            </w:r>
          </w:p>
        </w:tc>
        <w:tc>
          <w:tcPr>
            <w:tcW w:w="7832" w:type="dxa"/>
            <w:vAlign w:val="center"/>
          </w:tcPr>
          <w:p>
            <w:pPr>
              <w:adjustRightInd w:val="0"/>
              <w:snapToGrid w:val="0"/>
              <w:spacing w:line="400" w:lineRule="exact"/>
              <w:ind w:firstLine="33" w:firstLineChars="14"/>
              <w:rPr>
                <w:rFonts w:ascii="宋体" w:hAnsi="宋体" w:eastAsia="宋体" w:cs="宋体"/>
                <w:sz w:val="24"/>
                <w:szCs w:val="24"/>
                <w:highlight w:val="none"/>
              </w:rPr>
            </w:pPr>
            <w:r>
              <w:rPr>
                <w:rFonts w:hint="eastAsia" w:ascii="宋体" w:hAnsi="宋体" w:eastAsia="宋体" w:cs="宋体"/>
                <w:sz w:val="24"/>
                <w:szCs w:val="24"/>
                <w:highlight w:val="none"/>
              </w:rPr>
              <w:t>投标报价没有超过最高限价。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ascii="宋体" w:hAnsi="宋体" w:eastAsia="宋体" w:cs="宋体"/>
                <w:bCs/>
                <w:sz w:val="24"/>
                <w:szCs w:val="24"/>
                <w:highlight w:val="none"/>
              </w:rPr>
            </w:pPr>
            <w:r>
              <w:rPr>
                <w:rFonts w:hint="eastAsia" w:ascii="宋体" w:hAnsi="宋体" w:eastAsia="宋体" w:cs="宋体"/>
                <w:bCs/>
                <w:sz w:val="24"/>
                <w:szCs w:val="24"/>
                <w:highlight w:val="none"/>
              </w:rPr>
              <w:t>8</w:t>
            </w:r>
          </w:p>
        </w:tc>
        <w:tc>
          <w:tcPr>
            <w:tcW w:w="7832" w:type="dxa"/>
            <w:vAlign w:val="center"/>
          </w:tcPr>
          <w:p>
            <w:pPr>
              <w:adjustRightInd w:val="0"/>
              <w:snapToGrid w:val="0"/>
              <w:spacing w:line="400" w:lineRule="exact"/>
              <w:ind w:firstLine="33" w:firstLineChars="14"/>
              <w:rPr>
                <w:rFonts w:ascii="宋体" w:hAnsi="宋体" w:eastAsia="宋体" w:cs="宋体"/>
                <w:sz w:val="24"/>
                <w:szCs w:val="24"/>
                <w:highlight w:val="none"/>
              </w:rPr>
            </w:pPr>
            <w:r>
              <w:rPr>
                <w:rFonts w:hint="eastAsia" w:ascii="宋体" w:hAnsi="宋体" w:eastAsia="宋体" w:cs="宋体"/>
                <w:sz w:val="24"/>
                <w:szCs w:val="24"/>
                <w:highlight w:val="none"/>
              </w:rPr>
              <w:t>投标文件未含有采购人不能接受的附加条件。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ascii="宋体" w:hAnsi="宋体" w:eastAsia="宋体" w:cs="宋体"/>
                <w:bCs/>
                <w:sz w:val="24"/>
                <w:szCs w:val="24"/>
                <w:highlight w:val="none"/>
              </w:rPr>
            </w:pPr>
            <w:r>
              <w:rPr>
                <w:rFonts w:hint="eastAsia" w:ascii="宋体" w:hAnsi="宋体" w:eastAsia="宋体" w:cs="宋体"/>
                <w:bCs/>
                <w:sz w:val="24"/>
                <w:szCs w:val="24"/>
                <w:highlight w:val="none"/>
              </w:rPr>
              <w:t>9</w:t>
            </w:r>
          </w:p>
        </w:tc>
        <w:tc>
          <w:tcPr>
            <w:tcW w:w="7832" w:type="dxa"/>
            <w:vAlign w:val="center"/>
          </w:tcPr>
          <w:p>
            <w:pPr>
              <w:adjustRightInd w:val="0"/>
              <w:snapToGrid w:val="0"/>
              <w:spacing w:line="400" w:lineRule="exact"/>
              <w:ind w:firstLine="33" w:firstLineChars="14"/>
              <w:rPr>
                <w:rFonts w:ascii="宋体" w:hAnsi="宋体" w:eastAsia="宋体" w:cs="宋体"/>
                <w:sz w:val="24"/>
                <w:szCs w:val="24"/>
                <w:highlight w:val="none"/>
              </w:rPr>
            </w:pPr>
            <w:r>
              <w:rPr>
                <w:rFonts w:hint="eastAsia" w:ascii="宋体" w:hAnsi="宋体" w:eastAsia="宋体" w:cs="宋体"/>
                <w:sz w:val="24"/>
                <w:szCs w:val="24"/>
                <w:highlight w:val="none"/>
              </w:rPr>
              <w:t>投标文件与招标文件没有重大偏离的。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ascii="宋体" w:hAnsi="宋体" w:eastAsia="宋体" w:cs="宋体"/>
                <w:bCs/>
                <w:sz w:val="24"/>
                <w:szCs w:val="24"/>
                <w:highlight w:val="none"/>
              </w:rPr>
            </w:pPr>
            <w:r>
              <w:rPr>
                <w:rFonts w:hint="eastAsia" w:ascii="宋体" w:hAnsi="宋体" w:eastAsia="宋体" w:cs="宋体"/>
                <w:bCs/>
                <w:sz w:val="24"/>
                <w:szCs w:val="24"/>
                <w:highlight w:val="none"/>
              </w:rPr>
              <w:t>10</w:t>
            </w:r>
          </w:p>
        </w:tc>
        <w:tc>
          <w:tcPr>
            <w:tcW w:w="7832" w:type="dxa"/>
            <w:vAlign w:val="center"/>
          </w:tcPr>
          <w:p>
            <w:pPr>
              <w:adjustRightInd w:val="0"/>
              <w:snapToGrid w:val="0"/>
              <w:spacing w:line="400" w:lineRule="exact"/>
              <w:ind w:firstLine="33" w:firstLineChars="14"/>
              <w:rPr>
                <w:rFonts w:ascii="宋体" w:hAnsi="宋体" w:eastAsia="宋体" w:cs="宋体"/>
                <w:sz w:val="24"/>
                <w:szCs w:val="24"/>
                <w:highlight w:val="none"/>
              </w:rPr>
            </w:pPr>
            <w:r>
              <w:rPr>
                <w:rFonts w:hint="eastAsia" w:ascii="宋体" w:hAnsi="宋体" w:eastAsia="宋体" w:cs="宋体"/>
                <w:sz w:val="24"/>
                <w:szCs w:val="24"/>
                <w:highlight w:val="none"/>
              </w:rPr>
              <w:t>不存在其他无效情形的，如不符合法律、法规和招标文件规定的。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exact"/>
          <w:jc w:val="center"/>
        </w:trPr>
        <w:tc>
          <w:tcPr>
            <w:tcW w:w="850" w:type="dxa"/>
            <w:vAlign w:val="center"/>
          </w:tcPr>
          <w:p>
            <w:pPr>
              <w:adjustRightInd w:val="0"/>
              <w:snapToGrid w:val="0"/>
              <w:spacing w:line="400" w:lineRule="exact"/>
              <w:jc w:val="center"/>
              <w:rPr>
                <w:rFonts w:hint="default"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11</w:t>
            </w:r>
          </w:p>
        </w:tc>
        <w:tc>
          <w:tcPr>
            <w:tcW w:w="7832" w:type="dxa"/>
            <w:vAlign w:val="center"/>
          </w:tcPr>
          <w:p>
            <w:pPr>
              <w:adjustRightInd w:val="0"/>
              <w:snapToGrid w:val="0"/>
              <w:spacing w:line="400" w:lineRule="exact"/>
              <w:ind w:firstLine="33" w:firstLineChars="14"/>
              <w:rPr>
                <w:rFonts w:hint="eastAsia" w:ascii="宋体" w:hAnsi="宋体" w:eastAsia="宋体" w:cs="宋体"/>
                <w:sz w:val="24"/>
                <w:szCs w:val="24"/>
                <w:highlight w:val="none"/>
              </w:rPr>
            </w:pPr>
            <w:r>
              <w:rPr>
                <w:rFonts w:hint="eastAsia" w:ascii="宋体" w:hAnsi="宋体" w:cs="宋体"/>
                <w:sz w:val="24"/>
                <w:szCs w:val="24"/>
                <w:highlight w:val="none"/>
                <w:lang w:val="zh-CN"/>
              </w:rPr>
              <w:t>“第</w:t>
            </w:r>
            <w:r>
              <w:rPr>
                <w:rFonts w:hint="eastAsia" w:ascii="宋体" w:hAnsi="宋体" w:cs="宋体"/>
                <w:sz w:val="24"/>
                <w:szCs w:val="24"/>
                <w:highlight w:val="none"/>
                <w:lang w:val="en-US" w:eastAsia="zh-CN"/>
              </w:rPr>
              <w:t>十一</w:t>
            </w:r>
            <w:r>
              <w:rPr>
                <w:rFonts w:hint="eastAsia" w:ascii="宋体" w:hAnsi="宋体" w:cs="宋体"/>
                <w:sz w:val="24"/>
                <w:szCs w:val="24"/>
                <w:highlight w:val="none"/>
                <w:lang w:val="zh-CN"/>
              </w:rPr>
              <w:t>包、第</w:t>
            </w:r>
            <w:r>
              <w:rPr>
                <w:rFonts w:hint="eastAsia" w:ascii="宋体" w:hAnsi="宋体" w:cs="宋体"/>
                <w:sz w:val="24"/>
                <w:szCs w:val="24"/>
                <w:highlight w:val="none"/>
                <w:lang w:val="en-US" w:eastAsia="zh-CN"/>
              </w:rPr>
              <w:t>十二</w:t>
            </w:r>
            <w:r>
              <w:rPr>
                <w:rFonts w:hint="eastAsia" w:ascii="宋体" w:hAnsi="宋体" w:cs="宋体"/>
                <w:sz w:val="24"/>
                <w:szCs w:val="24"/>
                <w:highlight w:val="none"/>
                <w:lang w:val="zh-CN"/>
              </w:rPr>
              <w:t>包、第</w:t>
            </w:r>
            <w:r>
              <w:rPr>
                <w:rFonts w:hint="eastAsia" w:ascii="宋体" w:hAnsi="宋体" w:cs="宋体"/>
                <w:sz w:val="24"/>
                <w:szCs w:val="24"/>
                <w:highlight w:val="none"/>
                <w:lang w:val="en-US" w:eastAsia="zh-CN"/>
              </w:rPr>
              <w:t>十三</w:t>
            </w:r>
            <w:r>
              <w:rPr>
                <w:rFonts w:hint="eastAsia" w:ascii="宋体" w:hAnsi="宋体" w:cs="宋体"/>
                <w:sz w:val="24"/>
                <w:szCs w:val="24"/>
                <w:highlight w:val="none"/>
                <w:lang w:val="zh-CN"/>
              </w:rPr>
              <w:t>包、第</w:t>
            </w:r>
            <w:r>
              <w:rPr>
                <w:rFonts w:hint="eastAsia" w:ascii="宋体" w:hAnsi="宋体" w:cs="宋体"/>
                <w:sz w:val="24"/>
                <w:szCs w:val="24"/>
                <w:highlight w:val="none"/>
                <w:lang w:val="en-US" w:eastAsia="zh-CN"/>
              </w:rPr>
              <w:t>十五</w:t>
            </w:r>
            <w:r>
              <w:rPr>
                <w:rFonts w:hint="eastAsia" w:ascii="宋体" w:hAnsi="宋体" w:cs="宋体"/>
                <w:sz w:val="24"/>
                <w:szCs w:val="24"/>
                <w:highlight w:val="none"/>
                <w:lang w:val="zh-CN"/>
              </w:rPr>
              <w:t>包、</w:t>
            </w:r>
            <w:r>
              <w:rPr>
                <w:rFonts w:hint="eastAsia" w:ascii="宋体" w:hAnsi="宋体" w:cs="宋体"/>
                <w:sz w:val="24"/>
                <w:szCs w:val="24"/>
                <w:highlight w:val="none"/>
                <w:lang w:val="en-US" w:eastAsia="zh-CN"/>
              </w:rPr>
              <w:t>第十六包</w:t>
            </w:r>
            <w:r>
              <w:rPr>
                <w:rFonts w:hint="eastAsia" w:ascii="宋体" w:hAnsi="宋体" w:cs="宋体"/>
                <w:sz w:val="24"/>
                <w:szCs w:val="24"/>
                <w:highlight w:val="none"/>
                <w:lang w:val="zh-CN"/>
              </w:rPr>
              <w:t>”</w:t>
            </w:r>
            <w:r>
              <w:rPr>
                <w:rFonts w:hint="eastAsia" w:ascii="宋体" w:hAnsi="宋体" w:cs="宋体"/>
                <w:sz w:val="24"/>
                <w:szCs w:val="24"/>
                <w:highlight w:val="none"/>
              </w:rPr>
              <w:t>提供中小企业声明函。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8682" w:type="dxa"/>
            <w:gridSpan w:val="2"/>
            <w:vAlign w:val="center"/>
          </w:tcPr>
          <w:p>
            <w:pPr>
              <w:adjustRightInd w:val="0"/>
              <w:snapToGrid w:val="0"/>
              <w:spacing w:line="400" w:lineRule="exact"/>
              <w:ind w:firstLine="33" w:firstLineChars="14"/>
              <w:rPr>
                <w:rFonts w:ascii="宋体" w:hAnsi="宋体" w:eastAsia="宋体" w:cs="宋体"/>
                <w:sz w:val="24"/>
                <w:szCs w:val="24"/>
                <w:highlight w:val="none"/>
              </w:rPr>
            </w:pPr>
            <w:r>
              <w:rPr>
                <w:rFonts w:hint="eastAsia" w:ascii="宋体" w:hAnsi="宋体" w:cs="宋体"/>
                <w:sz w:val="24"/>
                <w:szCs w:val="24"/>
                <w:highlight w:val="none"/>
              </w:rPr>
              <w:t>备注：如果符合性审查中有一项不满足审查标准的，将认定该</w:t>
            </w:r>
            <w:r>
              <w:rPr>
                <w:rFonts w:hint="eastAsia" w:ascii="宋体" w:hAnsi="宋体" w:cs="宋体"/>
                <w:sz w:val="24"/>
                <w:szCs w:val="24"/>
                <w:highlight w:val="none"/>
                <w:lang w:eastAsia="zh-CN"/>
              </w:rPr>
              <w:t>投标人</w:t>
            </w:r>
            <w:r>
              <w:rPr>
                <w:rFonts w:hint="eastAsia" w:ascii="宋体" w:hAnsi="宋体" w:cs="宋体"/>
                <w:sz w:val="24"/>
                <w:szCs w:val="24"/>
                <w:highlight w:val="none"/>
              </w:rPr>
              <w:t>不通过符合性审查，不得进入下一阶段评审，并且不允许</w:t>
            </w:r>
            <w:r>
              <w:rPr>
                <w:rFonts w:hint="eastAsia" w:ascii="宋体" w:hAnsi="宋体" w:cs="宋体"/>
                <w:sz w:val="24"/>
                <w:szCs w:val="24"/>
                <w:highlight w:val="none"/>
                <w:lang w:eastAsia="zh-CN"/>
              </w:rPr>
              <w:t>投标人</w:t>
            </w:r>
            <w:r>
              <w:rPr>
                <w:rFonts w:hint="eastAsia" w:ascii="宋体" w:hAnsi="宋体" w:cs="宋体"/>
                <w:sz w:val="24"/>
                <w:szCs w:val="24"/>
                <w:highlight w:val="none"/>
              </w:rPr>
              <w:t>通过修改或撤销其不符合要求的差异或保留，使其成为实质性响应。</w:t>
            </w:r>
          </w:p>
        </w:tc>
      </w:tr>
    </w:tbl>
    <w:p>
      <w:pPr>
        <w:pStyle w:val="22"/>
        <w:rPr>
          <w:highlight w:val="none"/>
        </w:rPr>
      </w:pPr>
    </w:p>
    <w:p>
      <w:pPr>
        <w:adjustRightInd w:val="0"/>
        <w:snapToGrid w:val="0"/>
        <w:spacing w:line="500" w:lineRule="exact"/>
        <w:ind w:firstLine="472" w:firstLineChars="196"/>
        <w:rPr>
          <w:rFonts w:ascii="宋体" w:hAnsi="宋体" w:eastAsia="宋体" w:cs="宋体"/>
          <w:b/>
          <w:bCs/>
          <w:sz w:val="24"/>
          <w:szCs w:val="24"/>
          <w:highlight w:val="none"/>
        </w:rPr>
      </w:pPr>
      <w:r>
        <w:rPr>
          <w:rFonts w:hint="eastAsia" w:ascii="宋体" w:hAnsi="宋体" w:eastAsia="宋体" w:cs="宋体"/>
          <w:b/>
          <w:bCs/>
          <w:sz w:val="24"/>
          <w:szCs w:val="24"/>
          <w:highlight w:val="none"/>
        </w:rPr>
        <w:t>26.2 实质审查与比较</w:t>
      </w:r>
    </w:p>
    <w:p>
      <w:pPr>
        <w:adjustRightInd w:val="0"/>
        <w:snapToGrid w:val="0"/>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26.2.1评标委员会审查投标文件的实质性内容是否符合招标文件的实质性要求。</w:t>
      </w:r>
    </w:p>
    <w:p>
      <w:pPr>
        <w:adjustRightInd w:val="0"/>
        <w:snapToGrid w:val="0"/>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26.2.2评标委员会将根据投标人的投标文件进行审查、核对,如有疑问,将对投标人进行询标,投标人要向评标委员会澄清有关问题,并最终以书面形式进行答复。</w:t>
      </w:r>
    </w:p>
    <w:p>
      <w:pPr>
        <w:adjustRightInd w:val="0"/>
        <w:snapToGrid w:val="0"/>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26.2.3各投标人的技术得分为所有评委的有效评分的算术平均数，由指定专人进行计算复核。</w:t>
      </w:r>
    </w:p>
    <w:p>
      <w:pPr>
        <w:adjustRightInd w:val="0"/>
        <w:snapToGrid w:val="0"/>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26.2.4采购代理机构工作人员协助评标委员会根据本项目的评分标准计算各投标人的商务报价得分。</w:t>
      </w:r>
    </w:p>
    <w:p>
      <w:pPr>
        <w:adjustRightInd w:val="0"/>
        <w:snapToGrid w:val="0"/>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26.2.5评标委员会完成评标后,评委对各部分得分汇总,计算出本项目最终得分等。评标委员会按评标原则推荐中标候选人，同时起草评标报告。</w:t>
      </w:r>
    </w:p>
    <w:p>
      <w:pPr>
        <w:pStyle w:val="6"/>
        <w:rPr>
          <w:highlight w:val="none"/>
        </w:rPr>
      </w:pPr>
      <w:bookmarkStart w:id="76" w:name="_Toc26304"/>
      <w:r>
        <w:rPr>
          <w:rFonts w:hint="eastAsia"/>
          <w:highlight w:val="none"/>
        </w:rPr>
        <w:t>27、澄清问题的形式</w:t>
      </w:r>
      <w:bookmarkEnd w:id="76"/>
    </w:p>
    <w:p>
      <w:pPr>
        <w:adjustRightInd w:val="0"/>
        <w:snapToGrid w:val="0"/>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对投标文件中含义不明确、同类问题表述不一致或者有明显文字和计算错误的内容，评标委员会可要求投标人作出必要的澄清、说明或者纠正。投标人的澄清、说明或者补正应当采用书面形式，由其授权代表签字或盖章确认，并不得超出投标文件的范围或者改变投标文件的实质性内容。</w:t>
      </w:r>
    </w:p>
    <w:p>
      <w:pPr>
        <w:pStyle w:val="6"/>
        <w:rPr>
          <w:highlight w:val="none"/>
        </w:rPr>
      </w:pPr>
      <w:bookmarkStart w:id="77" w:name="_Toc1409"/>
      <w:r>
        <w:rPr>
          <w:rFonts w:hint="eastAsia"/>
          <w:highlight w:val="none"/>
        </w:rPr>
        <w:t>28、错误修正</w:t>
      </w:r>
      <w:bookmarkEnd w:id="77"/>
    </w:p>
    <w:p>
      <w:pPr>
        <w:adjustRightInd w:val="0"/>
        <w:snapToGrid w:val="0"/>
        <w:spacing w:line="500" w:lineRule="exact"/>
        <w:ind w:left="719" w:leftChars="228" w:hanging="240" w:hangingChars="100"/>
        <w:rPr>
          <w:rFonts w:ascii="宋体" w:hAnsi="宋体" w:eastAsia="宋体" w:cs="宋体"/>
          <w:sz w:val="24"/>
          <w:szCs w:val="24"/>
          <w:highlight w:val="none"/>
        </w:rPr>
      </w:pPr>
      <w:r>
        <w:rPr>
          <w:rFonts w:hint="eastAsia" w:ascii="宋体" w:hAnsi="宋体" w:eastAsia="宋体" w:cs="宋体"/>
          <w:sz w:val="24"/>
          <w:szCs w:val="24"/>
          <w:highlight w:val="none"/>
        </w:rPr>
        <w:t>投标文件如果出现计算或表达上的错误，修正错误的原则如下：</w:t>
      </w:r>
    </w:p>
    <w:p>
      <w:pPr>
        <w:adjustRightInd w:val="0"/>
        <w:snapToGrid w:val="0"/>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28.1 开标一览表总价与投标报价明细表汇总数不一致的，</w:t>
      </w:r>
      <w:r>
        <w:rPr>
          <w:rFonts w:hint="eastAsia" w:ascii="宋体" w:hAnsi="宋体" w:eastAsia="宋体" w:cs="宋体"/>
          <w:kern w:val="0"/>
          <w:sz w:val="24"/>
          <w:szCs w:val="24"/>
          <w:highlight w:val="none"/>
        </w:rPr>
        <w:t>以开标一览表为准；</w:t>
      </w:r>
    </w:p>
    <w:p>
      <w:pPr>
        <w:adjustRightInd w:val="0"/>
        <w:snapToGrid w:val="0"/>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28.2 投标文件的大写金额和小写金额不一致的，以大写金额为准；</w:t>
      </w:r>
    </w:p>
    <w:p>
      <w:pPr>
        <w:adjustRightInd w:val="0"/>
        <w:snapToGrid w:val="0"/>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28.3 总价金额与按单价汇总金额不一致的，以单价金额计算结果为准；</w:t>
      </w:r>
    </w:p>
    <w:p>
      <w:pPr>
        <w:adjustRightInd w:val="0"/>
        <w:snapToGrid w:val="0"/>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28.4 对不同文字文本投标文件的解释发生异议的，以中文文本为准。</w:t>
      </w:r>
    </w:p>
    <w:p>
      <w:pPr>
        <w:adjustRightInd w:val="0"/>
        <w:snapToGrid w:val="0"/>
        <w:spacing w:line="500" w:lineRule="exact"/>
        <w:ind w:firstLine="482"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按上述修正错误的原则及方法调整或修正投标文件的投标报价，投标人同意并签字确认后，调整后的投标报价对投标人具有约束作用。如果投标人不接受修正后的报价，则其投标将作为无效投标处理。</w:t>
      </w:r>
    </w:p>
    <w:p>
      <w:pPr>
        <w:pStyle w:val="6"/>
        <w:rPr>
          <w:highlight w:val="none"/>
        </w:rPr>
      </w:pPr>
      <w:bookmarkStart w:id="78" w:name="_Toc8797"/>
      <w:r>
        <w:rPr>
          <w:rFonts w:hint="eastAsia"/>
          <w:highlight w:val="none"/>
        </w:rPr>
        <w:t>29、评标原则和评标办法</w:t>
      </w:r>
      <w:bookmarkEnd w:id="78"/>
    </w:p>
    <w:p>
      <w:pPr>
        <w:adjustRightInd w:val="0"/>
        <w:snapToGrid w:val="0"/>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29.1 评标原则。评标委员会必须公平、公正、客观，不带任何倾向性和启发性；不得向外界透露任何与评标有关的内容；任何单位和个人不得干扰、影响评标的正常进行；评标委员会及有关工作人员不得私下与投标人接触。</w:t>
      </w:r>
    </w:p>
    <w:p>
      <w:pPr>
        <w:adjustRightInd w:val="0"/>
        <w:snapToGrid w:val="0"/>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29.2 评标办法。本项目评标办法是</w:t>
      </w:r>
      <w:r>
        <w:rPr>
          <w:rFonts w:hint="eastAsia" w:ascii="宋体" w:hAnsi="宋体" w:eastAsia="宋体" w:cs="宋体"/>
          <w:b/>
          <w:sz w:val="24"/>
          <w:szCs w:val="24"/>
          <w:highlight w:val="none"/>
          <w:u w:val="single"/>
        </w:rPr>
        <w:t xml:space="preserve"> 综合评分法 </w:t>
      </w:r>
      <w:r>
        <w:rPr>
          <w:rFonts w:hint="eastAsia" w:ascii="宋体" w:hAnsi="宋体" w:eastAsia="宋体" w:cs="宋体"/>
          <w:sz w:val="24"/>
          <w:szCs w:val="24"/>
          <w:highlight w:val="none"/>
        </w:rPr>
        <w:t>，具体评标内容及评分标准等详见《第三章 评分办法及评分标准》。</w:t>
      </w:r>
    </w:p>
    <w:p>
      <w:pPr>
        <w:pStyle w:val="18"/>
        <w:adjustRightInd w:val="0"/>
        <w:snapToGrid w:val="0"/>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29.3废标</w:t>
      </w:r>
    </w:p>
    <w:p>
      <w:pPr>
        <w:pStyle w:val="18"/>
        <w:adjustRightInd w:val="0"/>
        <w:snapToGrid w:val="0"/>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在采购中，出现下列情形之一的，本项目或标包应予废标：</w:t>
      </w:r>
    </w:p>
    <w:p>
      <w:pPr>
        <w:pStyle w:val="18"/>
        <w:adjustRightInd w:val="0"/>
        <w:snapToGrid w:val="0"/>
        <w:spacing w:line="500" w:lineRule="exact"/>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(1）出现影响采购公正的违法、违规行为的；</w:t>
      </w:r>
    </w:p>
    <w:p>
      <w:pPr>
        <w:pStyle w:val="18"/>
        <w:adjustRightInd w:val="0"/>
        <w:snapToGrid w:val="0"/>
        <w:spacing w:line="500" w:lineRule="exact"/>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(2）有效投标单位不足三家的；</w:t>
      </w:r>
    </w:p>
    <w:p>
      <w:pPr>
        <w:pStyle w:val="18"/>
        <w:adjustRightInd w:val="0"/>
        <w:snapToGrid w:val="0"/>
        <w:spacing w:line="500" w:lineRule="exact"/>
        <w:ind w:firstLine="420" w:firstLineChars="175"/>
        <w:rPr>
          <w:rFonts w:ascii="宋体" w:hAnsi="宋体" w:eastAsia="宋体" w:cs="宋体"/>
          <w:sz w:val="24"/>
          <w:szCs w:val="24"/>
          <w:highlight w:val="none"/>
        </w:rPr>
      </w:pPr>
      <w:r>
        <w:rPr>
          <w:rFonts w:hint="eastAsia" w:ascii="宋体" w:hAnsi="宋体" w:eastAsia="宋体" w:cs="宋体"/>
          <w:sz w:val="24"/>
          <w:szCs w:val="24"/>
          <w:highlight w:val="none"/>
        </w:rPr>
        <w:t>(3）因重大变故，采购任务取消的。</w:t>
      </w:r>
    </w:p>
    <w:p>
      <w:pPr>
        <w:pStyle w:val="5"/>
        <w:rPr>
          <w:highlight w:val="none"/>
        </w:rPr>
      </w:pPr>
      <w:bookmarkStart w:id="79" w:name="_Toc5562"/>
      <w:bookmarkStart w:id="80" w:name="_Toc17951"/>
      <w:r>
        <w:rPr>
          <w:rFonts w:hint="eastAsia"/>
          <w:highlight w:val="none"/>
        </w:rPr>
        <w:t>六、定标及</w:t>
      </w:r>
      <w:bookmarkStart w:id="81" w:name="_Toc9510640"/>
      <w:r>
        <w:rPr>
          <w:rFonts w:hint="eastAsia"/>
          <w:highlight w:val="none"/>
        </w:rPr>
        <w:t>合同授予</w:t>
      </w:r>
      <w:bookmarkEnd w:id="79"/>
      <w:bookmarkEnd w:id="80"/>
    </w:p>
    <w:p>
      <w:pPr>
        <w:pStyle w:val="6"/>
        <w:rPr>
          <w:highlight w:val="none"/>
        </w:rPr>
      </w:pPr>
      <w:bookmarkStart w:id="82" w:name="_Toc31428"/>
      <w:r>
        <w:rPr>
          <w:rFonts w:hint="eastAsia"/>
          <w:highlight w:val="none"/>
        </w:rPr>
        <w:t>30、确</w:t>
      </w:r>
      <w:bookmarkEnd w:id="81"/>
      <w:r>
        <w:rPr>
          <w:rFonts w:hint="eastAsia"/>
          <w:highlight w:val="none"/>
        </w:rPr>
        <w:t>定中标人</w:t>
      </w:r>
      <w:bookmarkEnd w:id="82"/>
    </w:p>
    <w:p>
      <w:pPr>
        <w:adjustRightInd w:val="0"/>
        <w:snapToGrid w:val="0"/>
        <w:spacing w:line="500" w:lineRule="exact"/>
        <w:ind w:firstLine="472" w:firstLineChars="196"/>
        <w:rPr>
          <w:rFonts w:ascii="宋体" w:hAnsi="宋体" w:eastAsia="宋体" w:cs="宋体"/>
          <w:b/>
          <w:bCs/>
          <w:sz w:val="24"/>
          <w:szCs w:val="24"/>
          <w:highlight w:val="none"/>
        </w:rPr>
      </w:pPr>
      <w:r>
        <w:rPr>
          <w:rFonts w:hint="eastAsia" w:ascii="宋体" w:hAnsi="宋体" w:eastAsia="宋体" w:cs="宋体"/>
          <w:b/>
          <w:bCs/>
          <w:sz w:val="24"/>
          <w:szCs w:val="24"/>
          <w:highlight w:val="none"/>
        </w:rPr>
        <w:t>本项目由采购人确定中标人。</w:t>
      </w:r>
    </w:p>
    <w:p>
      <w:pPr>
        <w:adjustRightInd w:val="0"/>
        <w:snapToGrid w:val="0"/>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30.1本项目由评标委员会推荐每个标包的中标候选人，</w:t>
      </w:r>
      <w:r>
        <w:rPr>
          <w:rFonts w:hint="eastAsia" w:ascii="宋体" w:hAnsi="宋体" w:cs="宋体"/>
          <w:kern w:val="0"/>
          <w:sz w:val="24"/>
          <w:szCs w:val="24"/>
          <w:highlight w:val="none"/>
        </w:rPr>
        <w:t>采购代理机构应当自评审结束之日起2个工作日内将评审报告送交采购人。采购人应当自收到评审报告之日起5个工作日内在评审报告推荐的中标候选人中按顺序确定中标</w:t>
      </w:r>
      <w:r>
        <w:rPr>
          <w:rFonts w:hint="eastAsia" w:ascii="宋体" w:hAnsi="宋体" w:cs="宋体"/>
          <w:kern w:val="0"/>
          <w:sz w:val="24"/>
          <w:szCs w:val="24"/>
          <w:highlight w:val="none"/>
          <w:lang w:eastAsia="zh-CN"/>
        </w:rPr>
        <w:t>投标人</w:t>
      </w:r>
      <w:r>
        <w:rPr>
          <w:rFonts w:hint="eastAsia" w:ascii="宋体" w:hAnsi="宋体" w:cs="宋体"/>
          <w:kern w:val="0"/>
          <w:sz w:val="24"/>
          <w:szCs w:val="24"/>
          <w:highlight w:val="none"/>
        </w:rPr>
        <w:t>。</w:t>
      </w:r>
    </w:p>
    <w:p>
      <w:pPr>
        <w:adjustRightInd w:val="0"/>
        <w:snapToGrid w:val="0"/>
        <w:spacing w:line="500" w:lineRule="exact"/>
        <w:ind w:firstLine="470" w:firstLineChars="196"/>
        <w:rPr>
          <w:rFonts w:ascii="宋体" w:hAnsi="宋体" w:eastAsia="宋体" w:cs="宋体"/>
          <w:sz w:val="24"/>
          <w:szCs w:val="24"/>
          <w:highlight w:val="none"/>
        </w:rPr>
      </w:pPr>
      <w:r>
        <w:rPr>
          <w:rFonts w:hint="eastAsia" w:ascii="宋体" w:hAnsi="宋体" w:eastAsia="宋体" w:cs="宋体"/>
          <w:sz w:val="24"/>
          <w:szCs w:val="24"/>
          <w:highlight w:val="none"/>
        </w:rPr>
        <w:t>30.2</w:t>
      </w:r>
      <w:r>
        <w:rPr>
          <w:rFonts w:hint="eastAsia" w:ascii="宋体" w:hAnsi="宋体" w:cs="宋体"/>
          <w:kern w:val="0"/>
          <w:sz w:val="24"/>
          <w:szCs w:val="24"/>
          <w:highlight w:val="none"/>
        </w:rPr>
        <w:t>采购人或者采购代理机构应当自中标</w:t>
      </w:r>
      <w:r>
        <w:rPr>
          <w:rFonts w:hint="eastAsia" w:ascii="宋体" w:hAnsi="宋体" w:cs="宋体"/>
          <w:kern w:val="0"/>
          <w:sz w:val="24"/>
          <w:szCs w:val="24"/>
          <w:highlight w:val="none"/>
          <w:lang w:eastAsia="zh-CN"/>
        </w:rPr>
        <w:t>投标人</w:t>
      </w:r>
      <w:r>
        <w:rPr>
          <w:rFonts w:hint="eastAsia" w:ascii="宋体" w:hAnsi="宋体" w:cs="宋体"/>
          <w:kern w:val="0"/>
          <w:sz w:val="24"/>
          <w:szCs w:val="24"/>
          <w:highlight w:val="none"/>
        </w:rPr>
        <w:t>确定之日起2个工作日内，发出中标通知书，并在省级以上人民政府财政部门指定的媒体上公告中标结果</w:t>
      </w:r>
      <w:r>
        <w:rPr>
          <w:rFonts w:hint="eastAsia" w:ascii="宋体" w:hAnsi="宋体" w:eastAsia="宋体" w:cs="宋体"/>
          <w:sz w:val="24"/>
          <w:szCs w:val="24"/>
          <w:highlight w:val="none"/>
        </w:rPr>
        <w:t>。投标人如对评审结果有质疑的，按照《中华人民共和国政府采购法》、《中华人民共和国政府采购法实施条例》等有关程序办理。</w:t>
      </w:r>
    </w:p>
    <w:p>
      <w:pPr>
        <w:pStyle w:val="6"/>
        <w:rPr>
          <w:highlight w:val="none"/>
        </w:rPr>
      </w:pPr>
      <w:bookmarkStart w:id="83" w:name="_Toc4164"/>
      <w:r>
        <w:rPr>
          <w:rFonts w:hint="eastAsia"/>
          <w:highlight w:val="none"/>
        </w:rPr>
        <w:t>31、签订合同</w:t>
      </w:r>
      <w:bookmarkEnd w:id="83"/>
    </w:p>
    <w:p>
      <w:pPr>
        <w:adjustRightInd w:val="0"/>
        <w:snapToGrid w:val="0"/>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31.1招标文件和中标投标人的投标文件均为签订采购合同的依据。</w:t>
      </w:r>
    </w:p>
    <w:p>
      <w:pPr>
        <w:adjustRightInd w:val="0"/>
        <w:snapToGrid w:val="0"/>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31.2中标投标人应当在中标通知书发出之日起30日内，与采购人签订采购合同。</w:t>
      </w:r>
    </w:p>
    <w:p>
      <w:pPr>
        <w:adjustRightInd w:val="0"/>
        <w:snapToGrid w:val="0"/>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31.3采购人不得与中标投标人订立背离招标文件确定的合同文本以及采购标的、规格型号、采购金额、采购数量、技术和服务要求等实质性内容的协议。</w:t>
      </w:r>
    </w:p>
    <w:p>
      <w:pPr>
        <w:adjustRightInd w:val="0"/>
        <w:snapToGrid w:val="0"/>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31.4自政府采购合同签订之日起2个工作日内，本项目政府采购合同在</w:t>
      </w:r>
      <w:r>
        <w:rPr>
          <w:rFonts w:hint="eastAsia" w:ascii="宋体" w:hAnsi="宋体" w:eastAsia="宋体" w:cs="宋体"/>
          <w:sz w:val="24"/>
          <w:szCs w:val="24"/>
          <w:highlight w:val="none"/>
          <w:lang w:val="en-US" w:eastAsia="zh-CN"/>
        </w:rPr>
        <w:t xml:space="preserve">中国政府采购网（http://www.ccgp.gov.cn/）  </w:t>
      </w:r>
      <w:r>
        <w:rPr>
          <w:rFonts w:hint="eastAsia" w:ascii="宋体" w:hAnsi="宋体" w:eastAsia="宋体" w:cs="宋体"/>
          <w:sz w:val="24"/>
          <w:szCs w:val="24"/>
          <w:highlight w:val="none"/>
        </w:rPr>
        <w:t>上公告，但政府采购合同中涉及国家秘密、商业秘密的内容除外。</w:t>
      </w:r>
    </w:p>
    <w:p>
      <w:pPr>
        <w:pStyle w:val="37"/>
        <w:ind w:firstLine="480"/>
        <w:rPr>
          <w:rFonts w:eastAsia="宋体"/>
          <w:highlight w:val="none"/>
        </w:rPr>
      </w:pPr>
      <w:r>
        <w:rPr>
          <w:rFonts w:hint="eastAsia" w:ascii="宋体" w:hAnsi="宋体" w:eastAsia="宋体" w:cs="宋体"/>
          <w:sz w:val="24"/>
          <w:szCs w:val="24"/>
          <w:highlight w:val="none"/>
        </w:rPr>
        <w:t>31.5政府采购合同履行中，采购人需追加与合同标的相同的货物、工程或者服务的，在不改变合同其他条款的前提下，可以与</w:t>
      </w:r>
      <w:r>
        <w:rPr>
          <w:rFonts w:hint="eastAsia" w:cs="宋体"/>
          <w:sz w:val="24"/>
          <w:szCs w:val="24"/>
          <w:highlight w:val="none"/>
          <w:lang w:eastAsia="zh-CN"/>
        </w:rPr>
        <w:t>投标人</w:t>
      </w:r>
      <w:r>
        <w:rPr>
          <w:rFonts w:hint="eastAsia" w:ascii="宋体" w:hAnsi="宋体" w:eastAsia="宋体" w:cs="宋体"/>
          <w:sz w:val="24"/>
          <w:szCs w:val="24"/>
          <w:highlight w:val="none"/>
        </w:rPr>
        <w:t>协商签订补充合同，但所有补充合同的采购金额不得超过原合同采购金额的百分之十。</w:t>
      </w:r>
    </w:p>
    <w:p>
      <w:pPr>
        <w:pStyle w:val="6"/>
        <w:rPr>
          <w:highlight w:val="none"/>
        </w:rPr>
      </w:pPr>
      <w:bookmarkStart w:id="84" w:name="_Toc15336"/>
      <w:r>
        <w:rPr>
          <w:rFonts w:hint="eastAsia"/>
          <w:highlight w:val="none"/>
        </w:rPr>
        <w:t>32、其他说明</w:t>
      </w:r>
      <w:bookmarkEnd w:id="84"/>
    </w:p>
    <w:p>
      <w:pPr>
        <w:adjustRightInd w:val="0"/>
        <w:snapToGrid w:val="0"/>
        <w:spacing w:line="500" w:lineRule="exact"/>
        <w:ind w:firstLine="480" w:firstLineChars="200"/>
        <w:rPr>
          <w:rFonts w:ascii="宋体" w:hAnsi="宋体" w:eastAsia="宋体" w:cs="宋体"/>
          <w:bCs/>
          <w:sz w:val="24"/>
          <w:szCs w:val="24"/>
          <w:highlight w:val="none"/>
        </w:rPr>
      </w:pPr>
      <w:r>
        <w:rPr>
          <w:rFonts w:hint="eastAsia" w:ascii="宋体" w:hAnsi="宋体" w:eastAsia="宋体" w:cs="宋体"/>
          <w:bCs/>
          <w:sz w:val="24"/>
          <w:szCs w:val="24"/>
          <w:highlight w:val="none"/>
        </w:rPr>
        <w:t>保密要求：在合同期内或合同终止后，未征得有关方同意，不得泄露与本项目、本合同业务有关的保密资料。</w:t>
      </w:r>
    </w:p>
    <w:p>
      <w:pPr>
        <w:adjustRightInd w:val="0"/>
        <w:snapToGrid w:val="0"/>
        <w:spacing w:line="500" w:lineRule="exact"/>
        <w:ind w:firstLine="480" w:firstLineChars="200"/>
        <w:rPr>
          <w:rFonts w:ascii="宋体" w:hAnsi="宋体" w:eastAsia="宋体" w:cs="宋体"/>
          <w:bCs/>
          <w:sz w:val="24"/>
          <w:szCs w:val="24"/>
          <w:highlight w:val="none"/>
        </w:rPr>
      </w:pPr>
      <w:r>
        <w:rPr>
          <w:rFonts w:hint="eastAsia" w:ascii="宋体" w:hAnsi="宋体" w:eastAsia="宋体" w:cs="宋体"/>
          <w:bCs/>
          <w:sz w:val="24"/>
          <w:szCs w:val="24"/>
          <w:highlight w:val="none"/>
        </w:rPr>
        <w:t>本招标文件未尽事宜按现行招标投标的有关法律法规和规定执行。</w:t>
      </w:r>
    </w:p>
    <w:p>
      <w:pPr>
        <w:rPr>
          <w:rFonts w:ascii="宋体" w:hAnsi="宋体" w:eastAsia="宋体" w:cs="宋体"/>
          <w:bCs/>
          <w:sz w:val="24"/>
          <w:szCs w:val="24"/>
          <w:highlight w:val="none"/>
        </w:rPr>
      </w:pPr>
      <w:r>
        <w:rPr>
          <w:rFonts w:hint="eastAsia" w:ascii="宋体" w:hAnsi="宋体" w:eastAsia="宋体" w:cs="宋体"/>
          <w:bCs/>
          <w:sz w:val="24"/>
          <w:szCs w:val="24"/>
          <w:highlight w:val="none"/>
        </w:rPr>
        <w:br w:type="page"/>
      </w:r>
    </w:p>
    <w:p>
      <w:pPr>
        <w:pStyle w:val="3"/>
        <w:rPr>
          <w:highlight w:val="none"/>
        </w:rPr>
      </w:pPr>
      <w:bookmarkStart w:id="85" w:name="_Toc23127"/>
      <w:bookmarkStart w:id="86" w:name="_Toc8515"/>
      <w:bookmarkStart w:id="87" w:name="_Toc30905"/>
      <w:r>
        <w:rPr>
          <w:rFonts w:hint="eastAsia"/>
          <w:highlight w:val="none"/>
        </w:rPr>
        <w:t>第三章 评分</w:t>
      </w:r>
      <w:bookmarkEnd w:id="85"/>
      <w:bookmarkEnd w:id="86"/>
      <w:r>
        <w:rPr>
          <w:rFonts w:hint="eastAsia"/>
          <w:highlight w:val="none"/>
        </w:rPr>
        <w:t>办法及评分标准</w:t>
      </w:r>
      <w:bookmarkEnd w:id="87"/>
    </w:p>
    <w:p>
      <w:pPr>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为公正、公平、科学地选择中标人，根据有关法律法规的规定，并结合本项目的实际情况，制定本办法。</w:t>
      </w:r>
    </w:p>
    <w:p>
      <w:pPr>
        <w:pStyle w:val="5"/>
        <w:rPr>
          <w:highlight w:val="none"/>
        </w:rPr>
      </w:pPr>
      <w:bookmarkStart w:id="88" w:name="_Toc29264"/>
      <w:bookmarkStart w:id="89" w:name="_Toc32479"/>
      <w:r>
        <w:rPr>
          <w:rFonts w:hint="eastAsia"/>
          <w:highlight w:val="none"/>
        </w:rPr>
        <w:t>一、评标组织</w:t>
      </w:r>
      <w:bookmarkEnd w:id="88"/>
      <w:bookmarkEnd w:id="89"/>
    </w:p>
    <w:p>
      <w:pPr>
        <w:spacing w:line="500" w:lineRule="exact"/>
        <w:ind w:firstLine="480" w:firstLineChars="200"/>
        <w:rPr>
          <w:rFonts w:ascii="宋体" w:hAnsi="宋体" w:eastAsia="宋体" w:cs="宋体"/>
          <w:sz w:val="24"/>
          <w:szCs w:val="24"/>
          <w:highlight w:val="none"/>
        </w:rPr>
      </w:pPr>
      <w:bookmarkStart w:id="90" w:name="_Toc249760792"/>
      <w:bookmarkStart w:id="91" w:name="_Toc405213814"/>
      <w:bookmarkStart w:id="92" w:name="_Toc251566663"/>
      <w:r>
        <w:rPr>
          <w:rFonts w:hint="eastAsia" w:ascii="宋体" w:hAnsi="宋体" w:eastAsia="宋体" w:cs="宋体"/>
          <w:sz w:val="24"/>
          <w:szCs w:val="24"/>
          <w:highlight w:val="none"/>
        </w:rPr>
        <w:t>评标工作</w:t>
      </w:r>
      <w:bookmarkEnd w:id="90"/>
      <w:bookmarkEnd w:id="91"/>
      <w:bookmarkEnd w:id="92"/>
      <w:r>
        <w:rPr>
          <w:rFonts w:hint="eastAsia" w:ascii="宋体" w:hAnsi="宋体" w:eastAsia="宋体" w:cs="宋体"/>
          <w:sz w:val="24"/>
          <w:szCs w:val="24"/>
          <w:highlight w:val="none"/>
        </w:rPr>
        <w:t>由</w:t>
      </w:r>
      <w:bookmarkStart w:id="93" w:name="_Toc249760793"/>
      <w:bookmarkStart w:id="94" w:name="_Toc251566664"/>
      <w:bookmarkStart w:id="95" w:name="_Toc405213815"/>
      <w:r>
        <w:rPr>
          <w:rFonts w:hint="eastAsia" w:ascii="宋体" w:hAnsi="宋体" w:eastAsia="宋体" w:cs="宋体"/>
          <w:sz w:val="24"/>
          <w:szCs w:val="24"/>
          <w:highlight w:val="none"/>
        </w:rPr>
        <w:t>采购代理机构负责组织，具体评标事务由依法组建的评标委员会负责。</w:t>
      </w:r>
    </w:p>
    <w:p>
      <w:pPr>
        <w:pStyle w:val="5"/>
        <w:rPr>
          <w:highlight w:val="none"/>
        </w:rPr>
      </w:pPr>
      <w:bookmarkStart w:id="96" w:name="_Toc24221"/>
      <w:bookmarkStart w:id="97" w:name="_Toc3581"/>
      <w:r>
        <w:rPr>
          <w:rFonts w:hint="eastAsia"/>
          <w:highlight w:val="none"/>
        </w:rPr>
        <w:t>二、评标纪律</w:t>
      </w:r>
      <w:bookmarkEnd w:id="96"/>
      <w:bookmarkEnd w:id="97"/>
    </w:p>
    <w:p>
      <w:pPr>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1．评标</w:t>
      </w:r>
      <w:bookmarkEnd w:id="93"/>
      <w:bookmarkEnd w:id="94"/>
      <w:bookmarkEnd w:id="95"/>
      <w:r>
        <w:rPr>
          <w:rFonts w:hint="eastAsia" w:ascii="宋体" w:hAnsi="宋体" w:eastAsia="宋体" w:cs="宋体"/>
          <w:sz w:val="24"/>
          <w:szCs w:val="24"/>
          <w:highlight w:val="none"/>
        </w:rPr>
        <w:t>是招标工作的重要环节，评标工作在评标委员会内独立进行。评标委员会将按照评标原则的要求，公正、平等地对待所有投标人。</w:t>
      </w:r>
    </w:p>
    <w:p>
      <w:pPr>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2．所有评标人员应忠于职守、廉洁自律、秉公办事、不徇私情。</w:t>
      </w:r>
    </w:p>
    <w:p>
      <w:pPr>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3．评标人员不得接受或参加投标人或与投标有关的单位、组织或个人的有碍公务的宴请、娱乐活动等，不得以任何形式弄虚作假。</w:t>
      </w:r>
    </w:p>
    <w:p>
      <w:pPr>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4．评标期间，评标人员不得随意出入评标地点、与外界通讯、会客等。</w:t>
      </w:r>
    </w:p>
    <w:p>
      <w:pPr>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5．在投标文件的审查、澄清、评价和比较以及授予合同的过程中，投标人对采购人、采购代理机构人员及评标委员会成员施加影响的任何行为，都将导致被取消投标资格。</w:t>
      </w:r>
    </w:p>
    <w:p>
      <w:pPr>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6．为保证评标的公正性，在评标过程中，评标委员会成员不得与投标人或与中标结果有利害关系的人进行私下接触。在评标工作结束后，凡与评标情况有接触的任何人，不得将评标情况扩散出评标委员会以外。</w:t>
      </w:r>
    </w:p>
    <w:p>
      <w:pPr>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7．评标过程中，评标专家对投标人的优劣情况，以及认为差异较大的情况，应以书面意见作出真实、专业、诚恳负责的表述，不得违背客观、公正的原则。</w:t>
      </w:r>
    </w:p>
    <w:p>
      <w:pPr>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8．评标结束后，各评标人员应将全部资料整理上交采购代理机构，严禁将评标过程中的任何资料带出评标现场向投标人或其他单位提供。</w:t>
      </w:r>
    </w:p>
    <w:p>
      <w:pPr>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9．在中标结果公布前应对评标委员会成员名单予以</w:t>
      </w:r>
      <w:r>
        <w:rPr>
          <w:rFonts w:hint="eastAsia" w:ascii="宋体" w:hAnsi="宋体" w:eastAsia="宋体" w:cs="宋体"/>
          <w:bCs/>
          <w:sz w:val="24"/>
          <w:szCs w:val="24"/>
          <w:highlight w:val="none"/>
        </w:rPr>
        <w:t>保密</w:t>
      </w:r>
      <w:r>
        <w:rPr>
          <w:rFonts w:hint="eastAsia" w:ascii="宋体" w:hAnsi="宋体" w:eastAsia="宋体" w:cs="宋体"/>
          <w:sz w:val="24"/>
          <w:szCs w:val="24"/>
          <w:highlight w:val="none"/>
        </w:rPr>
        <w:t>。</w:t>
      </w:r>
    </w:p>
    <w:p>
      <w:pPr>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10．评标委员会对各投标人的商业秘密予以</w:t>
      </w:r>
      <w:r>
        <w:rPr>
          <w:rFonts w:hint="eastAsia" w:ascii="宋体" w:hAnsi="宋体" w:eastAsia="宋体" w:cs="宋体"/>
          <w:bCs/>
          <w:sz w:val="24"/>
          <w:szCs w:val="24"/>
          <w:highlight w:val="none"/>
        </w:rPr>
        <w:t>保密</w:t>
      </w:r>
      <w:r>
        <w:rPr>
          <w:rFonts w:hint="eastAsia" w:ascii="宋体" w:hAnsi="宋体" w:eastAsia="宋体" w:cs="宋体"/>
          <w:sz w:val="24"/>
          <w:szCs w:val="24"/>
          <w:highlight w:val="none"/>
        </w:rPr>
        <w:t>。</w:t>
      </w:r>
    </w:p>
    <w:p>
      <w:pPr>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11．评标委员会成员应当客观、公正地履行职责，遵守职业道德，对所提出的评审意见承担个人责任。</w:t>
      </w:r>
    </w:p>
    <w:p>
      <w:pPr>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12．在整个评标过程中，投标人企图影响招标结果的任何活动，可能导致其投标失败。如有违法行为，将依法追究其法律责任。</w:t>
      </w:r>
    </w:p>
    <w:p>
      <w:pPr>
        <w:pStyle w:val="5"/>
        <w:rPr>
          <w:highlight w:val="none"/>
        </w:rPr>
      </w:pPr>
      <w:bookmarkStart w:id="98" w:name="_Toc6124"/>
      <w:bookmarkStart w:id="99" w:name="_Toc10772"/>
      <w:r>
        <w:rPr>
          <w:rFonts w:hint="eastAsia"/>
          <w:highlight w:val="none"/>
        </w:rPr>
        <w:t>三、评分标准和细则</w:t>
      </w:r>
      <w:bookmarkEnd w:id="98"/>
      <w:bookmarkEnd w:id="99"/>
    </w:p>
    <w:p>
      <w:pPr>
        <w:spacing w:line="500" w:lineRule="exact"/>
        <w:ind w:firstLine="482"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（一）评分标准：</w:t>
      </w:r>
    </w:p>
    <w:p>
      <w:pPr>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1.评标委员会</w:t>
      </w:r>
      <w:r>
        <w:rPr>
          <w:rFonts w:hint="eastAsia" w:ascii="宋体" w:hAnsi="宋体" w:eastAsia="宋体" w:cs="宋体"/>
          <w:sz w:val="24"/>
          <w:szCs w:val="24"/>
          <w:highlight w:val="none"/>
          <w:lang w:val="en-US" w:eastAsia="zh-CN"/>
        </w:rPr>
        <w:t>各成员独立</w:t>
      </w:r>
      <w:r>
        <w:rPr>
          <w:rFonts w:hint="eastAsia" w:ascii="宋体" w:hAnsi="宋体" w:eastAsia="宋体" w:cs="宋体"/>
          <w:sz w:val="24"/>
          <w:szCs w:val="24"/>
          <w:highlight w:val="none"/>
        </w:rPr>
        <w:t>根据招标文件对各投标文件技术内容充分审核</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评议后，评标委员会</w:t>
      </w:r>
      <w:r>
        <w:rPr>
          <w:rFonts w:hint="eastAsia" w:ascii="宋体" w:hAnsi="宋体" w:eastAsia="宋体" w:cs="宋体"/>
          <w:sz w:val="24"/>
          <w:szCs w:val="24"/>
          <w:highlight w:val="none"/>
          <w:lang w:val="en-US" w:eastAsia="zh-CN"/>
        </w:rPr>
        <w:t>成员独立</w:t>
      </w:r>
      <w:r>
        <w:rPr>
          <w:rFonts w:hint="eastAsia" w:ascii="宋体" w:hAnsi="宋体" w:eastAsia="宋体" w:cs="宋体"/>
          <w:sz w:val="24"/>
          <w:szCs w:val="24"/>
          <w:highlight w:val="none"/>
        </w:rPr>
        <w:t>按评分细则，进行</w:t>
      </w:r>
      <w:r>
        <w:rPr>
          <w:rFonts w:hint="eastAsia" w:ascii="宋体" w:hAnsi="宋体" w:eastAsia="宋体" w:cs="宋体"/>
          <w:sz w:val="24"/>
          <w:szCs w:val="24"/>
          <w:highlight w:val="none"/>
          <w:lang w:val="en-US" w:eastAsia="zh-CN"/>
        </w:rPr>
        <w:t>评审</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各</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的最终评分值为评标委员会成员的有效评分票的算术平均值。</w:t>
      </w:r>
    </w:p>
    <w:p>
      <w:pPr>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2.评标委员会成员</w:t>
      </w:r>
      <w:r>
        <w:rPr>
          <w:rFonts w:hint="eastAsia" w:ascii="宋体" w:hAnsi="宋体" w:eastAsia="宋体" w:cs="宋体"/>
          <w:sz w:val="24"/>
          <w:szCs w:val="24"/>
          <w:highlight w:val="none"/>
          <w:lang w:val="en-US" w:eastAsia="zh-CN"/>
        </w:rPr>
        <w:t>独立</w:t>
      </w:r>
      <w:r>
        <w:rPr>
          <w:rFonts w:hint="eastAsia" w:ascii="宋体" w:hAnsi="宋体" w:eastAsia="宋体" w:cs="宋体"/>
          <w:sz w:val="24"/>
          <w:szCs w:val="24"/>
          <w:highlight w:val="none"/>
        </w:rPr>
        <w:t>按评分细则对各</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的最终报价进行统一计算评分，集体统一判定评分。</w:t>
      </w:r>
    </w:p>
    <w:p>
      <w:pPr>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cs="宋体"/>
          <w:sz w:val="24"/>
          <w:szCs w:val="24"/>
          <w:highlight w:val="none"/>
          <w:lang w:eastAsia="zh-CN"/>
        </w:rPr>
        <w:t>投标人</w:t>
      </w:r>
      <w:r>
        <w:rPr>
          <w:rFonts w:hint="eastAsia" w:ascii="宋体" w:hAnsi="宋体" w:eastAsia="宋体" w:cs="宋体"/>
          <w:sz w:val="24"/>
          <w:szCs w:val="24"/>
          <w:highlight w:val="none"/>
        </w:rPr>
        <w:t>的综合评分为技术、商务和投标报价三部分的总计，由指定专人进行计算和复核。中标候选资格按评标得分由高到低顺序排列，得分相同的，按投标报价由低到高顺序排列；得分且投标报价相同的，按技术得分由高到低顺序排列。</w:t>
      </w:r>
    </w:p>
    <w:p>
      <w:pPr>
        <w:spacing w:line="400" w:lineRule="exact"/>
        <w:ind w:firstLine="482" w:firstLineChars="200"/>
        <w:rPr>
          <w:rFonts w:ascii="宋体" w:hAnsi="宋体" w:eastAsia="宋体" w:cs="宋体"/>
          <w:b/>
          <w:sz w:val="24"/>
          <w:szCs w:val="24"/>
          <w:highlight w:val="none"/>
        </w:rPr>
      </w:pPr>
      <w:r>
        <w:rPr>
          <w:rFonts w:hint="eastAsia" w:ascii="宋体" w:hAnsi="宋体" w:cs="宋体"/>
          <w:b/>
          <w:bCs/>
          <w:sz w:val="24"/>
          <w:szCs w:val="24"/>
          <w:highlight w:val="none"/>
        </w:rPr>
        <w:t>（二）评分细则：</w:t>
      </w:r>
    </w:p>
    <w:p>
      <w:pPr>
        <w:pStyle w:val="4"/>
        <w:rPr>
          <w:rFonts w:ascii="宋体" w:hAnsi="宋体" w:eastAsia="宋体" w:cs="宋体"/>
          <w:b/>
          <w:sz w:val="24"/>
          <w:szCs w:val="24"/>
          <w:highlight w:val="none"/>
        </w:rPr>
      </w:pPr>
      <w:r>
        <w:rPr>
          <w:rFonts w:hint="eastAsia" w:ascii="宋体" w:hAnsi="宋体" w:eastAsia="宋体" w:cs="宋体"/>
          <w:b/>
          <w:sz w:val="24"/>
          <w:szCs w:val="24"/>
          <w:highlight w:val="none"/>
        </w:rPr>
        <w:t>第</w:t>
      </w:r>
      <w:r>
        <w:rPr>
          <w:rFonts w:hint="eastAsia" w:ascii="宋体" w:hAnsi="宋体" w:eastAsia="宋体" w:cs="宋体"/>
          <w:b/>
          <w:sz w:val="24"/>
          <w:szCs w:val="24"/>
          <w:highlight w:val="none"/>
          <w:lang w:val="en-US" w:eastAsia="zh-CN"/>
        </w:rPr>
        <w:t>十</w:t>
      </w:r>
      <w:r>
        <w:rPr>
          <w:rFonts w:hint="eastAsia" w:ascii="宋体" w:hAnsi="宋体" w:eastAsia="宋体" w:cs="宋体"/>
          <w:b/>
          <w:sz w:val="24"/>
          <w:szCs w:val="24"/>
          <w:highlight w:val="none"/>
        </w:rPr>
        <w:t>包评分标准：</w:t>
      </w:r>
    </w:p>
    <w:tbl>
      <w:tblPr>
        <w:tblStyle w:val="38"/>
        <w:tblW w:w="91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5954"/>
        <w:gridCol w:w="6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宋体" w:hAnsi="宋体" w:eastAsia="宋体" w:cs="宋体"/>
                <w:b/>
                <w:sz w:val="24"/>
                <w:szCs w:val="24"/>
                <w:highlight w:val="none"/>
              </w:rPr>
            </w:pPr>
            <w:r>
              <w:rPr>
                <w:rFonts w:hint="eastAsia" w:ascii="宋体" w:hAnsi="宋体" w:eastAsia="宋体" w:cs="宋体"/>
                <w:b/>
                <w:kern w:val="0"/>
                <w:sz w:val="24"/>
                <w:szCs w:val="24"/>
                <w:highlight w:val="none"/>
              </w:rPr>
              <w:t>评分因素及权重</w:t>
            </w:r>
          </w:p>
        </w:tc>
        <w:tc>
          <w:tcPr>
            <w:tcW w:w="1371" w:type="dxa"/>
            <w:tcMar>
              <w:top w:w="15" w:type="dxa"/>
              <w:left w:w="15" w:type="dxa"/>
              <w:right w:w="15" w:type="dxa"/>
            </w:tcMar>
            <w:vAlign w:val="center"/>
          </w:tcPr>
          <w:p>
            <w:pPr>
              <w:widowControl/>
              <w:spacing w:line="400" w:lineRule="exact"/>
              <w:jc w:val="center"/>
              <w:textAlignment w:val="center"/>
              <w:rPr>
                <w:rFonts w:ascii="宋体" w:hAnsi="宋体" w:eastAsia="宋体" w:cs="宋体"/>
                <w:b/>
                <w:sz w:val="24"/>
                <w:szCs w:val="24"/>
                <w:highlight w:val="none"/>
              </w:rPr>
            </w:pPr>
            <w:r>
              <w:rPr>
                <w:rFonts w:hint="eastAsia" w:ascii="宋体" w:hAnsi="宋体" w:eastAsia="宋体" w:cs="宋体"/>
                <w:b/>
                <w:kern w:val="0"/>
                <w:sz w:val="24"/>
                <w:szCs w:val="24"/>
                <w:highlight w:val="none"/>
              </w:rPr>
              <w:t>评标因素</w:t>
            </w:r>
          </w:p>
        </w:tc>
        <w:tc>
          <w:tcPr>
            <w:tcW w:w="5954" w:type="dxa"/>
            <w:tcMar>
              <w:top w:w="15" w:type="dxa"/>
              <w:left w:w="15" w:type="dxa"/>
              <w:right w:w="15" w:type="dxa"/>
            </w:tcMar>
            <w:vAlign w:val="center"/>
          </w:tcPr>
          <w:p>
            <w:pPr>
              <w:widowControl/>
              <w:spacing w:line="400" w:lineRule="exact"/>
              <w:jc w:val="center"/>
              <w:textAlignment w:val="center"/>
              <w:rPr>
                <w:rFonts w:ascii="宋体" w:hAnsi="宋体" w:eastAsia="宋体" w:cs="宋体"/>
                <w:b/>
                <w:sz w:val="24"/>
                <w:szCs w:val="24"/>
                <w:highlight w:val="none"/>
              </w:rPr>
            </w:pPr>
            <w:r>
              <w:rPr>
                <w:rFonts w:hint="eastAsia" w:ascii="宋体" w:hAnsi="宋体" w:eastAsia="宋体" w:cs="宋体"/>
                <w:b/>
                <w:kern w:val="0"/>
                <w:sz w:val="24"/>
                <w:szCs w:val="24"/>
                <w:highlight w:val="none"/>
              </w:rPr>
              <w:t>评分标准</w:t>
            </w:r>
          </w:p>
        </w:tc>
        <w:tc>
          <w:tcPr>
            <w:tcW w:w="687" w:type="dxa"/>
            <w:tcMar>
              <w:top w:w="15" w:type="dxa"/>
              <w:left w:w="15" w:type="dxa"/>
              <w:right w:w="15" w:type="dxa"/>
            </w:tcMar>
            <w:vAlign w:val="center"/>
          </w:tcPr>
          <w:p>
            <w:pPr>
              <w:widowControl/>
              <w:spacing w:line="400" w:lineRule="exact"/>
              <w:jc w:val="center"/>
              <w:textAlignment w:val="center"/>
              <w:rPr>
                <w:rFonts w:ascii="宋体" w:hAnsi="宋体" w:eastAsia="宋体" w:cs="宋体"/>
                <w:b/>
                <w:sz w:val="24"/>
                <w:szCs w:val="24"/>
                <w:highlight w:val="none"/>
              </w:rPr>
            </w:pPr>
            <w:r>
              <w:rPr>
                <w:rFonts w:hint="eastAsia" w:ascii="宋体" w:hAnsi="宋体" w:eastAsia="宋体" w:cs="宋体"/>
                <w:b/>
                <w:kern w:val="0"/>
                <w:sz w:val="24"/>
                <w:szCs w:val="24"/>
                <w:highlight w:val="none"/>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宋体" w:hAnsi="宋体" w:eastAsia="宋体" w:cs="宋体"/>
                <w:sz w:val="24"/>
                <w:szCs w:val="24"/>
                <w:highlight w:val="none"/>
              </w:rPr>
            </w:pPr>
            <w:r>
              <w:rPr>
                <w:rFonts w:hint="eastAsia" w:ascii="宋体" w:hAnsi="宋体" w:eastAsia="宋体" w:cs="宋体"/>
                <w:kern w:val="0"/>
                <w:sz w:val="24"/>
                <w:szCs w:val="24"/>
                <w:highlight w:val="none"/>
              </w:rPr>
              <w:t>价格部分（30分）</w:t>
            </w:r>
          </w:p>
        </w:tc>
        <w:tc>
          <w:tcPr>
            <w:tcW w:w="1371" w:type="dxa"/>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投标</w:t>
            </w:r>
          </w:p>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报价</w:t>
            </w:r>
          </w:p>
        </w:tc>
        <w:tc>
          <w:tcPr>
            <w:tcW w:w="5954" w:type="dxa"/>
            <w:tcMar>
              <w:top w:w="15" w:type="dxa"/>
              <w:left w:w="15" w:type="dxa"/>
              <w:right w:w="15" w:type="dxa"/>
            </w:tcMar>
            <w:vAlign w:val="center"/>
          </w:tcPr>
          <w:p>
            <w:pPr>
              <w:widowControl/>
              <w:spacing w:line="400" w:lineRule="exact"/>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综合评分法中的价格分统一采用低价优先法计算，即满足招标文件要求且投标价格最低的投标报价为评标基准价，其价格分为满分30分，其它投标报价得分=评标基准价/投标报价*30</w:t>
            </w:r>
          </w:p>
        </w:tc>
        <w:tc>
          <w:tcPr>
            <w:tcW w:w="687" w:type="dxa"/>
            <w:tcMar>
              <w:top w:w="15" w:type="dxa"/>
              <w:left w:w="15" w:type="dxa"/>
              <w:right w:w="15" w:type="dxa"/>
            </w:tcMar>
            <w:vAlign w:val="center"/>
          </w:tcPr>
          <w:p>
            <w:pPr>
              <w:widowControl/>
              <w:spacing w:line="400" w:lineRule="exact"/>
              <w:jc w:val="center"/>
              <w:textAlignment w:val="center"/>
              <w:rPr>
                <w:rFonts w:ascii="宋体" w:hAnsi="宋体" w:eastAsia="宋体" w:cs="宋体"/>
                <w:sz w:val="24"/>
                <w:szCs w:val="24"/>
                <w:highlight w:val="none"/>
              </w:rPr>
            </w:pPr>
            <w:r>
              <w:rPr>
                <w:rFonts w:hint="eastAsia" w:ascii="宋体" w:hAnsi="宋体" w:eastAsia="宋体" w:cs="宋体"/>
                <w:kern w:val="0"/>
                <w:sz w:val="24"/>
                <w:szCs w:val="24"/>
                <w:highlight w:val="none"/>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sz w:val="24"/>
                <w:szCs w:val="24"/>
                <w:highlight w:val="none"/>
              </w:rPr>
            </w:pPr>
            <w:r>
              <w:rPr>
                <w:rFonts w:hint="eastAsia" w:ascii="宋体" w:hAnsi="宋体" w:eastAsia="宋体" w:cs="宋体"/>
                <w:kern w:val="0"/>
                <w:sz w:val="24"/>
                <w:szCs w:val="24"/>
                <w:highlight w:val="none"/>
              </w:rPr>
              <w:t>技术和商务部分（ 70分）</w:t>
            </w:r>
          </w:p>
        </w:tc>
        <w:tc>
          <w:tcPr>
            <w:tcW w:w="1371" w:type="dxa"/>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技术要求</w:t>
            </w:r>
          </w:p>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响应评价</w:t>
            </w:r>
          </w:p>
        </w:tc>
        <w:tc>
          <w:tcPr>
            <w:tcW w:w="5954" w:type="dxa"/>
            <w:tcMar>
              <w:top w:w="15" w:type="dxa"/>
              <w:left w:w="15" w:type="dxa"/>
              <w:right w:w="15" w:type="dxa"/>
            </w:tcMar>
            <w:vAlign w:val="center"/>
          </w:tcPr>
          <w:p>
            <w:pPr>
              <w:widowControl/>
              <w:spacing w:line="400" w:lineRule="exact"/>
              <w:ind w:firstLine="480" w:firstLineChars="200"/>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对照“项目需求”技术参数（每条技术参数前标注“★”的为核心技术参数，标注“▲”的为主要技术参数，未标注的为一般参数），根据投标人提供的产品配置及技术性能指标的响应情况进行评审。</w:t>
            </w:r>
          </w:p>
          <w:p>
            <w:pPr>
              <w:widowControl/>
              <w:spacing w:line="400" w:lineRule="exact"/>
              <w:ind w:firstLine="480" w:firstLineChars="200"/>
              <w:textAlignment w:val="center"/>
              <w:rPr>
                <w:rFonts w:ascii="宋体" w:hAnsi="宋体" w:eastAsia="宋体" w:cs="宋体"/>
                <w:sz w:val="24"/>
                <w:szCs w:val="24"/>
                <w:highlight w:val="none"/>
              </w:rPr>
            </w:pPr>
            <w:r>
              <w:rPr>
                <w:rFonts w:hint="eastAsia" w:ascii="宋体" w:hAnsi="宋体" w:eastAsia="宋体" w:cs="宋体"/>
                <w:sz w:val="24"/>
                <w:szCs w:val="24"/>
                <w:highlight w:val="none"/>
              </w:rPr>
              <w:t>1.投标人所投产品技术参数完全响应招标文件要求的，得</w:t>
            </w:r>
            <w:r>
              <w:rPr>
                <w:rFonts w:hint="eastAsia" w:ascii="宋体" w:hAnsi="宋体" w:eastAsia="宋体" w:cs="宋体"/>
                <w:sz w:val="24"/>
                <w:szCs w:val="24"/>
                <w:highlight w:val="none"/>
                <w:lang w:val="en-US" w:eastAsia="zh-CN"/>
              </w:rPr>
              <w:t>30</w:t>
            </w:r>
            <w:r>
              <w:rPr>
                <w:rFonts w:hint="eastAsia" w:ascii="宋体" w:hAnsi="宋体" w:eastAsia="宋体" w:cs="宋体"/>
                <w:sz w:val="24"/>
                <w:szCs w:val="24"/>
                <w:highlight w:val="none"/>
              </w:rPr>
              <w:t>分；</w:t>
            </w:r>
          </w:p>
          <w:p>
            <w:pPr>
              <w:pStyle w:val="30"/>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w:t>
            </w:r>
            <w:r>
              <w:rPr>
                <w:rFonts w:ascii="宋体" w:hAnsi="宋体" w:eastAsia="宋体" w:cs="宋体"/>
                <w:sz w:val="24"/>
                <w:szCs w:val="24"/>
                <w:highlight w:val="none"/>
              </w:rPr>
              <w:t>.</w:t>
            </w:r>
            <w:r>
              <w:rPr>
                <w:rFonts w:hint="eastAsia"/>
                <w:highlight w:val="none"/>
              </w:rPr>
              <w:t xml:space="preserve"> </w:t>
            </w:r>
            <w:r>
              <w:rPr>
                <w:rFonts w:hint="eastAsia" w:ascii="宋体" w:hAnsi="宋体" w:eastAsia="宋体" w:cs="宋体"/>
                <w:sz w:val="24"/>
                <w:szCs w:val="24"/>
                <w:highlight w:val="none"/>
              </w:rPr>
              <w:t>核心技术参数存在负偏离的（</w:t>
            </w:r>
            <w:r>
              <w:rPr>
                <w:rFonts w:hint="eastAsia" w:ascii="宋体" w:hAnsi="宋体" w:eastAsia="宋体" w:cs="宋体"/>
                <w:sz w:val="24"/>
                <w:szCs w:val="24"/>
                <w:highlight w:val="none"/>
                <w:lang w:val="en-US" w:eastAsia="zh-CN"/>
              </w:rPr>
              <w:t>共</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条），此项不得分；</w:t>
            </w:r>
          </w:p>
          <w:p>
            <w:pPr>
              <w:pStyle w:val="30"/>
              <w:ind w:firstLine="480" w:firstLineChars="200"/>
              <w:rPr>
                <w:rFonts w:ascii="宋体" w:hAnsi="宋体" w:eastAsia="宋体" w:cs="宋体"/>
                <w:sz w:val="24"/>
                <w:szCs w:val="24"/>
                <w:highlight w:val="none"/>
              </w:rPr>
            </w:pPr>
            <w:r>
              <w:rPr>
                <w:rFonts w:ascii="宋体" w:hAnsi="宋体" w:eastAsia="宋体" w:cs="宋体"/>
                <w:sz w:val="24"/>
                <w:szCs w:val="24"/>
                <w:highlight w:val="none"/>
              </w:rPr>
              <w:t>3</w:t>
            </w:r>
            <w:r>
              <w:rPr>
                <w:rFonts w:hint="eastAsia" w:ascii="宋体" w:hAnsi="宋体" w:eastAsia="宋体" w:cs="宋体"/>
                <w:sz w:val="24"/>
                <w:szCs w:val="24"/>
                <w:highlight w:val="none"/>
              </w:rPr>
              <w:t>.主要技术参数存在负偏离的（</w:t>
            </w:r>
            <w:r>
              <w:rPr>
                <w:rFonts w:hint="eastAsia" w:ascii="宋体" w:hAnsi="宋体" w:eastAsia="宋体" w:cs="宋体"/>
                <w:sz w:val="24"/>
                <w:szCs w:val="24"/>
                <w:highlight w:val="none"/>
                <w:lang w:val="en-US" w:eastAsia="zh-CN"/>
              </w:rPr>
              <w:t>共4</w:t>
            </w:r>
            <w:r>
              <w:rPr>
                <w:rFonts w:hint="eastAsia" w:ascii="宋体" w:hAnsi="宋体" w:eastAsia="宋体" w:cs="宋体"/>
                <w:sz w:val="24"/>
                <w:szCs w:val="24"/>
                <w:highlight w:val="none"/>
              </w:rPr>
              <w:t>条），每一条扣</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分，最多扣</w:t>
            </w:r>
            <w:r>
              <w:rPr>
                <w:rFonts w:hint="eastAsia" w:ascii="宋体" w:hAnsi="宋体" w:eastAsia="宋体" w:cs="宋体"/>
                <w:sz w:val="24"/>
                <w:szCs w:val="24"/>
                <w:highlight w:val="none"/>
                <w:lang w:val="en-US" w:eastAsia="zh-CN"/>
              </w:rPr>
              <w:t>12</w:t>
            </w:r>
            <w:r>
              <w:rPr>
                <w:rFonts w:hint="eastAsia" w:ascii="宋体" w:hAnsi="宋体" w:eastAsia="宋体" w:cs="宋体"/>
                <w:sz w:val="24"/>
                <w:szCs w:val="24"/>
                <w:highlight w:val="none"/>
              </w:rPr>
              <w:t>分；</w:t>
            </w:r>
          </w:p>
          <w:p>
            <w:pPr>
              <w:pStyle w:val="30"/>
              <w:ind w:firstLine="480" w:firstLineChars="200"/>
              <w:rPr>
                <w:rFonts w:ascii="宋体" w:hAnsi="宋体" w:eastAsia="宋体" w:cs="宋体"/>
                <w:kern w:val="0"/>
                <w:sz w:val="21"/>
                <w:szCs w:val="21"/>
                <w:highlight w:val="none"/>
              </w:rPr>
            </w:pPr>
            <w:r>
              <w:rPr>
                <w:rFonts w:ascii="宋体" w:hAnsi="宋体" w:eastAsia="宋体" w:cs="宋体"/>
                <w:sz w:val="24"/>
                <w:szCs w:val="24"/>
                <w:highlight w:val="none"/>
              </w:rPr>
              <w:t>4</w:t>
            </w:r>
            <w:r>
              <w:rPr>
                <w:rFonts w:hint="eastAsia" w:ascii="宋体" w:hAnsi="宋体" w:eastAsia="宋体" w:cs="宋体"/>
                <w:sz w:val="24"/>
                <w:szCs w:val="24"/>
                <w:highlight w:val="none"/>
              </w:rPr>
              <w:t>.</w:t>
            </w:r>
            <w:r>
              <w:rPr>
                <w:rFonts w:hint="eastAsia" w:ascii="宋体" w:hAnsi="宋体" w:eastAsia="宋体" w:cs="宋体"/>
                <w:kern w:val="0"/>
                <w:sz w:val="24"/>
                <w:szCs w:val="24"/>
                <w:highlight w:val="none"/>
              </w:rPr>
              <w:t>一般技术参数存在负偏离的（</w:t>
            </w:r>
            <w:r>
              <w:rPr>
                <w:rFonts w:hint="eastAsia" w:ascii="宋体" w:hAnsi="宋体" w:cs="宋体"/>
                <w:kern w:val="0"/>
                <w:sz w:val="24"/>
                <w:szCs w:val="24"/>
                <w:highlight w:val="none"/>
                <w:lang w:val="en-US" w:eastAsia="zh-CN"/>
              </w:rPr>
              <w:t>36</w:t>
            </w:r>
            <w:r>
              <w:rPr>
                <w:rFonts w:hint="eastAsia" w:ascii="宋体" w:hAnsi="宋体" w:eastAsia="宋体" w:cs="宋体"/>
                <w:kern w:val="0"/>
                <w:sz w:val="24"/>
                <w:szCs w:val="24"/>
                <w:highlight w:val="none"/>
              </w:rPr>
              <w:t>条），每一条扣</w:t>
            </w:r>
            <w:r>
              <w:rPr>
                <w:rFonts w:hint="eastAsia" w:ascii="宋体" w:hAnsi="宋体" w:eastAsia="宋体" w:cs="宋体"/>
                <w:kern w:val="0"/>
                <w:sz w:val="24"/>
                <w:szCs w:val="24"/>
                <w:highlight w:val="none"/>
                <w:lang w:val="en-US" w:eastAsia="zh-CN"/>
              </w:rPr>
              <w:t>0.</w:t>
            </w:r>
            <w:r>
              <w:rPr>
                <w:rFonts w:hint="eastAsia" w:ascii="宋体" w:hAnsi="宋体" w:cs="宋体"/>
                <w:kern w:val="0"/>
                <w:sz w:val="24"/>
                <w:szCs w:val="24"/>
                <w:highlight w:val="none"/>
                <w:lang w:val="en-US" w:eastAsia="zh-CN"/>
              </w:rPr>
              <w:t>5</w:t>
            </w:r>
            <w:r>
              <w:rPr>
                <w:rFonts w:hint="eastAsia" w:ascii="宋体" w:hAnsi="宋体" w:eastAsia="宋体" w:cs="宋体"/>
                <w:kern w:val="0"/>
                <w:sz w:val="24"/>
                <w:szCs w:val="24"/>
                <w:highlight w:val="none"/>
              </w:rPr>
              <w:t>分，最多扣</w:t>
            </w:r>
            <w:r>
              <w:rPr>
                <w:rFonts w:hint="eastAsia" w:ascii="宋体" w:hAnsi="宋体" w:eastAsia="宋体" w:cs="宋体"/>
                <w:kern w:val="0"/>
                <w:sz w:val="24"/>
                <w:szCs w:val="24"/>
                <w:highlight w:val="none"/>
                <w:lang w:val="en-US" w:eastAsia="zh-CN"/>
              </w:rPr>
              <w:t>18</w:t>
            </w:r>
            <w:r>
              <w:rPr>
                <w:rFonts w:hint="eastAsia" w:ascii="宋体" w:hAnsi="宋体" w:eastAsia="宋体" w:cs="宋体"/>
                <w:kern w:val="0"/>
                <w:sz w:val="24"/>
                <w:szCs w:val="24"/>
                <w:highlight w:val="none"/>
              </w:rPr>
              <w:t>分。</w:t>
            </w:r>
          </w:p>
          <w:p>
            <w:pPr>
              <w:widowControl/>
              <w:spacing w:line="400" w:lineRule="exact"/>
              <w:ind w:firstLine="482" w:firstLineChars="200"/>
              <w:textAlignment w:val="center"/>
              <w:rPr>
                <w:rFonts w:eastAsia="宋体"/>
                <w:highlight w:val="none"/>
              </w:rPr>
            </w:pPr>
            <w:r>
              <w:rPr>
                <w:b/>
                <w:bCs/>
                <w:sz w:val="24"/>
                <w:szCs w:val="24"/>
                <w:highlight w:val="none"/>
              </w:rPr>
              <w:t>注：负偏离评审依据：</w:t>
            </w:r>
            <w:r>
              <w:rPr>
                <w:rFonts w:hint="eastAsia"/>
                <w:b/>
                <w:bCs/>
                <w:sz w:val="24"/>
                <w:szCs w:val="24"/>
                <w:highlight w:val="none"/>
              </w:rPr>
              <w:t>①</w:t>
            </w:r>
            <w:r>
              <w:rPr>
                <w:b/>
                <w:bCs/>
                <w:sz w:val="24"/>
                <w:szCs w:val="24"/>
                <w:highlight w:val="none"/>
              </w:rPr>
              <w:t>所</w:t>
            </w:r>
            <w:r>
              <w:rPr>
                <w:rFonts w:hint="eastAsia"/>
                <w:b/>
                <w:bCs/>
                <w:sz w:val="24"/>
                <w:szCs w:val="24"/>
                <w:highlight w:val="none"/>
              </w:rPr>
              <w:t>提供</w:t>
            </w:r>
            <w:r>
              <w:rPr>
                <w:b/>
                <w:bCs/>
                <w:sz w:val="24"/>
                <w:szCs w:val="24"/>
                <w:highlight w:val="none"/>
              </w:rPr>
              <w:t>产品技术参数低于</w:t>
            </w:r>
            <w:r>
              <w:rPr>
                <w:rFonts w:hint="eastAsia"/>
                <w:b/>
                <w:bCs/>
                <w:sz w:val="24"/>
                <w:szCs w:val="24"/>
                <w:highlight w:val="none"/>
              </w:rPr>
              <w:t>招标</w:t>
            </w:r>
            <w:r>
              <w:rPr>
                <w:b/>
                <w:bCs/>
                <w:sz w:val="24"/>
                <w:szCs w:val="24"/>
                <w:highlight w:val="none"/>
              </w:rPr>
              <w:t>文件要求的，视为负偏离；</w:t>
            </w:r>
            <w:r>
              <w:rPr>
                <w:rFonts w:hint="eastAsia"/>
                <w:b/>
                <w:bCs/>
                <w:sz w:val="24"/>
                <w:szCs w:val="24"/>
                <w:highlight w:val="none"/>
              </w:rPr>
              <w:t>②</w:t>
            </w:r>
            <w:r>
              <w:rPr>
                <w:b/>
                <w:bCs/>
                <w:sz w:val="24"/>
                <w:szCs w:val="24"/>
                <w:highlight w:val="none"/>
              </w:rPr>
              <w:t>技术参数响应条款</w:t>
            </w:r>
            <w:r>
              <w:rPr>
                <w:rFonts w:hint="eastAsia"/>
                <w:b/>
                <w:bCs/>
                <w:sz w:val="24"/>
                <w:szCs w:val="24"/>
                <w:highlight w:val="none"/>
              </w:rPr>
              <w:t>（以投标文件内技术偏离表为准）</w:t>
            </w:r>
            <w:r>
              <w:rPr>
                <w:b/>
                <w:bCs/>
                <w:sz w:val="24"/>
                <w:szCs w:val="24"/>
                <w:highlight w:val="none"/>
              </w:rPr>
              <w:t>与</w:t>
            </w:r>
            <w:r>
              <w:rPr>
                <w:rFonts w:hint="eastAsia"/>
                <w:b/>
                <w:bCs/>
                <w:sz w:val="24"/>
                <w:szCs w:val="24"/>
                <w:highlight w:val="none"/>
              </w:rPr>
              <w:t>招标</w:t>
            </w:r>
            <w:r>
              <w:rPr>
                <w:b/>
                <w:bCs/>
                <w:sz w:val="24"/>
                <w:szCs w:val="24"/>
                <w:highlight w:val="none"/>
              </w:rPr>
              <w:t>文件对比有缺项、漏项的，视为负偏离；</w:t>
            </w:r>
            <w:r>
              <w:rPr>
                <w:rFonts w:hint="eastAsia"/>
                <w:b/>
                <w:bCs/>
                <w:sz w:val="24"/>
                <w:szCs w:val="24"/>
                <w:highlight w:val="none"/>
              </w:rPr>
              <w:t>③投标文件内技术偏离表完全复制招标文件技术参数的（不涉及具体参数指标的描述性技术要求除外），视为负偏离；④投标人</w:t>
            </w:r>
            <w:r>
              <w:rPr>
                <w:b/>
                <w:bCs/>
                <w:sz w:val="24"/>
                <w:szCs w:val="24"/>
                <w:highlight w:val="none"/>
              </w:rPr>
              <w:t>提供的</w:t>
            </w:r>
            <w:r>
              <w:rPr>
                <w:rFonts w:hint="eastAsia"/>
                <w:b/>
                <w:bCs/>
                <w:sz w:val="24"/>
                <w:szCs w:val="24"/>
                <w:highlight w:val="none"/>
              </w:rPr>
              <w:t>投标</w:t>
            </w:r>
            <w:r>
              <w:rPr>
                <w:b/>
                <w:bCs/>
                <w:sz w:val="24"/>
                <w:szCs w:val="24"/>
                <w:highlight w:val="none"/>
              </w:rPr>
              <w:t>文件中产品技术偏离表、产品技术规格书和产品检测报告内描述的同一产品技术参数响应值不一致的，视为负偏离</w:t>
            </w:r>
            <w:r>
              <w:rPr>
                <w:rFonts w:hint="eastAsia"/>
                <w:b/>
                <w:bCs/>
                <w:sz w:val="24"/>
                <w:szCs w:val="24"/>
                <w:highlight w:val="none"/>
              </w:rPr>
              <w:t>。</w:t>
            </w:r>
          </w:p>
        </w:tc>
        <w:tc>
          <w:tcPr>
            <w:tcW w:w="687" w:type="dxa"/>
            <w:tcMar>
              <w:top w:w="15" w:type="dxa"/>
              <w:left w:w="15" w:type="dxa"/>
              <w:right w:w="15" w:type="dxa"/>
            </w:tcMar>
            <w:vAlign w:val="center"/>
          </w:tcPr>
          <w:p>
            <w:pPr>
              <w:widowControl/>
              <w:spacing w:line="400" w:lineRule="exact"/>
              <w:jc w:val="center"/>
              <w:textAlignment w:val="center"/>
              <w:rPr>
                <w:rFonts w:hint="default"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r>
              <w:rPr>
                <w:sz w:val="24"/>
                <w:szCs w:val="24"/>
                <w:highlight w:val="none"/>
              </w:rPr>
              <w:t>业绩证明</w:t>
            </w:r>
          </w:p>
        </w:tc>
        <w:tc>
          <w:tcPr>
            <w:tcW w:w="5954" w:type="dxa"/>
            <w:tcMar>
              <w:top w:w="15" w:type="dxa"/>
              <w:left w:w="15" w:type="dxa"/>
              <w:right w:w="15" w:type="dxa"/>
            </w:tcMar>
            <w:vAlign w:val="center"/>
          </w:tcPr>
          <w:p>
            <w:pPr>
              <w:widowControl/>
              <w:spacing w:line="400" w:lineRule="exact"/>
              <w:ind w:firstLine="480" w:firstLineChars="200"/>
              <w:rPr>
                <w:sz w:val="24"/>
                <w:szCs w:val="24"/>
                <w:highlight w:val="none"/>
              </w:rPr>
            </w:pPr>
            <w:r>
              <w:rPr>
                <w:rFonts w:hint="eastAsia"/>
                <w:sz w:val="24"/>
                <w:szCs w:val="24"/>
                <w:highlight w:val="none"/>
                <w:lang w:eastAsia="zh-CN"/>
              </w:rPr>
              <w:t>投标人</w:t>
            </w:r>
            <w:r>
              <w:rPr>
                <w:rFonts w:hint="eastAsia"/>
                <w:sz w:val="24"/>
                <w:szCs w:val="24"/>
                <w:highlight w:val="none"/>
              </w:rPr>
              <w:t>近三年内（</w:t>
            </w:r>
            <w:r>
              <w:rPr>
                <w:sz w:val="24"/>
                <w:szCs w:val="24"/>
                <w:highlight w:val="none"/>
              </w:rPr>
              <w:t>2021</w:t>
            </w:r>
            <w:r>
              <w:rPr>
                <w:rFonts w:hint="eastAsia"/>
                <w:sz w:val="24"/>
                <w:szCs w:val="24"/>
                <w:highlight w:val="none"/>
              </w:rPr>
              <w:t>年0</w:t>
            </w:r>
            <w:r>
              <w:rPr>
                <w:sz w:val="24"/>
                <w:szCs w:val="24"/>
                <w:highlight w:val="none"/>
              </w:rPr>
              <w:t>3</w:t>
            </w:r>
            <w:r>
              <w:rPr>
                <w:rFonts w:hint="eastAsia"/>
                <w:sz w:val="24"/>
                <w:szCs w:val="24"/>
                <w:highlight w:val="none"/>
              </w:rPr>
              <w:t>月0</w:t>
            </w:r>
            <w:r>
              <w:rPr>
                <w:sz w:val="24"/>
                <w:szCs w:val="24"/>
                <w:highlight w:val="none"/>
              </w:rPr>
              <w:t>1</w:t>
            </w:r>
            <w:r>
              <w:rPr>
                <w:rFonts w:hint="eastAsia"/>
                <w:sz w:val="24"/>
                <w:szCs w:val="24"/>
                <w:highlight w:val="none"/>
              </w:rPr>
              <w:t>日起至今，以合同签订日期为准）完成类似项目的业绩，每个项目业绩得</w:t>
            </w:r>
            <w:r>
              <w:rPr>
                <w:sz w:val="24"/>
                <w:szCs w:val="24"/>
                <w:highlight w:val="none"/>
              </w:rPr>
              <w:t>2</w:t>
            </w:r>
            <w:r>
              <w:rPr>
                <w:rFonts w:hint="eastAsia"/>
                <w:sz w:val="24"/>
                <w:szCs w:val="24"/>
                <w:highlight w:val="none"/>
              </w:rPr>
              <w:t>分，最多得</w:t>
            </w:r>
            <w:r>
              <w:rPr>
                <w:sz w:val="24"/>
                <w:szCs w:val="24"/>
                <w:highlight w:val="none"/>
              </w:rPr>
              <w:t>4</w:t>
            </w:r>
            <w:r>
              <w:rPr>
                <w:rFonts w:hint="eastAsia"/>
                <w:sz w:val="24"/>
                <w:szCs w:val="24"/>
                <w:highlight w:val="none"/>
              </w:rPr>
              <w:t>分。</w:t>
            </w:r>
          </w:p>
          <w:p>
            <w:pPr>
              <w:widowControl/>
              <w:spacing w:line="400" w:lineRule="exact"/>
              <w:ind w:firstLine="482" w:firstLineChars="200"/>
              <w:textAlignment w:val="center"/>
              <w:rPr>
                <w:b/>
                <w:bCs/>
                <w:sz w:val="24"/>
                <w:szCs w:val="24"/>
                <w:highlight w:val="none"/>
              </w:rPr>
            </w:pPr>
            <w:r>
              <w:rPr>
                <w:rFonts w:hint="eastAsia"/>
                <w:b/>
                <w:bCs/>
                <w:sz w:val="24"/>
                <w:szCs w:val="24"/>
                <w:highlight w:val="none"/>
              </w:rPr>
              <w:t>注：①提供中标（成交）通知书和合同复印件，未按要求提供不得分；②同一单位近三年的类似合同不重复计算业绩，仅算一个业绩。</w:t>
            </w:r>
          </w:p>
        </w:tc>
        <w:tc>
          <w:tcPr>
            <w:tcW w:w="687" w:type="dxa"/>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r>
              <w:rPr>
                <w:rFonts w:ascii="宋体" w:hAnsi="宋体" w:eastAsia="宋体" w:cs="宋体"/>
                <w:kern w:val="0"/>
                <w:sz w:val="24"/>
                <w:szCs w:val="24"/>
                <w:highlight w:val="none"/>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p>
        </w:tc>
        <w:tc>
          <w:tcPr>
            <w:tcW w:w="1371" w:type="dxa"/>
            <w:tcMar>
              <w:top w:w="15" w:type="dxa"/>
              <w:left w:w="15" w:type="dxa"/>
              <w:right w:w="15" w:type="dxa"/>
            </w:tcMar>
            <w:vAlign w:val="center"/>
          </w:tcPr>
          <w:p>
            <w:pPr>
              <w:snapToGrid w:val="0"/>
              <w:spacing w:line="40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项目组织</w:t>
            </w:r>
          </w:p>
          <w:p>
            <w:pPr>
              <w:widowControl/>
              <w:spacing w:line="400" w:lineRule="exact"/>
              <w:jc w:val="center"/>
              <w:textAlignment w:val="center"/>
              <w:rPr>
                <w:sz w:val="24"/>
                <w:szCs w:val="24"/>
                <w:highlight w:val="none"/>
              </w:rPr>
            </w:pPr>
            <w:r>
              <w:rPr>
                <w:rFonts w:hint="eastAsia" w:ascii="宋体" w:hAnsi="宋体" w:eastAsia="宋体" w:cs="宋体"/>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sz w:val="24"/>
                <w:szCs w:val="24"/>
                <w:highlight w:val="none"/>
              </w:rPr>
            </w:pPr>
            <w:r>
              <w:rPr>
                <w:rFonts w:hint="eastAsia"/>
                <w:sz w:val="24"/>
                <w:szCs w:val="24"/>
                <w:highlight w:val="none"/>
              </w:rPr>
              <w:t>根据</w:t>
            </w:r>
            <w:r>
              <w:rPr>
                <w:rFonts w:hint="eastAsia"/>
                <w:sz w:val="24"/>
                <w:szCs w:val="24"/>
                <w:highlight w:val="none"/>
                <w:lang w:eastAsia="zh-CN"/>
              </w:rPr>
              <w:t>投标人</w:t>
            </w:r>
            <w:r>
              <w:rPr>
                <w:rFonts w:hint="eastAsia"/>
                <w:sz w:val="24"/>
                <w:szCs w:val="24"/>
                <w:highlight w:val="none"/>
              </w:rPr>
              <w:t>提供的项目组织方案评价进行评分：</w:t>
            </w:r>
          </w:p>
          <w:p>
            <w:pPr>
              <w:snapToGrid w:val="0"/>
              <w:spacing w:line="400" w:lineRule="exact"/>
              <w:ind w:firstLine="480" w:firstLineChars="200"/>
              <w:rPr>
                <w:sz w:val="24"/>
                <w:szCs w:val="24"/>
                <w:highlight w:val="none"/>
              </w:rPr>
            </w:pPr>
            <w:r>
              <w:rPr>
                <w:rFonts w:hint="eastAsia"/>
                <w:sz w:val="24"/>
                <w:szCs w:val="24"/>
                <w:highlight w:val="none"/>
              </w:rPr>
              <w:t>项目组织方案包括但不限于：①</w:t>
            </w:r>
            <w:r>
              <w:rPr>
                <w:rFonts w:hint="eastAsia" w:ascii="宋体" w:hAnsi="宋体" w:eastAsia="宋体" w:cs="宋体"/>
                <w:sz w:val="24"/>
                <w:szCs w:val="24"/>
                <w:highlight w:val="none"/>
              </w:rPr>
              <w:t>项目人员安排（包含但不限于主要人员名单及基本情况介绍、在本项目中承担的职责等）、②供货方案（包含但不限于产品来源、供货计划、供货时间、包装和运输方式等）、③质量管控方案（包括但不限于质量管控的标准、方法和程序等）、④测试（调试）方案（包含但不限于人员安排、测试步骤、测试标准等）</w:t>
            </w:r>
            <w:r>
              <w:rPr>
                <w:sz w:val="24"/>
                <w:szCs w:val="24"/>
                <w:highlight w:val="none"/>
              </w:rPr>
              <w:t>等</w:t>
            </w:r>
            <w:r>
              <w:rPr>
                <w:rFonts w:hint="eastAsia"/>
                <w:sz w:val="24"/>
                <w:szCs w:val="24"/>
                <w:highlight w:val="none"/>
              </w:rPr>
              <w:t>4项内容，方案内容完整齐全，符合项目实际（</w:t>
            </w:r>
            <w:r>
              <w:rPr>
                <w:rFonts w:hint="eastAsia" w:ascii="宋体" w:hAnsi="宋体" w:eastAsia="宋体" w:cs="宋体"/>
                <w:sz w:val="24"/>
                <w:szCs w:val="24"/>
                <w:highlight w:val="none"/>
              </w:rPr>
              <w:t>第六章“项目需求”</w:t>
            </w:r>
            <w:r>
              <w:rPr>
                <w:rFonts w:hint="eastAsia"/>
                <w:sz w:val="24"/>
                <w:szCs w:val="24"/>
                <w:highlight w:val="none"/>
              </w:rPr>
              <w:t>）的，得</w:t>
            </w:r>
            <w:r>
              <w:rPr>
                <w:sz w:val="24"/>
                <w:szCs w:val="24"/>
                <w:highlight w:val="none"/>
              </w:rPr>
              <w:t>12</w:t>
            </w:r>
            <w:r>
              <w:rPr>
                <w:rFonts w:hint="eastAsia"/>
                <w:sz w:val="24"/>
                <w:szCs w:val="24"/>
                <w:highlight w:val="none"/>
              </w:rPr>
              <w:t>分；每缺少一项方案内容，或一项内容存在缺陷的，每一项扣</w:t>
            </w:r>
            <w:r>
              <w:rPr>
                <w:sz w:val="24"/>
                <w:szCs w:val="24"/>
                <w:highlight w:val="none"/>
              </w:rPr>
              <w:t>3</w:t>
            </w:r>
            <w:r>
              <w:rPr>
                <w:rFonts w:hint="eastAsia"/>
                <w:sz w:val="24"/>
                <w:szCs w:val="24"/>
                <w:highlight w:val="none"/>
              </w:rPr>
              <w:t>分，扣完为止；未提供项目组织方案评价的，此项不得分。</w:t>
            </w:r>
          </w:p>
          <w:p>
            <w:pPr>
              <w:widowControl/>
              <w:spacing w:line="400" w:lineRule="exact"/>
              <w:ind w:firstLine="482" w:firstLineChars="200"/>
              <w:rPr>
                <w:b/>
                <w:bCs/>
                <w:sz w:val="24"/>
                <w:szCs w:val="24"/>
                <w:highlight w:val="none"/>
              </w:rPr>
            </w:pPr>
            <w:r>
              <w:rPr>
                <w:rFonts w:hint="eastAsia"/>
                <w:b/>
                <w:bCs/>
                <w:sz w:val="24"/>
                <w:szCs w:val="24"/>
                <w:highlight w:val="none"/>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r>
              <w:rPr>
                <w:rFonts w:ascii="宋体" w:hAnsi="宋体" w:eastAsia="宋体" w:cs="宋体"/>
                <w:kern w:val="0"/>
                <w:sz w:val="24"/>
                <w:szCs w:val="24"/>
                <w:highlight w:val="none"/>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宋体" w:hAnsi="宋体" w:eastAsia="宋体" w:cs="宋体"/>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技术培训</w:t>
            </w:r>
          </w:p>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方案评价</w:t>
            </w:r>
          </w:p>
        </w:tc>
        <w:tc>
          <w:tcPr>
            <w:tcW w:w="5954" w:type="dxa"/>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r>
              <w:rPr>
                <w:rFonts w:hint="eastAsia"/>
                <w:sz w:val="24"/>
                <w:szCs w:val="24"/>
                <w:highlight w:val="none"/>
              </w:rPr>
              <w:t>根据</w:t>
            </w:r>
            <w:r>
              <w:rPr>
                <w:rFonts w:hint="eastAsia"/>
                <w:sz w:val="24"/>
                <w:szCs w:val="24"/>
                <w:highlight w:val="none"/>
                <w:lang w:eastAsia="zh-CN"/>
              </w:rPr>
              <w:t>投标人</w:t>
            </w:r>
            <w:r>
              <w:rPr>
                <w:rFonts w:hint="eastAsia"/>
                <w:sz w:val="24"/>
                <w:szCs w:val="24"/>
                <w:highlight w:val="none"/>
              </w:rPr>
              <w:t>提供的</w:t>
            </w:r>
            <w:r>
              <w:rPr>
                <w:rFonts w:hint="eastAsia" w:ascii="宋体" w:hAnsi="宋体" w:eastAsia="宋体" w:cs="宋体"/>
                <w:kern w:val="0"/>
                <w:sz w:val="24"/>
                <w:szCs w:val="24"/>
                <w:highlight w:val="none"/>
              </w:rPr>
              <w:t>技术培训方案</w:t>
            </w:r>
            <w:r>
              <w:rPr>
                <w:rFonts w:hint="eastAsia"/>
                <w:sz w:val="24"/>
                <w:szCs w:val="24"/>
                <w:highlight w:val="none"/>
              </w:rPr>
              <w:t>进行评分：</w:t>
            </w:r>
          </w:p>
          <w:p>
            <w:pPr>
              <w:widowControl/>
              <w:spacing w:line="400" w:lineRule="exact"/>
              <w:ind w:firstLine="480" w:firstLineChars="200"/>
              <w:rPr>
                <w:sz w:val="24"/>
                <w:szCs w:val="24"/>
                <w:highlight w:val="none"/>
              </w:rPr>
            </w:pPr>
            <w:r>
              <w:rPr>
                <w:rFonts w:hint="eastAsia" w:ascii="宋体" w:hAnsi="宋体" w:eastAsia="宋体" w:cs="宋体"/>
                <w:kern w:val="0"/>
                <w:sz w:val="24"/>
                <w:szCs w:val="24"/>
                <w:highlight w:val="none"/>
              </w:rPr>
              <w:t>技术培训方案</w:t>
            </w:r>
            <w:r>
              <w:rPr>
                <w:rFonts w:hint="eastAsia"/>
                <w:sz w:val="24"/>
                <w:szCs w:val="24"/>
                <w:highlight w:val="none"/>
              </w:rPr>
              <w:t>包括但不限于</w:t>
            </w:r>
            <w:r>
              <w:rPr>
                <w:rFonts w:ascii="宋体" w:hAnsi="宋体" w:eastAsia="宋体" w:cs="宋体"/>
                <w:sz w:val="24"/>
                <w:szCs w:val="24"/>
                <w:highlight w:val="none"/>
              </w:rPr>
              <w:t>培训内容</w:t>
            </w:r>
            <w:r>
              <w:rPr>
                <w:rFonts w:hint="eastAsia" w:ascii="宋体" w:hAnsi="宋体" w:eastAsia="宋体" w:cs="宋体"/>
                <w:sz w:val="24"/>
                <w:szCs w:val="24"/>
                <w:highlight w:val="none"/>
              </w:rPr>
              <w:t>、</w:t>
            </w:r>
            <w:r>
              <w:rPr>
                <w:rFonts w:ascii="宋体" w:hAnsi="宋体" w:eastAsia="宋体" w:cs="宋体"/>
                <w:sz w:val="24"/>
                <w:szCs w:val="24"/>
                <w:highlight w:val="none"/>
              </w:rPr>
              <w:t>培训方式</w:t>
            </w:r>
            <w:r>
              <w:rPr>
                <w:rFonts w:hint="eastAsia" w:ascii="宋体" w:hAnsi="宋体" w:eastAsia="宋体" w:cs="宋体"/>
                <w:sz w:val="24"/>
                <w:szCs w:val="24"/>
                <w:highlight w:val="none"/>
              </w:rPr>
              <w:t>、</w:t>
            </w:r>
            <w:r>
              <w:rPr>
                <w:rFonts w:ascii="宋体" w:hAnsi="宋体" w:eastAsia="宋体" w:cs="宋体"/>
                <w:sz w:val="24"/>
                <w:szCs w:val="24"/>
                <w:highlight w:val="none"/>
              </w:rPr>
              <w:t>培训计划</w:t>
            </w:r>
            <w:r>
              <w:rPr>
                <w:rFonts w:hint="eastAsia" w:ascii="宋体" w:hAnsi="宋体" w:eastAsia="宋体" w:cs="宋体"/>
                <w:sz w:val="24"/>
                <w:szCs w:val="24"/>
                <w:highlight w:val="none"/>
              </w:rPr>
              <w:t>、</w:t>
            </w:r>
            <w:r>
              <w:rPr>
                <w:rFonts w:ascii="宋体" w:hAnsi="宋体" w:eastAsia="宋体" w:cs="宋体"/>
                <w:sz w:val="24"/>
                <w:szCs w:val="24"/>
                <w:highlight w:val="none"/>
              </w:rPr>
              <w:t>培训团队人员配置</w:t>
            </w:r>
            <w:r>
              <w:rPr>
                <w:sz w:val="24"/>
                <w:szCs w:val="24"/>
                <w:highlight w:val="none"/>
              </w:rPr>
              <w:t>等</w:t>
            </w:r>
            <w:r>
              <w:rPr>
                <w:rFonts w:hint="eastAsia"/>
                <w:sz w:val="24"/>
                <w:szCs w:val="24"/>
                <w:highlight w:val="none"/>
              </w:rPr>
              <w:t>4项内容，方案内容完整齐全，符合项目实际的，得</w:t>
            </w:r>
            <w:r>
              <w:rPr>
                <w:sz w:val="24"/>
                <w:szCs w:val="24"/>
                <w:highlight w:val="none"/>
              </w:rPr>
              <w:t>10</w:t>
            </w:r>
            <w:r>
              <w:rPr>
                <w:rFonts w:hint="eastAsia"/>
                <w:sz w:val="24"/>
                <w:szCs w:val="24"/>
                <w:highlight w:val="none"/>
              </w:rPr>
              <w:t>分；每缺少一项方案内容，或一项内容存在缺陷的，每一项扣</w:t>
            </w:r>
            <w:r>
              <w:rPr>
                <w:sz w:val="24"/>
                <w:szCs w:val="24"/>
                <w:highlight w:val="none"/>
              </w:rPr>
              <w:t>2.5</w:t>
            </w:r>
            <w:r>
              <w:rPr>
                <w:rFonts w:hint="eastAsia"/>
                <w:sz w:val="24"/>
                <w:szCs w:val="24"/>
                <w:highlight w:val="none"/>
              </w:rPr>
              <w:t>分，扣完为止；未提供</w:t>
            </w:r>
            <w:r>
              <w:rPr>
                <w:rFonts w:hint="eastAsia" w:ascii="宋体" w:hAnsi="宋体" w:eastAsia="宋体" w:cs="宋体"/>
                <w:kern w:val="0"/>
                <w:sz w:val="24"/>
                <w:szCs w:val="24"/>
                <w:highlight w:val="none"/>
              </w:rPr>
              <w:t>技术培训方案</w:t>
            </w:r>
            <w:r>
              <w:rPr>
                <w:rFonts w:hint="eastAsia"/>
                <w:sz w:val="24"/>
                <w:szCs w:val="24"/>
                <w:highlight w:val="none"/>
              </w:rPr>
              <w:t>的，此项不得分。</w:t>
            </w:r>
          </w:p>
          <w:p>
            <w:pPr>
              <w:snapToGrid w:val="0"/>
              <w:spacing w:line="400" w:lineRule="exact"/>
              <w:ind w:firstLine="482" w:firstLineChars="200"/>
              <w:rPr>
                <w:rFonts w:ascii="宋体" w:hAnsi="宋体" w:eastAsia="宋体" w:cs="宋体"/>
                <w:kern w:val="0"/>
                <w:sz w:val="24"/>
                <w:szCs w:val="24"/>
                <w:highlight w:val="none"/>
              </w:rPr>
            </w:pPr>
            <w:r>
              <w:rPr>
                <w:rFonts w:hint="eastAsia"/>
                <w:b/>
                <w:bCs/>
                <w:sz w:val="24"/>
                <w:szCs w:val="24"/>
                <w:highlight w:val="none"/>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ascii="宋体" w:hAnsi="宋体" w:eastAsia="宋体" w:cs="宋体"/>
                <w:sz w:val="24"/>
                <w:szCs w:val="24"/>
                <w:highlight w:val="none"/>
              </w:rPr>
            </w:pPr>
            <w:r>
              <w:rPr>
                <w:rFonts w:ascii="宋体" w:hAnsi="宋体" w:eastAsia="宋体" w:cs="宋体"/>
                <w:sz w:val="24"/>
                <w:szCs w:val="24"/>
                <w:highlight w:val="none"/>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宋体" w:hAnsi="宋体" w:eastAsia="宋体" w:cs="宋体"/>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售后服务</w:t>
            </w:r>
          </w:p>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sz w:val="24"/>
                <w:szCs w:val="24"/>
                <w:highlight w:val="none"/>
              </w:rPr>
            </w:pPr>
            <w:r>
              <w:rPr>
                <w:rFonts w:hint="eastAsia"/>
                <w:sz w:val="24"/>
                <w:szCs w:val="24"/>
                <w:highlight w:val="none"/>
              </w:rPr>
              <w:t>根据</w:t>
            </w:r>
            <w:r>
              <w:rPr>
                <w:rFonts w:hint="eastAsia"/>
                <w:sz w:val="24"/>
                <w:szCs w:val="24"/>
                <w:highlight w:val="none"/>
                <w:lang w:eastAsia="zh-CN"/>
              </w:rPr>
              <w:t>投标人</w:t>
            </w:r>
            <w:r>
              <w:rPr>
                <w:rFonts w:hint="eastAsia"/>
                <w:sz w:val="24"/>
                <w:szCs w:val="24"/>
                <w:highlight w:val="none"/>
              </w:rPr>
              <w:t>提供的售后服务方案进行评分：</w:t>
            </w:r>
          </w:p>
          <w:p>
            <w:pPr>
              <w:widowControl/>
              <w:spacing w:line="400" w:lineRule="exact"/>
              <w:ind w:firstLine="480" w:firstLineChars="200"/>
              <w:rPr>
                <w:sz w:val="24"/>
                <w:szCs w:val="24"/>
                <w:highlight w:val="none"/>
              </w:rPr>
            </w:pPr>
            <w:r>
              <w:rPr>
                <w:rFonts w:hint="eastAsia"/>
                <w:sz w:val="24"/>
                <w:szCs w:val="24"/>
                <w:highlight w:val="none"/>
              </w:rPr>
              <w:t>售后服务方案包括但不限于</w:t>
            </w:r>
            <w:r>
              <w:rPr>
                <w:rFonts w:hint="eastAsia" w:ascii="宋体" w:hAnsi="宋体" w:eastAsia="宋体" w:cs="宋体"/>
                <w:sz w:val="24"/>
                <w:szCs w:val="24"/>
                <w:highlight w:val="none"/>
              </w:rPr>
              <w:t>售后</w:t>
            </w:r>
            <w:r>
              <w:rPr>
                <w:rFonts w:ascii="宋体" w:hAnsi="宋体" w:eastAsia="宋体" w:cs="宋体"/>
                <w:sz w:val="24"/>
                <w:szCs w:val="24"/>
                <w:highlight w:val="none"/>
              </w:rPr>
              <w:t>服务承诺</w:t>
            </w:r>
            <w:r>
              <w:rPr>
                <w:rFonts w:hint="eastAsia" w:ascii="宋体" w:hAnsi="宋体" w:eastAsia="宋体" w:cs="宋体"/>
                <w:sz w:val="24"/>
                <w:szCs w:val="24"/>
                <w:highlight w:val="none"/>
              </w:rPr>
              <w:t>、</w:t>
            </w:r>
            <w:r>
              <w:rPr>
                <w:rFonts w:ascii="宋体" w:hAnsi="宋体" w:eastAsia="宋体" w:cs="宋体"/>
                <w:sz w:val="24"/>
                <w:szCs w:val="24"/>
                <w:highlight w:val="none"/>
              </w:rPr>
              <w:t>服务响应方案</w:t>
            </w:r>
            <w:r>
              <w:rPr>
                <w:rFonts w:hint="eastAsia" w:ascii="宋体" w:hAnsi="宋体" w:eastAsia="宋体" w:cs="宋体"/>
                <w:sz w:val="24"/>
                <w:szCs w:val="24"/>
                <w:highlight w:val="none"/>
              </w:rPr>
              <w:t>、</w:t>
            </w:r>
            <w:r>
              <w:rPr>
                <w:rFonts w:ascii="宋体" w:hAnsi="宋体" w:eastAsia="宋体" w:cs="宋体"/>
                <w:sz w:val="24"/>
                <w:szCs w:val="24"/>
                <w:highlight w:val="none"/>
              </w:rPr>
              <w:t>备件（易耗品）供应方案</w:t>
            </w:r>
            <w:r>
              <w:rPr>
                <w:rFonts w:hint="eastAsia" w:ascii="宋体" w:hAnsi="宋体" w:eastAsia="宋体" w:cs="宋体"/>
                <w:sz w:val="24"/>
                <w:szCs w:val="24"/>
                <w:highlight w:val="none"/>
              </w:rPr>
              <w:t>（含备件价格）、</w:t>
            </w:r>
            <w:r>
              <w:rPr>
                <w:rFonts w:ascii="宋体" w:hAnsi="宋体" w:eastAsia="宋体" w:cs="宋体"/>
                <w:sz w:val="24"/>
                <w:szCs w:val="24"/>
                <w:highlight w:val="none"/>
              </w:rPr>
              <w:t>服务人员配备</w:t>
            </w:r>
            <w:r>
              <w:rPr>
                <w:rFonts w:hint="eastAsia" w:ascii="宋体" w:hAnsi="宋体" w:eastAsia="宋体" w:cs="宋体"/>
                <w:sz w:val="24"/>
                <w:szCs w:val="24"/>
                <w:highlight w:val="none"/>
              </w:rPr>
              <w:t>、</w:t>
            </w:r>
            <w:r>
              <w:rPr>
                <w:rFonts w:ascii="宋体" w:hAnsi="宋体" w:eastAsia="宋体" w:cs="宋体"/>
                <w:sz w:val="24"/>
                <w:szCs w:val="24"/>
                <w:highlight w:val="none"/>
              </w:rPr>
              <w:t>故障响应</w:t>
            </w:r>
            <w:r>
              <w:rPr>
                <w:rFonts w:hint="eastAsia" w:ascii="宋体" w:hAnsi="宋体" w:eastAsia="宋体" w:cs="宋体"/>
                <w:sz w:val="24"/>
                <w:szCs w:val="24"/>
                <w:highlight w:val="none"/>
              </w:rPr>
              <w:t>措施、</w:t>
            </w:r>
            <w:r>
              <w:rPr>
                <w:rFonts w:ascii="宋体" w:hAnsi="宋体" w:eastAsia="宋体" w:cs="宋体"/>
                <w:sz w:val="24"/>
                <w:szCs w:val="24"/>
                <w:highlight w:val="none"/>
              </w:rPr>
              <w:t>质保外服务措施</w:t>
            </w:r>
            <w:r>
              <w:rPr>
                <w:sz w:val="24"/>
                <w:szCs w:val="24"/>
                <w:highlight w:val="none"/>
              </w:rPr>
              <w:t>等</w:t>
            </w:r>
            <w:r>
              <w:rPr>
                <w:rFonts w:hint="eastAsia"/>
                <w:sz w:val="24"/>
                <w:szCs w:val="24"/>
                <w:highlight w:val="none"/>
              </w:rPr>
              <w:t>6项内容，方案内容完整齐全，符合项目实际的，得</w:t>
            </w:r>
            <w:r>
              <w:rPr>
                <w:rFonts w:hint="eastAsia"/>
                <w:sz w:val="24"/>
                <w:szCs w:val="24"/>
                <w:highlight w:val="none"/>
                <w:lang w:val="en-US" w:eastAsia="zh-CN"/>
              </w:rPr>
              <w:t>6</w:t>
            </w:r>
            <w:r>
              <w:rPr>
                <w:rFonts w:hint="eastAsia"/>
                <w:sz w:val="24"/>
                <w:szCs w:val="24"/>
                <w:highlight w:val="none"/>
              </w:rPr>
              <w:t>分；每缺少一项方案内容，或一项内容存在缺陷的，每一项扣</w:t>
            </w:r>
            <w:r>
              <w:rPr>
                <w:rFonts w:hint="eastAsia"/>
                <w:sz w:val="24"/>
                <w:szCs w:val="24"/>
                <w:highlight w:val="none"/>
                <w:lang w:val="en-US" w:eastAsia="zh-CN"/>
              </w:rPr>
              <w:t>1</w:t>
            </w:r>
            <w:r>
              <w:rPr>
                <w:rFonts w:hint="eastAsia"/>
                <w:sz w:val="24"/>
                <w:szCs w:val="24"/>
                <w:highlight w:val="none"/>
              </w:rPr>
              <w:t>分，扣完为止；未提供售后服务方案的，此项不得分。</w:t>
            </w:r>
          </w:p>
          <w:p>
            <w:pPr>
              <w:snapToGrid w:val="0"/>
              <w:spacing w:line="400" w:lineRule="exact"/>
              <w:ind w:firstLine="482" w:firstLineChars="200"/>
              <w:rPr>
                <w:rFonts w:ascii="宋体" w:hAnsi="宋体" w:eastAsia="宋体" w:cs="宋体"/>
                <w:sz w:val="24"/>
                <w:szCs w:val="24"/>
                <w:highlight w:val="none"/>
              </w:rPr>
            </w:pPr>
            <w:r>
              <w:rPr>
                <w:rFonts w:hint="eastAsia"/>
                <w:b/>
                <w:bCs/>
                <w:sz w:val="24"/>
                <w:szCs w:val="24"/>
                <w:highlight w:val="none"/>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snapToGrid w:val="0"/>
              <w:spacing w:line="400" w:lineRule="exac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2"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宋体" w:hAnsi="宋体" w:eastAsia="宋体" w:cs="宋体"/>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r>
              <w:rPr>
                <w:rFonts w:hint="eastAsia" w:cs="Times New Roman"/>
                <w:color w:val="auto"/>
                <w:sz w:val="24"/>
                <w:szCs w:val="24"/>
                <w:highlight w:val="none"/>
                <w:lang w:val="en-US" w:eastAsia="zh-CN"/>
              </w:rPr>
              <w:t>投标</w:t>
            </w:r>
            <w:r>
              <w:rPr>
                <w:rFonts w:hint="default" w:ascii="Times New Roman" w:hAnsi="Times New Roman" w:eastAsia="宋体" w:cs="Times New Roman"/>
                <w:color w:val="auto"/>
                <w:sz w:val="24"/>
                <w:szCs w:val="24"/>
                <w:highlight w:val="none"/>
                <w:lang w:val="en-US" w:eastAsia="zh-CN"/>
              </w:rPr>
              <w:t>样品</w:t>
            </w:r>
            <w:r>
              <w:rPr>
                <w:rFonts w:hint="eastAsia" w:cs="Times New Roman"/>
                <w:color w:val="auto"/>
                <w:sz w:val="24"/>
                <w:szCs w:val="24"/>
                <w:highlight w:val="none"/>
                <w:lang w:val="en-US" w:eastAsia="zh-CN"/>
              </w:rPr>
              <w:t>评价</w:t>
            </w:r>
          </w:p>
        </w:tc>
        <w:tc>
          <w:tcPr>
            <w:tcW w:w="5954" w:type="dxa"/>
            <w:tcMar>
              <w:top w:w="15" w:type="dxa"/>
              <w:left w:w="15" w:type="dxa"/>
              <w:right w:w="15" w:type="dxa"/>
            </w:tcMar>
            <w:vAlign w:val="center"/>
          </w:tcPr>
          <w:p>
            <w:pPr>
              <w:adjustRightInd w:val="0"/>
              <w:snapToGrid w:val="0"/>
              <w:spacing w:line="400" w:lineRule="exact"/>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根据投标人提供样品的整体性能进行评审：1.符合人体设计工学、结构合理、操作简单快捷、便于携带和背负；2.制作工艺水平高，外观整体较好；3.有无操作安全隐患或影响使用性能的安全隐患；4.功能实用性能强，贴合灭火救援实战需要。各项性能完备的得8分，每有一项存在瑕疵或不符合采购人使用需求的，扣2分，扣完为止。注：样品由采购代理机构提前编号并作登记，评标委员会采用盲评形式进行评审。</w:t>
            </w:r>
          </w:p>
        </w:tc>
        <w:tc>
          <w:tcPr>
            <w:tcW w:w="687" w:type="dxa"/>
            <w:tcMar>
              <w:top w:w="15" w:type="dxa"/>
              <w:left w:w="15" w:type="dxa"/>
              <w:right w:w="15" w:type="dxa"/>
            </w:tcMar>
            <w:vAlign w:val="center"/>
          </w:tcPr>
          <w:p>
            <w:pPr>
              <w:snapToGrid w:val="0"/>
              <w:spacing w:line="40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jc w:val="center"/>
        </w:trPr>
        <w:tc>
          <w:tcPr>
            <w:tcW w:w="9109" w:type="dxa"/>
            <w:gridSpan w:val="4"/>
            <w:tcMar>
              <w:top w:w="15" w:type="dxa"/>
              <w:left w:w="15" w:type="dxa"/>
              <w:right w:w="15" w:type="dxa"/>
            </w:tcMar>
            <w:vAlign w:val="center"/>
          </w:tcPr>
          <w:p>
            <w:pPr>
              <w:widowControl/>
              <w:spacing w:line="400" w:lineRule="exact"/>
              <w:jc w:val="center"/>
              <w:textAlignment w:val="center"/>
              <w:rPr>
                <w:rFonts w:ascii="宋体" w:hAnsi="宋体" w:eastAsia="宋体" w:cs="宋体"/>
                <w:sz w:val="24"/>
                <w:szCs w:val="24"/>
                <w:highlight w:val="none"/>
              </w:rPr>
            </w:pPr>
            <w:r>
              <w:rPr>
                <w:rFonts w:hint="eastAsia" w:ascii="宋体" w:hAnsi="宋体" w:eastAsia="宋体" w:cs="宋体"/>
                <w:kern w:val="0"/>
                <w:sz w:val="24"/>
                <w:szCs w:val="24"/>
                <w:highlight w:val="none"/>
              </w:rPr>
              <w:t>合计：100分</w:t>
            </w:r>
          </w:p>
        </w:tc>
      </w:tr>
    </w:tbl>
    <w:p>
      <w:pPr>
        <w:pStyle w:val="4"/>
        <w:rPr>
          <w:rFonts w:ascii="宋体" w:hAnsi="宋体" w:eastAsia="宋体" w:cs="宋体"/>
          <w:b/>
          <w:sz w:val="24"/>
          <w:szCs w:val="24"/>
          <w:highlight w:val="none"/>
        </w:rPr>
      </w:pPr>
    </w:p>
    <w:p>
      <w:pPr>
        <w:pStyle w:val="4"/>
        <w:rPr>
          <w:rFonts w:ascii="宋体" w:hAnsi="宋体" w:eastAsia="宋体" w:cs="宋体"/>
          <w:b/>
          <w:sz w:val="24"/>
          <w:szCs w:val="24"/>
          <w:highlight w:val="none"/>
        </w:rPr>
      </w:pPr>
    </w:p>
    <w:p>
      <w:pPr>
        <w:pStyle w:val="4"/>
        <w:rPr>
          <w:rFonts w:ascii="宋体" w:hAnsi="宋体" w:eastAsia="宋体" w:cs="宋体"/>
          <w:b/>
          <w:sz w:val="24"/>
          <w:szCs w:val="24"/>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pStyle w:val="4"/>
        <w:rPr>
          <w:rFonts w:ascii="宋体" w:hAnsi="宋体" w:eastAsia="宋体" w:cs="宋体"/>
          <w:b/>
          <w:sz w:val="24"/>
          <w:szCs w:val="24"/>
          <w:highlight w:val="none"/>
        </w:rPr>
      </w:pPr>
    </w:p>
    <w:p>
      <w:pPr>
        <w:pStyle w:val="4"/>
        <w:rPr>
          <w:rFonts w:ascii="宋体" w:hAnsi="宋体" w:eastAsia="宋体" w:cs="宋体"/>
          <w:b/>
          <w:sz w:val="24"/>
          <w:szCs w:val="24"/>
          <w:highlight w:val="none"/>
        </w:rPr>
      </w:pPr>
    </w:p>
    <w:p>
      <w:pPr>
        <w:pStyle w:val="4"/>
        <w:rPr>
          <w:rFonts w:ascii="宋体" w:hAnsi="宋体" w:eastAsia="宋体" w:cs="宋体"/>
          <w:b/>
          <w:sz w:val="24"/>
          <w:szCs w:val="24"/>
          <w:highlight w:val="none"/>
        </w:rPr>
      </w:pPr>
      <w:r>
        <w:rPr>
          <w:rFonts w:hint="eastAsia" w:ascii="宋体" w:hAnsi="宋体" w:eastAsia="宋体" w:cs="宋体"/>
          <w:b/>
          <w:sz w:val="24"/>
          <w:szCs w:val="24"/>
          <w:highlight w:val="none"/>
        </w:rPr>
        <w:t>第</w:t>
      </w:r>
      <w:r>
        <w:rPr>
          <w:rFonts w:hint="eastAsia" w:ascii="宋体" w:hAnsi="宋体" w:eastAsia="宋体" w:cs="宋体"/>
          <w:b/>
          <w:sz w:val="24"/>
          <w:szCs w:val="24"/>
          <w:highlight w:val="none"/>
          <w:lang w:val="en-US" w:eastAsia="zh-CN"/>
        </w:rPr>
        <w:t>十一</w:t>
      </w:r>
      <w:r>
        <w:rPr>
          <w:rFonts w:hint="eastAsia" w:ascii="宋体" w:hAnsi="宋体" w:eastAsia="宋体" w:cs="宋体"/>
          <w:b/>
          <w:sz w:val="24"/>
          <w:szCs w:val="24"/>
          <w:highlight w:val="none"/>
        </w:rPr>
        <w:t>包评分标准：</w:t>
      </w:r>
    </w:p>
    <w:tbl>
      <w:tblPr>
        <w:tblStyle w:val="38"/>
        <w:tblW w:w="91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5954"/>
        <w:gridCol w:w="6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宋体" w:hAnsi="宋体" w:eastAsia="宋体" w:cs="宋体"/>
                <w:b/>
                <w:sz w:val="24"/>
                <w:szCs w:val="24"/>
                <w:highlight w:val="none"/>
              </w:rPr>
            </w:pPr>
            <w:r>
              <w:rPr>
                <w:rFonts w:hint="eastAsia" w:ascii="宋体" w:hAnsi="宋体" w:eastAsia="宋体" w:cs="宋体"/>
                <w:b/>
                <w:kern w:val="0"/>
                <w:sz w:val="24"/>
                <w:szCs w:val="24"/>
                <w:highlight w:val="none"/>
              </w:rPr>
              <w:t>评分因素及权重</w:t>
            </w:r>
          </w:p>
        </w:tc>
        <w:tc>
          <w:tcPr>
            <w:tcW w:w="1371" w:type="dxa"/>
            <w:tcMar>
              <w:top w:w="15" w:type="dxa"/>
              <w:left w:w="15" w:type="dxa"/>
              <w:right w:w="15" w:type="dxa"/>
            </w:tcMar>
            <w:vAlign w:val="center"/>
          </w:tcPr>
          <w:p>
            <w:pPr>
              <w:widowControl/>
              <w:spacing w:line="400" w:lineRule="exact"/>
              <w:jc w:val="center"/>
              <w:textAlignment w:val="center"/>
              <w:rPr>
                <w:rFonts w:ascii="宋体" w:hAnsi="宋体" w:eastAsia="宋体" w:cs="宋体"/>
                <w:b/>
                <w:sz w:val="24"/>
                <w:szCs w:val="24"/>
                <w:highlight w:val="none"/>
              </w:rPr>
            </w:pPr>
            <w:r>
              <w:rPr>
                <w:rFonts w:hint="eastAsia" w:ascii="宋体" w:hAnsi="宋体" w:eastAsia="宋体" w:cs="宋体"/>
                <w:b/>
                <w:kern w:val="0"/>
                <w:sz w:val="24"/>
                <w:szCs w:val="24"/>
                <w:highlight w:val="none"/>
              </w:rPr>
              <w:t>评标因素</w:t>
            </w:r>
          </w:p>
        </w:tc>
        <w:tc>
          <w:tcPr>
            <w:tcW w:w="5954" w:type="dxa"/>
            <w:tcMar>
              <w:top w:w="15" w:type="dxa"/>
              <w:left w:w="15" w:type="dxa"/>
              <w:right w:w="15" w:type="dxa"/>
            </w:tcMar>
            <w:vAlign w:val="center"/>
          </w:tcPr>
          <w:p>
            <w:pPr>
              <w:widowControl/>
              <w:spacing w:line="400" w:lineRule="exact"/>
              <w:jc w:val="center"/>
              <w:textAlignment w:val="center"/>
              <w:rPr>
                <w:rFonts w:ascii="宋体" w:hAnsi="宋体" w:eastAsia="宋体" w:cs="宋体"/>
                <w:b/>
                <w:sz w:val="24"/>
                <w:szCs w:val="24"/>
                <w:highlight w:val="none"/>
              </w:rPr>
            </w:pPr>
            <w:r>
              <w:rPr>
                <w:rFonts w:hint="eastAsia" w:ascii="宋体" w:hAnsi="宋体" w:eastAsia="宋体" w:cs="宋体"/>
                <w:b/>
                <w:kern w:val="0"/>
                <w:sz w:val="24"/>
                <w:szCs w:val="24"/>
                <w:highlight w:val="none"/>
              </w:rPr>
              <w:t>评分标准</w:t>
            </w:r>
          </w:p>
        </w:tc>
        <w:tc>
          <w:tcPr>
            <w:tcW w:w="687" w:type="dxa"/>
            <w:tcMar>
              <w:top w:w="15" w:type="dxa"/>
              <w:left w:w="15" w:type="dxa"/>
              <w:right w:w="15" w:type="dxa"/>
            </w:tcMar>
            <w:vAlign w:val="center"/>
          </w:tcPr>
          <w:p>
            <w:pPr>
              <w:widowControl/>
              <w:spacing w:line="400" w:lineRule="exact"/>
              <w:jc w:val="center"/>
              <w:textAlignment w:val="center"/>
              <w:rPr>
                <w:rFonts w:ascii="宋体" w:hAnsi="宋体" w:eastAsia="宋体" w:cs="宋体"/>
                <w:b/>
                <w:sz w:val="24"/>
                <w:szCs w:val="24"/>
                <w:highlight w:val="none"/>
              </w:rPr>
            </w:pPr>
            <w:r>
              <w:rPr>
                <w:rFonts w:hint="eastAsia" w:ascii="宋体" w:hAnsi="宋体" w:eastAsia="宋体" w:cs="宋体"/>
                <w:b/>
                <w:kern w:val="0"/>
                <w:sz w:val="24"/>
                <w:szCs w:val="24"/>
                <w:highlight w:val="none"/>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宋体" w:hAnsi="宋体" w:eastAsia="宋体" w:cs="宋体"/>
                <w:sz w:val="24"/>
                <w:szCs w:val="24"/>
                <w:highlight w:val="none"/>
              </w:rPr>
            </w:pPr>
            <w:r>
              <w:rPr>
                <w:rFonts w:hint="eastAsia" w:ascii="宋体" w:hAnsi="宋体" w:eastAsia="宋体" w:cs="宋体"/>
                <w:kern w:val="0"/>
                <w:sz w:val="24"/>
                <w:szCs w:val="24"/>
                <w:highlight w:val="none"/>
              </w:rPr>
              <w:t>价格部分（30分）</w:t>
            </w:r>
          </w:p>
        </w:tc>
        <w:tc>
          <w:tcPr>
            <w:tcW w:w="1371" w:type="dxa"/>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投标</w:t>
            </w:r>
          </w:p>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报价</w:t>
            </w:r>
          </w:p>
        </w:tc>
        <w:tc>
          <w:tcPr>
            <w:tcW w:w="5954" w:type="dxa"/>
            <w:tcMar>
              <w:top w:w="15" w:type="dxa"/>
              <w:left w:w="15" w:type="dxa"/>
              <w:right w:w="15" w:type="dxa"/>
            </w:tcMar>
            <w:vAlign w:val="center"/>
          </w:tcPr>
          <w:p>
            <w:pPr>
              <w:widowControl/>
              <w:spacing w:line="400" w:lineRule="exact"/>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综合评分法中的价格分统一采用低价优先法计算，即满足招标文件要求且投标价格最低的投标报价为评标基准价，其价格分为满分30分，其它投标报价得分=评标基准价/投标报价*30</w:t>
            </w:r>
          </w:p>
        </w:tc>
        <w:tc>
          <w:tcPr>
            <w:tcW w:w="687" w:type="dxa"/>
            <w:tcMar>
              <w:top w:w="15" w:type="dxa"/>
              <w:left w:w="15" w:type="dxa"/>
              <w:right w:w="15" w:type="dxa"/>
            </w:tcMar>
            <w:vAlign w:val="center"/>
          </w:tcPr>
          <w:p>
            <w:pPr>
              <w:widowControl/>
              <w:spacing w:line="400" w:lineRule="exact"/>
              <w:jc w:val="center"/>
              <w:textAlignment w:val="center"/>
              <w:rPr>
                <w:rFonts w:ascii="宋体" w:hAnsi="宋体" w:eastAsia="宋体" w:cs="宋体"/>
                <w:sz w:val="24"/>
                <w:szCs w:val="24"/>
                <w:highlight w:val="none"/>
              </w:rPr>
            </w:pPr>
            <w:r>
              <w:rPr>
                <w:rFonts w:hint="eastAsia" w:ascii="宋体" w:hAnsi="宋体" w:eastAsia="宋体" w:cs="宋体"/>
                <w:kern w:val="0"/>
                <w:sz w:val="24"/>
                <w:szCs w:val="24"/>
                <w:highlight w:val="none"/>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sz w:val="24"/>
                <w:szCs w:val="24"/>
                <w:highlight w:val="none"/>
              </w:rPr>
            </w:pPr>
            <w:r>
              <w:rPr>
                <w:rFonts w:hint="eastAsia" w:ascii="宋体" w:hAnsi="宋体" w:eastAsia="宋体" w:cs="宋体"/>
                <w:kern w:val="0"/>
                <w:sz w:val="24"/>
                <w:szCs w:val="24"/>
                <w:highlight w:val="none"/>
              </w:rPr>
              <w:t>技术和商务部分（ 70分）</w:t>
            </w:r>
          </w:p>
        </w:tc>
        <w:tc>
          <w:tcPr>
            <w:tcW w:w="1371" w:type="dxa"/>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技术要求</w:t>
            </w:r>
          </w:p>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响应评价</w:t>
            </w:r>
          </w:p>
        </w:tc>
        <w:tc>
          <w:tcPr>
            <w:tcW w:w="5954" w:type="dxa"/>
            <w:tcMar>
              <w:top w:w="15" w:type="dxa"/>
              <w:left w:w="15" w:type="dxa"/>
              <w:right w:w="15" w:type="dxa"/>
            </w:tcMar>
            <w:vAlign w:val="center"/>
          </w:tcPr>
          <w:p>
            <w:pPr>
              <w:widowControl/>
              <w:spacing w:line="400" w:lineRule="exact"/>
              <w:ind w:firstLine="480" w:firstLineChars="200"/>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对照“项目需求”技术参数（每条技术参数前标注“★”的为核心技术参数，标注“▲”的为主要技术参数，未标注的为一般参数），根据投标人提供的产品配置及技术性能指标的响应情况进行评审。</w:t>
            </w:r>
          </w:p>
          <w:p>
            <w:pPr>
              <w:widowControl/>
              <w:spacing w:line="400" w:lineRule="exact"/>
              <w:ind w:firstLine="480" w:firstLineChars="200"/>
              <w:textAlignment w:val="center"/>
              <w:rPr>
                <w:rFonts w:ascii="宋体" w:hAnsi="宋体" w:eastAsia="宋体" w:cs="宋体"/>
                <w:sz w:val="24"/>
                <w:szCs w:val="24"/>
                <w:highlight w:val="none"/>
              </w:rPr>
            </w:pPr>
            <w:r>
              <w:rPr>
                <w:rFonts w:hint="eastAsia" w:ascii="宋体" w:hAnsi="宋体" w:eastAsia="宋体" w:cs="宋体"/>
                <w:sz w:val="24"/>
                <w:szCs w:val="24"/>
                <w:highlight w:val="none"/>
              </w:rPr>
              <w:t>1.投标人所投产品技术参数完全响应招标文件要求的，得</w:t>
            </w:r>
            <w:r>
              <w:rPr>
                <w:rFonts w:hint="eastAsia" w:ascii="宋体" w:hAnsi="宋体" w:eastAsia="宋体" w:cs="宋体"/>
                <w:sz w:val="24"/>
                <w:szCs w:val="24"/>
                <w:highlight w:val="none"/>
                <w:lang w:val="en-US" w:eastAsia="zh-CN"/>
              </w:rPr>
              <w:t>30</w:t>
            </w:r>
            <w:r>
              <w:rPr>
                <w:rFonts w:hint="eastAsia" w:ascii="宋体" w:hAnsi="宋体" w:eastAsia="宋体" w:cs="宋体"/>
                <w:sz w:val="24"/>
                <w:szCs w:val="24"/>
                <w:highlight w:val="none"/>
              </w:rPr>
              <w:t>分；</w:t>
            </w:r>
          </w:p>
          <w:p>
            <w:pPr>
              <w:pStyle w:val="30"/>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w:t>
            </w:r>
            <w:r>
              <w:rPr>
                <w:rFonts w:ascii="宋体" w:hAnsi="宋体" w:eastAsia="宋体" w:cs="宋体"/>
                <w:sz w:val="24"/>
                <w:szCs w:val="24"/>
                <w:highlight w:val="none"/>
              </w:rPr>
              <w:t>.</w:t>
            </w:r>
            <w:r>
              <w:rPr>
                <w:rFonts w:hint="eastAsia"/>
                <w:highlight w:val="none"/>
              </w:rPr>
              <w:t xml:space="preserve"> </w:t>
            </w:r>
            <w:r>
              <w:rPr>
                <w:rFonts w:hint="eastAsia" w:ascii="宋体" w:hAnsi="宋体" w:eastAsia="宋体" w:cs="宋体"/>
                <w:sz w:val="24"/>
                <w:szCs w:val="24"/>
                <w:highlight w:val="none"/>
              </w:rPr>
              <w:t>核心技术参数存在负偏离的（</w:t>
            </w:r>
            <w:r>
              <w:rPr>
                <w:rFonts w:hint="eastAsia" w:ascii="宋体" w:hAnsi="宋体" w:eastAsia="宋体" w:cs="宋体"/>
                <w:sz w:val="24"/>
                <w:szCs w:val="24"/>
                <w:highlight w:val="none"/>
                <w:lang w:val="en-US" w:eastAsia="zh-CN"/>
              </w:rPr>
              <w:t>共</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条），此项不得分；</w:t>
            </w:r>
          </w:p>
          <w:p>
            <w:pPr>
              <w:pStyle w:val="30"/>
              <w:ind w:firstLine="480" w:firstLineChars="200"/>
              <w:rPr>
                <w:rFonts w:ascii="宋体" w:hAnsi="宋体" w:eastAsia="宋体" w:cs="宋体"/>
                <w:sz w:val="24"/>
                <w:szCs w:val="24"/>
                <w:highlight w:val="none"/>
              </w:rPr>
            </w:pPr>
            <w:r>
              <w:rPr>
                <w:rFonts w:ascii="宋体" w:hAnsi="宋体" w:eastAsia="宋体" w:cs="宋体"/>
                <w:sz w:val="24"/>
                <w:szCs w:val="24"/>
                <w:highlight w:val="none"/>
              </w:rPr>
              <w:t>3</w:t>
            </w:r>
            <w:r>
              <w:rPr>
                <w:rFonts w:hint="eastAsia" w:ascii="宋体" w:hAnsi="宋体" w:eastAsia="宋体" w:cs="宋体"/>
                <w:sz w:val="24"/>
                <w:szCs w:val="24"/>
                <w:highlight w:val="none"/>
              </w:rPr>
              <w:t>.主要技术参数存在负偏离的（</w:t>
            </w:r>
            <w:r>
              <w:rPr>
                <w:rFonts w:hint="eastAsia" w:ascii="宋体" w:hAnsi="宋体" w:eastAsia="宋体" w:cs="宋体"/>
                <w:sz w:val="24"/>
                <w:szCs w:val="24"/>
                <w:highlight w:val="none"/>
                <w:lang w:val="en-US" w:eastAsia="zh-CN"/>
              </w:rPr>
              <w:t>共9</w:t>
            </w:r>
            <w:r>
              <w:rPr>
                <w:rFonts w:hint="eastAsia" w:ascii="宋体" w:hAnsi="宋体" w:eastAsia="宋体" w:cs="宋体"/>
                <w:sz w:val="24"/>
                <w:szCs w:val="24"/>
                <w:highlight w:val="none"/>
              </w:rPr>
              <w:t>条），每一条扣</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分，最多扣</w:t>
            </w:r>
            <w:r>
              <w:rPr>
                <w:rFonts w:hint="eastAsia" w:ascii="宋体" w:hAnsi="宋体" w:cs="宋体"/>
                <w:sz w:val="24"/>
                <w:szCs w:val="24"/>
                <w:highlight w:val="none"/>
                <w:lang w:val="en-US" w:eastAsia="zh-CN"/>
              </w:rPr>
              <w:t>18</w:t>
            </w:r>
            <w:r>
              <w:rPr>
                <w:rFonts w:hint="eastAsia" w:ascii="宋体" w:hAnsi="宋体" w:eastAsia="宋体" w:cs="宋体"/>
                <w:sz w:val="24"/>
                <w:szCs w:val="24"/>
                <w:highlight w:val="none"/>
              </w:rPr>
              <w:t>分；</w:t>
            </w:r>
          </w:p>
          <w:p>
            <w:pPr>
              <w:pStyle w:val="30"/>
              <w:ind w:firstLine="480" w:firstLineChars="200"/>
              <w:rPr>
                <w:rFonts w:ascii="宋体" w:hAnsi="宋体" w:eastAsia="宋体" w:cs="宋体"/>
                <w:kern w:val="0"/>
                <w:sz w:val="24"/>
                <w:szCs w:val="24"/>
                <w:highlight w:val="none"/>
              </w:rPr>
            </w:pPr>
            <w:r>
              <w:rPr>
                <w:rFonts w:ascii="宋体" w:hAnsi="宋体" w:eastAsia="宋体" w:cs="宋体"/>
                <w:sz w:val="24"/>
                <w:szCs w:val="24"/>
                <w:highlight w:val="none"/>
              </w:rPr>
              <w:t>4</w:t>
            </w:r>
            <w:r>
              <w:rPr>
                <w:rFonts w:hint="eastAsia" w:ascii="宋体" w:hAnsi="宋体" w:eastAsia="宋体" w:cs="宋体"/>
                <w:sz w:val="24"/>
                <w:szCs w:val="24"/>
                <w:highlight w:val="none"/>
              </w:rPr>
              <w:t>.</w:t>
            </w:r>
            <w:r>
              <w:rPr>
                <w:rFonts w:hint="eastAsia" w:ascii="宋体" w:hAnsi="宋体" w:eastAsia="宋体" w:cs="宋体"/>
                <w:kern w:val="0"/>
                <w:sz w:val="24"/>
                <w:szCs w:val="24"/>
                <w:highlight w:val="none"/>
              </w:rPr>
              <w:t>一般技术参数存在负偏离的（</w:t>
            </w:r>
            <w:r>
              <w:rPr>
                <w:rFonts w:hint="eastAsia" w:ascii="宋体" w:hAnsi="宋体" w:eastAsia="宋体" w:cs="宋体"/>
                <w:kern w:val="0"/>
                <w:sz w:val="24"/>
                <w:szCs w:val="24"/>
                <w:highlight w:val="none"/>
                <w:lang w:val="en-US" w:eastAsia="zh-CN"/>
              </w:rPr>
              <w:t>18</w:t>
            </w:r>
            <w:r>
              <w:rPr>
                <w:rFonts w:hint="eastAsia" w:ascii="宋体" w:hAnsi="宋体" w:eastAsia="宋体" w:cs="宋体"/>
                <w:kern w:val="0"/>
                <w:sz w:val="24"/>
                <w:szCs w:val="24"/>
                <w:highlight w:val="none"/>
              </w:rPr>
              <w:t>条），每一条扣</w:t>
            </w:r>
            <w:r>
              <w:rPr>
                <w:rFonts w:hint="eastAsia" w:ascii="宋体" w:hAnsi="宋体" w:cs="宋体"/>
                <w:kern w:val="0"/>
                <w:sz w:val="24"/>
                <w:szCs w:val="24"/>
                <w:highlight w:val="none"/>
                <w:lang w:val="en-US" w:eastAsia="zh-CN"/>
              </w:rPr>
              <w:t>0.7</w:t>
            </w:r>
            <w:r>
              <w:rPr>
                <w:rFonts w:hint="eastAsia" w:ascii="宋体" w:hAnsi="宋体" w:eastAsia="宋体" w:cs="宋体"/>
                <w:kern w:val="0"/>
                <w:sz w:val="24"/>
                <w:szCs w:val="24"/>
                <w:highlight w:val="none"/>
              </w:rPr>
              <w:t>分，最多扣</w:t>
            </w:r>
            <w:r>
              <w:rPr>
                <w:rFonts w:hint="eastAsia" w:ascii="宋体" w:hAnsi="宋体" w:cs="宋体"/>
                <w:kern w:val="0"/>
                <w:sz w:val="24"/>
                <w:szCs w:val="24"/>
                <w:highlight w:val="none"/>
                <w:lang w:val="en-US" w:eastAsia="zh-CN"/>
              </w:rPr>
              <w:t>12</w:t>
            </w:r>
            <w:r>
              <w:rPr>
                <w:rFonts w:hint="eastAsia" w:ascii="宋体" w:hAnsi="宋体" w:eastAsia="宋体" w:cs="宋体"/>
                <w:kern w:val="0"/>
                <w:sz w:val="24"/>
                <w:szCs w:val="24"/>
                <w:highlight w:val="none"/>
              </w:rPr>
              <w:t>分。</w:t>
            </w:r>
          </w:p>
          <w:p>
            <w:pPr>
              <w:widowControl/>
              <w:spacing w:line="400" w:lineRule="exact"/>
              <w:ind w:firstLine="482" w:firstLineChars="200"/>
              <w:textAlignment w:val="center"/>
              <w:rPr>
                <w:rFonts w:eastAsia="宋体"/>
                <w:highlight w:val="none"/>
              </w:rPr>
            </w:pPr>
            <w:r>
              <w:rPr>
                <w:b/>
                <w:bCs/>
                <w:sz w:val="24"/>
                <w:szCs w:val="24"/>
                <w:highlight w:val="none"/>
              </w:rPr>
              <w:t>注：负偏离评审依据：</w:t>
            </w:r>
            <w:r>
              <w:rPr>
                <w:rFonts w:hint="eastAsia"/>
                <w:b/>
                <w:bCs/>
                <w:sz w:val="24"/>
                <w:szCs w:val="24"/>
                <w:highlight w:val="none"/>
              </w:rPr>
              <w:t>①</w:t>
            </w:r>
            <w:r>
              <w:rPr>
                <w:b/>
                <w:bCs/>
                <w:sz w:val="24"/>
                <w:szCs w:val="24"/>
                <w:highlight w:val="none"/>
              </w:rPr>
              <w:t>所</w:t>
            </w:r>
            <w:r>
              <w:rPr>
                <w:rFonts w:hint="eastAsia"/>
                <w:b/>
                <w:bCs/>
                <w:sz w:val="24"/>
                <w:szCs w:val="24"/>
                <w:highlight w:val="none"/>
              </w:rPr>
              <w:t>提供</w:t>
            </w:r>
            <w:r>
              <w:rPr>
                <w:b/>
                <w:bCs/>
                <w:sz w:val="24"/>
                <w:szCs w:val="24"/>
                <w:highlight w:val="none"/>
              </w:rPr>
              <w:t>产品技术参数低于</w:t>
            </w:r>
            <w:r>
              <w:rPr>
                <w:rFonts w:hint="eastAsia"/>
                <w:b/>
                <w:bCs/>
                <w:sz w:val="24"/>
                <w:szCs w:val="24"/>
                <w:highlight w:val="none"/>
              </w:rPr>
              <w:t>招标</w:t>
            </w:r>
            <w:r>
              <w:rPr>
                <w:b/>
                <w:bCs/>
                <w:sz w:val="24"/>
                <w:szCs w:val="24"/>
                <w:highlight w:val="none"/>
              </w:rPr>
              <w:t>文件要求的，视为负偏离；</w:t>
            </w:r>
            <w:r>
              <w:rPr>
                <w:rFonts w:hint="eastAsia"/>
                <w:b/>
                <w:bCs/>
                <w:sz w:val="24"/>
                <w:szCs w:val="24"/>
                <w:highlight w:val="none"/>
              </w:rPr>
              <w:t>②</w:t>
            </w:r>
            <w:r>
              <w:rPr>
                <w:b/>
                <w:bCs/>
                <w:sz w:val="24"/>
                <w:szCs w:val="24"/>
                <w:highlight w:val="none"/>
              </w:rPr>
              <w:t>技术参数响应条款</w:t>
            </w:r>
            <w:r>
              <w:rPr>
                <w:rFonts w:hint="eastAsia"/>
                <w:b/>
                <w:bCs/>
                <w:sz w:val="24"/>
                <w:szCs w:val="24"/>
                <w:highlight w:val="none"/>
              </w:rPr>
              <w:t>（以投标文件内技术偏离表为准）</w:t>
            </w:r>
            <w:r>
              <w:rPr>
                <w:b/>
                <w:bCs/>
                <w:sz w:val="24"/>
                <w:szCs w:val="24"/>
                <w:highlight w:val="none"/>
              </w:rPr>
              <w:t>与</w:t>
            </w:r>
            <w:r>
              <w:rPr>
                <w:rFonts w:hint="eastAsia"/>
                <w:b/>
                <w:bCs/>
                <w:sz w:val="24"/>
                <w:szCs w:val="24"/>
                <w:highlight w:val="none"/>
              </w:rPr>
              <w:t>招标</w:t>
            </w:r>
            <w:r>
              <w:rPr>
                <w:b/>
                <w:bCs/>
                <w:sz w:val="24"/>
                <w:szCs w:val="24"/>
                <w:highlight w:val="none"/>
              </w:rPr>
              <w:t>文件对比有缺项、漏项的，视为负偏离；</w:t>
            </w:r>
            <w:r>
              <w:rPr>
                <w:rFonts w:hint="eastAsia"/>
                <w:b/>
                <w:bCs/>
                <w:sz w:val="24"/>
                <w:szCs w:val="24"/>
                <w:highlight w:val="none"/>
              </w:rPr>
              <w:t>③投标文件内技术偏离表完全复制招标文件技术参数的（不涉及具体参数指标的描述性技术要求除外），视为负偏离；④投标人</w:t>
            </w:r>
            <w:r>
              <w:rPr>
                <w:b/>
                <w:bCs/>
                <w:sz w:val="24"/>
                <w:szCs w:val="24"/>
                <w:highlight w:val="none"/>
              </w:rPr>
              <w:t>提供的</w:t>
            </w:r>
            <w:r>
              <w:rPr>
                <w:rFonts w:hint="eastAsia"/>
                <w:b/>
                <w:bCs/>
                <w:sz w:val="24"/>
                <w:szCs w:val="24"/>
                <w:highlight w:val="none"/>
              </w:rPr>
              <w:t>投标</w:t>
            </w:r>
            <w:r>
              <w:rPr>
                <w:b/>
                <w:bCs/>
                <w:sz w:val="24"/>
                <w:szCs w:val="24"/>
                <w:highlight w:val="none"/>
              </w:rPr>
              <w:t>文件中产品技术偏离表、产品技术规格书和产品检测报告内描述的同一产品技术参数响应值不一致的，视为负偏离</w:t>
            </w:r>
            <w:r>
              <w:rPr>
                <w:rFonts w:hint="eastAsia"/>
                <w:b/>
                <w:bCs/>
                <w:sz w:val="24"/>
                <w:szCs w:val="24"/>
                <w:highlight w:val="none"/>
              </w:rPr>
              <w:t>。</w:t>
            </w:r>
          </w:p>
        </w:tc>
        <w:tc>
          <w:tcPr>
            <w:tcW w:w="687" w:type="dxa"/>
            <w:tcMar>
              <w:top w:w="15" w:type="dxa"/>
              <w:left w:w="15" w:type="dxa"/>
              <w:right w:w="15" w:type="dxa"/>
            </w:tcMar>
            <w:vAlign w:val="center"/>
          </w:tcPr>
          <w:p>
            <w:pPr>
              <w:widowControl/>
              <w:spacing w:line="400" w:lineRule="exact"/>
              <w:jc w:val="center"/>
              <w:textAlignment w:val="center"/>
              <w:rPr>
                <w:rFonts w:hint="default"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r>
              <w:rPr>
                <w:sz w:val="24"/>
                <w:szCs w:val="24"/>
                <w:highlight w:val="none"/>
              </w:rPr>
              <w:t>业绩证明</w:t>
            </w:r>
          </w:p>
        </w:tc>
        <w:tc>
          <w:tcPr>
            <w:tcW w:w="5954" w:type="dxa"/>
            <w:tcMar>
              <w:top w:w="15" w:type="dxa"/>
              <w:left w:w="15" w:type="dxa"/>
              <w:right w:w="15" w:type="dxa"/>
            </w:tcMar>
            <w:vAlign w:val="center"/>
          </w:tcPr>
          <w:p>
            <w:pPr>
              <w:widowControl/>
              <w:spacing w:line="400" w:lineRule="exact"/>
              <w:ind w:firstLine="480" w:firstLineChars="200"/>
              <w:rPr>
                <w:sz w:val="24"/>
                <w:szCs w:val="24"/>
                <w:highlight w:val="none"/>
              </w:rPr>
            </w:pPr>
            <w:r>
              <w:rPr>
                <w:rFonts w:hint="eastAsia"/>
                <w:sz w:val="24"/>
                <w:szCs w:val="24"/>
                <w:highlight w:val="none"/>
                <w:lang w:eastAsia="zh-CN"/>
              </w:rPr>
              <w:t>投标人</w:t>
            </w:r>
            <w:r>
              <w:rPr>
                <w:rFonts w:hint="eastAsia"/>
                <w:sz w:val="24"/>
                <w:szCs w:val="24"/>
                <w:highlight w:val="none"/>
              </w:rPr>
              <w:t>近三年内（</w:t>
            </w:r>
            <w:r>
              <w:rPr>
                <w:sz w:val="24"/>
                <w:szCs w:val="24"/>
                <w:highlight w:val="none"/>
              </w:rPr>
              <w:t>2021</w:t>
            </w:r>
            <w:r>
              <w:rPr>
                <w:rFonts w:hint="eastAsia"/>
                <w:sz w:val="24"/>
                <w:szCs w:val="24"/>
                <w:highlight w:val="none"/>
              </w:rPr>
              <w:t>年0</w:t>
            </w:r>
            <w:r>
              <w:rPr>
                <w:sz w:val="24"/>
                <w:szCs w:val="24"/>
                <w:highlight w:val="none"/>
              </w:rPr>
              <w:t>3</w:t>
            </w:r>
            <w:r>
              <w:rPr>
                <w:rFonts w:hint="eastAsia"/>
                <w:sz w:val="24"/>
                <w:szCs w:val="24"/>
                <w:highlight w:val="none"/>
              </w:rPr>
              <w:t>月0</w:t>
            </w:r>
            <w:r>
              <w:rPr>
                <w:sz w:val="24"/>
                <w:szCs w:val="24"/>
                <w:highlight w:val="none"/>
              </w:rPr>
              <w:t>1</w:t>
            </w:r>
            <w:r>
              <w:rPr>
                <w:rFonts w:hint="eastAsia"/>
                <w:sz w:val="24"/>
                <w:szCs w:val="24"/>
                <w:highlight w:val="none"/>
              </w:rPr>
              <w:t>日起至今，以合同签订日期为准）完成类似项目的业绩，每个项目业绩得</w:t>
            </w:r>
            <w:r>
              <w:rPr>
                <w:sz w:val="24"/>
                <w:szCs w:val="24"/>
                <w:highlight w:val="none"/>
              </w:rPr>
              <w:t>2</w:t>
            </w:r>
            <w:r>
              <w:rPr>
                <w:rFonts w:hint="eastAsia"/>
                <w:sz w:val="24"/>
                <w:szCs w:val="24"/>
                <w:highlight w:val="none"/>
              </w:rPr>
              <w:t>分，最多得</w:t>
            </w:r>
            <w:r>
              <w:rPr>
                <w:sz w:val="24"/>
                <w:szCs w:val="24"/>
                <w:highlight w:val="none"/>
              </w:rPr>
              <w:t>4</w:t>
            </w:r>
            <w:r>
              <w:rPr>
                <w:rFonts w:hint="eastAsia"/>
                <w:sz w:val="24"/>
                <w:szCs w:val="24"/>
                <w:highlight w:val="none"/>
              </w:rPr>
              <w:t>分。</w:t>
            </w:r>
          </w:p>
          <w:p>
            <w:pPr>
              <w:widowControl/>
              <w:spacing w:line="400" w:lineRule="exact"/>
              <w:ind w:firstLine="482" w:firstLineChars="200"/>
              <w:textAlignment w:val="center"/>
              <w:rPr>
                <w:b/>
                <w:bCs/>
                <w:sz w:val="24"/>
                <w:szCs w:val="24"/>
                <w:highlight w:val="none"/>
              </w:rPr>
            </w:pPr>
            <w:r>
              <w:rPr>
                <w:rFonts w:hint="eastAsia"/>
                <w:b/>
                <w:bCs/>
                <w:sz w:val="24"/>
                <w:szCs w:val="24"/>
                <w:highlight w:val="none"/>
              </w:rPr>
              <w:t>注：①提供中标（成交）通知书和合同复印件，未按要求提供不得分；②同一单位近三年的类似合同不重复计算业绩，仅算一个业绩。</w:t>
            </w:r>
          </w:p>
        </w:tc>
        <w:tc>
          <w:tcPr>
            <w:tcW w:w="687" w:type="dxa"/>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r>
              <w:rPr>
                <w:rFonts w:ascii="宋体" w:hAnsi="宋体" w:eastAsia="宋体" w:cs="宋体"/>
                <w:kern w:val="0"/>
                <w:sz w:val="24"/>
                <w:szCs w:val="24"/>
                <w:highlight w:val="none"/>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p>
        </w:tc>
        <w:tc>
          <w:tcPr>
            <w:tcW w:w="1371" w:type="dxa"/>
            <w:tcMar>
              <w:top w:w="15" w:type="dxa"/>
              <w:left w:w="15" w:type="dxa"/>
              <w:right w:w="15" w:type="dxa"/>
            </w:tcMar>
            <w:vAlign w:val="center"/>
          </w:tcPr>
          <w:p>
            <w:pPr>
              <w:snapToGrid w:val="0"/>
              <w:spacing w:line="40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项目组织</w:t>
            </w:r>
          </w:p>
          <w:p>
            <w:pPr>
              <w:widowControl/>
              <w:spacing w:line="400" w:lineRule="exact"/>
              <w:jc w:val="center"/>
              <w:textAlignment w:val="center"/>
              <w:rPr>
                <w:sz w:val="24"/>
                <w:szCs w:val="24"/>
                <w:highlight w:val="none"/>
              </w:rPr>
            </w:pPr>
            <w:r>
              <w:rPr>
                <w:rFonts w:hint="eastAsia" w:ascii="宋体" w:hAnsi="宋体" w:eastAsia="宋体" w:cs="宋体"/>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sz w:val="24"/>
                <w:szCs w:val="24"/>
                <w:highlight w:val="none"/>
              </w:rPr>
            </w:pPr>
            <w:r>
              <w:rPr>
                <w:rFonts w:hint="eastAsia"/>
                <w:sz w:val="24"/>
                <w:szCs w:val="24"/>
                <w:highlight w:val="none"/>
              </w:rPr>
              <w:t>根据</w:t>
            </w:r>
            <w:r>
              <w:rPr>
                <w:rFonts w:hint="eastAsia"/>
                <w:sz w:val="24"/>
                <w:szCs w:val="24"/>
                <w:highlight w:val="none"/>
                <w:lang w:eastAsia="zh-CN"/>
              </w:rPr>
              <w:t>投标人</w:t>
            </w:r>
            <w:r>
              <w:rPr>
                <w:rFonts w:hint="eastAsia"/>
                <w:sz w:val="24"/>
                <w:szCs w:val="24"/>
                <w:highlight w:val="none"/>
              </w:rPr>
              <w:t>提供的项目组织方案进行评分：</w:t>
            </w:r>
          </w:p>
          <w:p>
            <w:pPr>
              <w:widowControl/>
              <w:spacing w:line="400" w:lineRule="exact"/>
              <w:ind w:firstLine="480" w:firstLineChars="200"/>
              <w:rPr>
                <w:sz w:val="24"/>
                <w:szCs w:val="24"/>
                <w:highlight w:val="none"/>
              </w:rPr>
            </w:pPr>
            <w:r>
              <w:rPr>
                <w:rFonts w:hint="eastAsia"/>
                <w:sz w:val="24"/>
                <w:szCs w:val="24"/>
                <w:highlight w:val="none"/>
              </w:rPr>
              <w:t>项目组织方案包括但不限于：①</w:t>
            </w:r>
            <w:r>
              <w:rPr>
                <w:rFonts w:hint="eastAsia" w:ascii="宋体" w:hAnsi="宋体" w:eastAsia="宋体" w:cs="宋体"/>
                <w:sz w:val="24"/>
                <w:szCs w:val="24"/>
                <w:highlight w:val="none"/>
              </w:rPr>
              <w:t>项目人员安排（包含但不限于主要人员名单及基本情况介绍、在本项目中承担的职责等）、②供货方案（包含但不限于产品来源、供货计划、供货时间、包装和运输方式等）、③质量管控方案（包括但不限于质量管控的标准、方法和程序等）、④测试（调试）方案（包含但不限于人员安排、测试步骤、测试标准等）</w:t>
            </w:r>
            <w:r>
              <w:rPr>
                <w:sz w:val="24"/>
                <w:szCs w:val="24"/>
                <w:highlight w:val="none"/>
              </w:rPr>
              <w:t>等</w:t>
            </w:r>
            <w:r>
              <w:rPr>
                <w:rFonts w:hint="eastAsia"/>
                <w:sz w:val="24"/>
                <w:szCs w:val="24"/>
                <w:highlight w:val="none"/>
              </w:rPr>
              <w:t>4项内容，方案内容完整齐全，符合项目实际（</w:t>
            </w:r>
            <w:r>
              <w:rPr>
                <w:rFonts w:hint="eastAsia" w:ascii="宋体" w:hAnsi="宋体" w:eastAsia="宋体" w:cs="宋体"/>
                <w:sz w:val="24"/>
                <w:szCs w:val="24"/>
                <w:highlight w:val="none"/>
              </w:rPr>
              <w:t>第六章“项目需求”</w:t>
            </w:r>
            <w:r>
              <w:rPr>
                <w:rFonts w:hint="eastAsia"/>
                <w:sz w:val="24"/>
                <w:szCs w:val="24"/>
                <w:highlight w:val="none"/>
              </w:rPr>
              <w:t>）的，得</w:t>
            </w:r>
            <w:r>
              <w:rPr>
                <w:sz w:val="24"/>
                <w:szCs w:val="24"/>
                <w:highlight w:val="none"/>
              </w:rPr>
              <w:t>14</w:t>
            </w:r>
            <w:r>
              <w:rPr>
                <w:rFonts w:hint="eastAsia"/>
                <w:sz w:val="24"/>
                <w:szCs w:val="24"/>
                <w:highlight w:val="none"/>
              </w:rPr>
              <w:t>分；每缺少一项方案内容，或一项内容存在缺陷的，每一项扣</w:t>
            </w:r>
            <w:r>
              <w:rPr>
                <w:sz w:val="24"/>
                <w:szCs w:val="24"/>
                <w:highlight w:val="none"/>
              </w:rPr>
              <w:t>3.5</w:t>
            </w:r>
            <w:r>
              <w:rPr>
                <w:rFonts w:hint="eastAsia"/>
                <w:sz w:val="24"/>
                <w:szCs w:val="24"/>
                <w:highlight w:val="none"/>
              </w:rPr>
              <w:t>分，扣完为止；未提供项目组织方案的，此项不得分。</w:t>
            </w:r>
          </w:p>
          <w:p>
            <w:pPr>
              <w:widowControl/>
              <w:spacing w:line="400" w:lineRule="exact"/>
              <w:ind w:firstLine="482" w:firstLineChars="200"/>
              <w:rPr>
                <w:b/>
                <w:bCs/>
                <w:sz w:val="24"/>
                <w:szCs w:val="24"/>
                <w:highlight w:val="none"/>
              </w:rPr>
            </w:pPr>
            <w:r>
              <w:rPr>
                <w:rFonts w:hint="eastAsia"/>
                <w:b/>
                <w:bCs/>
                <w:sz w:val="24"/>
                <w:szCs w:val="24"/>
                <w:highlight w:val="none"/>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r>
              <w:rPr>
                <w:rFonts w:ascii="宋体" w:hAnsi="宋体" w:eastAsia="宋体" w:cs="宋体"/>
                <w:kern w:val="0"/>
                <w:sz w:val="24"/>
                <w:szCs w:val="24"/>
                <w:highlight w:val="none"/>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宋体" w:hAnsi="宋体" w:eastAsia="宋体" w:cs="宋体"/>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技术培训</w:t>
            </w:r>
          </w:p>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sz w:val="24"/>
                <w:szCs w:val="24"/>
                <w:highlight w:val="none"/>
              </w:rPr>
            </w:pPr>
            <w:r>
              <w:rPr>
                <w:rFonts w:hint="eastAsia"/>
                <w:sz w:val="24"/>
                <w:szCs w:val="24"/>
                <w:highlight w:val="none"/>
              </w:rPr>
              <w:t>根据</w:t>
            </w:r>
            <w:r>
              <w:rPr>
                <w:rFonts w:hint="eastAsia"/>
                <w:sz w:val="24"/>
                <w:szCs w:val="24"/>
                <w:highlight w:val="none"/>
                <w:lang w:eastAsia="zh-CN"/>
              </w:rPr>
              <w:t>投标人</w:t>
            </w:r>
            <w:r>
              <w:rPr>
                <w:rFonts w:hint="eastAsia"/>
                <w:sz w:val="24"/>
                <w:szCs w:val="24"/>
                <w:highlight w:val="none"/>
              </w:rPr>
              <w:t>提供的技术培训方案进行评分：</w:t>
            </w:r>
          </w:p>
          <w:p>
            <w:pPr>
              <w:widowControl/>
              <w:spacing w:line="400" w:lineRule="exact"/>
              <w:ind w:firstLine="480" w:firstLineChars="200"/>
              <w:rPr>
                <w:sz w:val="24"/>
                <w:szCs w:val="24"/>
                <w:highlight w:val="none"/>
              </w:rPr>
            </w:pPr>
            <w:r>
              <w:rPr>
                <w:rFonts w:hint="eastAsia"/>
                <w:sz w:val="24"/>
                <w:szCs w:val="24"/>
                <w:highlight w:val="none"/>
              </w:rPr>
              <w:t>技术培训方案包括但不限于</w:t>
            </w:r>
            <w:r>
              <w:rPr>
                <w:rFonts w:ascii="宋体" w:hAnsi="宋体" w:eastAsia="宋体" w:cs="宋体"/>
                <w:sz w:val="24"/>
                <w:szCs w:val="24"/>
                <w:highlight w:val="none"/>
              </w:rPr>
              <w:t>培训内容</w:t>
            </w:r>
            <w:r>
              <w:rPr>
                <w:rFonts w:hint="eastAsia" w:ascii="宋体" w:hAnsi="宋体" w:eastAsia="宋体" w:cs="宋体"/>
                <w:sz w:val="24"/>
                <w:szCs w:val="24"/>
                <w:highlight w:val="none"/>
              </w:rPr>
              <w:t>、</w:t>
            </w:r>
            <w:r>
              <w:rPr>
                <w:rFonts w:ascii="宋体" w:hAnsi="宋体" w:eastAsia="宋体" w:cs="宋体"/>
                <w:sz w:val="24"/>
                <w:szCs w:val="24"/>
                <w:highlight w:val="none"/>
              </w:rPr>
              <w:t>培训方式</w:t>
            </w:r>
            <w:r>
              <w:rPr>
                <w:rFonts w:hint="eastAsia" w:ascii="宋体" w:hAnsi="宋体" w:eastAsia="宋体" w:cs="宋体"/>
                <w:sz w:val="24"/>
                <w:szCs w:val="24"/>
                <w:highlight w:val="none"/>
              </w:rPr>
              <w:t>、</w:t>
            </w:r>
            <w:r>
              <w:rPr>
                <w:rFonts w:ascii="宋体" w:hAnsi="宋体" w:eastAsia="宋体" w:cs="宋体"/>
                <w:sz w:val="24"/>
                <w:szCs w:val="24"/>
                <w:highlight w:val="none"/>
              </w:rPr>
              <w:t>培训计划</w:t>
            </w:r>
            <w:r>
              <w:rPr>
                <w:rFonts w:hint="eastAsia" w:ascii="宋体" w:hAnsi="宋体" w:eastAsia="宋体" w:cs="宋体"/>
                <w:sz w:val="24"/>
                <w:szCs w:val="24"/>
                <w:highlight w:val="none"/>
              </w:rPr>
              <w:t>、</w:t>
            </w:r>
            <w:r>
              <w:rPr>
                <w:rFonts w:ascii="宋体" w:hAnsi="宋体" w:eastAsia="宋体" w:cs="宋体"/>
                <w:sz w:val="24"/>
                <w:szCs w:val="24"/>
                <w:highlight w:val="none"/>
              </w:rPr>
              <w:t>培训团队人员配置</w:t>
            </w:r>
            <w:r>
              <w:rPr>
                <w:sz w:val="24"/>
                <w:szCs w:val="24"/>
                <w:highlight w:val="none"/>
              </w:rPr>
              <w:t>等</w:t>
            </w:r>
            <w:r>
              <w:rPr>
                <w:rFonts w:hint="eastAsia"/>
                <w:sz w:val="24"/>
                <w:szCs w:val="24"/>
                <w:highlight w:val="none"/>
              </w:rPr>
              <w:t>4项内容，方案内容完整齐全，符合项目实际的，得</w:t>
            </w:r>
            <w:r>
              <w:rPr>
                <w:sz w:val="24"/>
                <w:szCs w:val="24"/>
                <w:highlight w:val="none"/>
              </w:rPr>
              <w:t>16</w:t>
            </w:r>
            <w:r>
              <w:rPr>
                <w:rFonts w:hint="eastAsia"/>
                <w:sz w:val="24"/>
                <w:szCs w:val="24"/>
                <w:highlight w:val="none"/>
              </w:rPr>
              <w:t>分；每缺少一项方案内容，或一项内容存在缺陷的，每一项扣</w:t>
            </w:r>
            <w:r>
              <w:rPr>
                <w:sz w:val="24"/>
                <w:szCs w:val="24"/>
                <w:highlight w:val="none"/>
              </w:rPr>
              <w:t>4</w:t>
            </w:r>
            <w:r>
              <w:rPr>
                <w:rFonts w:hint="eastAsia"/>
                <w:sz w:val="24"/>
                <w:szCs w:val="24"/>
                <w:highlight w:val="none"/>
              </w:rPr>
              <w:t>分，扣完为止；未提供技术培训方案的，此项不得分。</w:t>
            </w:r>
          </w:p>
          <w:p>
            <w:pPr>
              <w:snapToGrid w:val="0"/>
              <w:spacing w:line="400" w:lineRule="exact"/>
              <w:ind w:firstLine="482" w:firstLineChars="200"/>
              <w:rPr>
                <w:rFonts w:ascii="宋体" w:hAnsi="宋体" w:eastAsia="宋体" w:cs="宋体"/>
                <w:kern w:val="0"/>
                <w:sz w:val="24"/>
                <w:szCs w:val="24"/>
                <w:highlight w:val="none"/>
              </w:rPr>
            </w:pPr>
            <w:r>
              <w:rPr>
                <w:rFonts w:hint="eastAsia"/>
                <w:b/>
                <w:bCs/>
                <w:sz w:val="24"/>
                <w:szCs w:val="24"/>
                <w:highlight w:val="none"/>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ascii="宋体" w:hAnsi="宋体" w:eastAsia="宋体" w:cs="宋体"/>
                <w:sz w:val="24"/>
                <w:szCs w:val="24"/>
                <w:highlight w:val="none"/>
              </w:rPr>
            </w:pPr>
            <w:r>
              <w:rPr>
                <w:rFonts w:ascii="宋体" w:hAnsi="宋体" w:eastAsia="宋体" w:cs="宋体"/>
                <w:sz w:val="24"/>
                <w:szCs w:val="24"/>
                <w:highlight w:val="none"/>
              </w:rPr>
              <w:t>16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宋体" w:hAnsi="宋体" w:eastAsia="宋体" w:cs="宋体"/>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售后服务</w:t>
            </w:r>
          </w:p>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sz w:val="24"/>
                <w:szCs w:val="24"/>
                <w:highlight w:val="none"/>
              </w:rPr>
            </w:pPr>
            <w:r>
              <w:rPr>
                <w:rFonts w:hint="eastAsia"/>
                <w:sz w:val="24"/>
                <w:szCs w:val="24"/>
                <w:highlight w:val="none"/>
              </w:rPr>
              <w:t>根据</w:t>
            </w:r>
            <w:r>
              <w:rPr>
                <w:rFonts w:hint="eastAsia"/>
                <w:sz w:val="24"/>
                <w:szCs w:val="24"/>
                <w:highlight w:val="none"/>
                <w:lang w:eastAsia="zh-CN"/>
              </w:rPr>
              <w:t>投标人</w:t>
            </w:r>
            <w:r>
              <w:rPr>
                <w:rFonts w:hint="eastAsia"/>
                <w:sz w:val="24"/>
                <w:szCs w:val="24"/>
                <w:highlight w:val="none"/>
              </w:rPr>
              <w:t>提供的售后服务方案进行评分：</w:t>
            </w:r>
          </w:p>
          <w:p>
            <w:pPr>
              <w:widowControl/>
              <w:spacing w:line="400" w:lineRule="exact"/>
              <w:ind w:firstLine="480" w:firstLineChars="200"/>
              <w:rPr>
                <w:sz w:val="24"/>
                <w:szCs w:val="24"/>
                <w:highlight w:val="none"/>
              </w:rPr>
            </w:pPr>
            <w:r>
              <w:rPr>
                <w:rFonts w:hint="eastAsia"/>
                <w:sz w:val="24"/>
                <w:szCs w:val="24"/>
                <w:highlight w:val="none"/>
              </w:rPr>
              <w:t>项目售后服务方案包括但不限于</w:t>
            </w:r>
            <w:r>
              <w:rPr>
                <w:rFonts w:hint="eastAsia" w:ascii="宋体" w:hAnsi="宋体" w:eastAsia="宋体" w:cs="宋体"/>
                <w:sz w:val="24"/>
                <w:szCs w:val="24"/>
                <w:highlight w:val="none"/>
              </w:rPr>
              <w:t>售后</w:t>
            </w:r>
            <w:r>
              <w:rPr>
                <w:rFonts w:ascii="宋体" w:hAnsi="宋体" w:eastAsia="宋体" w:cs="宋体"/>
                <w:sz w:val="24"/>
                <w:szCs w:val="24"/>
                <w:highlight w:val="none"/>
              </w:rPr>
              <w:t>服务承诺</w:t>
            </w:r>
            <w:r>
              <w:rPr>
                <w:rFonts w:hint="eastAsia" w:ascii="宋体" w:hAnsi="宋体" w:eastAsia="宋体" w:cs="宋体"/>
                <w:sz w:val="24"/>
                <w:szCs w:val="24"/>
                <w:highlight w:val="none"/>
              </w:rPr>
              <w:t>、</w:t>
            </w:r>
            <w:r>
              <w:rPr>
                <w:rFonts w:ascii="宋体" w:hAnsi="宋体" w:eastAsia="宋体" w:cs="宋体"/>
                <w:sz w:val="24"/>
                <w:szCs w:val="24"/>
                <w:highlight w:val="none"/>
              </w:rPr>
              <w:t>服务响应方案</w:t>
            </w:r>
            <w:r>
              <w:rPr>
                <w:rFonts w:hint="eastAsia" w:ascii="宋体" w:hAnsi="宋体" w:eastAsia="宋体" w:cs="宋体"/>
                <w:sz w:val="24"/>
                <w:szCs w:val="24"/>
                <w:highlight w:val="none"/>
              </w:rPr>
              <w:t>、</w:t>
            </w:r>
            <w:r>
              <w:rPr>
                <w:rFonts w:ascii="宋体" w:hAnsi="宋体" w:eastAsia="宋体" w:cs="宋体"/>
                <w:sz w:val="24"/>
                <w:szCs w:val="24"/>
                <w:highlight w:val="none"/>
              </w:rPr>
              <w:t>备件（易耗品）供应方案</w:t>
            </w:r>
            <w:r>
              <w:rPr>
                <w:rFonts w:hint="eastAsia" w:ascii="宋体" w:hAnsi="宋体" w:eastAsia="宋体" w:cs="宋体"/>
                <w:sz w:val="24"/>
                <w:szCs w:val="24"/>
                <w:highlight w:val="none"/>
              </w:rPr>
              <w:t>（含备件价格）、</w:t>
            </w:r>
            <w:r>
              <w:rPr>
                <w:rFonts w:ascii="宋体" w:hAnsi="宋体" w:eastAsia="宋体" w:cs="宋体"/>
                <w:sz w:val="24"/>
                <w:szCs w:val="24"/>
                <w:highlight w:val="none"/>
              </w:rPr>
              <w:t>服务人员配备</w:t>
            </w:r>
            <w:r>
              <w:rPr>
                <w:rFonts w:hint="eastAsia" w:ascii="宋体" w:hAnsi="宋体" w:eastAsia="宋体" w:cs="宋体"/>
                <w:sz w:val="24"/>
                <w:szCs w:val="24"/>
                <w:highlight w:val="none"/>
              </w:rPr>
              <w:t>、</w:t>
            </w:r>
            <w:r>
              <w:rPr>
                <w:rFonts w:ascii="宋体" w:hAnsi="宋体" w:eastAsia="宋体" w:cs="宋体"/>
                <w:sz w:val="24"/>
                <w:szCs w:val="24"/>
                <w:highlight w:val="none"/>
              </w:rPr>
              <w:t>故障响应</w:t>
            </w:r>
            <w:r>
              <w:rPr>
                <w:rFonts w:hint="eastAsia" w:ascii="宋体" w:hAnsi="宋体" w:eastAsia="宋体" w:cs="宋体"/>
                <w:sz w:val="24"/>
                <w:szCs w:val="24"/>
                <w:highlight w:val="none"/>
              </w:rPr>
              <w:t>措施、</w:t>
            </w:r>
            <w:r>
              <w:rPr>
                <w:rFonts w:ascii="宋体" w:hAnsi="宋体" w:eastAsia="宋体" w:cs="宋体"/>
                <w:sz w:val="24"/>
                <w:szCs w:val="24"/>
                <w:highlight w:val="none"/>
              </w:rPr>
              <w:t>质保外服务措施</w:t>
            </w:r>
            <w:r>
              <w:rPr>
                <w:sz w:val="24"/>
                <w:szCs w:val="24"/>
                <w:highlight w:val="none"/>
              </w:rPr>
              <w:t>等</w:t>
            </w:r>
            <w:r>
              <w:rPr>
                <w:rFonts w:hint="eastAsia"/>
                <w:sz w:val="24"/>
                <w:szCs w:val="24"/>
                <w:highlight w:val="none"/>
              </w:rPr>
              <w:t>6项内容，方案内容完整齐全，符合项目实际的，得</w:t>
            </w:r>
            <w:r>
              <w:rPr>
                <w:rFonts w:hint="eastAsia"/>
                <w:sz w:val="24"/>
                <w:szCs w:val="24"/>
                <w:highlight w:val="none"/>
                <w:lang w:val="en-US" w:eastAsia="zh-CN"/>
              </w:rPr>
              <w:t>6</w:t>
            </w:r>
            <w:r>
              <w:rPr>
                <w:rFonts w:hint="eastAsia"/>
                <w:sz w:val="24"/>
                <w:szCs w:val="24"/>
                <w:highlight w:val="none"/>
              </w:rPr>
              <w:t>分；每缺少一项方案内容，或一项内容存在缺陷的，每一项扣</w:t>
            </w:r>
            <w:r>
              <w:rPr>
                <w:rFonts w:hint="eastAsia"/>
                <w:sz w:val="24"/>
                <w:szCs w:val="24"/>
                <w:highlight w:val="none"/>
                <w:lang w:val="en-US" w:eastAsia="zh-CN"/>
              </w:rPr>
              <w:t>1</w:t>
            </w:r>
            <w:r>
              <w:rPr>
                <w:rFonts w:hint="eastAsia"/>
                <w:sz w:val="24"/>
                <w:szCs w:val="24"/>
                <w:highlight w:val="none"/>
              </w:rPr>
              <w:t>分，扣完为止；未提供售后服务方案的，此项不得分。</w:t>
            </w:r>
          </w:p>
          <w:p>
            <w:pPr>
              <w:snapToGrid w:val="0"/>
              <w:spacing w:line="400" w:lineRule="exact"/>
              <w:ind w:firstLine="482" w:firstLineChars="200"/>
              <w:rPr>
                <w:rFonts w:ascii="宋体" w:hAnsi="宋体" w:eastAsia="宋体" w:cs="宋体"/>
                <w:sz w:val="24"/>
                <w:szCs w:val="24"/>
                <w:highlight w:val="none"/>
              </w:rPr>
            </w:pPr>
            <w:r>
              <w:rPr>
                <w:rFonts w:hint="eastAsia"/>
                <w:b/>
                <w:bCs/>
                <w:sz w:val="24"/>
                <w:szCs w:val="24"/>
                <w:highlight w:val="none"/>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snapToGrid w:val="0"/>
              <w:spacing w:line="400" w:lineRule="exac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jc w:val="center"/>
        </w:trPr>
        <w:tc>
          <w:tcPr>
            <w:tcW w:w="9109" w:type="dxa"/>
            <w:gridSpan w:val="4"/>
            <w:tcMar>
              <w:top w:w="15" w:type="dxa"/>
              <w:left w:w="15" w:type="dxa"/>
              <w:right w:w="15" w:type="dxa"/>
            </w:tcMar>
            <w:vAlign w:val="center"/>
          </w:tcPr>
          <w:p>
            <w:pPr>
              <w:widowControl/>
              <w:spacing w:line="400" w:lineRule="exact"/>
              <w:jc w:val="center"/>
              <w:textAlignment w:val="center"/>
              <w:rPr>
                <w:rFonts w:ascii="宋体" w:hAnsi="宋体" w:eastAsia="宋体" w:cs="宋体"/>
                <w:sz w:val="24"/>
                <w:szCs w:val="24"/>
                <w:highlight w:val="none"/>
              </w:rPr>
            </w:pPr>
            <w:r>
              <w:rPr>
                <w:rFonts w:hint="eastAsia" w:ascii="宋体" w:hAnsi="宋体" w:eastAsia="宋体" w:cs="宋体"/>
                <w:kern w:val="0"/>
                <w:sz w:val="24"/>
                <w:szCs w:val="24"/>
                <w:highlight w:val="none"/>
              </w:rPr>
              <w:t>合计：100分</w:t>
            </w:r>
          </w:p>
        </w:tc>
      </w:tr>
    </w:tbl>
    <w:p>
      <w:pPr>
        <w:pStyle w:val="4"/>
        <w:rPr>
          <w:rFonts w:ascii="宋体" w:hAnsi="宋体" w:eastAsia="宋体" w:cs="宋体"/>
          <w:b/>
          <w:sz w:val="24"/>
          <w:szCs w:val="24"/>
          <w:highlight w:val="none"/>
        </w:rPr>
      </w:pPr>
    </w:p>
    <w:p>
      <w:pPr>
        <w:pStyle w:val="4"/>
        <w:rPr>
          <w:rFonts w:ascii="宋体" w:hAnsi="宋体" w:eastAsia="宋体" w:cs="宋体"/>
          <w:b/>
          <w:sz w:val="24"/>
          <w:szCs w:val="24"/>
          <w:highlight w:val="none"/>
        </w:rPr>
      </w:pPr>
    </w:p>
    <w:p>
      <w:pPr>
        <w:pStyle w:val="4"/>
        <w:rPr>
          <w:rFonts w:ascii="宋体" w:hAnsi="宋体" w:eastAsia="宋体" w:cs="宋体"/>
          <w:b/>
          <w:sz w:val="24"/>
          <w:szCs w:val="24"/>
          <w:highlight w:val="none"/>
        </w:rPr>
      </w:pPr>
    </w:p>
    <w:p>
      <w:pPr>
        <w:pStyle w:val="4"/>
        <w:rPr>
          <w:rFonts w:ascii="宋体" w:hAnsi="宋体" w:eastAsia="宋体" w:cs="宋体"/>
          <w:b/>
          <w:sz w:val="24"/>
          <w:szCs w:val="24"/>
          <w:highlight w:val="none"/>
        </w:rPr>
      </w:pPr>
    </w:p>
    <w:p>
      <w:pPr>
        <w:pStyle w:val="4"/>
        <w:rPr>
          <w:rFonts w:ascii="宋体" w:hAnsi="宋体" w:eastAsia="宋体" w:cs="宋体"/>
          <w:b/>
          <w:sz w:val="24"/>
          <w:szCs w:val="24"/>
          <w:highlight w:val="none"/>
        </w:rPr>
      </w:pPr>
    </w:p>
    <w:p>
      <w:pPr>
        <w:pStyle w:val="4"/>
        <w:rPr>
          <w:rFonts w:ascii="宋体" w:hAnsi="宋体" w:eastAsia="宋体" w:cs="宋体"/>
          <w:b/>
          <w:sz w:val="24"/>
          <w:szCs w:val="24"/>
          <w:highlight w:val="none"/>
        </w:rPr>
      </w:pPr>
    </w:p>
    <w:p>
      <w:pPr>
        <w:pStyle w:val="4"/>
        <w:rPr>
          <w:rFonts w:ascii="宋体" w:hAnsi="宋体" w:eastAsia="宋体" w:cs="宋体"/>
          <w:b/>
          <w:sz w:val="24"/>
          <w:szCs w:val="24"/>
          <w:highlight w:val="none"/>
        </w:rPr>
      </w:pPr>
    </w:p>
    <w:p>
      <w:pPr>
        <w:pStyle w:val="4"/>
        <w:rPr>
          <w:rFonts w:ascii="宋体" w:hAnsi="宋体" w:eastAsia="宋体" w:cs="宋体"/>
          <w:b/>
          <w:sz w:val="24"/>
          <w:szCs w:val="24"/>
          <w:highlight w:val="none"/>
        </w:rPr>
      </w:pPr>
    </w:p>
    <w:p>
      <w:pPr>
        <w:pStyle w:val="4"/>
        <w:rPr>
          <w:rFonts w:ascii="宋体" w:hAnsi="宋体" w:eastAsia="宋体" w:cs="宋体"/>
          <w:b/>
          <w:sz w:val="24"/>
          <w:szCs w:val="24"/>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rFonts w:hint="eastAsia"/>
          <w:highlight w:val="none"/>
        </w:rPr>
      </w:pPr>
    </w:p>
    <w:p>
      <w:pPr>
        <w:pStyle w:val="4"/>
        <w:rPr>
          <w:rFonts w:ascii="宋体" w:hAnsi="宋体" w:eastAsia="宋体" w:cs="宋体"/>
          <w:b/>
          <w:sz w:val="24"/>
          <w:szCs w:val="24"/>
          <w:highlight w:val="none"/>
        </w:rPr>
      </w:pPr>
    </w:p>
    <w:p>
      <w:pPr>
        <w:pStyle w:val="4"/>
        <w:rPr>
          <w:rFonts w:ascii="宋体" w:hAnsi="宋体" w:eastAsia="宋体" w:cs="宋体"/>
          <w:b/>
          <w:sz w:val="24"/>
          <w:szCs w:val="24"/>
          <w:highlight w:val="none"/>
        </w:rPr>
      </w:pPr>
      <w:r>
        <w:rPr>
          <w:rFonts w:hint="eastAsia" w:ascii="宋体" w:hAnsi="宋体" w:eastAsia="宋体" w:cs="宋体"/>
          <w:b/>
          <w:sz w:val="24"/>
          <w:szCs w:val="24"/>
          <w:highlight w:val="none"/>
        </w:rPr>
        <w:t>第</w:t>
      </w:r>
      <w:r>
        <w:rPr>
          <w:rFonts w:hint="eastAsia" w:ascii="宋体" w:hAnsi="宋体" w:eastAsia="宋体" w:cs="宋体"/>
          <w:b/>
          <w:sz w:val="24"/>
          <w:szCs w:val="24"/>
          <w:highlight w:val="none"/>
          <w:lang w:val="en-US" w:eastAsia="zh-CN"/>
        </w:rPr>
        <w:t>十二</w:t>
      </w:r>
      <w:r>
        <w:rPr>
          <w:rFonts w:hint="eastAsia" w:ascii="宋体" w:hAnsi="宋体" w:eastAsia="宋体" w:cs="宋体"/>
          <w:b/>
          <w:sz w:val="24"/>
          <w:szCs w:val="24"/>
          <w:highlight w:val="none"/>
        </w:rPr>
        <w:t>包评分标准：</w:t>
      </w:r>
    </w:p>
    <w:tbl>
      <w:tblPr>
        <w:tblStyle w:val="38"/>
        <w:tblW w:w="91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5954"/>
        <w:gridCol w:w="6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宋体" w:hAnsi="宋体" w:eastAsia="宋体" w:cs="宋体"/>
                <w:b/>
                <w:sz w:val="24"/>
                <w:szCs w:val="24"/>
                <w:highlight w:val="none"/>
              </w:rPr>
            </w:pPr>
            <w:r>
              <w:rPr>
                <w:rFonts w:hint="eastAsia" w:ascii="宋体" w:hAnsi="宋体" w:eastAsia="宋体" w:cs="宋体"/>
                <w:b/>
                <w:kern w:val="0"/>
                <w:sz w:val="24"/>
                <w:szCs w:val="24"/>
                <w:highlight w:val="none"/>
              </w:rPr>
              <w:t>评分因素及权重</w:t>
            </w:r>
          </w:p>
        </w:tc>
        <w:tc>
          <w:tcPr>
            <w:tcW w:w="1371" w:type="dxa"/>
            <w:tcMar>
              <w:top w:w="15" w:type="dxa"/>
              <w:left w:w="15" w:type="dxa"/>
              <w:right w:w="15" w:type="dxa"/>
            </w:tcMar>
            <w:vAlign w:val="center"/>
          </w:tcPr>
          <w:p>
            <w:pPr>
              <w:widowControl/>
              <w:spacing w:line="400" w:lineRule="exact"/>
              <w:jc w:val="center"/>
              <w:textAlignment w:val="center"/>
              <w:rPr>
                <w:rFonts w:ascii="宋体" w:hAnsi="宋体" w:eastAsia="宋体" w:cs="宋体"/>
                <w:b/>
                <w:sz w:val="24"/>
                <w:szCs w:val="24"/>
                <w:highlight w:val="none"/>
              </w:rPr>
            </w:pPr>
            <w:r>
              <w:rPr>
                <w:rFonts w:hint="eastAsia" w:ascii="宋体" w:hAnsi="宋体" w:eastAsia="宋体" w:cs="宋体"/>
                <w:b/>
                <w:kern w:val="0"/>
                <w:sz w:val="24"/>
                <w:szCs w:val="24"/>
                <w:highlight w:val="none"/>
              </w:rPr>
              <w:t>评标因素</w:t>
            </w:r>
          </w:p>
        </w:tc>
        <w:tc>
          <w:tcPr>
            <w:tcW w:w="5954" w:type="dxa"/>
            <w:tcMar>
              <w:top w:w="15" w:type="dxa"/>
              <w:left w:w="15" w:type="dxa"/>
              <w:right w:w="15" w:type="dxa"/>
            </w:tcMar>
            <w:vAlign w:val="center"/>
          </w:tcPr>
          <w:p>
            <w:pPr>
              <w:widowControl/>
              <w:spacing w:line="400" w:lineRule="exact"/>
              <w:jc w:val="center"/>
              <w:textAlignment w:val="center"/>
              <w:rPr>
                <w:rFonts w:ascii="宋体" w:hAnsi="宋体" w:eastAsia="宋体" w:cs="宋体"/>
                <w:b/>
                <w:sz w:val="24"/>
                <w:szCs w:val="24"/>
                <w:highlight w:val="none"/>
              </w:rPr>
            </w:pPr>
            <w:r>
              <w:rPr>
                <w:rFonts w:hint="eastAsia" w:ascii="宋体" w:hAnsi="宋体" w:eastAsia="宋体" w:cs="宋体"/>
                <w:b/>
                <w:kern w:val="0"/>
                <w:sz w:val="24"/>
                <w:szCs w:val="24"/>
                <w:highlight w:val="none"/>
              </w:rPr>
              <w:t>评分标准</w:t>
            </w:r>
          </w:p>
        </w:tc>
        <w:tc>
          <w:tcPr>
            <w:tcW w:w="687" w:type="dxa"/>
            <w:tcMar>
              <w:top w:w="15" w:type="dxa"/>
              <w:left w:w="15" w:type="dxa"/>
              <w:right w:w="15" w:type="dxa"/>
            </w:tcMar>
            <w:vAlign w:val="center"/>
          </w:tcPr>
          <w:p>
            <w:pPr>
              <w:widowControl/>
              <w:spacing w:line="400" w:lineRule="exact"/>
              <w:jc w:val="center"/>
              <w:textAlignment w:val="center"/>
              <w:rPr>
                <w:rFonts w:ascii="宋体" w:hAnsi="宋体" w:eastAsia="宋体" w:cs="宋体"/>
                <w:b/>
                <w:sz w:val="24"/>
                <w:szCs w:val="24"/>
                <w:highlight w:val="none"/>
              </w:rPr>
            </w:pPr>
            <w:r>
              <w:rPr>
                <w:rFonts w:hint="eastAsia" w:ascii="宋体" w:hAnsi="宋体" w:eastAsia="宋体" w:cs="宋体"/>
                <w:b/>
                <w:kern w:val="0"/>
                <w:sz w:val="24"/>
                <w:szCs w:val="24"/>
                <w:highlight w:val="none"/>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宋体" w:hAnsi="宋体" w:eastAsia="宋体" w:cs="宋体"/>
                <w:sz w:val="24"/>
                <w:szCs w:val="24"/>
                <w:highlight w:val="none"/>
              </w:rPr>
            </w:pPr>
            <w:r>
              <w:rPr>
                <w:rFonts w:hint="eastAsia" w:ascii="宋体" w:hAnsi="宋体" w:eastAsia="宋体" w:cs="宋体"/>
                <w:kern w:val="0"/>
                <w:sz w:val="24"/>
                <w:szCs w:val="24"/>
                <w:highlight w:val="none"/>
              </w:rPr>
              <w:t>价格部分（30分）</w:t>
            </w:r>
          </w:p>
        </w:tc>
        <w:tc>
          <w:tcPr>
            <w:tcW w:w="1371" w:type="dxa"/>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投标</w:t>
            </w:r>
          </w:p>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报价</w:t>
            </w:r>
          </w:p>
        </w:tc>
        <w:tc>
          <w:tcPr>
            <w:tcW w:w="5954" w:type="dxa"/>
            <w:tcMar>
              <w:top w:w="15" w:type="dxa"/>
              <w:left w:w="15" w:type="dxa"/>
              <w:right w:w="15" w:type="dxa"/>
            </w:tcMar>
            <w:vAlign w:val="center"/>
          </w:tcPr>
          <w:p>
            <w:pPr>
              <w:widowControl/>
              <w:spacing w:line="400" w:lineRule="exact"/>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综合评分法中的价格分统一采用低价优先法计算，即满足招标文件要求且投标价格最低的投标报价为评标基准价，其价格分为满分30分，其它投标报价得分=评标基准价/投标报价*30</w:t>
            </w:r>
          </w:p>
        </w:tc>
        <w:tc>
          <w:tcPr>
            <w:tcW w:w="687" w:type="dxa"/>
            <w:tcMar>
              <w:top w:w="15" w:type="dxa"/>
              <w:left w:w="15" w:type="dxa"/>
              <w:right w:w="15" w:type="dxa"/>
            </w:tcMar>
            <w:vAlign w:val="center"/>
          </w:tcPr>
          <w:p>
            <w:pPr>
              <w:widowControl/>
              <w:spacing w:line="400" w:lineRule="exact"/>
              <w:jc w:val="center"/>
              <w:textAlignment w:val="center"/>
              <w:rPr>
                <w:rFonts w:ascii="宋体" w:hAnsi="宋体" w:eastAsia="宋体" w:cs="宋体"/>
                <w:sz w:val="24"/>
                <w:szCs w:val="24"/>
                <w:highlight w:val="none"/>
              </w:rPr>
            </w:pPr>
            <w:r>
              <w:rPr>
                <w:rFonts w:hint="eastAsia" w:ascii="宋体" w:hAnsi="宋体" w:eastAsia="宋体" w:cs="宋体"/>
                <w:kern w:val="0"/>
                <w:sz w:val="24"/>
                <w:szCs w:val="24"/>
                <w:highlight w:val="none"/>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sz w:val="24"/>
                <w:szCs w:val="24"/>
                <w:highlight w:val="none"/>
              </w:rPr>
            </w:pPr>
            <w:r>
              <w:rPr>
                <w:rFonts w:hint="eastAsia" w:ascii="宋体" w:hAnsi="宋体" w:eastAsia="宋体" w:cs="宋体"/>
                <w:kern w:val="0"/>
                <w:sz w:val="24"/>
                <w:szCs w:val="24"/>
                <w:highlight w:val="none"/>
              </w:rPr>
              <w:t>技术和商务部分（ 70分）</w:t>
            </w:r>
          </w:p>
        </w:tc>
        <w:tc>
          <w:tcPr>
            <w:tcW w:w="1371" w:type="dxa"/>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技术要求</w:t>
            </w:r>
          </w:p>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响应评价</w:t>
            </w:r>
          </w:p>
        </w:tc>
        <w:tc>
          <w:tcPr>
            <w:tcW w:w="5954" w:type="dxa"/>
            <w:tcMar>
              <w:top w:w="15" w:type="dxa"/>
              <w:left w:w="15" w:type="dxa"/>
              <w:right w:w="15" w:type="dxa"/>
            </w:tcMar>
            <w:vAlign w:val="center"/>
          </w:tcPr>
          <w:p>
            <w:pPr>
              <w:widowControl/>
              <w:spacing w:line="400" w:lineRule="exact"/>
              <w:ind w:firstLine="480" w:firstLineChars="200"/>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对照“项目需求”技术参数（每条技术参数前标注“▲”的为主要技术参数，未标注的为一般参数），根据投标人提供的产品配置及技术性能指标的响应情况进行评审。</w:t>
            </w:r>
          </w:p>
          <w:p>
            <w:pPr>
              <w:widowControl/>
              <w:spacing w:line="400" w:lineRule="exact"/>
              <w:ind w:firstLine="480" w:firstLineChars="200"/>
              <w:textAlignment w:val="center"/>
              <w:rPr>
                <w:rFonts w:ascii="宋体" w:hAnsi="宋体" w:eastAsia="宋体" w:cs="宋体"/>
                <w:sz w:val="24"/>
                <w:szCs w:val="24"/>
                <w:highlight w:val="none"/>
              </w:rPr>
            </w:pPr>
            <w:r>
              <w:rPr>
                <w:rFonts w:hint="eastAsia" w:ascii="宋体" w:hAnsi="宋体" w:eastAsia="宋体" w:cs="宋体"/>
                <w:sz w:val="24"/>
                <w:szCs w:val="24"/>
                <w:highlight w:val="none"/>
              </w:rPr>
              <w:t>1.投标人所投产品技术参数完全响应招标文件要求的，得</w:t>
            </w:r>
            <w:r>
              <w:rPr>
                <w:rFonts w:hint="eastAsia" w:ascii="宋体" w:hAnsi="宋体" w:eastAsia="宋体" w:cs="宋体"/>
                <w:sz w:val="24"/>
                <w:szCs w:val="24"/>
                <w:highlight w:val="none"/>
                <w:lang w:val="en-US" w:eastAsia="zh-CN"/>
              </w:rPr>
              <w:t>30</w:t>
            </w:r>
            <w:r>
              <w:rPr>
                <w:rFonts w:hint="eastAsia" w:ascii="宋体" w:hAnsi="宋体" w:eastAsia="宋体" w:cs="宋体"/>
                <w:sz w:val="24"/>
                <w:szCs w:val="24"/>
                <w:highlight w:val="none"/>
              </w:rPr>
              <w:t>分；</w:t>
            </w:r>
          </w:p>
          <w:p>
            <w:pPr>
              <w:pStyle w:val="30"/>
              <w:ind w:firstLine="480" w:firstLineChars="200"/>
              <w:rPr>
                <w:rFonts w:ascii="宋体" w:hAnsi="宋体" w:eastAsia="宋体" w:cs="宋体"/>
                <w:sz w:val="24"/>
                <w:szCs w:val="24"/>
                <w:highlight w:val="none"/>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.主要技术参数存在负偏离的（</w:t>
            </w:r>
            <w:r>
              <w:rPr>
                <w:rFonts w:hint="eastAsia" w:ascii="宋体" w:hAnsi="宋体" w:eastAsia="宋体" w:cs="宋体"/>
                <w:sz w:val="24"/>
                <w:szCs w:val="24"/>
                <w:highlight w:val="none"/>
                <w:lang w:val="en-US" w:eastAsia="zh-CN"/>
              </w:rPr>
              <w:t>共1</w:t>
            </w:r>
            <w:r>
              <w:rPr>
                <w:rFonts w:hint="eastAsia" w:ascii="宋体" w:hAnsi="宋体" w:eastAsia="宋体" w:cs="宋体"/>
                <w:sz w:val="24"/>
                <w:szCs w:val="24"/>
                <w:highlight w:val="none"/>
              </w:rPr>
              <w:t>条），每一条扣</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分，最多扣</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分；</w:t>
            </w:r>
          </w:p>
          <w:p>
            <w:pPr>
              <w:pStyle w:val="30"/>
              <w:ind w:firstLine="480" w:firstLineChars="200"/>
              <w:rPr>
                <w:rFonts w:ascii="宋体" w:hAnsi="宋体" w:eastAsia="宋体" w:cs="宋体"/>
                <w:kern w:val="0"/>
                <w:sz w:val="24"/>
                <w:szCs w:val="24"/>
                <w:highlight w:val="none"/>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w:t>
            </w:r>
            <w:r>
              <w:rPr>
                <w:rFonts w:hint="eastAsia" w:ascii="宋体" w:hAnsi="宋体" w:eastAsia="宋体" w:cs="宋体"/>
                <w:kern w:val="0"/>
                <w:sz w:val="24"/>
                <w:szCs w:val="24"/>
                <w:highlight w:val="none"/>
              </w:rPr>
              <w:t>一般技术参数存在负偏离的（</w:t>
            </w:r>
            <w:r>
              <w:rPr>
                <w:rFonts w:hint="eastAsia" w:ascii="宋体" w:hAnsi="宋体" w:eastAsia="宋体" w:cs="宋体"/>
                <w:sz w:val="24"/>
                <w:szCs w:val="24"/>
                <w:highlight w:val="none"/>
                <w:lang w:val="en-US" w:eastAsia="zh-CN"/>
              </w:rPr>
              <w:t>共</w:t>
            </w:r>
            <w:r>
              <w:rPr>
                <w:rFonts w:hint="eastAsia" w:ascii="宋体" w:hAnsi="宋体" w:eastAsia="宋体" w:cs="宋体"/>
                <w:kern w:val="0"/>
                <w:sz w:val="24"/>
                <w:szCs w:val="24"/>
                <w:highlight w:val="none"/>
                <w:lang w:val="en-US" w:eastAsia="zh-CN"/>
              </w:rPr>
              <w:t>4</w:t>
            </w:r>
            <w:r>
              <w:rPr>
                <w:rFonts w:hint="eastAsia" w:ascii="宋体" w:hAnsi="宋体" w:eastAsia="宋体" w:cs="宋体"/>
                <w:kern w:val="0"/>
                <w:sz w:val="24"/>
                <w:szCs w:val="24"/>
                <w:highlight w:val="none"/>
              </w:rPr>
              <w:t>条），每一条扣</w:t>
            </w:r>
            <w:r>
              <w:rPr>
                <w:rFonts w:hint="eastAsia" w:ascii="宋体" w:hAnsi="宋体" w:eastAsia="宋体" w:cs="宋体"/>
                <w:kern w:val="0"/>
                <w:sz w:val="24"/>
                <w:szCs w:val="24"/>
                <w:highlight w:val="none"/>
                <w:lang w:val="en-US" w:eastAsia="zh-CN"/>
              </w:rPr>
              <w:t>5</w:t>
            </w:r>
            <w:r>
              <w:rPr>
                <w:rFonts w:hint="eastAsia" w:ascii="宋体" w:hAnsi="宋体" w:eastAsia="宋体" w:cs="宋体"/>
                <w:kern w:val="0"/>
                <w:sz w:val="24"/>
                <w:szCs w:val="24"/>
                <w:highlight w:val="none"/>
              </w:rPr>
              <w:t>分，最多扣</w:t>
            </w:r>
            <w:r>
              <w:rPr>
                <w:rFonts w:hint="eastAsia" w:ascii="宋体" w:hAnsi="宋体" w:eastAsia="宋体" w:cs="宋体"/>
                <w:kern w:val="0"/>
                <w:sz w:val="24"/>
                <w:szCs w:val="24"/>
                <w:highlight w:val="none"/>
                <w:lang w:val="en-US" w:eastAsia="zh-CN"/>
              </w:rPr>
              <w:t>20</w:t>
            </w:r>
            <w:r>
              <w:rPr>
                <w:rFonts w:hint="eastAsia" w:ascii="宋体" w:hAnsi="宋体" w:eastAsia="宋体" w:cs="宋体"/>
                <w:kern w:val="0"/>
                <w:sz w:val="24"/>
                <w:szCs w:val="24"/>
                <w:highlight w:val="none"/>
              </w:rPr>
              <w:t>分。</w:t>
            </w:r>
          </w:p>
          <w:p>
            <w:pPr>
              <w:widowControl/>
              <w:spacing w:line="400" w:lineRule="exact"/>
              <w:ind w:firstLine="482" w:firstLineChars="200"/>
              <w:textAlignment w:val="center"/>
              <w:rPr>
                <w:rFonts w:eastAsia="宋体"/>
                <w:highlight w:val="none"/>
              </w:rPr>
            </w:pPr>
            <w:r>
              <w:rPr>
                <w:b/>
                <w:bCs/>
                <w:sz w:val="24"/>
                <w:szCs w:val="24"/>
                <w:highlight w:val="none"/>
              </w:rPr>
              <w:t>注：负偏离评审依据：</w:t>
            </w:r>
            <w:r>
              <w:rPr>
                <w:rFonts w:hint="eastAsia"/>
                <w:b/>
                <w:bCs/>
                <w:sz w:val="24"/>
                <w:szCs w:val="24"/>
                <w:highlight w:val="none"/>
              </w:rPr>
              <w:t>①</w:t>
            </w:r>
            <w:r>
              <w:rPr>
                <w:b/>
                <w:bCs/>
                <w:sz w:val="24"/>
                <w:szCs w:val="24"/>
                <w:highlight w:val="none"/>
              </w:rPr>
              <w:t>所</w:t>
            </w:r>
            <w:r>
              <w:rPr>
                <w:rFonts w:hint="eastAsia"/>
                <w:b/>
                <w:bCs/>
                <w:sz w:val="24"/>
                <w:szCs w:val="24"/>
                <w:highlight w:val="none"/>
              </w:rPr>
              <w:t>提供</w:t>
            </w:r>
            <w:r>
              <w:rPr>
                <w:b/>
                <w:bCs/>
                <w:sz w:val="24"/>
                <w:szCs w:val="24"/>
                <w:highlight w:val="none"/>
              </w:rPr>
              <w:t>产品技术参数低于</w:t>
            </w:r>
            <w:r>
              <w:rPr>
                <w:rFonts w:hint="eastAsia"/>
                <w:b/>
                <w:bCs/>
                <w:sz w:val="24"/>
                <w:szCs w:val="24"/>
                <w:highlight w:val="none"/>
              </w:rPr>
              <w:t>招标</w:t>
            </w:r>
            <w:r>
              <w:rPr>
                <w:b/>
                <w:bCs/>
                <w:sz w:val="24"/>
                <w:szCs w:val="24"/>
                <w:highlight w:val="none"/>
              </w:rPr>
              <w:t>文件要求的，视为负偏离；</w:t>
            </w:r>
            <w:r>
              <w:rPr>
                <w:rFonts w:hint="eastAsia"/>
                <w:b/>
                <w:bCs/>
                <w:sz w:val="24"/>
                <w:szCs w:val="24"/>
                <w:highlight w:val="none"/>
              </w:rPr>
              <w:t>②</w:t>
            </w:r>
            <w:r>
              <w:rPr>
                <w:b/>
                <w:bCs/>
                <w:sz w:val="24"/>
                <w:szCs w:val="24"/>
                <w:highlight w:val="none"/>
              </w:rPr>
              <w:t>技术参数响应条款</w:t>
            </w:r>
            <w:r>
              <w:rPr>
                <w:rFonts w:hint="eastAsia"/>
                <w:b/>
                <w:bCs/>
                <w:sz w:val="24"/>
                <w:szCs w:val="24"/>
                <w:highlight w:val="none"/>
              </w:rPr>
              <w:t>（以投标文件内技术偏离表为准）</w:t>
            </w:r>
            <w:r>
              <w:rPr>
                <w:b/>
                <w:bCs/>
                <w:sz w:val="24"/>
                <w:szCs w:val="24"/>
                <w:highlight w:val="none"/>
              </w:rPr>
              <w:t>与</w:t>
            </w:r>
            <w:r>
              <w:rPr>
                <w:rFonts w:hint="eastAsia"/>
                <w:b/>
                <w:bCs/>
                <w:sz w:val="24"/>
                <w:szCs w:val="24"/>
                <w:highlight w:val="none"/>
              </w:rPr>
              <w:t>招标</w:t>
            </w:r>
            <w:r>
              <w:rPr>
                <w:b/>
                <w:bCs/>
                <w:sz w:val="24"/>
                <w:szCs w:val="24"/>
                <w:highlight w:val="none"/>
              </w:rPr>
              <w:t>文件对比有缺项、漏项的，视为负偏离；</w:t>
            </w:r>
            <w:r>
              <w:rPr>
                <w:rFonts w:hint="eastAsia"/>
                <w:b/>
                <w:bCs/>
                <w:sz w:val="24"/>
                <w:szCs w:val="24"/>
                <w:highlight w:val="none"/>
              </w:rPr>
              <w:t>③投标文件内技术偏离表完全复制招标文件技术参数的（不涉及具体参数指标的描述性技术要求除外），视为负偏离；④投标人</w:t>
            </w:r>
            <w:r>
              <w:rPr>
                <w:b/>
                <w:bCs/>
                <w:sz w:val="24"/>
                <w:szCs w:val="24"/>
                <w:highlight w:val="none"/>
              </w:rPr>
              <w:t>提供的</w:t>
            </w:r>
            <w:r>
              <w:rPr>
                <w:rFonts w:hint="eastAsia"/>
                <w:b/>
                <w:bCs/>
                <w:sz w:val="24"/>
                <w:szCs w:val="24"/>
                <w:highlight w:val="none"/>
              </w:rPr>
              <w:t>投标</w:t>
            </w:r>
            <w:r>
              <w:rPr>
                <w:b/>
                <w:bCs/>
                <w:sz w:val="24"/>
                <w:szCs w:val="24"/>
                <w:highlight w:val="none"/>
              </w:rPr>
              <w:t>文件中产品技术偏离表、产品技术规格书和产品检测报告内描述的同一产品技术参数响应值不一致的，视为负偏离</w:t>
            </w:r>
            <w:r>
              <w:rPr>
                <w:rFonts w:hint="eastAsia"/>
                <w:b/>
                <w:bCs/>
                <w:sz w:val="24"/>
                <w:szCs w:val="24"/>
                <w:highlight w:val="none"/>
              </w:rPr>
              <w:t>。</w:t>
            </w:r>
          </w:p>
        </w:tc>
        <w:tc>
          <w:tcPr>
            <w:tcW w:w="687" w:type="dxa"/>
            <w:tcMar>
              <w:top w:w="15" w:type="dxa"/>
              <w:left w:w="15" w:type="dxa"/>
              <w:right w:w="15" w:type="dxa"/>
            </w:tcMar>
            <w:vAlign w:val="center"/>
          </w:tcPr>
          <w:p>
            <w:pPr>
              <w:widowControl/>
              <w:spacing w:line="400" w:lineRule="exact"/>
              <w:jc w:val="center"/>
              <w:textAlignment w:val="center"/>
              <w:rPr>
                <w:rFonts w:hint="default"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r>
              <w:rPr>
                <w:sz w:val="24"/>
                <w:szCs w:val="24"/>
                <w:highlight w:val="none"/>
              </w:rPr>
              <w:t>业绩证明</w:t>
            </w:r>
          </w:p>
        </w:tc>
        <w:tc>
          <w:tcPr>
            <w:tcW w:w="5954" w:type="dxa"/>
            <w:tcMar>
              <w:top w:w="15" w:type="dxa"/>
              <w:left w:w="15" w:type="dxa"/>
              <w:right w:w="15" w:type="dxa"/>
            </w:tcMar>
            <w:vAlign w:val="center"/>
          </w:tcPr>
          <w:p>
            <w:pPr>
              <w:widowControl/>
              <w:spacing w:line="400" w:lineRule="exact"/>
              <w:ind w:firstLine="480" w:firstLineChars="200"/>
              <w:rPr>
                <w:sz w:val="24"/>
                <w:szCs w:val="24"/>
                <w:highlight w:val="none"/>
              </w:rPr>
            </w:pPr>
            <w:r>
              <w:rPr>
                <w:rFonts w:hint="eastAsia"/>
                <w:sz w:val="24"/>
                <w:szCs w:val="24"/>
                <w:highlight w:val="none"/>
                <w:lang w:eastAsia="zh-CN"/>
              </w:rPr>
              <w:t>投标人</w:t>
            </w:r>
            <w:r>
              <w:rPr>
                <w:rFonts w:hint="eastAsia"/>
                <w:sz w:val="24"/>
                <w:szCs w:val="24"/>
                <w:highlight w:val="none"/>
              </w:rPr>
              <w:t>近三年内（</w:t>
            </w:r>
            <w:r>
              <w:rPr>
                <w:sz w:val="24"/>
                <w:szCs w:val="24"/>
                <w:highlight w:val="none"/>
              </w:rPr>
              <w:t>2021</w:t>
            </w:r>
            <w:r>
              <w:rPr>
                <w:rFonts w:hint="eastAsia"/>
                <w:sz w:val="24"/>
                <w:szCs w:val="24"/>
                <w:highlight w:val="none"/>
              </w:rPr>
              <w:t>年0</w:t>
            </w:r>
            <w:r>
              <w:rPr>
                <w:sz w:val="24"/>
                <w:szCs w:val="24"/>
                <w:highlight w:val="none"/>
              </w:rPr>
              <w:t>3</w:t>
            </w:r>
            <w:r>
              <w:rPr>
                <w:rFonts w:hint="eastAsia"/>
                <w:sz w:val="24"/>
                <w:szCs w:val="24"/>
                <w:highlight w:val="none"/>
              </w:rPr>
              <w:t>月0</w:t>
            </w:r>
            <w:r>
              <w:rPr>
                <w:sz w:val="24"/>
                <w:szCs w:val="24"/>
                <w:highlight w:val="none"/>
              </w:rPr>
              <w:t>1</w:t>
            </w:r>
            <w:r>
              <w:rPr>
                <w:rFonts w:hint="eastAsia"/>
                <w:sz w:val="24"/>
                <w:szCs w:val="24"/>
                <w:highlight w:val="none"/>
              </w:rPr>
              <w:t>日起至今，以合同签订日期为准）完成类似项目的业绩，每个项目业绩得</w:t>
            </w:r>
            <w:r>
              <w:rPr>
                <w:sz w:val="24"/>
                <w:szCs w:val="24"/>
                <w:highlight w:val="none"/>
              </w:rPr>
              <w:t>2</w:t>
            </w:r>
            <w:r>
              <w:rPr>
                <w:rFonts w:hint="eastAsia"/>
                <w:sz w:val="24"/>
                <w:szCs w:val="24"/>
                <w:highlight w:val="none"/>
              </w:rPr>
              <w:t>分，最多得</w:t>
            </w:r>
            <w:r>
              <w:rPr>
                <w:sz w:val="24"/>
                <w:szCs w:val="24"/>
                <w:highlight w:val="none"/>
              </w:rPr>
              <w:t>4</w:t>
            </w:r>
            <w:r>
              <w:rPr>
                <w:rFonts w:hint="eastAsia"/>
                <w:sz w:val="24"/>
                <w:szCs w:val="24"/>
                <w:highlight w:val="none"/>
              </w:rPr>
              <w:t>分。</w:t>
            </w:r>
          </w:p>
          <w:p>
            <w:pPr>
              <w:widowControl/>
              <w:spacing w:line="400" w:lineRule="exact"/>
              <w:ind w:firstLine="482" w:firstLineChars="200"/>
              <w:textAlignment w:val="center"/>
              <w:rPr>
                <w:b/>
                <w:bCs/>
                <w:sz w:val="24"/>
                <w:szCs w:val="24"/>
                <w:highlight w:val="none"/>
              </w:rPr>
            </w:pPr>
            <w:r>
              <w:rPr>
                <w:rFonts w:hint="eastAsia"/>
                <w:b/>
                <w:bCs/>
                <w:sz w:val="24"/>
                <w:szCs w:val="24"/>
                <w:highlight w:val="none"/>
              </w:rPr>
              <w:t>注：①提供中标（成交）通知书和合同复印件，未按要求提供不得分；②同一单位近三年的类似合同不重复计算业绩，仅算一个业绩。</w:t>
            </w:r>
          </w:p>
        </w:tc>
        <w:tc>
          <w:tcPr>
            <w:tcW w:w="687" w:type="dxa"/>
            <w:tcMar>
              <w:top w:w="15" w:type="dxa"/>
              <w:left w:w="15" w:type="dxa"/>
              <w:right w:w="15" w:type="dxa"/>
            </w:tcMar>
            <w:vAlign w:val="center"/>
          </w:tcPr>
          <w:p>
            <w:pPr>
              <w:widowControl/>
              <w:spacing w:line="400" w:lineRule="exact"/>
              <w:jc w:val="center"/>
              <w:textAlignment w:val="center"/>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val="en-US" w:eastAsia="zh-CN"/>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p>
        </w:tc>
        <w:tc>
          <w:tcPr>
            <w:tcW w:w="1371" w:type="dxa"/>
            <w:tcMar>
              <w:top w:w="15" w:type="dxa"/>
              <w:left w:w="15" w:type="dxa"/>
              <w:right w:w="15" w:type="dxa"/>
            </w:tcMar>
            <w:vAlign w:val="center"/>
          </w:tcPr>
          <w:p>
            <w:pPr>
              <w:snapToGrid w:val="0"/>
              <w:spacing w:line="40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项目组织</w:t>
            </w:r>
          </w:p>
          <w:p>
            <w:pPr>
              <w:widowControl/>
              <w:spacing w:line="400" w:lineRule="exact"/>
              <w:jc w:val="center"/>
              <w:textAlignment w:val="center"/>
              <w:rPr>
                <w:sz w:val="24"/>
                <w:szCs w:val="24"/>
                <w:highlight w:val="none"/>
              </w:rPr>
            </w:pPr>
            <w:r>
              <w:rPr>
                <w:rFonts w:hint="eastAsia" w:ascii="宋体" w:hAnsi="宋体" w:eastAsia="宋体" w:cs="宋体"/>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sz w:val="24"/>
                <w:szCs w:val="24"/>
                <w:highlight w:val="none"/>
              </w:rPr>
            </w:pPr>
            <w:r>
              <w:rPr>
                <w:rFonts w:hint="eastAsia"/>
                <w:sz w:val="24"/>
                <w:szCs w:val="24"/>
                <w:highlight w:val="none"/>
              </w:rPr>
              <w:t>根据</w:t>
            </w:r>
            <w:r>
              <w:rPr>
                <w:rFonts w:hint="eastAsia"/>
                <w:sz w:val="24"/>
                <w:szCs w:val="24"/>
                <w:highlight w:val="none"/>
                <w:lang w:eastAsia="zh-CN"/>
              </w:rPr>
              <w:t>投标人</w:t>
            </w:r>
            <w:r>
              <w:rPr>
                <w:rFonts w:hint="eastAsia"/>
                <w:sz w:val="24"/>
                <w:szCs w:val="24"/>
                <w:highlight w:val="none"/>
              </w:rPr>
              <w:t>提供的项目组织方案进行评分：</w:t>
            </w:r>
          </w:p>
          <w:p>
            <w:pPr>
              <w:widowControl/>
              <w:spacing w:line="400" w:lineRule="exact"/>
              <w:ind w:firstLine="480" w:firstLineChars="200"/>
              <w:rPr>
                <w:sz w:val="24"/>
                <w:szCs w:val="24"/>
                <w:highlight w:val="none"/>
              </w:rPr>
            </w:pPr>
            <w:r>
              <w:rPr>
                <w:rFonts w:hint="eastAsia"/>
                <w:sz w:val="24"/>
                <w:szCs w:val="24"/>
                <w:highlight w:val="none"/>
              </w:rPr>
              <w:t>项目组织方案包括但不限于：①</w:t>
            </w:r>
            <w:r>
              <w:rPr>
                <w:rFonts w:hint="eastAsia" w:ascii="宋体" w:hAnsi="宋体" w:eastAsia="宋体" w:cs="宋体"/>
                <w:sz w:val="24"/>
                <w:szCs w:val="24"/>
                <w:highlight w:val="none"/>
              </w:rPr>
              <w:t>项目人员安排（包含但不限于主要人员名单及基本情况介绍、在本项目中承担的职责等）、②供货方案（包含但不限于产品来源、供货计划、供货时间、包装和运输方式等）、③质量管控方案（包括但不限于质量管控的标准、方法和程序等）、④测试（调试）方案（包含但不限于人员安排、测试步骤、测试标准等）</w:t>
            </w:r>
            <w:r>
              <w:rPr>
                <w:sz w:val="24"/>
                <w:szCs w:val="24"/>
                <w:highlight w:val="none"/>
              </w:rPr>
              <w:t>等</w:t>
            </w:r>
            <w:r>
              <w:rPr>
                <w:rFonts w:hint="eastAsia"/>
                <w:sz w:val="24"/>
                <w:szCs w:val="24"/>
                <w:highlight w:val="none"/>
              </w:rPr>
              <w:t>4项内容，方案内容完整齐全，符合项目实际（</w:t>
            </w:r>
            <w:r>
              <w:rPr>
                <w:rFonts w:hint="eastAsia" w:ascii="宋体" w:hAnsi="宋体" w:eastAsia="宋体" w:cs="宋体"/>
                <w:sz w:val="24"/>
                <w:szCs w:val="24"/>
                <w:highlight w:val="none"/>
              </w:rPr>
              <w:t>第六章“项目需求”</w:t>
            </w:r>
            <w:r>
              <w:rPr>
                <w:rFonts w:hint="eastAsia"/>
                <w:sz w:val="24"/>
                <w:szCs w:val="24"/>
                <w:highlight w:val="none"/>
              </w:rPr>
              <w:t>）的，得</w:t>
            </w:r>
            <w:r>
              <w:rPr>
                <w:sz w:val="24"/>
                <w:szCs w:val="24"/>
                <w:highlight w:val="none"/>
              </w:rPr>
              <w:t>12</w:t>
            </w:r>
            <w:r>
              <w:rPr>
                <w:rFonts w:hint="eastAsia"/>
                <w:sz w:val="24"/>
                <w:szCs w:val="24"/>
                <w:highlight w:val="none"/>
              </w:rPr>
              <w:t>分；每缺少一项方案内容，或一项内容存在缺陷的，每一项扣</w:t>
            </w:r>
            <w:r>
              <w:rPr>
                <w:sz w:val="24"/>
                <w:szCs w:val="24"/>
                <w:highlight w:val="none"/>
              </w:rPr>
              <w:t>3</w:t>
            </w:r>
            <w:r>
              <w:rPr>
                <w:rFonts w:hint="eastAsia"/>
                <w:sz w:val="24"/>
                <w:szCs w:val="24"/>
                <w:highlight w:val="none"/>
              </w:rPr>
              <w:t>分，扣完为止；未提供项目组织方案的，此项不得分。</w:t>
            </w:r>
          </w:p>
          <w:p>
            <w:pPr>
              <w:widowControl/>
              <w:spacing w:line="400" w:lineRule="exact"/>
              <w:ind w:firstLine="482" w:firstLineChars="200"/>
              <w:rPr>
                <w:b/>
                <w:bCs/>
                <w:sz w:val="24"/>
                <w:szCs w:val="24"/>
                <w:highlight w:val="none"/>
              </w:rPr>
            </w:pPr>
            <w:r>
              <w:rPr>
                <w:rFonts w:hint="eastAsia"/>
                <w:b/>
                <w:bCs/>
                <w:sz w:val="24"/>
                <w:szCs w:val="24"/>
                <w:highlight w:val="none"/>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r>
              <w:rPr>
                <w:rFonts w:ascii="宋体" w:hAnsi="宋体" w:eastAsia="宋体" w:cs="宋体"/>
                <w:kern w:val="0"/>
                <w:sz w:val="24"/>
                <w:szCs w:val="24"/>
                <w:highlight w:val="none"/>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宋体" w:hAnsi="宋体" w:eastAsia="宋体" w:cs="宋体"/>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技术培训</w:t>
            </w:r>
          </w:p>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sz w:val="24"/>
                <w:szCs w:val="24"/>
                <w:highlight w:val="none"/>
              </w:rPr>
            </w:pPr>
            <w:r>
              <w:rPr>
                <w:rFonts w:hint="eastAsia"/>
                <w:sz w:val="24"/>
                <w:szCs w:val="24"/>
                <w:highlight w:val="none"/>
              </w:rPr>
              <w:t>根据</w:t>
            </w:r>
            <w:r>
              <w:rPr>
                <w:rFonts w:hint="eastAsia"/>
                <w:sz w:val="24"/>
                <w:szCs w:val="24"/>
                <w:highlight w:val="none"/>
                <w:lang w:eastAsia="zh-CN"/>
              </w:rPr>
              <w:t>投标人</w:t>
            </w:r>
            <w:r>
              <w:rPr>
                <w:rFonts w:hint="eastAsia"/>
                <w:sz w:val="24"/>
                <w:szCs w:val="24"/>
                <w:highlight w:val="none"/>
              </w:rPr>
              <w:t>提供的技术培训方案进行评分：</w:t>
            </w:r>
          </w:p>
          <w:p>
            <w:pPr>
              <w:widowControl/>
              <w:spacing w:line="400" w:lineRule="exact"/>
              <w:ind w:firstLine="480" w:firstLineChars="200"/>
              <w:rPr>
                <w:sz w:val="24"/>
                <w:szCs w:val="24"/>
                <w:highlight w:val="none"/>
              </w:rPr>
            </w:pPr>
            <w:r>
              <w:rPr>
                <w:rFonts w:hint="eastAsia"/>
                <w:sz w:val="24"/>
                <w:szCs w:val="24"/>
                <w:highlight w:val="none"/>
              </w:rPr>
              <w:t>技术培训方案包括但不限于</w:t>
            </w:r>
            <w:r>
              <w:rPr>
                <w:rFonts w:ascii="宋体" w:hAnsi="宋体" w:eastAsia="宋体" w:cs="宋体"/>
                <w:sz w:val="24"/>
                <w:szCs w:val="24"/>
                <w:highlight w:val="none"/>
              </w:rPr>
              <w:t>培训内容</w:t>
            </w:r>
            <w:r>
              <w:rPr>
                <w:rFonts w:hint="eastAsia" w:ascii="宋体" w:hAnsi="宋体" w:eastAsia="宋体" w:cs="宋体"/>
                <w:sz w:val="24"/>
                <w:szCs w:val="24"/>
                <w:highlight w:val="none"/>
              </w:rPr>
              <w:t>、</w:t>
            </w:r>
            <w:r>
              <w:rPr>
                <w:rFonts w:ascii="宋体" w:hAnsi="宋体" w:eastAsia="宋体" w:cs="宋体"/>
                <w:sz w:val="24"/>
                <w:szCs w:val="24"/>
                <w:highlight w:val="none"/>
              </w:rPr>
              <w:t>培训方式</w:t>
            </w:r>
            <w:r>
              <w:rPr>
                <w:rFonts w:hint="eastAsia" w:ascii="宋体" w:hAnsi="宋体" w:eastAsia="宋体" w:cs="宋体"/>
                <w:sz w:val="24"/>
                <w:szCs w:val="24"/>
                <w:highlight w:val="none"/>
              </w:rPr>
              <w:t>、</w:t>
            </w:r>
            <w:r>
              <w:rPr>
                <w:rFonts w:ascii="宋体" w:hAnsi="宋体" w:eastAsia="宋体" w:cs="宋体"/>
                <w:sz w:val="24"/>
                <w:szCs w:val="24"/>
                <w:highlight w:val="none"/>
              </w:rPr>
              <w:t>培训计划</w:t>
            </w:r>
            <w:r>
              <w:rPr>
                <w:rFonts w:hint="eastAsia" w:ascii="宋体" w:hAnsi="宋体" w:eastAsia="宋体" w:cs="宋体"/>
                <w:sz w:val="24"/>
                <w:szCs w:val="24"/>
                <w:highlight w:val="none"/>
              </w:rPr>
              <w:t>、</w:t>
            </w:r>
            <w:r>
              <w:rPr>
                <w:rFonts w:ascii="宋体" w:hAnsi="宋体" w:eastAsia="宋体" w:cs="宋体"/>
                <w:sz w:val="24"/>
                <w:szCs w:val="24"/>
                <w:highlight w:val="none"/>
              </w:rPr>
              <w:t>培训团队人员配置</w:t>
            </w:r>
            <w:r>
              <w:rPr>
                <w:sz w:val="24"/>
                <w:szCs w:val="24"/>
                <w:highlight w:val="none"/>
              </w:rPr>
              <w:t>等</w:t>
            </w:r>
            <w:r>
              <w:rPr>
                <w:rFonts w:hint="eastAsia"/>
                <w:sz w:val="24"/>
                <w:szCs w:val="24"/>
                <w:highlight w:val="none"/>
              </w:rPr>
              <w:t>4项内容，方案内容完整齐全，符合项目实际的，得</w:t>
            </w:r>
            <w:r>
              <w:rPr>
                <w:sz w:val="24"/>
                <w:szCs w:val="24"/>
                <w:highlight w:val="none"/>
              </w:rPr>
              <w:t>10</w:t>
            </w:r>
            <w:r>
              <w:rPr>
                <w:rFonts w:hint="eastAsia"/>
                <w:sz w:val="24"/>
                <w:szCs w:val="24"/>
                <w:highlight w:val="none"/>
              </w:rPr>
              <w:t>分；每缺少一项方案内容，或一项内容存在缺陷的，每一项扣</w:t>
            </w:r>
            <w:r>
              <w:rPr>
                <w:sz w:val="24"/>
                <w:szCs w:val="24"/>
                <w:highlight w:val="none"/>
              </w:rPr>
              <w:t>2.5</w:t>
            </w:r>
            <w:r>
              <w:rPr>
                <w:rFonts w:hint="eastAsia"/>
                <w:sz w:val="24"/>
                <w:szCs w:val="24"/>
                <w:highlight w:val="none"/>
              </w:rPr>
              <w:t>分，扣完为止；未提供技术培训方案的，此项不得分。</w:t>
            </w:r>
          </w:p>
          <w:p>
            <w:pPr>
              <w:snapToGrid w:val="0"/>
              <w:spacing w:line="400" w:lineRule="exact"/>
              <w:ind w:firstLine="482" w:firstLineChars="200"/>
              <w:rPr>
                <w:rFonts w:ascii="宋体" w:hAnsi="宋体" w:eastAsia="宋体" w:cs="宋体"/>
                <w:kern w:val="0"/>
                <w:sz w:val="24"/>
                <w:szCs w:val="24"/>
                <w:highlight w:val="none"/>
              </w:rPr>
            </w:pPr>
            <w:r>
              <w:rPr>
                <w:rFonts w:hint="eastAsia"/>
                <w:b/>
                <w:bCs/>
                <w:sz w:val="24"/>
                <w:szCs w:val="24"/>
                <w:highlight w:val="none"/>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ascii="宋体" w:hAnsi="宋体" w:eastAsia="宋体" w:cs="宋体"/>
                <w:sz w:val="24"/>
                <w:szCs w:val="24"/>
                <w:highlight w:val="none"/>
              </w:rPr>
            </w:pPr>
            <w:r>
              <w:rPr>
                <w:rFonts w:ascii="宋体" w:hAnsi="宋体" w:eastAsia="宋体" w:cs="宋体"/>
                <w:sz w:val="24"/>
                <w:szCs w:val="24"/>
                <w:highlight w:val="none"/>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宋体" w:hAnsi="宋体" w:eastAsia="宋体" w:cs="宋体"/>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售后服务</w:t>
            </w:r>
          </w:p>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sz w:val="24"/>
                <w:szCs w:val="24"/>
                <w:highlight w:val="none"/>
              </w:rPr>
            </w:pPr>
            <w:r>
              <w:rPr>
                <w:rFonts w:hint="eastAsia"/>
                <w:sz w:val="24"/>
                <w:szCs w:val="24"/>
                <w:highlight w:val="none"/>
              </w:rPr>
              <w:t>根据</w:t>
            </w:r>
            <w:r>
              <w:rPr>
                <w:rFonts w:hint="eastAsia"/>
                <w:sz w:val="24"/>
                <w:szCs w:val="24"/>
                <w:highlight w:val="none"/>
                <w:lang w:eastAsia="zh-CN"/>
              </w:rPr>
              <w:t>投标人</w:t>
            </w:r>
            <w:r>
              <w:rPr>
                <w:rFonts w:hint="eastAsia"/>
                <w:sz w:val="24"/>
                <w:szCs w:val="24"/>
                <w:highlight w:val="none"/>
              </w:rPr>
              <w:t>提供的售后服务方案进行评分：</w:t>
            </w:r>
          </w:p>
          <w:p>
            <w:pPr>
              <w:widowControl/>
              <w:spacing w:line="400" w:lineRule="exact"/>
              <w:ind w:firstLine="480" w:firstLineChars="200"/>
              <w:rPr>
                <w:sz w:val="24"/>
                <w:szCs w:val="24"/>
                <w:highlight w:val="none"/>
              </w:rPr>
            </w:pPr>
            <w:r>
              <w:rPr>
                <w:rFonts w:hint="eastAsia"/>
                <w:sz w:val="24"/>
                <w:szCs w:val="24"/>
                <w:highlight w:val="none"/>
              </w:rPr>
              <w:t>项目售后服务方案包括但不限于</w:t>
            </w:r>
            <w:r>
              <w:rPr>
                <w:rFonts w:hint="eastAsia" w:ascii="宋体" w:hAnsi="宋体" w:eastAsia="宋体" w:cs="宋体"/>
                <w:sz w:val="24"/>
                <w:szCs w:val="24"/>
                <w:highlight w:val="none"/>
              </w:rPr>
              <w:t>售后</w:t>
            </w:r>
            <w:r>
              <w:rPr>
                <w:rFonts w:ascii="宋体" w:hAnsi="宋体" w:eastAsia="宋体" w:cs="宋体"/>
                <w:sz w:val="24"/>
                <w:szCs w:val="24"/>
                <w:highlight w:val="none"/>
              </w:rPr>
              <w:t>服务承诺</w:t>
            </w:r>
            <w:r>
              <w:rPr>
                <w:rFonts w:hint="eastAsia" w:ascii="宋体" w:hAnsi="宋体" w:eastAsia="宋体" w:cs="宋体"/>
                <w:sz w:val="24"/>
                <w:szCs w:val="24"/>
                <w:highlight w:val="none"/>
              </w:rPr>
              <w:t>、</w:t>
            </w:r>
            <w:r>
              <w:rPr>
                <w:rFonts w:ascii="宋体" w:hAnsi="宋体" w:eastAsia="宋体" w:cs="宋体"/>
                <w:sz w:val="24"/>
                <w:szCs w:val="24"/>
                <w:highlight w:val="none"/>
              </w:rPr>
              <w:t>服务响应方案</w:t>
            </w:r>
            <w:r>
              <w:rPr>
                <w:rFonts w:hint="eastAsia" w:ascii="宋体" w:hAnsi="宋体" w:eastAsia="宋体" w:cs="宋体"/>
                <w:sz w:val="24"/>
                <w:szCs w:val="24"/>
                <w:highlight w:val="none"/>
              </w:rPr>
              <w:t>、</w:t>
            </w:r>
            <w:r>
              <w:rPr>
                <w:rFonts w:ascii="宋体" w:hAnsi="宋体" w:eastAsia="宋体" w:cs="宋体"/>
                <w:sz w:val="24"/>
                <w:szCs w:val="24"/>
                <w:highlight w:val="none"/>
              </w:rPr>
              <w:t>备件（易耗品）供应方案</w:t>
            </w:r>
            <w:r>
              <w:rPr>
                <w:rFonts w:hint="eastAsia" w:ascii="宋体" w:hAnsi="宋体" w:eastAsia="宋体" w:cs="宋体"/>
                <w:sz w:val="24"/>
                <w:szCs w:val="24"/>
                <w:highlight w:val="none"/>
              </w:rPr>
              <w:t>（含备件价格）、</w:t>
            </w:r>
            <w:r>
              <w:rPr>
                <w:rFonts w:ascii="宋体" w:hAnsi="宋体" w:eastAsia="宋体" w:cs="宋体"/>
                <w:sz w:val="24"/>
                <w:szCs w:val="24"/>
                <w:highlight w:val="none"/>
              </w:rPr>
              <w:t>服务人员配备</w:t>
            </w:r>
            <w:r>
              <w:rPr>
                <w:rFonts w:hint="eastAsia" w:ascii="宋体" w:hAnsi="宋体" w:eastAsia="宋体" w:cs="宋体"/>
                <w:sz w:val="24"/>
                <w:szCs w:val="24"/>
                <w:highlight w:val="none"/>
              </w:rPr>
              <w:t>、</w:t>
            </w:r>
            <w:r>
              <w:rPr>
                <w:rFonts w:ascii="宋体" w:hAnsi="宋体" w:eastAsia="宋体" w:cs="宋体"/>
                <w:sz w:val="24"/>
                <w:szCs w:val="24"/>
                <w:highlight w:val="none"/>
              </w:rPr>
              <w:t>故障响应</w:t>
            </w:r>
            <w:r>
              <w:rPr>
                <w:rFonts w:hint="eastAsia" w:ascii="宋体" w:hAnsi="宋体" w:eastAsia="宋体" w:cs="宋体"/>
                <w:sz w:val="24"/>
                <w:szCs w:val="24"/>
                <w:highlight w:val="none"/>
              </w:rPr>
              <w:t>措施、</w:t>
            </w:r>
            <w:r>
              <w:rPr>
                <w:rFonts w:ascii="宋体" w:hAnsi="宋体" w:eastAsia="宋体" w:cs="宋体"/>
                <w:sz w:val="24"/>
                <w:szCs w:val="24"/>
                <w:highlight w:val="none"/>
              </w:rPr>
              <w:t>质保外服务措施</w:t>
            </w:r>
            <w:r>
              <w:rPr>
                <w:sz w:val="24"/>
                <w:szCs w:val="24"/>
                <w:highlight w:val="none"/>
              </w:rPr>
              <w:t>等</w:t>
            </w:r>
            <w:r>
              <w:rPr>
                <w:rFonts w:hint="eastAsia"/>
                <w:sz w:val="24"/>
                <w:szCs w:val="24"/>
                <w:highlight w:val="none"/>
              </w:rPr>
              <w:t>6项内容，方案内容完整齐全，符合项目实际的，得</w:t>
            </w:r>
            <w:r>
              <w:rPr>
                <w:rFonts w:hint="eastAsia"/>
                <w:sz w:val="24"/>
                <w:szCs w:val="24"/>
                <w:highlight w:val="none"/>
                <w:lang w:val="en-US" w:eastAsia="zh-CN"/>
              </w:rPr>
              <w:t>6</w:t>
            </w:r>
            <w:r>
              <w:rPr>
                <w:rFonts w:hint="eastAsia"/>
                <w:sz w:val="24"/>
                <w:szCs w:val="24"/>
                <w:highlight w:val="none"/>
              </w:rPr>
              <w:t>分；每缺少一项方案内容，或一项内容存在缺陷的，每一项扣</w:t>
            </w:r>
            <w:r>
              <w:rPr>
                <w:rFonts w:hint="eastAsia"/>
                <w:sz w:val="24"/>
                <w:szCs w:val="24"/>
                <w:highlight w:val="none"/>
                <w:lang w:val="en-US" w:eastAsia="zh-CN"/>
              </w:rPr>
              <w:t>1</w:t>
            </w:r>
            <w:r>
              <w:rPr>
                <w:rFonts w:hint="eastAsia"/>
                <w:sz w:val="24"/>
                <w:szCs w:val="24"/>
                <w:highlight w:val="none"/>
              </w:rPr>
              <w:t>分，扣完为止；未提供售后服务方案的，此项不得分。</w:t>
            </w:r>
          </w:p>
          <w:p>
            <w:pPr>
              <w:snapToGrid w:val="0"/>
              <w:spacing w:line="400" w:lineRule="exact"/>
              <w:ind w:firstLine="482" w:firstLineChars="200"/>
              <w:rPr>
                <w:rFonts w:ascii="宋体" w:hAnsi="宋体" w:eastAsia="宋体" w:cs="宋体"/>
                <w:sz w:val="24"/>
                <w:szCs w:val="24"/>
                <w:highlight w:val="none"/>
              </w:rPr>
            </w:pPr>
            <w:r>
              <w:rPr>
                <w:rFonts w:hint="eastAsia"/>
                <w:b/>
                <w:bCs/>
                <w:sz w:val="24"/>
                <w:szCs w:val="24"/>
                <w:highlight w:val="none"/>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snapToGrid w:val="0"/>
              <w:spacing w:line="400" w:lineRule="exac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2"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宋体" w:hAnsi="宋体" w:eastAsia="宋体" w:cs="宋体"/>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highlight w:val="none"/>
              </w:rPr>
            </w:pPr>
            <w:r>
              <w:rPr>
                <w:rFonts w:hint="eastAsia"/>
                <w:highlight w:val="none"/>
                <w:lang w:val="en-US" w:eastAsia="zh-CN"/>
              </w:rPr>
              <w:t>投标</w:t>
            </w:r>
            <w:r>
              <w:rPr>
                <w:rFonts w:hint="default"/>
                <w:highlight w:val="none"/>
                <w:lang w:val="en-US" w:eastAsia="zh-CN"/>
              </w:rPr>
              <w:t>样品视频</w:t>
            </w:r>
            <w:r>
              <w:rPr>
                <w:rFonts w:hint="eastAsia"/>
                <w:highlight w:val="none"/>
                <w:lang w:val="en-US" w:eastAsia="zh-CN"/>
              </w:rPr>
              <w:t>评价</w:t>
            </w:r>
          </w:p>
        </w:tc>
        <w:tc>
          <w:tcPr>
            <w:tcW w:w="5954" w:type="dxa"/>
            <w:tcMar>
              <w:top w:w="15" w:type="dxa"/>
              <w:left w:w="15" w:type="dxa"/>
              <w:right w:w="15" w:type="dxa"/>
            </w:tcMar>
            <w:vAlign w:val="center"/>
          </w:tcPr>
          <w:p>
            <w:pPr>
              <w:adjustRightInd w:val="0"/>
              <w:snapToGrid w:val="0"/>
              <w:spacing w:line="400" w:lineRule="exact"/>
              <w:ind w:firstLine="480" w:firstLineChars="200"/>
              <w:jc w:val="left"/>
              <w:rPr>
                <w:rFonts w:ascii="宋体" w:hAnsi="宋体" w:cs="宋体"/>
                <w:color w:val="000000"/>
                <w:sz w:val="24"/>
                <w:szCs w:val="24"/>
                <w:highlight w:val="none"/>
              </w:rPr>
            </w:pPr>
            <w:r>
              <w:rPr>
                <w:rFonts w:hint="eastAsia" w:ascii="宋体" w:hAnsi="宋体" w:cs="宋体"/>
                <w:color w:val="000000"/>
                <w:sz w:val="24"/>
                <w:szCs w:val="24"/>
                <w:highlight w:val="none"/>
              </w:rPr>
              <w:t>样品视频分：评标委员会通过观看投标人装备样品视频讲解的方式，考评投标产品的</w:t>
            </w:r>
            <w:r>
              <w:rPr>
                <w:rFonts w:hint="eastAsia" w:ascii="宋体" w:hAnsi="宋体" w:cs="宋体"/>
                <w:color w:val="000000"/>
                <w:sz w:val="24"/>
                <w:szCs w:val="24"/>
                <w:highlight w:val="none"/>
                <w:lang w:val="en-US" w:eastAsia="zh-CN"/>
              </w:rPr>
              <w:t>①、使用材质；②、制作工艺水平；③使用功能演示；④有无操作安全隐患。</w:t>
            </w:r>
            <w:r>
              <w:rPr>
                <w:rFonts w:hint="eastAsia" w:ascii="宋体" w:hAnsi="宋体" w:cs="宋体"/>
                <w:color w:val="000000"/>
                <w:sz w:val="24"/>
                <w:szCs w:val="24"/>
                <w:highlight w:val="none"/>
              </w:rPr>
              <w:t>各项性能完备的得8分，提供的样品视频中每有一项或一处存在瑕疵或不满足技术参数要求或不符合采购人使用需求的扣</w:t>
            </w:r>
            <w:r>
              <w:rPr>
                <w:rFonts w:hint="eastAsia" w:ascii="宋体" w:hAnsi="宋体" w:cs="宋体"/>
                <w:color w:val="000000"/>
                <w:sz w:val="24"/>
                <w:szCs w:val="24"/>
                <w:highlight w:val="none"/>
                <w:lang w:val="en-US" w:eastAsia="zh-CN"/>
              </w:rPr>
              <w:t>2</w:t>
            </w:r>
            <w:r>
              <w:rPr>
                <w:rFonts w:hint="eastAsia" w:ascii="宋体" w:hAnsi="宋体" w:cs="宋体"/>
                <w:color w:val="000000"/>
                <w:sz w:val="24"/>
                <w:szCs w:val="24"/>
                <w:highlight w:val="none"/>
              </w:rPr>
              <w:t>分，扣完为止。</w:t>
            </w:r>
          </w:p>
          <w:p>
            <w:pPr>
              <w:widowControl/>
              <w:spacing w:line="400" w:lineRule="exact"/>
              <w:ind w:firstLine="480" w:firstLineChars="200"/>
              <w:rPr>
                <w:sz w:val="24"/>
                <w:szCs w:val="24"/>
                <w:highlight w:val="none"/>
              </w:rPr>
            </w:pPr>
            <w:r>
              <w:rPr>
                <w:rFonts w:hint="eastAsia" w:ascii="宋体" w:hAnsi="宋体" w:cs="宋体"/>
                <w:color w:val="000000"/>
                <w:sz w:val="24"/>
                <w:szCs w:val="24"/>
                <w:highlight w:val="none"/>
              </w:rPr>
              <w:t>注：投标人须完全按照采购文件要求递交装备样品讲解视频，凡出现下列情况的得分均为0分：①无讲解视频的；②讲解视频中样品不符合文件要求的；③讲解视频中透露品牌型号的。</w:t>
            </w:r>
          </w:p>
        </w:tc>
        <w:tc>
          <w:tcPr>
            <w:tcW w:w="687" w:type="dxa"/>
            <w:tcMar>
              <w:top w:w="15" w:type="dxa"/>
              <w:left w:w="15" w:type="dxa"/>
              <w:right w:w="15" w:type="dxa"/>
            </w:tcMar>
            <w:vAlign w:val="center"/>
          </w:tcPr>
          <w:p>
            <w:pPr>
              <w:snapToGrid w:val="0"/>
              <w:spacing w:line="40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jc w:val="center"/>
        </w:trPr>
        <w:tc>
          <w:tcPr>
            <w:tcW w:w="9109" w:type="dxa"/>
            <w:gridSpan w:val="4"/>
            <w:tcMar>
              <w:top w:w="15" w:type="dxa"/>
              <w:left w:w="15" w:type="dxa"/>
              <w:right w:w="15" w:type="dxa"/>
            </w:tcMar>
            <w:vAlign w:val="center"/>
          </w:tcPr>
          <w:p>
            <w:pPr>
              <w:widowControl/>
              <w:spacing w:line="400" w:lineRule="exact"/>
              <w:jc w:val="center"/>
              <w:textAlignment w:val="center"/>
              <w:rPr>
                <w:rFonts w:ascii="宋体" w:hAnsi="宋体" w:eastAsia="宋体" w:cs="宋体"/>
                <w:sz w:val="24"/>
                <w:szCs w:val="24"/>
                <w:highlight w:val="none"/>
              </w:rPr>
            </w:pPr>
            <w:r>
              <w:rPr>
                <w:rFonts w:hint="eastAsia" w:ascii="宋体" w:hAnsi="宋体" w:eastAsia="宋体" w:cs="宋体"/>
                <w:kern w:val="0"/>
                <w:sz w:val="24"/>
                <w:szCs w:val="24"/>
                <w:highlight w:val="none"/>
              </w:rPr>
              <w:t>合计：100分</w:t>
            </w:r>
          </w:p>
        </w:tc>
      </w:tr>
    </w:tbl>
    <w:p>
      <w:pPr>
        <w:pStyle w:val="4"/>
        <w:rPr>
          <w:rFonts w:ascii="宋体" w:hAnsi="宋体" w:eastAsia="宋体" w:cs="宋体"/>
          <w:b/>
          <w:sz w:val="24"/>
          <w:szCs w:val="24"/>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pStyle w:val="4"/>
        <w:rPr>
          <w:rFonts w:hint="eastAsia" w:ascii="宋体" w:hAnsi="宋体" w:eastAsia="宋体" w:cs="宋体"/>
          <w:b/>
          <w:sz w:val="24"/>
          <w:szCs w:val="24"/>
          <w:highlight w:val="none"/>
        </w:rPr>
      </w:pPr>
    </w:p>
    <w:p>
      <w:pPr>
        <w:pStyle w:val="4"/>
        <w:rPr>
          <w:rFonts w:ascii="宋体" w:hAnsi="宋体" w:eastAsia="宋体" w:cs="宋体"/>
          <w:b/>
          <w:sz w:val="24"/>
          <w:szCs w:val="24"/>
          <w:highlight w:val="none"/>
        </w:rPr>
      </w:pPr>
      <w:r>
        <w:rPr>
          <w:rFonts w:hint="eastAsia" w:ascii="宋体" w:hAnsi="宋体" w:eastAsia="宋体" w:cs="宋体"/>
          <w:b/>
          <w:sz w:val="24"/>
          <w:szCs w:val="24"/>
          <w:highlight w:val="none"/>
        </w:rPr>
        <w:t>第</w:t>
      </w:r>
      <w:r>
        <w:rPr>
          <w:rFonts w:hint="eastAsia" w:ascii="宋体" w:hAnsi="宋体" w:eastAsia="宋体" w:cs="宋体"/>
          <w:b/>
          <w:sz w:val="24"/>
          <w:szCs w:val="24"/>
          <w:highlight w:val="none"/>
          <w:lang w:val="en-US" w:eastAsia="zh-CN"/>
        </w:rPr>
        <w:t>十三</w:t>
      </w:r>
      <w:r>
        <w:rPr>
          <w:rFonts w:hint="eastAsia" w:ascii="宋体" w:hAnsi="宋体" w:eastAsia="宋体" w:cs="宋体"/>
          <w:b/>
          <w:sz w:val="24"/>
          <w:szCs w:val="24"/>
          <w:highlight w:val="none"/>
        </w:rPr>
        <w:t>包评分标准：</w:t>
      </w:r>
    </w:p>
    <w:tbl>
      <w:tblPr>
        <w:tblStyle w:val="38"/>
        <w:tblW w:w="91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5954"/>
        <w:gridCol w:w="6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宋体" w:hAnsi="宋体" w:eastAsia="宋体" w:cs="宋体"/>
                <w:b/>
                <w:sz w:val="24"/>
                <w:szCs w:val="24"/>
                <w:highlight w:val="none"/>
              </w:rPr>
            </w:pPr>
            <w:r>
              <w:rPr>
                <w:rFonts w:hint="eastAsia" w:ascii="宋体" w:hAnsi="宋体" w:eastAsia="宋体" w:cs="宋体"/>
                <w:b/>
                <w:kern w:val="0"/>
                <w:sz w:val="24"/>
                <w:szCs w:val="24"/>
                <w:highlight w:val="none"/>
              </w:rPr>
              <w:t>评分因素及权重</w:t>
            </w:r>
          </w:p>
        </w:tc>
        <w:tc>
          <w:tcPr>
            <w:tcW w:w="1371" w:type="dxa"/>
            <w:tcMar>
              <w:top w:w="15" w:type="dxa"/>
              <w:left w:w="15" w:type="dxa"/>
              <w:right w:w="15" w:type="dxa"/>
            </w:tcMar>
            <w:vAlign w:val="center"/>
          </w:tcPr>
          <w:p>
            <w:pPr>
              <w:widowControl/>
              <w:spacing w:line="400" w:lineRule="exact"/>
              <w:jc w:val="center"/>
              <w:textAlignment w:val="center"/>
              <w:rPr>
                <w:rFonts w:ascii="宋体" w:hAnsi="宋体" w:eastAsia="宋体" w:cs="宋体"/>
                <w:b/>
                <w:sz w:val="24"/>
                <w:szCs w:val="24"/>
                <w:highlight w:val="none"/>
              </w:rPr>
            </w:pPr>
            <w:r>
              <w:rPr>
                <w:rFonts w:hint="eastAsia" w:ascii="宋体" w:hAnsi="宋体" w:eastAsia="宋体" w:cs="宋体"/>
                <w:b/>
                <w:kern w:val="0"/>
                <w:sz w:val="24"/>
                <w:szCs w:val="24"/>
                <w:highlight w:val="none"/>
              </w:rPr>
              <w:t>评标因素</w:t>
            </w:r>
          </w:p>
        </w:tc>
        <w:tc>
          <w:tcPr>
            <w:tcW w:w="5954" w:type="dxa"/>
            <w:tcMar>
              <w:top w:w="15" w:type="dxa"/>
              <w:left w:w="15" w:type="dxa"/>
              <w:right w:w="15" w:type="dxa"/>
            </w:tcMar>
            <w:vAlign w:val="center"/>
          </w:tcPr>
          <w:p>
            <w:pPr>
              <w:widowControl/>
              <w:spacing w:line="400" w:lineRule="exact"/>
              <w:jc w:val="center"/>
              <w:textAlignment w:val="center"/>
              <w:rPr>
                <w:rFonts w:ascii="宋体" w:hAnsi="宋体" w:eastAsia="宋体" w:cs="宋体"/>
                <w:b/>
                <w:sz w:val="24"/>
                <w:szCs w:val="24"/>
                <w:highlight w:val="none"/>
              </w:rPr>
            </w:pPr>
            <w:r>
              <w:rPr>
                <w:rFonts w:hint="eastAsia" w:ascii="宋体" w:hAnsi="宋体" w:eastAsia="宋体" w:cs="宋体"/>
                <w:b/>
                <w:kern w:val="0"/>
                <w:sz w:val="24"/>
                <w:szCs w:val="24"/>
                <w:highlight w:val="none"/>
              </w:rPr>
              <w:t>评分标准</w:t>
            </w:r>
          </w:p>
        </w:tc>
        <w:tc>
          <w:tcPr>
            <w:tcW w:w="687" w:type="dxa"/>
            <w:tcMar>
              <w:top w:w="15" w:type="dxa"/>
              <w:left w:w="15" w:type="dxa"/>
              <w:right w:w="15" w:type="dxa"/>
            </w:tcMar>
            <w:vAlign w:val="center"/>
          </w:tcPr>
          <w:p>
            <w:pPr>
              <w:widowControl/>
              <w:spacing w:line="400" w:lineRule="exact"/>
              <w:jc w:val="center"/>
              <w:textAlignment w:val="center"/>
              <w:rPr>
                <w:rFonts w:ascii="宋体" w:hAnsi="宋体" w:eastAsia="宋体" w:cs="宋体"/>
                <w:b/>
                <w:sz w:val="24"/>
                <w:szCs w:val="24"/>
                <w:highlight w:val="none"/>
              </w:rPr>
            </w:pPr>
            <w:r>
              <w:rPr>
                <w:rFonts w:hint="eastAsia" w:ascii="宋体" w:hAnsi="宋体" w:eastAsia="宋体" w:cs="宋体"/>
                <w:b/>
                <w:kern w:val="0"/>
                <w:sz w:val="24"/>
                <w:szCs w:val="24"/>
                <w:highlight w:val="none"/>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宋体" w:hAnsi="宋体" w:eastAsia="宋体" w:cs="宋体"/>
                <w:sz w:val="24"/>
                <w:szCs w:val="24"/>
                <w:highlight w:val="none"/>
              </w:rPr>
            </w:pPr>
            <w:r>
              <w:rPr>
                <w:rFonts w:hint="eastAsia" w:ascii="宋体" w:hAnsi="宋体" w:eastAsia="宋体" w:cs="宋体"/>
                <w:kern w:val="0"/>
                <w:sz w:val="24"/>
                <w:szCs w:val="24"/>
                <w:highlight w:val="none"/>
              </w:rPr>
              <w:t>价格部分（30分）</w:t>
            </w:r>
          </w:p>
        </w:tc>
        <w:tc>
          <w:tcPr>
            <w:tcW w:w="1371" w:type="dxa"/>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投标</w:t>
            </w:r>
          </w:p>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报价</w:t>
            </w:r>
          </w:p>
        </w:tc>
        <w:tc>
          <w:tcPr>
            <w:tcW w:w="5954" w:type="dxa"/>
            <w:tcMar>
              <w:top w:w="15" w:type="dxa"/>
              <w:left w:w="15" w:type="dxa"/>
              <w:right w:w="15" w:type="dxa"/>
            </w:tcMar>
            <w:vAlign w:val="center"/>
          </w:tcPr>
          <w:p>
            <w:pPr>
              <w:widowControl/>
              <w:spacing w:line="400" w:lineRule="exact"/>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综合评分法中的价格分统一采用低价优先法计算，即满足招标文件要求且投标价格最低的投标报价为评标基准价，其价格分为满分30分，其它投标报价得分=评标基准价/投标报价*30</w:t>
            </w:r>
          </w:p>
        </w:tc>
        <w:tc>
          <w:tcPr>
            <w:tcW w:w="687" w:type="dxa"/>
            <w:tcMar>
              <w:top w:w="15" w:type="dxa"/>
              <w:left w:w="15" w:type="dxa"/>
              <w:right w:w="15" w:type="dxa"/>
            </w:tcMar>
            <w:vAlign w:val="center"/>
          </w:tcPr>
          <w:p>
            <w:pPr>
              <w:widowControl/>
              <w:spacing w:line="400" w:lineRule="exact"/>
              <w:jc w:val="center"/>
              <w:textAlignment w:val="center"/>
              <w:rPr>
                <w:rFonts w:ascii="宋体" w:hAnsi="宋体" w:eastAsia="宋体" w:cs="宋体"/>
                <w:sz w:val="24"/>
                <w:szCs w:val="24"/>
                <w:highlight w:val="none"/>
              </w:rPr>
            </w:pPr>
            <w:r>
              <w:rPr>
                <w:rFonts w:hint="eastAsia" w:ascii="宋体" w:hAnsi="宋体" w:eastAsia="宋体" w:cs="宋体"/>
                <w:kern w:val="0"/>
                <w:sz w:val="24"/>
                <w:szCs w:val="24"/>
                <w:highlight w:val="none"/>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sz w:val="24"/>
                <w:szCs w:val="24"/>
                <w:highlight w:val="none"/>
              </w:rPr>
            </w:pPr>
            <w:r>
              <w:rPr>
                <w:rFonts w:hint="eastAsia" w:ascii="宋体" w:hAnsi="宋体" w:eastAsia="宋体" w:cs="宋体"/>
                <w:kern w:val="0"/>
                <w:sz w:val="24"/>
                <w:szCs w:val="24"/>
                <w:highlight w:val="none"/>
              </w:rPr>
              <w:t>技术和商务部分（ 70分）</w:t>
            </w:r>
          </w:p>
        </w:tc>
        <w:tc>
          <w:tcPr>
            <w:tcW w:w="1371" w:type="dxa"/>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技术要求</w:t>
            </w:r>
          </w:p>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响应评价</w:t>
            </w:r>
          </w:p>
        </w:tc>
        <w:tc>
          <w:tcPr>
            <w:tcW w:w="5954" w:type="dxa"/>
            <w:tcMar>
              <w:top w:w="15" w:type="dxa"/>
              <w:left w:w="15" w:type="dxa"/>
              <w:right w:w="15" w:type="dxa"/>
            </w:tcMar>
            <w:vAlign w:val="center"/>
          </w:tcPr>
          <w:p>
            <w:pPr>
              <w:widowControl/>
              <w:spacing w:line="400" w:lineRule="exact"/>
              <w:ind w:firstLine="480" w:firstLineChars="200"/>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对照“项目需求”技术参数（每条技术参数前标注“▲”的为主要技术参数，未标注的为一般参数），根据投标人提供的产品配置及技术性能指标的响应情况进行评审。</w:t>
            </w:r>
          </w:p>
          <w:p>
            <w:pPr>
              <w:widowControl/>
              <w:spacing w:line="400" w:lineRule="exact"/>
              <w:ind w:firstLine="480" w:firstLineChars="200"/>
              <w:textAlignment w:val="center"/>
              <w:rPr>
                <w:rFonts w:ascii="宋体" w:hAnsi="宋体" w:eastAsia="宋体" w:cs="宋体"/>
                <w:sz w:val="24"/>
                <w:szCs w:val="24"/>
                <w:highlight w:val="none"/>
              </w:rPr>
            </w:pPr>
            <w:r>
              <w:rPr>
                <w:rFonts w:hint="eastAsia" w:ascii="宋体" w:hAnsi="宋体" w:eastAsia="宋体" w:cs="宋体"/>
                <w:sz w:val="24"/>
                <w:szCs w:val="24"/>
                <w:highlight w:val="none"/>
              </w:rPr>
              <w:t>1.投标人所投产品技术参数完全响应招标文件要求的，得</w:t>
            </w:r>
            <w:r>
              <w:rPr>
                <w:rFonts w:hint="eastAsia" w:ascii="宋体" w:hAnsi="宋体" w:eastAsia="宋体" w:cs="宋体"/>
                <w:sz w:val="24"/>
                <w:szCs w:val="24"/>
                <w:highlight w:val="none"/>
                <w:lang w:val="en-US" w:eastAsia="zh-CN"/>
              </w:rPr>
              <w:t>30</w:t>
            </w:r>
            <w:r>
              <w:rPr>
                <w:rFonts w:hint="eastAsia" w:ascii="宋体" w:hAnsi="宋体" w:eastAsia="宋体" w:cs="宋体"/>
                <w:sz w:val="24"/>
                <w:szCs w:val="24"/>
                <w:highlight w:val="none"/>
              </w:rPr>
              <w:t>分；</w:t>
            </w:r>
          </w:p>
          <w:p>
            <w:pPr>
              <w:pStyle w:val="30"/>
              <w:ind w:firstLine="480" w:firstLineChars="200"/>
              <w:rPr>
                <w:rFonts w:ascii="宋体" w:hAnsi="宋体" w:eastAsia="宋体" w:cs="宋体"/>
                <w:sz w:val="24"/>
                <w:szCs w:val="24"/>
                <w:highlight w:val="none"/>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.主要技术参数存在负偏离的（</w:t>
            </w:r>
            <w:r>
              <w:rPr>
                <w:rFonts w:hint="eastAsia" w:ascii="宋体" w:hAnsi="宋体" w:eastAsia="宋体" w:cs="宋体"/>
                <w:sz w:val="24"/>
                <w:szCs w:val="24"/>
                <w:highlight w:val="none"/>
                <w:lang w:val="en-US" w:eastAsia="zh-CN"/>
              </w:rPr>
              <w:t>共5</w:t>
            </w:r>
            <w:r>
              <w:rPr>
                <w:rFonts w:hint="eastAsia" w:ascii="宋体" w:hAnsi="宋体" w:eastAsia="宋体" w:cs="宋体"/>
                <w:sz w:val="24"/>
                <w:szCs w:val="24"/>
                <w:highlight w:val="none"/>
              </w:rPr>
              <w:t>条），每一条扣</w:t>
            </w:r>
            <w:r>
              <w:rPr>
                <w:rFonts w:hint="eastAsia" w:ascii="宋体" w:hAnsi="宋体" w:eastAsia="宋体" w:cs="宋体"/>
                <w:sz w:val="24"/>
                <w:szCs w:val="24"/>
                <w:highlight w:val="none"/>
                <w:lang w:val="en-US" w:eastAsia="zh-CN"/>
              </w:rPr>
              <w:t>2</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分，最多扣</w:t>
            </w:r>
            <w:r>
              <w:rPr>
                <w:rFonts w:hint="eastAsia" w:ascii="宋体" w:hAnsi="宋体" w:cs="宋体"/>
                <w:sz w:val="24"/>
                <w:szCs w:val="24"/>
                <w:highlight w:val="none"/>
                <w:lang w:val="en-US" w:eastAsia="zh-CN"/>
              </w:rPr>
              <w:t>12.5</w:t>
            </w:r>
            <w:r>
              <w:rPr>
                <w:rFonts w:hint="eastAsia" w:ascii="宋体" w:hAnsi="宋体" w:eastAsia="宋体" w:cs="宋体"/>
                <w:sz w:val="24"/>
                <w:szCs w:val="24"/>
                <w:highlight w:val="none"/>
              </w:rPr>
              <w:t>分；</w:t>
            </w:r>
          </w:p>
          <w:p>
            <w:pPr>
              <w:pStyle w:val="30"/>
              <w:ind w:firstLine="480" w:firstLineChars="200"/>
              <w:rPr>
                <w:rFonts w:ascii="宋体" w:hAnsi="宋体" w:eastAsia="宋体" w:cs="宋体"/>
                <w:kern w:val="0"/>
                <w:sz w:val="24"/>
                <w:szCs w:val="24"/>
                <w:highlight w:val="none"/>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w:t>
            </w:r>
            <w:r>
              <w:rPr>
                <w:rFonts w:hint="eastAsia" w:ascii="宋体" w:hAnsi="宋体" w:eastAsia="宋体" w:cs="宋体"/>
                <w:kern w:val="0"/>
                <w:sz w:val="24"/>
                <w:szCs w:val="24"/>
                <w:highlight w:val="none"/>
              </w:rPr>
              <w:t>一般技术参数存在负偏离的（</w:t>
            </w:r>
            <w:r>
              <w:rPr>
                <w:rFonts w:hint="eastAsia" w:ascii="宋体" w:hAnsi="宋体" w:eastAsia="宋体" w:cs="宋体"/>
                <w:kern w:val="0"/>
                <w:sz w:val="24"/>
                <w:szCs w:val="24"/>
                <w:highlight w:val="none"/>
                <w:lang w:val="en-US" w:eastAsia="zh-CN"/>
              </w:rPr>
              <w:t>共12</w:t>
            </w:r>
            <w:r>
              <w:rPr>
                <w:rFonts w:hint="eastAsia" w:ascii="宋体" w:hAnsi="宋体" w:eastAsia="宋体" w:cs="宋体"/>
                <w:kern w:val="0"/>
                <w:sz w:val="24"/>
                <w:szCs w:val="24"/>
                <w:highlight w:val="none"/>
              </w:rPr>
              <w:t>条），每一条扣</w:t>
            </w:r>
            <w:r>
              <w:rPr>
                <w:rFonts w:hint="eastAsia" w:ascii="宋体" w:hAnsi="宋体" w:eastAsia="宋体" w:cs="宋体"/>
                <w:kern w:val="0"/>
                <w:sz w:val="24"/>
                <w:szCs w:val="24"/>
                <w:highlight w:val="none"/>
                <w:lang w:val="en-US" w:eastAsia="zh-CN"/>
              </w:rPr>
              <w:t>1.</w:t>
            </w:r>
            <w:r>
              <w:rPr>
                <w:rFonts w:hint="eastAsia" w:ascii="宋体" w:hAnsi="宋体" w:cs="宋体"/>
                <w:kern w:val="0"/>
                <w:sz w:val="24"/>
                <w:szCs w:val="24"/>
                <w:highlight w:val="none"/>
                <w:lang w:val="en-US" w:eastAsia="zh-CN"/>
              </w:rPr>
              <w:t>5</w:t>
            </w:r>
            <w:r>
              <w:rPr>
                <w:rFonts w:hint="eastAsia" w:ascii="宋体" w:hAnsi="宋体" w:eastAsia="宋体" w:cs="宋体"/>
                <w:kern w:val="0"/>
                <w:sz w:val="24"/>
                <w:szCs w:val="24"/>
                <w:highlight w:val="none"/>
              </w:rPr>
              <w:t>分，最多扣</w:t>
            </w:r>
            <w:r>
              <w:rPr>
                <w:rFonts w:hint="eastAsia" w:ascii="宋体" w:hAnsi="宋体" w:cs="宋体"/>
                <w:kern w:val="0"/>
                <w:sz w:val="24"/>
                <w:szCs w:val="24"/>
                <w:highlight w:val="none"/>
                <w:lang w:val="en-US" w:eastAsia="zh-CN"/>
              </w:rPr>
              <w:t>17.5</w:t>
            </w:r>
            <w:r>
              <w:rPr>
                <w:rFonts w:hint="eastAsia" w:ascii="宋体" w:hAnsi="宋体" w:eastAsia="宋体" w:cs="宋体"/>
                <w:kern w:val="0"/>
                <w:sz w:val="24"/>
                <w:szCs w:val="24"/>
                <w:highlight w:val="none"/>
              </w:rPr>
              <w:t>分。</w:t>
            </w:r>
          </w:p>
          <w:p>
            <w:pPr>
              <w:widowControl/>
              <w:spacing w:line="400" w:lineRule="exact"/>
              <w:ind w:firstLine="482" w:firstLineChars="200"/>
              <w:textAlignment w:val="center"/>
              <w:rPr>
                <w:rFonts w:eastAsia="宋体"/>
                <w:highlight w:val="none"/>
              </w:rPr>
            </w:pPr>
            <w:r>
              <w:rPr>
                <w:b/>
                <w:bCs/>
                <w:sz w:val="24"/>
                <w:szCs w:val="24"/>
                <w:highlight w:val="none"/>
              </w:rPr>
              <w:t>注：负偏离评审依据：</w:t>
            </w:r>
            <w:r>
              <w:rPr>
                <w:rFonts w:hint="eastAsia"/>
                <w:b/>
                <w:bCs/>
                <w:sz w:val="24"/>
                <w:szCs w:val="24"/>
                <w:highlight w:val="none"/>
              </w:rPr>
              <w:t>①</w:t>
            </w:r>
            <w:r>
              <w:rPr>
                <w:b/>
                <w:bCs/>
                <w:sz w:val="24"/>
                <w:szCs w:val="24"/>
                <w:highlight w:val="none"/>
              </w:rPr>
              <w:t>所</w:t>
            </w:r>
            <w:r>
              <w:rPr>
                <w:rFonts w:hint="eastAsia"/>
                <w:b/>
                <w:bCs/>
                <w:sz w:val="24"/>
                <w:szCs w:val="24"/>
                <w:highlight w:val="none"/>
              </w:rPr>
              <w:t>提供</w:t>
            </w:r>
            <w:r>
              <w:rPr>
                <w:b/>
                <w:bCs/>
                <w:sz w:val="24"/>
                <w:szCs w:val="24"/>
                <w:highlight w:val="none"/>
              </w:rPr>
              <w:t>产品技术参数低于</w:t>
            </w:r>
            <w:r>
              <w:rPr>
                <w:rFonts w:hint="eastAsia"/>
                <w:b/>
                <w:bCs/>
                <w:sz w:val="24"/>
                <w:szCs w:val="24"/>
                <w:highlight w:val="none"/>
              </w:rPr>
              <w:t>招标</w:t>
            </w:r>
            <w:r>
              <w:rPr>
                <w:b/>
                <w:bCs/>
                <w:sz w:val="24"/>
                <w:szCs w:val="24"/>
                <w:highlight w:val="none"/>
              </w:rPr>
              <w:t>文件要求的，视为负偏离；</w:t>
            </w:r>
            <w:r>
              <w:rPr>
                <w:rFonts w:hint="eastAsia"/>
                <w:b/>
                <w:bCs/>
                <w:sz w:val="24"/>
                <w:szCs w:val="24"/>
                <w:highlight w:val="none"/>
              </w:rPr>
              <w:t>②</w:t>
            </w:r>
            <w:r>
              <w:rPr>
                <w:b/>
                <w:bCs/>
                <w:sz w:val="24"/>
                <w:szCs w:val="24"/>
                <w:highlight w:val="none"/>
              </w:rPr>
              <w:t>技术参数响应条款</w:t>
            </w:r>
            <w:r>
              <w:rPr>
                <w:rFonts w:hint="eastAsia"/>
                <w:b/>
                <w:bCs/>
                <w:sz w:val="24"/>
                <w:szCs w:val="24"/>
                <w:highlight w:val="none"/>
              </w:rPr>
              <w:t>（以投标文件内技术偏离表为准）</w:t>
            </w:r>
            <w:r>
              <w:rPr>
                <w:b/>
                <w:bCs/>
                <w:sz w:val="24"/>
                <w:szCs w:val="24"/>
                <w:highlight w:val="none"/>
              </w:rPr>
              <w:t>与</w:t>
            </w:r>
            <w:r>
              <w:rPr>
                <w:rFonts w:hint="eastAsia"/>
                <w:b/>
                <w:bCs/>
                <w:sz w:val="24"/>
                <w:szCs w:val="24"/>
                <w:highlight w:val="none"/>
              </w:rPr>
              <w:t>招标</w:t>
            </w:r>
            <w:r>
              <w:rPr>
                <w:b/>
                <w:bCs/>
                <w:sz w:val="24"/>
                <w:szCs w:val="24"/>
                <w:highlight w:val="none"/>
              </w:rPr>
              <w:t>文件对比有缺项、漏项的，视为负偏离；</w:t>
            </w:r>
            <w:r>
              <w:rPr>
                <w:rFonts w:hint="eastAsia"/>
                <w:b/>
                <w:bCs/>
                <w:sz w:val="24"/>
                <w:szCs w:val="24"/>
                <w:highlight w:val="none"/>
              </w:rPr>
              <w:t>③投标文件内技术偏离表完全复制招标文件技术参数的（不涉及具体参数指标的描述性技术要求除外），视为负偏离；④投标人</w:t>
            </w:r>
            <w:r>
              <w:rPr>
                <w:b/>
                <w:bCs/>
                <w:sz w:val="24"/>
                <w:szCs w:val="24"/>
                <w:highlight w:val="none"/>
              </w:rPr>
              <w:t>提供的</w:t>
            </w:r>
            <w:r>
              <w:rPr>
                <w:rFonts w:hint="eastAsia"/>
                <w:b/>
                <w:bCs/>
                <w:sz w:val="24"/>
                <w:szCs w:val="24"/>
                <w:highlight w:val="none"/>
              </w:rPr>
              <w:t>投标</w:t>
            </w:r>
            <w:r>
              <w:rPr>
                <w:b/>
                <w:bCs/>
                <w:sz w:val="24"/>
                <w:szCs w:val="24"/>
                <w:highlight w:val="none"/>
              </w:rPr>
              <w:t>文件中产品技术偏离表、产品技术规格书和产品检测报告内描述的同一产品技术参数响应值不一致的，视为负偏离</w:t>
            </w:r>
            <w:r>
              <w:rPr>
                <w:rFonts w:hint="eastAsia"/>
                <w:b/>
                <w:bCs/>
                <w:sz w:val="24"/>
                <w:szCs w:val="24"/>
                <w:highlight w:val="none"/>
              </w:rPr>
              <w:t>。</w:t>
            </w:r>
          </w:p>
        </w:tc>
        <w:tc>
          <w:tcPr>
            <w:tcW w:w="687" w:type="dxa"/>
            <w:tcMar>
              <w:top w:w="15" w:type="dxa"/>
              <w:left w:w="15" w:type="dxa"/>
              <w:right w:w="15" w:type="dxa"/>
            </w:tcMar>
            <w:vAlign w:val="center"/>
          </w:tcPr>
          <w:p>
            <w:pPr>
              <w:widowControl/>
              <w:spacing w:line="400" w:lineRule="exact"/>
              <w:jc w:val="center"/>
              <w:textAlignment w:val="center"/>
              <w:rPr>
                <w:rFonts w:hint="default"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r>
              <w:rPr>
                <w:sz w:val="24"/>
                <w:szCs w:val="24"/>
                <w:highlight w:val="none"/>
              </w:rPr>
              <w:t>业绩证明</w:t>
            </w:r>
          </w:p>
        </w:tc>
        <w:tc>
          <w:tcPr>
            <w:tcW w:w="5954" w:type="dxa"/>
            <w:tcMar>
              <w:top w:w="15" w:type="dxa"/>
              <w:left w:w="15" w:type="dxa"/>
              <w:right w:w="15" w:type="dxa"/>
            </w:tcMar>
            <w:vAlign w:val="center"/>
          </w:tcPr>
          <w:p>
            <w:pPr>
              <w:widowControl/>
              <w:spacing w:line="400" w:lineRule="exact"/>
              <w:ind w:firstLine="480" w:firstLineChars="200"/>
              <w:rPr>
                <w:sz w:val="24"/>
                <w:szCs w:val="24"/>
                <w:highlight w:val="none"/>
              </w:rPr>
            </w:pPr>
            <w:r>
              <w:rPr>
                <w:rFonts w:hint="eastAsia"/>
                <w:sz w:val="24"/>
                <w:szCs w:val="24"/>
                <w:highlight w:val="none"/>
                <w:lang w:eastAsia="zh-CN"/>
              </w:rPr>
              <w:t>投标人</w:t>
            </w:r>
            <w:r>
              <w:rPr>
                <w:rFonts w:hint="eastAsia"/>
                <w:sz w:val="24"/>
                <w:szCs w:val="24"/>
                <w:highlight w:val="none"/>
              </w:rPr>
              <w:t>近三年内（</w:t>
            </w:r>
            <w:r>
              <w:rPr>
                <w:sz w:val="24"/>
                <w:szCs w:val="24"/>
                <w:highlight w:val="none"/>
              </w:rPr>
              <w:t>2021</w:t>
            </w:r>
            <w:r>
              <w:rPr>
                <w:rFonts w:hint="eastAsia"/>
                <w:sz w:val="24"/>
                <w:szCs w:val="24"/>
                <w:highlight w:val="none"/>
              </w:rPr>
              <w:t>年0</w:t>
            </w:r>
            <w:r>
              <w:rPr>
                <w:sz w:val="24"/>
                <w:szCs w:val="24"/>
                <w:highlight w:val="none"/>
              </w:rPr>
              <w:t>3</w:t>
            </w:r>
            <w:r>
              <w:rPr>
                <w:rFonts w:hint="eastAsia"/>
                <w:sz w:val="24"/>
                <w:szCs w:val="24"/>
                <w:highlight w:val="none"/>
              </w:rPr>
              <w:t>月0</w:t>
            </w:r>
            <w:r>
              <w:rPr>
                <w:sz w:val="24"/>
                <w:szCs w:val="24"/>
                <w:highlight w:val="none"/>
              </w:rPr>
              <w:t>1</w:t>
            </w:r>
            <w:r>
              <w:rPr>
                <w:rFonts w:hint="eastAsia"/>
                <w:sz w:val="24"/>
                <w:szCs w:val="24"/>
                <w:highlight w:val="none"/>
              </w:rPr>
              <w:t>日起至今，以合同签订日期为准）完成类似项目的业绩，每个项目业绩得</w:t>
            </w:r>
            <w:r>
              <w:rPr>
                <w:sz w:val="24"/>
                <w:szCs w:val="24"/>
                <w:highlight w:val="none"/>
              </w:rPr>
              <w:t>2</w:t>
            </w:r>
            <w:r>
              <w:rPr>
                <w:rFonts w:hint="eastAsia"/>
                <w:sz w:val="24"/>
                <w:szCs w:val="24"/>
                <w:highlight w:val="none"/>
              </w:rPr>
              <w:t>分，最多得</w:t>
            </w:r>
            <w:r>
              <w:rPr>
                <w:sz w:val="24"/>
                <w:szCs w:val="24"/>
                <w:highlight w:val="none"/>
              </w:rPr>
              <w:t>4</w:t>
            </w:r>
            <w:r>
              <w:rPr>
                <w:rFonts w:hint="eastAsia"/>
                <w:sz w:val="24"/>
                <w:szCs w:val="24"/>
                <w:highlight w:val="none"/>
              </w:rPr>
              <w:t>分。</w:t>
            </w:r>
          </w:p>
          <w:p>
            <w:pPr>
              <w:widowControl/>
              <w:spacing w:line="400" w:lineRule="exact"/>
              <w:ind w:firstLine="482" w:firstLineChars="200"/>
              <w:textAlignment w:val="center"/>
              <w:rPr>
                <w:b/>
                <w:bCs/>
                <w:sz w:val="24"/>
                <w:szCs w:val="24"/>
                <w:highlight w:val="none"/>
              </w:rPr>
            </w:pPr>
            <w:r>
              <w:rPr>
                <w:rFonts w:hint="eastAsia"/>
                <w:b/>
                <w:bCs/>
                <w:sz w:val="24"/>
                <w:szCs w:val="24"/>
                <w:highlight w:val="none"/>
              </w:rPr>
              <w:t>注：①提供中标（成交）通知书和合同复印件，未按要求提供不得分；②同一单位近三年的类似合同不重复计算业绩，仅算一个业绩。</w:t>
            </w:r>
          </w:p>
        </w:tc>
        <w:tc>
          <w:tcPr>
            <w:tcW w:w="687" w:type="dxa"/>
            <w:tcMar>
              <w:top w:w="15" w:type="dxa"/>
              <w:left w:w="15" w:type="dxa"/>
              <w:right w:w="15" w:type="dxa"/>
            </w:tcMar>
            <w:vAlign w:val="center"/>
          </w:tcPr>
          <w:p>
            <w:pPr>
              <w:widowControl/>
              <w:spacing w:line="400" w:lineRule="exact"/>
              <w:jc w:val="center"/>
              <w:textAlignment w:val="center"/>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val="en-US" w:eastAsia="zh-CN"/>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p>
        </w:tc>
        <w:tc>
          <w:tcPr>
            <w:tcW w:w="1371" w:type="dxa"/>
            <w:tcMar>
              <w:top w:w="15" w:type="dxa"/>
              <w:left w:w="15" w:type="dxa"/>
              <w:right w:w="15" w:type="dxa"/>
            </w:tcMar>
            <w:vAlign w:val="center"/>
          </w:tcPr>
          <w:p>
            <w:pPr>
              <w:snapToGrid w:val="0"/>
              <w:spacing w:line="40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项目组织</w:t>
            </w:r>
          </w:p>
          <w:p>
            <w:pPr>
              <w:widowControl/>
              <w:spacing w:line="400" w:lineRule="exact"/>
              <w:jc w:val="center"/>
              <w:textAlignment w:val="center"/>
              <w:rPr>
                <w:sz w:val="24"/>
                <w:szCs w:val="24"/>
                <w:highlight w:val="none"/>
              </w:rPr>
            </w:pPr>
            <w:r>
              <w:rPr>
                <w:rFonts w:hint="eastAsia" w:ascii="宋体" w:hAnsi="宋体" w:eastAsia="宋体" w:cs="宋体"/>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sz w:val="24"/>
                <w:szCs w:val="24"/>
                <w:highlight w:val="none"/>
              </w:rPr>
            </w:pPr>
            <w:r>
              <w:rPr>
                <w:rFonts w:hint="eastAsia"/>
                <w:sz w:val="24"/>
                <w:szCs w:val="24"/>
                <w:highlight w:val="none"/>
              </w:rPr>
              <w:t>根据</w:t>
            </w:r>
            <w:r>
              <w:rPr>
                <w:rFonts w:hint="eastAsia"/>
                <w:sz w:val="24"/>
                <w:szCs w:val="24"/>
                <w:highlight w:val="none"/>
                <w:lang w:eastAsia="zh-CN"/>
              </w:rPr>
              <w:t>投标人</w:t>
            </w:r>
            <w:r>
              <w:rPr>
                <w:rFonts w:hint="eastAsia"/>
                <w:sz w:val="24"/>
                <w:szCs w:val="24"/>
                <w:highlight w:val="none"/>
              </w:rPr>
              <w:t>提供的项目组织方案进行评分：</w:t>
            </w:r>
          </w:p>
          <w:p>
            <w:pPr>
              <w:widowControl/>
              <w:spacing w:line="400" w:lineRule="exact"/>
              <w:ind w:firstLine="480" w:firstLineChars="200"/>
              <w:rPr>
                <w:sz w:val="24"/>
                <w:szCs w:val="24"/>
                <w:highlight w:val="none"/>
              </w:rPr>
            </w:pPr>
            <w:r>
              <w:rPr>
                <w:rFonts w:hint="eastAsia"/>
                <w:sz w:val="24"/>
                <w:szCs w:val="24"/>
                <w:highlight w:val="none"/>
              </w:rPr>
              <w:t>项目组织方案包括但不限于：①</w:t>
            </w:r>
            <w:r>
              <w:rPr>
                <w:rFonts w:hint="eastAsia" w:ascii="宋体" w:hAnsi="宋体" w:eastAsia="宋体" w:cs="宋体"/>
                <w:sz w:val="24"/>
                <w:szCs w:val="24"/>
                <w:highlight w:val="none"/>
              </w:rPr>
              <w:t>项目人员安排（包含但不限于主要人员名单及基本情况介绍、在本项目中承担的职责等）、②供货方案（包含但不限于产品来源、供货计划、供货时间、包装和运输方式等）、③质量管控方案（包括但不限于质量管控的标准、方法和程序等）、④测试（调试）方案（包含但不限于人员安排、测试步骤、测试标准等）</w:t>
            </w:r>
            <w:r>
              <w:rPr>
                <w:sz w:val="24"/>
                <w:szCs w:val="24"/>
                <w:highlight w:val="none"/>
              </w:rPr>
              <w:t>等</w:t>
            </w:r>
            <w:r>
              <w:rPr>
                <w:rFonts w:hint="eastAsia"/>
                <w:sz w:val="24"/>
                <w:szCs w:val="24"/>
                <w:highlight w:val="none"/>
              </w:rPr>
              <w:t>4项内容，方案内容完整齐全，符合项目实际（</w:t>
            </w:r>
            <w:r>
              <w:rPr>
                <w:rFonts w:hint="eastAsia" w:ascii="宋体" w:hAnsi="宋体" w:eastAsia="宋体" w:cs="宋体"/>
                <w:sz w:val="24"/>
                <w:szCs w:val="24"/>
                <w:highlight w:val="none"/>
              </w:rPr>
              <w:t>第六章“项目需求”</w:t>
            </w:r>
            <w:r>
              <w:rPr>
                <w:rFonts w:hint="eastAsia"/>
                <w:sz w:val="24"/>
                <w:szCs w:val="24"/>
                <w:highlight w:val="none"/>
              </w:rPr>
              <w:t>）的，得</w:t>
            </w:r>
            <w:r>
              <w:rPr>
                <w:sz w:val="24"/>
                <w:szCs w:val="24"/>
                <w:highlight w:val="none"/>
              </w:rPr>
              <w:t>12</w:t>
            </w:r>
            <w:r>
              <w:rPr>
                <w:rFonts w:hint="eastAsia"/>
                <w:sz w:val="24"/>
                <w:szCs w:val="24"/>
                <w:highlight w:val="none"/>
              </w:rPr>
              <w:t>分；每缺少一项方案内容，或一项内容存在缺陷的，每一项扣</w:t>
            </w:r>
            <w:r>
              <w:rPr>
                <w:sz w:val="24"/>
                <w:szCs w:val="24"/>
                <w:highlight w:val="none"/>
              </w:rPr>
              <w:t>3</w:t>
            </w:r>
            <w:r>
              <w:rPr>
                <w:rFonts w:hint="eastAsia"/>
                <w:sz w:val="24"/>
                <w:szCs w:val="24"/>
                <w:highlight w:val="none"/>
              </w:rPr>
              <w:t>分，扣完为止；未提供项目组织方案的，此项不得分。</w:t>
            </w:r>
          </w:p>
          <w:p>
            <w:pPr>
              <w:widowControl/>
              <w:spacing w:line="400" w:lineRule="exact"/>
              <w:ind w:firstLine="482" w:firstLineChars="200"/>
              <w:rPr>
                <w:b/>
                <w:bCs/>
                <w:sz w:val="24"/>
                <w:szCs w:val="24"/>
                <w:highlight w:val="none"/>
              </w:rPr>
            </w:pPr>
            <w:r>
              <w:rPr>
                <w:rFonts w:hint="eastAsia"/>
                <w:b/>
                <w:bCs/>
                <w:sz w:val="24"/>
                <w:szCs w:val="24"/>
                <w:highlight w:val="none"/>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r>
              <w:rPr>
                <w:rFonts w:ascii="宋体" w:hAnsi="宋体" w:eastAsia="宋体" w:cs="宋体"/>
                <w:kern w:val="0"/>
                <w:sz w:val="24"/>
                <w:szCs w:val="24"/>
                <w:highlight w:val="none"/>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宋体" w:hAnsi="宋体" w:eastAsia="宋体" w:cs="宋体"/>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技术培训</w:t>
            </w:r>
          </w:p>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sz w:val="24"/>
                <w:szCs w:val="24"/>
                <w:highlight w:val="none"/>
              </w:rPr>
            </w:pPr>
            <w:r>
              <w:rPr>
                <w:rFonts w:hint="eastAsia"/>
                <w:sz w:val="24"/>
                <w:szCs w:val="24"/>
                <w:highlight w:val="none"/>
              </w:rPr>
              <w:t>根据</w:t>
            </w:r>
            <w:r>
              <w:rPr>
                <w:rFonts w:hint="eastAsia"/>
                <w:sz w:val="24"/>
                <w:szCs w:val="24"/>
                <w:highlight w:val="none"/>
                <w:lang w:eastAsia="zh-CN"/>
              </w:rPr>
              <w:t>投标人</w:t>
            </w:r>
            <w:r>
              <w:rPr>
                <w:rFonts w:hint="eastAsia"/>
                <w:sz w:val="24"/>
                <w:szCs w:val="24"/>
                <w:highlight w:val="none"/>
              </w:rPr>
              <w:t>提供的技术培训方案进行评分：</w:t>
            </w:r>
          </w:p>
          <w:p>
            <w:pPr>
              <w:widowControl/>
              <w:spacing w:line="400" w:lineRule="exact"/>
              <w:ind w:firstLine="480" w:firstLineChars="200"/>
              <w:rPr>
                <w:sz w:val="24"/>
                <w:szCs w:val="24"/>
                <w:highlight w:val="none"/>
              </w:rPr>
            </w:pPr>
            <w:r>
              <w:rPr>
                <w:rFonts w:hint="eastAsia"/>
                <w:sz w:val="24"/>
                <w:szCs w:val="24"/>
                <w:highlight w:val="none"/>
              </w:rPr>
              <w:t>技术培训方案包括但不限于</w:t>
            </w:r>
            <w:r>
              <w:rPr>
                <w:rFonts w:ascii="宋体" w:hAnsi="宋体" w:eastAsia="宋体" w:cs="宋体"/>
                <w:sz w:val="24"/>
                <w:szCs w:val="24"/>
                <w:highlight w:val="none"/>
              </w:rPr>
              <w:t>培训内容</w:t>
            </w:r>
            <w:r>
              <w:rPr>
                <w:rFonts w:hint="eastAsia" w:ascii="宋体" w:hAnsi="宋体" w:eastAsia="宋体" w:cs="宋体"/>
                <w:sz w:val="24"/>
                <w:szCs w:val="24"/>
                <w:highlight w:val="none"/>
              </w:rPr>
              <w:t>、</w:t>
            </w:r>
            <w:r>
              <w:rPr>
                <w:rFonts w:ascii="宋体" w:hAnsi="宋体" w:eastAsia="宋体" w:cs="宋体"/>
                <w:sz w:val="24"/>
                <w:szCs w:val="24"/>
                <w:highlight w:val="none"/>
              </w:rPr>
              <w:t>培训方式</w:t>
            </w:r>
            <w:r>
              <w:rPr>
                <w:rFonts w:hint="eastAsia" w:ascii="宋体" w:hAnsi="宋体" w:eastAsia="宋体" w:cs="宋体"/>
                <w:sz w:val="24"/>
                <w:szCs w:val="24"/>
                <w:highlight w:val="none"/>
              </w:rPr>
              <w:t>、</w:t>
            </w:r>
            <w:r>
              <w:rPr>
                <w:rFonts w:ascii="宋体" w:hAnsi="宋体" w:eastAsia="宋体" w:cs="宋体"/>
                <w:sz w:val="24"/>
                <w:szCs w:val="24"/>
                <w:highlight w:val="none"/>
              </w:rPr>
              <w:t>培训计划</w:t>
            </w:r>
            <w:r>
              <w:rPr>
                <w:rFonts w:hint="eastAsia" w:ascii="宋体" w:hAnsi="宋体" w:eastAsia="宋体" w:cs="宋体"/>
                <w:sz w:val="24"/>
                <w:szCs w:val="24"/>
                <w:highlight w:val="none"/>
              </w:rPr>
              <w:t>、</w:t>
            </w:r>
            <w:r>
              <w:rPr>
                <w:rFonts w:ascii="宋体" w:hAnsi="宋体" w:eastAsia="宋体" w:cs="宋体"/>
                <w:sz w:val="24"/>
                <w:szCs w:val="24"/>
                <w:highlight w:val="none"/>
              </w:rPr>
              <w:t>培训团队人员配置</w:t>
            </w:r>
            <w:r>
              <w:rPr>
                <w:sz w:val="24"/>
                <w:szCs w:val="24"/>
                <w:highlight w:val="none"/>
              </w:rPr>
              <w:t>等</w:t>
            </w:r>
            <w:r>
              <w:rPr>
                <w:rFonts w:hint="eastAsia"/>
                <w:sz w:val="24"/>
                <w:szCs w:val="24"/>
                <w:highlight w:val="none"/>
              </w:rPr>
              <w:t>4项内容，方案内容完整齐全，符合项目实际的，得</w:t>
            </w:r>
            <w:r>
              <w:rPr>
                <w:sz w:val="24"/>
                <w:szCs w:val="24"/>
                <w:highlight w:val="none"/>
              </w:rPr>
              <w:t>10</w:t>
            </w:r>
            <w:r>
              <w:rPr>
                <w:rFonts w:hint="eastAsia"/>
                <w:sz w:val="24"/>
                <w:szCs w:val="24"/>
                <w:highlight w:val="none"/>
              </w:rPr>
              <w:t>分；每缺少一项方案内容，或一项内容存在缺陷的，每一项扣</w:t>
            </w:r>
            <w:r>
              <w:rPr>
                <w:sz w:val="24"/>
                <w:szCs w:val="24"/>
                <w:highlight w:val="none"/>
              </w:rPr>
              <w:t>2.5</w:t>
            </w:r>
            <w:r>
              <w:rPr>
                <w:rFonts w:hint="eastAsia"/>
                <w:sz w:val="24"/>
                <w:szCs w:val="24"/>
                <w:highlight w:val="none"/>
              </w:rPr>
              <w:t>分，扣完为止；未提供技术培训方案的，此项不得分。</w:t>
            </w:r>
          </w:p>
          <w:p>
            <w:pPr>
              <w:snapToGrid w:val="0"/>
              <w:spacing w:line="400" w:lineRule="exact"/>
              <w:ind w:firstLine="482" w:firstLineChars="200"/>
              <w:rPr>
                <w:rFonts w:ascii="宋体" w:hAnsi="宋体" w:eastAsia="宋体" w:cs="宋体"/>
                <w:kern w:val="0"/>
                <w:sz w:val="24"/>
                <w:szCs w:val="24"/>
                <w:highlight w:val="none"/>
              </w:rPr>
            </w:pPr>
            <w:r>
              <w:rPr>
                <w:rFonts w:hint="eastAsia"/>
                <w:b/>
                <w:bCs/>
                <w:sz w:val="24"/>
                <w:szCs w:val="24"/>
                <w:highlight w:val="none"/>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ascii="宋体" w:hAnsi="宋体" w:eastAsia="宋体" w:cs="宋体"/>
                <w:sz w:val="24"/>
                <w:szCs w:val="24"/>
                <w:highlight w:val="none"/>
              </w:rPr>
            </w:pPr>
            <w:r>
              <w:rPr>
                <w:rFonts w:ascii="宋体" w:hAnsi="宋体" w:eastAsia="宋体" w:cs="宋体"/>
                <w:sz w:val="24"/>
                <w:szCs w:val="24"/>
                <w:highlight w:val="none"/>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宋体" w:hAnsi="宋体" w:eastAsia="宋体" w:cs="宋体"/>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售后服务</w:t>
            </w:r>
          </w:p>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sz w:val="24"/>
                <w:szCs w:val="24"/>
                <w:highlight w:val="none"/>
              </w:rPr>
            </w:pPr>
            <w:r>
              <w:rPr>
                <w:rFonts w:hint="eastAsia"/>
                <w:sz w:val="24"/>
                <w:szCs w:val="24"/>
                <w:highlight w:val="none"/>
              </w:rPr>
              <w:t>根据</w:t>
            </w:r>
            <w:r>
              <w:rPr>
                <w:rFonts w:hint="eastAsia"/>
                <w:sz w:val="24"/>
                <w:szCs w:val="24"/>
                <w:highlight w:val="none"/>
                <w:lang w:eastAsia="zh-CN"/>
              </w:rPr>
              <w:t>投标人</w:t>
            </w:r>
            <w:r>
              <w:rPr>
                <w:rFonts w:hint="eastAsia"/>
                <w:sz w:val="24"/>
                <w:szCs w:val="24"/>
                <w:highlight w:val="none"/>
              </w:rPr>
              <w:t>提供的售后服务方案进行评分：</w:t>
            </w:r>
          </w:p>
          <w:p>
            <w:pPr>
              <w:widowControl/>
              <w:spacing w:line="400" w:lineRule="exact"/>
              <w:ind w:firstLine="480" w:firstLineChars="200"/>
              <w:rPr>
                <w:sz w:val="24"/>
                <w:szCs w:val="24"/>
                <w:highlight w:val="none"/>
              </w:rPr>
            </w:pPr>
            <w:r>
              <w:rPr>
                <w:rFonts w:hint="eastAsia"/>
                <w:sz w:val="24"/>
                <w:szCs w:val="24"/>
                <w:highlight w:val="none"/>
              </w:rPr>
              <w:t>项目售后服务方案包括但不限于</w:t>
            </w:r>
            <w:r>
              <w:rPr>
                <w:rFonts w:hint="eastAsia" w:ascii="宋体" w:hAnsi="宋体" w:eastAsia="宋体" w:cs="宋体"/>
                <w:sz w:val="24"/>
                <w:szCs w:val="24"/>
                <w:highlight w:val="none"/>
              </w:rPr>
              <w:t>售后</w:t>
            </w:r>
            <w:r>
              <w:rPr>
                <w:rFonts w:ascii="宋体" w:hAnsi="宋体" w:eastAsia="宋体" w:cs="宋体"/>
                <w:sz w:val="24"/>
                <w:szCs w:val="24"/>
                <w:highlight w:val="none"/>
              </w:rPr>
              <w:t>服务承诺</w:t>
            </w:r>
            <w:r>
              <w:rPr>
                <w:rFonts w:hint="eastAsia" w:ascii="宋体" w:hAnsi="宋体" w:eastAsia="宋体" w:cs="宋体"/>
                <w:sz w:val="24"/>
                <w:szCs w:val="24"/>
                <w:highlight w:val="none"/>
              </w:rPr>
              <w:t>、</w:t>
            </w:r>
            <w:r>
              <w:rPr>
                <w:rFonts w:ascii="宋体" w:hAnsi="宋体" w:eastAsia="宋体" w:cs="宋体"/>
                <w:sz w:val="24"/>
                <w:szCs w:val="24"/>
                <w:highlight w:val="none"/>
              </w:rPr>
              <w:t>服务响应方案</w:t>
            </w:r>
            <w:r>
              <w:rPr>
                <w:rFonts w:hint="eastAsia" w:ascii="宋体" w:hAnsi="宋体" w:eastAsia="宋体" w:cs="宋体"/>
                <w:sz w:val="24"/>
                <w:szCs w:val="24"/>
                <w:highlight w:val="none"/>
              </w:rPr>
              <w:t>、</w:t>
            </w:r>
            <w:r>
              <w:rPr>
                <w:rFonts w:ascii="宋体" w:hAnsi="宋体" w:eastAsia="宋体" w:cs="宋体"/>
                <w:sz w:val="24"/>
                <w:szCs w:val="24"/>
                <w:highlight w:val="none"/>
              </w:rPr>
              <w:t>备件（易耗品）供应方案</w:t>
            </w:r>
            <w:r>
              <w:rPr>
                <w:rFonts w:hint="eastAsia" w:ascii="宋体" w:hAnsi="宋体" w:eastAsia="宋体" w:cs="宋体"/>
                <w:sz w:val="24"/>
                <w:szCs w:val="24"/>
                <w:highlight w:val="none"/>
              </w:rPr>
              <w:t>（含备件价格）、</w:t>
            </w:r>
            <w:r>
              <w:rPr>
                <w:rFonts w:ascii="宋体" w:hAnsi="宋体" w:eastAsia="宋体" w:cs="宋体"/>
                <w:sz w:val="24"/>
                <w:szCs w:val="24"/>
                <w:highlight w:val="none"/>
              </w:rPr>
              <w:t>服务人员配备</w:t>
            </w:r>
            <w:r>
              <w:rPr>
                <w:rFonts w:hint="eastAsia" w:ascii="宋体" w:hAnsi="宋体" w:eastAsia="宋体" w:cs="宋体"/>
                <w:sz w:val="24"/>
                <w:szCs w:val="24"/>
                <w:highlight w:val="none"/>
              </w:rPr>
              <w:t>、</w:t>
            </w:r>
            <w:r>
              <w:rPr>
                <w:rFonts w:ascii="宋体" w:hAnsi="宋体" w:eastAsia="宋体" w:cs="宋体"/>
                <w:sz w:val="24"/>
                <w:szCs w:val="24"/>
                <w:highlight w:val="none"/>
              </w:rPr>
              <w:t>故障响应</w:t>
            </w:r>
            <w:r>
              <w:rPr>
                <w:rFonts w:hint="eastAsia" w:ascii="宋体" w:hAnsi="宋体" w:eastAsia="宋体" w:cs="宋体"/>
                <w:sz w:val="24"/>
                <w:szCs w:val="24"/>
                <w:highlight w:val="none"/>
              </w:rPr>
              <w:t>措施、</w:t>
            </w:r>
            <w:r>
              <w:rPr>
                <w:rFonts w:ascii="宋体" w:hAnsi="宋体" w:eastAsia="宋体" w:cs="宋体"/>
                <w:sz w:val="24"/>
                <w:szCs w:val="24"/>
                <w:highlight w:val="none"/>
              </w:rPr>
              <w:t>质保外服务措施</w:t>
            </w:r>
            <w:r>
              <w:rPr>
                <w:sz w:val="24"/>
                <w:szCs w:val="24"/>
                <w:highlight w:val="none"/>
              </w:rPr>
              <w:t>等</w:t>
            </w:r>
            <w:r>
              <w:rPr>
                <w:rFonts w:hint="eastAsia"/>
                <w:sz w:val="24"/>
                <w:szCs w:val="24"/>
                <w:highlight w:val="none"/>
              </w:rPr>
              <w:t>6项内容，方案内容完整齐全，符合项目实际的，得</w:t>
            </w:r>
            <w:r>
              <w:rPr>
                <w:rFonts w:hint="eastAsia"/>
                <w:sz w:val="24"/>
                <w:szCs w:val="24"/>
                <w:highlight w:val="none"/>
                <w:lang w:val="en-US" w:eastAsia="zh-CN"/>
              </w:rPr>
              <w:t>6</w:t>
            </w:r>
            <w:r>
              <w:rPr>
                <w:rFonts w:hint="eastAsia"/>
                <w:sz w:val="24"/>
                <w:szCs w:val="24"/>
                <w:highlight w:val="none"/>
              </w:rPr>
              <w:t>分；每缺少一项方案内容，或一项内容存在缺陷的，每一项扣</w:t>
            </w:r>
            <w:r>
              <w:rPr>
                <w:rFonts w:hint="eastAsia"/>
                <w:sz w:val="24"/>
                <w:szCs w:val="24"/>
                <w:highlight w:val="none"/>
                <w:lang w:val="en-US" w:eastAsia="zh-CN"/>
              </w:rPr>
              <w:t>1</w:t>
            </w:r>
            <w:r>
              <w:rPr>
                <w:rFonts w:hint="eastAsia"/>
                <w:sz w:val="24"/>
                <w:szCs w:val="24"/>
                <w:highlight w:val="none"/>
              </w:rPr>
              <w:t>分，扣完为止；未提供售后服务方案的，此项不得分。</w:t>
            </w:r>
          </w:p>
          <w:p>
            <w:pPr>
              <w:snapToGrid w:val="0"/>
              <w:spacing w:line="400" w:lineRule="exact"/>
              <w:ind w:firstLine="482" w:firstLineChars="200"/>
              <w:rPr>
                <w:rFonts w:ascii="宋体" w:hAnsi="宋体" w:eastAsia="宋体" w:cs="宋体"/>
                <w:sz w:val="24"/>
                <w:szCs w:val="24"/>
                <w:highlight w:val="none"/>
              </w:rPr>
            </w:pPr>
            <w:r>
              <w:rPr>
                <w:rFonts w:hint="eastAsia"/>
                <w:b/>
                <w:bCs/>
                <w:sz w:val="24"/>
                <w:szCs w:val="24"/>
                <w:highlight w:val="none"/>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snapToGrid w:val="0"/>
              <w:spacing w:line="400" w:lineRule="exac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2"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宋体" w:hAnsi="宋体" w:eastAsia="宋体" w:cs="宋体"/>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r>
              <w:rPr>
                <w:rFonts w:hint="eastAsia" w:cs="Times New Roman"/>
                <w:color w:val="auto"/>
                <w:sz w:val="24"/>
                <w:szCs w:val="24"/>
                <w:highlight w:val="none"/>
                <w:lang w:val="en-US" w:eastAsia="zh-CN"/>
              </w:rPr>
              <w:t>投标</w:t>
            </w:r>
            <w:r>
              <w:rPr>
                <w:rFonts w:hint="default" w:ascii="Times New Roman" w:hAnsi="Times New Roman" w:eastAsia="宋体" w:cs="Times New Roman"/>
                <w:color w:val="auto"/>
                <w:sz w:val="24"/>
                <w:szCs w:val="24"/>
                <w:highlight w:val="none"/>
                <w:lang w:val="en-US" w:eastAsia="zh-CN"/>
              </w:rPr>
              <w:t>样品视频</w:t>
            </w:r>
            <w:r>
              <w:rPr>
                <w:rFonts w:hint="eastAsia" w:cs="Times New Roman"/>
                <w:color w:val="auto"/>
                <w:sz w:val="24"/>
                <w:szCs w:val="24"/>
                <w:highlight w:val="none"/>
                <w:lang w:val="en-US" w:eastAsia="zh-CN"/>
              </w:rPr>
              <w:t>评价</w:t>
            </w:r>
          </w:p>
        </w:tc>
        <w:tc>
          <w:tcPr>
            <w:tcW w:w="5954" w:type="dxa"/>
            <w:tcMar>
              <w:top w:w="15" w:type="dxa"/>
              <w:left w:w="15" w:type="dxa"/>
              <w:right w:w="15" w:type="dxa"/>
            </w:tcMar>
            <w:vAlign w:val="center"/>
          </w:tcPr>
          <w:p>
            <w:pPr>
              <w:adjustRightInd w:val="0"/>
              <w:snapToGrid w:val="0"/>
              <w:spacing w:line="400" w:lineRule="exact"/>
              <w:ind w:firstLine="480" w:firstLineChars="200"/>
              <w:jc w:val="left"/>
              <w:rPr>
                <w:rFonts w:ascii="宋体" w:hAnsi="宋体" w:cs="宋体"/>
                <w:color w:val="000000"/>
                <w:sz w:val="24"/>
                <w:szCs w:val="24"/>
                <w:highlight w:val="none"/>
              </w:rPr>
            </w:pPr>
            <w:r>
              <w:rPr>
                <w:rFonts w:hint="eastAsia" w:ascii="宋体" w:hAnsi="宋体" w:cs="宋体"/>
                <w:color w:val="000000"/>
                <w:sz w:val="24"/>
                <w:szCs w:val="24"/>
                <w:highlight w:val="none"/>
              </w:rPr>
              <w:t>样品视频分：评标委员会通过观看投标人装备样品视频讲解的方式，考评投标产品的</w:t>
            </w:r>
            <w:r>
              <w:rPr>
                <w:rFonts w:hint="eastAsia" w:ascii="宋体" w:hAnsi="宋体" w:cs="宋体"/>
                <w:color w:val="000000"/>
                <w:sz w:val="24"/>
                <w:szCs w:val="24"/>
                <w:highlight w:val="none"/>
                <w:lang w:val="en-US" w:eastAsia="zh-CN"/>
              </w:rPr>
              <w:t>①、使用材质；②、制作工艺水平；③使用功能演示；④有无操作安全隐患。</w:t>
            </w:r>
            <w:r>
              <w:rPr>
                <w:rFonts w:hint="eastAsia" w:ascii="宋体" w:hAnsi="宋体" w:cs="宋体"/>
                <w:color w:val="000000"/>
                <w:sz w:val="24"/>
                <w:szCs w:val="24"/>
                <w:highlight w:val="none"/>
              </w:rPr>
              <w:t>各项性能完备的得8分，提供的样品视频中每有一项或一处存在瑕疵或不满足技术参数要求或不符合采购人使用需求的扣</w:t>
            </w:r>
            <w:r>
              <w:rPr>
                <w:rFonts w:hint="eastAsia" w:ascii="宋体" w:hAnsi="宋体" w:cs="宋体"/>
                <w:color w:val="000000"/>
                <w:sz w:val="24"/>
                <w:szCs w:val="24"/>
                <w:highlight w:val="none"/>
                <w:lang w:val="en-US" w:eastAsia="zh-CN"/>
              </w:rPr>
              <w:t>2</w:t>
            </w:r>
            <w:r>
              <w:rPr>
                <w:rFonts w:hint="eastAsia" w:ascii="宋体" w:hAnsi="宋体" w:cs="宋体"/>
                <w:color w:val="000000"/>
                <w:sz w:val="24"/>
                <w:szCs w:val="24"/>
                <w:highlight w:val="none"/>
              </w:rPr>
              <w:t>分，扣完为止。</w:t>
            </w:r>
          </w:p>
          <w:p>
            <w:pPr>
              <w:widowControl/>
              <w:spacing w:line="400" w:lineRule="exact"/>
              <w:ind w:firstLine="480" w:firstLineChars="200"/>
              <w:rPr>
                <w:sz w:val="24"/>
                <w:szCs w:val="24"/>
                <w:highlight w:val="none"/>
              </w:rPr>
            </w:pPr>
            <w:r>
              <w:rPr>
                <w:rFonts w:hint="eastAsia" w:ascii="宋体" w:hAnsi="宋体" w:cs="宋体"/>
                <w:color w:val="000000"/>
                <w:sz w:val="24"/>
                <w:szCs w:val="24"/>
                <w:highlight w:val="none"/>
              </w:rPr>
              <w:t>注：投标人须完全按照采购文件要求递交装备样品讲解视频，凡出现下列情况的得分均为0分：①无讲解视频的；②讲解视频中样品不符合文件要求的；③讲解视频中透露品牌型号的。</w:t>
            </w:r>
          </w:p>
        </w:tc>
        <w:tc>
          <w:tcPr>
            <w:tcW w:w="687" w:type="dxa"/>
            <w:tcMar>
              <w:top w:w="15" w:type="dxa"/>
              <w:left w:w="15" w:type="dxa"/>
              <w:right w:w="15" w:type="dxa"/>
            </w:tcMar>
            <w:vAlign w:val="center"/>
          </w:tcPr>
          <w:p>
            <w:pPr>
              <w:snapToGrid w:val="0"/>
              <w:spacing w:line="40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jc w:val="center"/>
        </w:trPr>
        <w:tc>
          <w:tcPr>
            <w:tcW w:w="9109" w:type="dxa"/>
            <w:gridSpan w:val="4"/>
            <w:tcMar>
              <w:top w:w="15" w:type="dxa"/>
              <w:left w:w="15" w:type="dxa"/>
              <w:right w:w="15" w:type="dxa"/>
            </w:tcMar>
            <w:vAlign w:val="center"/>
          </w:tcPr>
          <w:p>
            <w:pPr>
              <w:widowControl/>
              <w:spacing w:line="400" w:lineRule="exact"/>
              <w:jc w:val="center"/>
              <w:textAlignment w:val="center"/>
              <w:rPr>
                <w:rFonts w:ascii="宋体" w:hAnsi="宋体" w:eastAsia="宋体" w:cs="宋体"/>
                <w:sz w:val="24"/>
                <w:szCs w:val="24"/>
                <w:highlight w:val="none"/>
              </w:rPr>
            </w:pPr>
            <w:r>
              <w:rPr>
                <w:rFonts w:hint="eastAsia" w:ascii="宋体" w:hAnsi="宋体" w:eastAsia="宋体" w:cs="宋体"/>
                <w:kern w:val="0"/>
                <w:sz w:val="24"/>
                <w:szCs w:val="24"/>
                <w:highlight w:val="none"/>
              </w:rPr>
              <w:t>合计：100分</w:t>
            </w:r>
          </w:p>
        </w:tc>
      </w:tr>
    </w:tbl>
    <w:p>
      <w:pPr>
        <w:pStyle w:val="4"/>
        <w:rPr>
          <w:rFonts w:ascii="宋体" w:hAnsi="宋体" w:eastAsia="宋体" w:cs="宋体"/>
          <w:b/>
          <w:sz w:val="24"/>
          <w:szCs w:val="24"/>
          <w:highlight w:val="none"/>
        </w:rPr>
      </w:pPr>
    </w:p>
    <w:p>
      <w:pPr>
        <w:rPr>
          <w:highlight w:val="none"/>
        </w:rPr>
      </w:pPr>
    </w:p>
    <w:p>
      <w:pPr>
        <w:pStyle w:val="4"/>
        <w:rPr>
          <w:rFonts w:ascii="宋体" w:hAnsi="宋体" w:eastAsia="宋体" w:cs="宋体"/>
          <w:b/>
          <w:sz w:val="24"/>
          <w:szCs w:val="24"/>
          <w:highlight w:val="none"/>
        </w:rPr>
      </w:pPr>
    </w:p>
    <w:p>
      <w:pPr>
        <w:pStyle w:val="4"/>
        <w:rPr>
          <w:rFonts w:ascii="宋体" w:hAnsi="宋体" w:eastAsia="宋体" w:cs="宋体"/>
          <w:b/>
          <w:sz w:val="24"/>
          <w:szCs w:val="24"/>
          <w:highlight w:val="none"/>
        </w:rPr>
      </w:pPr>
    </w:p>
    <w:p>
      <w:pPr>
        <w:pStyle w:val="4"/>
        <w:rPr>
          <w:rFonts w:ascii="宋体" w:hAnsi="宋体" w:eastAsia="宋体" w:cs="宋体"/>
          <w:b/>
          <w:sz w:val="24"/>
          <w:szCs w:val="24"/>
          <w:highlight w:val="none"/>
        </w:rPr>
      </w:pPr>
    </w:p>
    <w:p>
      <w:pPr>
        <w:pStyle w:val="4"/>
        <w:rPr>
          <w:rFonts w:ascii="宋体" w:hAnsi="宋体" w:eastAsia="宋体" w:cs="宋体"/>
          <w:b/>
          <w:sz w:val="24"/>
          <w:szCs w:val="24"/>
          <w:highlight w:val="none"/>
        </w:rPr>
      </w:pPr>
    </w:p>
    <w:p>
      <w:pPr>
        <w:rPr>
          <w:highlight w:val="none"/>
        </w:rPr>
      </w:pPr>
    </w:p>
    <w:p>
      <w:pPr>
        <w:rPr>
          <w:highlight w:val="none"/>
        </w:rPr>
      </w:pPr>
    </w:p>
    <w:p>
      <w:pPr>
        <w:rPr>
          <w:highlight w:val="none"/>
        </w:rPr>
      </w:pPr>
    </w:p>
    <w:p>
      <w:pPr>
        <w:rPr>
          <w:highlight w:val="none"/>
        </w:rPr>
      </w:pPr>
    </w:p>
    <w:p>
      <w:pPr>
        <w:rPr>
          <w:highlight w:val="none"/>
        </w:rPr>
      </w:pPr>
    </w:p>
    <w:p>
      <w:pPr>
        <w:pStyle w:val="4"/>
        <w:rPr>
          <w:rFonts w:hint="eastAsia" w:ascii="宋体" w:hAnsi="宋体" w:eastAsia="宋体" w:cs="宋体"/>
          <w:b/>
          <w:sz w:val="24"/>
          <w:szCs w:val="24"/>
          <w:highlight w:val="none"/>
        </w:rPr>
      </w:pPr>
    </w:p>
    <w:p>
      <w:pPr>
        <w:pStyle w:val="4"/>
        <w:rPr>
          <w:rFonts w:ascii="宋体" w:hAnsi="宋体" w:eastAsia="宋体" w:cs="宋体"/>
          <w:b/>
          <w:sz w:val="24"/>
          <w:szCs w:val="24"/>
          <w:highlight w:val="none"/>
        </w:rPr>
      </w:pPr>
      <w:r>
        <w:rPr>
          <w:rFonts w:hint="eastAsia" w:ascii="宋体" w:hAnsi="宋体" w:eastAsia="宋体" w:cs="宋体"/>
          <w:b/>
          <w:sz w:val="24"/>
          <w:szCs w:val="24"/>
          <w:highlight w:val="none"/>
        </w:rPr>
        <w:t>第</w:t>
      </w:r>
      <w:r>
        <w:rPr>
          <w:rFonts w:hint="eastAsia" w:ascii="宋体" w:hAnsi="宋体" w:eastAsia="宋体" w:cs="宋体"/>
          <w:b/>
          <w:sz w:val="24"/>
          <w:szCs w:val="24"/>
          <w:highlight w:val="none"/>
          <w:lang w:val="en-US" w:eastAsia="zh-CN"/>
        </w:rPr>
        <w:t>十四</w:t>
      </w:r>
      <w:r>
        <w:rPr>
          <w:rFonts w:hint="eastAsia" w:ascii="宋体" w:hAnsi="宋体" w:eastAsia="宋体" w:cs="宋体"/>
          <w:b/>
          <w:sz w:val="24"/>
          <w:szCs w:val="24"/>
          <w:highlight w:val="none"/>
        </w:rPr>
        <w:t>包评分标准：</w:t>
      </w:r>
    </w:p>
    <w:tbl>
      <w:tblPr>
        <w:tblStyle w:val="38"/>
        <w:tblW w:w="91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5954"/>
        <w:gridCol w:w="6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宋体" w:hAnsi="宋体" w:eastAsia="宋体" w:cs="宋体"/>
                <w:b/>
                <w:sz w:val="24"/>
                <w:szCs w:val="24"/>
                <w:highlight w:val="none"/>
              </w:rPr>
            </w:pPr>
            <w:r>
              <w:rPr>
                <w:rFonts w:hint="eastAsia" w:ascii="宋体" w:hAnsi="宋体" w:eastAsia="宋体" w:cs="宋体"/>
                <w:b/>
                <w:kern w:val="0"/>
                <w:sz w:val="24"/>
                <w:szCs w:val="24"/>
                <w:highlight w:val="none"/>
              </w:rPr>
              <w:t>评分因素及权重</w:t>
            </w:r>
          </w:p>
        </w:tc>
        <w:tc>
          <w:tcPr>
            <w:tcW w:w="1371" w:type="dxa"/>
            <w:tcMar>
              <w:top w:w="15" w:type="dxa"/>
              <w:left w:w="15" w:type="dxa"/>
              <w:right w:w="15" w:type="dxa"/>
            </w:tcMar>
            <w:vAlign w:val="center"/>
          </w:tcPr>
          <w:p>
            <w:pPr>
              <w:widowControl/>
              <w:spacing w:line="400" w:lineRule="exact"/>
              <w:jc w:val="center"/>
              <w:textAlignment w:val="center"/>
              <w:rPr>
                <w:rFonts w:ascii="宋体" w:hAnsi="宋体" w:eastAsia="宋体" w:cs="宋体"/>
                <w:b/>
                <w:sz w:val="24"/>
                <w:szCs w:val="24"/>
                <w:highlight w:val="none"/>
              </w:rPr>
            </w:pPr>
            <w:r>
              <w:rPr>
                <w:rFonts w:hint="eastAsia" w:ascii="宋体" w:hAnsi="宋体" w:eastAsia="宋体" w:cs="宋体"/>
                <w:b/>
                <w:kern w:val="0"/>
                <w:sz w:val="24"/>
                <w:szCs w:val="24"/>
                <w:highlight w:val="none"/>
              </w:rPr>
              <w:t>评标因素</w:t>
            </w:r>
          </w:p>
        </w:tc>
        <w:tc>
          <w:tcPr>
            <w:tcW w:w="5954" w:type="dxa"/>
            <w:tcMar>
              <w:top w:w="15" w:type="dxa"/>
              <w:left w:w="15" w:type="dxa"/>
              <w:right w:w="15" w:type="dxa"/>
            </w:tcMar>
            <w:vAlign w:val="center"/>
          </w:tcPr>
          <w:p>
            <w:pPr>
              <w:widowControl/>
              <w:spacing w:line="400" w:lineRule="exact"/>
              <w:jc w:val="center"/>
              <w:textAlignment w:val="center"/>
              <w:rPr>
                <w:rFonts w:ascii="宋体" w:hAnsi="宋体" w:eastAsia="宋体" w:cs="宋体"/>
                <w:b/>
                <w:sz w:val="24"/>
                <w:szCs w:val="24"/>
                <w:highlight w:val="none"/>
              </w:rPr>
            </w:pPr>
            <w:r>
              <w:rPr>
                <w:rFonts w:hint="eastAsia" w:ascii="宋体" w:hAnsi="宋体" w:eastAsia="宋体" w:cs="宋体"/>
                <w:b/>
                <w:kern w:val="0"/>
                <w:sz w:val="24"/>
                <w:szCs w:val="24"/>
                <w:highlight w:val="none"/>
              </w:rPr>
              <w:t>评分标准</w:t>
            </w:r>
          </w:p>
        </w:tc>
        <w:tc>
          <w:tcPr>
            <w:tcW w:w="687" w:type="dxa"/>
            <w:tcMar>
              <w:top w:w="15" w:type="dxa"/>
              <w:left w:w="15" w:type="dxa"/>
              <w:right w:w="15" w:type="dxa"/>
            </w:tcMar>
            <w:vAlign w:val="center"/>
          </w:tcPr>
          <w:p>
            <w:pPr>
              <w:widowControl/>
              <w:spacing w:line="400" w:lineRule="exact"/>
              <w:jc w:val="center"/>
              <w:textAlignment w:val="center"/>
              <w:rPr>
                <w:rFonts w:ascii="宋体" w:hAnsi="宋体" w:eastAsia="宋体" w:cs="宋体"/>
                <w:b/>
                <w:sz w:val="24"/>
                <w:szCs w:val="24"/>
                <w:highlight w:val="none"/>
              </w:rPr>
            </w:pPr>
            <w:r>
              <w:rPr>
                <w:rFonts w:hint="eastAsia" w:ascii="宋体" w:hAnsi="宋体" w:eastAsia="宋体" w:cs="宋体"/>
                <w:b/>
                <w:kern w:val="0"/>
                <w:sz w:val="24"/>
                <w:szCs w:val="24"/>
                <w:highlight w:val="none"/>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宋体" w:hAnsi="宋体" w:eastAsia="宋体" w:cs="宋体"/>
                <w:sz w:val="24"/>
                <w:szCs w:val="24"/>
                <w:highlight w:val="none"/>
              </w:rPr>
            </w:pPr>
            <w:r>
              <w:rPr>
                <w:rFonts w:hint="eastAsia" w:ascii="宋体" w:hAnsi="宋体" w:eastAsia="宋体" w:cs="宋体"/>
                <w:kern w:val="0"/>
                <w:sz w:val="24"/>
                <w:szCs w:val="24"/>
                <w:highlight w:val="none"/>
              </w:rPr>
              <w:t>价格部分（30分）</w:t>
            </w:r>
          </w:p>
        </w:tc>
        <w:tc>
          <w:tcPr>
            <w:tcW w:w="1371" w:type="dxa"/>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投标</w:t>
            </w:r>
          </w:p>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报价</w:t>
            </w:r>
          </w:p>
        </w:tc>
        <w:tc>
          <w:tcPr>
            <w:tcW w:w="5954" w:type="dxa"/>
            <w:tcMar>
              <w:top w:w="15" w:type="dxa"/>
              <w:left w:w="15" w:type="dxa"/>
              <w:right w:w="15" w:type="dxa"/>
            </w:tcMar>
            <w:vAlign w:val="center"/>
          </w:tcPr>
          <w:p>
            <w:pPr>
              <w:widowControl/>
              <w:spacing w:line="400" w:lineRule="exact"/>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综合评分法中的价格分统一采用低价优先法计算，即满足招标文件要求且投标价格最低的投标报价为评标基准价，其价格分为满分30分，其它投标报价得分=评标基准价/投标报价*30</w:t>
            </w:r>
          </w:p>
        </w:tc>
        <w:tc>
          <w:tcPr>
            <w:tcW w:w="687" w:type="dxa"/>
            <w:tcMar>
              <w:top w:w="15" w:type="dxa"/>
              <w:left w:w="15" w:type="dxa"/>
              <w:right w:w="15" w:type="dxa"/>
            </w:tcMar>
            <w:vAlign w:val="center"/>
          </w:tcPr>
          <w:p>
            <w:pPr>
              <w:widowControl/>
              <w:spacing w:line="400" w:lineRule="exact"/>
              <w:jc w:val="center"/>
              <w:textAlignment w:val="center"/>
              <w:rPr>
                <w:rFonts w:ascii="宋体" w:hAnsi="宋体" w:eastAsia="宋体" w:cs="宋体"/>
                <w:sz w:val="24"/>
                <w:szCs w:val="24"/>
                <w:highlight w:val="none"/>
              </w:rPr>
            </w:pPr>
            <w:r>
              <w:rPr>
                <w:rFonts w:hint="eastAsia" w:ascii="宋体" w:hAnsi="宋体" w:eastAsia="宋体" w:cs="宋体"/>
                <w:kern w:val="0"/>
                <w:sz w:val="24"/>
                <w:szCs w:val="24"/>
                <w:highlight w:val="none"/>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sz w:val="24"/>
                <w:szCs w:val="24"/>
                <w:highlight w:val="none"/>
              </w:rPr>
            </w:pPr>
            <w:r>
              <w:rPr>
                <w:rFonts w:hint="eastAsia" w:ascii="宋体" w:hAnsi="宋体" w:eastAsia="宋体" w:cs="宋体"/>
                <w:kern w:val="0"/>
                <w:sz w:val="24"/>
                <w:szCs w:val="24"/>
                <w:highlight w:val="none"/>
              </w:rPr>
              <w:t>技术和商务部分（ 70分）</w:t>
            </w:r>
          </w:p>
        </w:tc>
        <w:tc>
          <w:tcPr>
            <w:tcW w:w="1371" w:type="dxa"/>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技术要求</w:t>
            </w:r>
          </w:p>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响应评价</w:t>
            </w:r>
          </w:p>
        </w:tc>
        <w:tc>
          <w:tcPr>
            <w:tcW w:w="5954" w:type="dxa"/>
            <w:tcMar>
              <w:top w:w="15" w:type="dxa"/>
              <w:left w:w="15" w:type="dxa"/>
              <w:right w:w="15" w:type="dxa"/>
            </w:tcMar>
            <w:vAlign w:val="center"/>
          </w:tcPr>
          <w:p>
            <w:pPr>
              <w:widowControl/>
              <w:spacing w:line="400" w:lineRule="exact"/>
              <w:ind w:firstLine="480" w:firstLineChars="200"/>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对照“项目需求”技术参数（每条技术参数前标注“★”的为核心技术参数，标注“▲”的为主要技术参数，未标注的为一般参数），根据投标人提供的产品配置及技术性能指标的响应情况进行评审。</w:t>
            </w:r>
          </w:p>
          <w:p>
            <w:pPr>
              <w:widowControl/>
              <w:spacing w:line="400" w:lineRule="exact"/>
              <w:ind w:firstLine="480" w:firstLineChars="200"/>
              <w:textAlignment w:val="center"/>
              <w:rPr>
                <w:rFonts w:ascii="宋体" w:hAnsi="宋体" w:eastAsia="宋体" w:cs="宋体"/>
                <w:sz w:val="24"/>
                <w:szCs w:val="24"/>
                <w:highlight w:val="none"/>
              </w:rPr>
            </w:pPr>
            <w:r>
              <w:rPr>
                <w:rFonts w:hint="eastAsia" w:ascii="宋体" w:hAnsi="宋体" w:eastAsia="宋体" w:cs="宋体"/>
                <w:sz w:val="24"/>
                <w:szCs w:val="24"/>
                <w:highlight w:val="none"/>
              </w:rPr>
              <w:t>1.投标人所投产品技术参数完全响应招标文件要求的，得</w:t>
            </w:r>
            <w:r>
              <w:rPr>
                <w:rFonts w:hint="eastAsia" w:ascii="宋体" w:hAnsi="宋体" w:eastAsia="宋体" w:cs="宋体"/>
                <w:sz w:val="24"/>
                <w:szCs w:val="24"/>
                <w:highlight w:val="none"/>
                <w:lang w:val="en-US" w:eastAsia="zh-CN"/>
              </w:rPr>
              <w:t>30</w:t>
            </w:r>
            <w:r>
              <w:rPr>
                <w:rFonts w:hint="eastAsia" w:ascii="宋体" w:hAnsi="宋体" w:eastAsia="宋体" w:cs="宋体"/>
                <w:sz w:val="24"/>
                <w:szCs w:val="24"/>
                <w:highlight w:val="none"/>
              </w:rPr>
              <w:t>分；</w:t>
            </w:r>
          </w:p>
          <w:p>
            <w:pPr>
              <w:pStyle w:val="30"/>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w:t>
            </w:r>
            <w:r>
              <w:rPr>
                <w:rFonts w:ascii="宋体" w:hAnsi="宋体" w:eastAsia="宋体" w:cs="宋体"/>
                <w:sz w:val="24"/>
                <w:szCs w:val="24"/>
                <w:highlight w:val="none"/>
              </w:rPr>
              <w:t>.</w:t>
            </w:r>
            <w:r>
              <w:rPr>
                <w:rFonts w:hint="eastAsia"/>
                <w:highlight w:val="none"/>
              </w:rPr>
              <w:t xml:space="preserve"> </w:t>
            </w:r>
            <w:r>
              <w:rPr>
                <w:rFonts w:hint="eastAsia" w:ascii="宋体" w:hAnsi="宋体" w:eastAsia="宋体" w:cs="宋体"/>
                <w:sz w:val="24"/>
                <w:szCs w:val="24"/>
                <w:highlight w:val="none"/>
              </w:rPr>
              <w:t>核心技术参数存在负偏离的（</w:t>
            </w:r>
            <w:r>
              <w:rPr>
                <w:rFonts w:hint="eastAsia" w:ascii="宋体" w:hAnsi="宋体" w:eastAsia="宋体" w:cs="宋体"/>
                <w:sz w:val="24"/>
                <w:szCs w:val="24"/>
                <w:highlight w:val="none"/>
                <w:lang w:val="en-US" w:eastAsia="zh-CN"/>
              </w:rPr>
              <w:t>共1</w:t>
            </w:r>
            <w:r>
              <w:rPr>
                <w:rFonts w:hint="eastAsia" w:ascii="宋体" w:hAnsi="宋体" w:eastAsia="宋体" w:cs="宋体"/>
                <w:sz w:val="24"/>
                <w:szCs w:val="24"/>
                <w:highlight w:val="none"/>
              </w:rPr>
              <w:t>条），此项不得分；</w:t>
            </w:r>
          </w:p>
          <w:p>
            <w:pPr>
              <w:pStyle w:val="30"/>
              <w:ind w:firstLine="480" w:firstLineChars="200"/>
              <w:rPr>
                <w:rFonts w:ascii="宋体" w:hAnsi="宋体" w:eastAsia="宋体" w:cs="宋体"/>
                <w:sz w:val="24"/>
                <w:szCs w:val="24"/>
                <w:highlight w:val="none"/>
              </w:rPr>
            </w:pPr>
            <w:r>
              <w:rPr>
                <w:rFonts w:ascii="宋体" w:hAnsi="宋体" w:eastAsia="宋体" w:cs="宋体"/>
                <w:sz w:val="24"/>
                <w:szCs w:val="24"/>
                <w:highlight w:val="none"/>
              </w:rPr>
              <w:t>3</w:t>
            </w:r>
            <w:r>
              <w:rPr>
                <w:rFonts w:hint="eastAsia" w:ascii="宋体" w:hAnsi="宋体" w:eastAsia="宋体" w:cs="宋体"/>
                <w:sz w:val="24"/>
                <w:szCs w:val="24"/>
                <w:highlight w:val="none"/>
              </w:rPr>
              <w:t>.主要技术参数存在负偏离的（</w:t>
            </w:r>
            <w:r>
              <w:rPr>
                <w:rFonts w:hint="eastAsia" w:ascii="宋体" w:hAnsi="宋体" w:eastAsia="宋体" w:cs="宋体"/>
                <w:sz w:val="24"/>
                <w:szCs w:val="24"/>
                <w:highlight w:val="none"/>
                <w:lang w:val="en-US" w:eastAsia="zh-CN"/>
              </w:rPr>
              <w:t>共</w:t>
            </w:r>
            <w:r>
              <w:rPr>
                <w:rFonts w:ascii="宋体" w:hAnsi="宋体" w:eastAsia="宋体" w:cs="宋体"/>
                <w:sz w:val="24"/>
                <w:szCs w:val="24"/>
                <w:highlight w:val="none"/>
              </w:rPr>
              <w:t>7</w:t>
            </w:r>
            <w:r>
              <w:rPr>
                <w:rFonts w:hint="eastAsia" w:ascii="宋体" w:hAnsi="宋体" w:eastAsia="宋体" w:cs="宋体"/>
                <w:sz w:val="24"/>
                <w:szCs w:val="24"/>
                <w:highlight w:val="none"/>
              </w:rPr>
              <w:t>条），每一条扣</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分，最多扣</w:t>
            </w:r>
            <w:r>
              <w:rPr>
                <w:rFonts w:hint="eastAsia" w:ascii="宋体" w:hAnsi="宋体" w:cs="宋体"/>
                <w:sz w:val="24"/>
                <w:szCs w:val="24"/>
                <w:highlight w:val="none"/>
                <w:lang w:val="en-US" w:eastAsia="zh-CN"/>
              </w:rPr>
              <w:t>21</w:t>
            </w:r>
            <w:r>
              <w:rPr>
                <w:rFonts w:hint="eastAsia" w:ascii="宋体" w:hAnsi="宋体" w:eastAsia="宋体" w:cs="宋体"/>
                <w:sz w:val="24"/>
                <w:szCs w:val="24"/>
                <w:highlight w:val="none"/>
              </w:rPr>
              <w:t>分；</w:t>
            </w:r>
          </w:p>
          <w:p>
            <w:pPr>
              <w:pStyle w:val="30"/>
              <w:ind w:firstLine="480" w:firstLineChars="200"/>
              <w:rPr>
                <w:rFonts w:ascii="宋体" w:hAnsi="宋体" w:eastAsia="宋体" w:cs="宋体"/>
                <w:kern w:val="0"/>
                <w:sz w:val="24"/>
                <w:szCs w:val="24"/>
                <w:highlight w:val="none"/>
              </w:rPr>
            </w:pPr>
            <w:r>
              <w:rPr>
                <w:rFonts w:ascii="宋体" w:hAnsi="宋体" w:eastAsia="宋体" w:cs="宋体"/>
                <w:sz w:val="24"/>
                <w:szCs w:val="24"/>
                <w:highlight w:val="none"/>
              </w:rPr>
              <w:t>4</w:t>
            </w:r>
            <w:r>
              <w:rPr>
                <w:rFonts w:hint="eastAsia" w:ascii="宋体" w:hAnsi="宋体" w:eastAsia="宋体" w:cs="宋体"/>
                <w:sz w:val="24"/>
                <w:szCs w:val="24"/>
                <w:highlight w:val="none"/>
              </w:rPr>
              <w:t>.</w:t>
            </w:r>
            <w:r>
              <w:rPr>
                <w:rFonts w:hint="eastAsia" w:ascii="宋体" w:hAnsi="宋体" w:eastAsia="宋体" w:cs="宋体"/>
                <w:kern w:val="0"/>
                <w:sz w:val="24"/>
                <w:szCs w:val="24"/>
                <w:highlight w:val="none"/>
              </w:rPr>
              <w:t>一般技术参数存在负偏离的（</w:t>
            </w:r>
            <w:r>
              <w:rPr>
                <w:rFonts w:hint="eastAsia" w:ascii="宋体" w:hAnsi="宋体" w:eastAsia="宋体" w:cs="宋体"/>
                <w:sz w:val="24"/>
                <w:szCs w:val="24"/>
                <w:highlight w:val="none"/>
                <w:lang w:val="en-US" w:eastAsia="zh-CN"/>
              </w:rPr>
              <w:t>共</w:t>
            </w:r>
            <w:r>
              <w:rPr>
                <w:rFonts w:hint="eastAsia" w:ascii="宋体" w:hAnsi="宋体" w:eastAsia="宋体" w:cs="宋体"/>
                <w:kern w:val="0"/>
                <w:sz w:val="24"/>
                <w:szCs w:val="24"/>
                <w:highlight w:val="none"/>
                <w:lang w:val="en-US" w:eastAsia="zh-CN"/>
              </w:rPr>
              <w:t>5</w:t>
            </w:r>
            <w:r>
              <w:rPr>
                <w:rFonts w:hint="eastAsia" w:ascii="宋体" w:hAnsi="宋体" w:eastAsia="宋体" w:cs="宋体"/>
                <w:kern w:val="0"/>
                <w:sz w:val="24"/>
                <w:szCs w:val="24"/>
                <w:highlight w:val="none"/>
              </w:rPr>
              <w:t>条），每一条扣</w:t>
            </w:r>
            <w:r>
              <w:rPr>
                <w:rFonts w:hint="eastAsia" w:ascii="宋体" w:hAnsi="宋体" w:cs="宋体"/>
                <w:kern w:val="0"/>
                <w:sz w:val="24"/>
                <w:szCs w:val="24"/>
                <w:highlight w:val="none"/>
                <w:lang w:val="en-US" w:eastAsia="zh-CN"/>
              </w:rPr>
              <w:t>2</w:t>
            </w:r>
            <w:r>
              <w:rPr>
                <w:rFonts w:hint="eastAsia" w:ascii="宋体" w:hAnsi="宋体" w:eastAsia="宋体" w:cs="宋体"/>
                <w:kern w:val="0"/>
                <w:sz w:val="24"/>
                <w:szCs w:val="24"/>
                <w:highlight w:val="none"/>
              </w:rPr>
              <w:t>分，最多扣</w:t>
            </w:r>
            <w:r>
              <w:rPr>
                <w:rFonts w:hint="eastAsia" w:ascii="宋体" w:hAnsi="宋体" w:cs="宋体"/>
                <w:kern w:val="0"/>
                <w:sz w:val="24"/>
                <w:szCs w:val="24"/>
                <w:highlight w:val="none"/>
                <w:lang w:val="en-US" w:eastAsia="zh-CN"/>
              </w:rPr>
              <w:t>9</w:t>
            </w:r>
            <w:r>
              <w:rPr>
                <w:rFonts w:hint="eastAsia" w:ascii="宋体" w:hAnsi="宋体" w:eastAsia="宋体" w:cs="宋体"/>
                <w:kern w:val="0"/>
                <w:sz w:val="24"/>
                <w:szCs w:val="24"/>
                <w:highlight w:val="none"/>
              </w:rPr>
              <w:t>分。</w:t>
            </w:r>
          </w:p>
          <w:p>
            <w:pPr>
              <w:widowControl/>
              <w:spacing w:line="400" w:lineRule="exact"/>
              <w:ind w:firstLine="482" w:firstLineChars="200"/>
              <w:textAlignment w:val="center"/>
              <w:rPr>
                <w:rFonts w:eastAsia="宋体"/>
                <w:highlight w:val="none"/>
              </w:rPr>
            </w:pPr>
            <w:r>
              <w:rPr>
                <w:b/>
                <w:bCs/>
                <w:sz w:val="24"/>
                <w:szCs w:val="24"/>
                <w:highlight w:val="none"/>
              </w:rPr>
              <w:t>注：负偏离评审依据：</w:t>
            </w:r>
            <w:r>
              <w:rPr>
                <w:rFonts w:hint="eastAsia"/>
                <w:b/>
                <w:bCs/>
                <w:sz w:val="24"/>
                <w:szCs w:val="24"/>
                <w:highlight w:val="none"/>
              </w:rPr>
              <w:t>①</w:t>
            </w:r>
            <w:r>
              <w:rPr>
                <w:b/>
                <w:bCs/>
                <w:sz w:val="24"/>
                <w:szCs w:val="24"/>
                <w:highlight w:val="none"/>
              </w:rPr>
              <w:t>所</w:t>
            </w:r>
            <w:r>
              <w:rPr>
                <w:rFonts w:hint="eastAsia"/>
                <w:b/>
                <w:bCs/>
                <w:sz w:val="24"/>
                <w:szCs w:val="24"/>
                <w:highlight w:val="none"/>
              </w:rPr>
              <w:t>提供</w:t>
            </w:r>
            <w:r>
              <w:rPr>
                <w:b/>
                <w:bCs/>
                <w:sz w:val="24"/>
                <w:szCs w:val="24"/>
                <w:highlight w:val="none"/>
              </w:rPr>
              <w:t>产品技术参数低于</w:t>
            </w:r>
            <w:r>
              <w:rPr>
                <w:rFonts w:hint="eastAsia"/>
                <w:b/>
                <w:bCs/>
                <w:sz w:val="24"/>
                <w:szCs w:val="24"/>
                <w:highlight w:val="none"/>
              </w:rPr>
              <w:t>招标</w:t>
            </w:r>
            <w:r>
              <w:rPr>
                <w:b/>
                <w:bCs/>
                <w:sz w:val="24"/>
                <w:szCs w:val="24"/>
                <w:highlight w:val="none"/>
              </w:rPr>
              <w:t>文件要求的，视为负偏离；</w:t>
            </w:r>
            <w:r>
              <w:rPr>
                <w:rFonts w:hint="eastAsia"/>
                <w:b/>
                <w:bCs/>
                <w:sz w:val="24"/>
                <w:szCs w:val="24"/>
                <w:highlight w:val="none"/>
              </w:rPr>
              <w:t>②</w:t>
            </w:r>
            <w:r>
              <w:rPr>
                <w:b/>
                <w:bCs/>
                <w:sz w:val="24"/>
                <w:szCs w:val="24"/>
                <w:highlight w:val="none"/>
              </w:rPr>
              <w:t>技术参数响应条款</w:t>
            </w:r>
            <w:r>
              <w:rPr>
                <w:rFonts w:hint="eastAsia"/>
                <w:b/>
                <w:bCs/>
                <w:sz w:val="24"/>
                <w:szCs w:val="24"/>
                <w:highlight w:val="none"/>
              </w:rPr>
              <w:t>（以投标文件内技术偏离表为准）</w:t>
            </w:r>
            <w:r>
              <w:rPr>
                <w:b/>
                <w:bCs/>
                <w:sz w:val="24"/>
                <w:szCs w:val="24"/>
                <w:highlight w:val="none"/>
              </w:rPr>
              <w:t>与</w:t>
            </w:r>
            <w:r>
              <w:rPr>
                <w:rFonts w:hint="eastAsia"/>
                <w:b/>
                <w:bCs/>
                <w:sz w:val="24"/>
                <w:szCs w:val="24"/>
                <w:highlight w:val="none"/>
              </w:rPr>
              <w:t>招标</w:t>
            </w:r>
            <w:r>
              <w:rPr>
                <w:b/>
                <w:bCs/>
                <w:sz w:val="24"/>
                <w:szCs w:val="24"/>
                <w:highlight w:val="none"/>
              </w:rPr>
              <w:t>文件对比有缺项、漏项的，视为负偏离；</w:t>
            </w:r>
            <w:r>
              <w:rPr>
                <w:rFonts w:hint="eastAsia"/>
                <w:b/>
                <w:bCs/>
                <w:sz w:val="24"/>
                <w:szCs w:val="24"/>
                <w:highlight w:val="none"/>
              </w:rPr>
              <w:t>③投标文件内技术偏离表完全复制招标文件技术参数的（不涉及具体参数指标的描述性技术要求除外），视为负偏离；④投标人</w:t>
            </w:r>
            <w:r>
              <w:rPr>
                <w:b/>
                <w:bCs/>
                <w:sz w:val="24"/>
                <w:szCs w:val="24"/>
                <w:highlight w:val="none"/>
              </w:rPr>
              <w:t>提供的</w:t>
            </w:r>
            <w:r>
              <w:rPr>
                <w:rFonts w:hint="eastAsia"/>
                <w:b/>
                <w:bCs/>
                <w:sz w:val="24"/>
                <w:szCs w:val="24"/>
                <w:highlight w:val="none"/>
              </w:rPr>
              <w:t>投标</w:t>
            </w:r>
            <w:r>
              <w:rPr>
                <w:b/>
                <w:bCs/>
                <w:sz w:val="24"/>
                <w:szCs w:val="24"/>
                <w:highlight w:val="none"/>
              </w:rPr>
              <w:t>文件中产品技术偏离表、产品技术规格书和产品检测报告内描述的同一产品技术参数响应值不一致的，视为负偏离</w:t>
            </w:r>
            <w:r>
              <w:rPr>
                <w:rFonts w:hint="eastAsia"/>
                <w:b/>
                <w:bCs/>
                <w:sz w:val="24"/>
                <w:szCs w:val="24"/>
                <w:highlight w:val="none"/>
              </w:rPr>
              <w:t>。</w:t>
            </w:r>
          </w:p>
        </w:tc>
        <w:tc>
          <w:tcPr>
            <w:tcW w:w="687" w:type="dxa"/>
            <w:tcMar>
              <w:top w:w="15" w:type="dxa"/>
              <w:left w:w="15" w:type="dxa"/>
              <w:right w:w="15" w:type="dxa"/>
            </w:tcMar>
            <w:vAlign w:val="center"/>
          </w:tcPr>
          <w:p>
            <w:pPr>
              <w:widowControl/>
              <w:spacing w:line="400" w:lineRule="exact"/>
              <w:jc w:val="center"/>
              <w:textAlignment w:val="center"/>
              <w:rPr>
                <w:rFonts w:hint="default"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r>
              <w:rPr>
                <w:sz w:val="24"/>
                <w:szCs w:val="24"/>
                <w:highlight w:val="none"/>
              </w:rPr>
              <w:t>业绩证明</w:t>
            </w:r>
          </w:p>
        </w:tc>
        <w:tc>
          <w:tcPr>
            <w:tcW w:w="5954" w:type="dxa"/>
            <w:tcMar>
              <w:top w:w="15" w:type="dxa"/>
              <w:left w:w="15" w:type="dxa"/>
              <w:right w:w="15" w:type="dxa"/>
            </w:tcMar>
            <w:vAlign w:val="center"/>
          </w:tcPr>
          <w:p>
            <w:pPr>
              <w:widowControl/>
              <w:spacing w:line="400" w:lineRule="exact"/>
              <w:ind w:firstLine="480" w:firstLineChars="200"/>
              <w:rPr>
                <w:sz w:val="24"/>
                <w:szCs w:val="24"/>
                <w:highlight w:val="none"/>
              </w:rPr>
            </w:pPr>
            <w:r>
              <w:rPr>
                <w:rFonts w:hint="eastAsia"/>
                <w:sz w:val="24"/>
                <w:szCs w:val="24"/>
                <w:highlight w:val="none"/>
                <w:lang w:eastAsia="zh-CN"/>
              </w:rPr>
              <w:t>投标人</w:t>
            </w:r>
            <w:r>
              <w:rPr>
                <w:rFonts w:hint="eastAsia"/>
                <w:sz w:val="24"/>
                <w:szCs w:val="24"/>
                <w:highlight w:val="none"/>
              </w:rPr>
              <w:t>近三年内（</w:t>
            </w:r>
            <w:r>
              <w:rPr>
                <w:sz w:val="24"/>
                <w:szCs w:val="24"/>
                <w:highlight w:val="none"/>
              </w:rPr>
              <w:t>2021</w:t>
            </w:r>
            <w:r>
              <w:rPr>
                <w:rFonts w:hint="eastAsia"/>
                <w:sz w:val="24"/>
                <w:szCs w:val="24"/>
                <w:highlight w:val="none"/>
              </w:rPr>
              <w:t>年0</w:t>
            </w:r>
            <w:r>
              <w:rPr>
                <w:sz w:val="24"/>
                <w:szCs w:val="24"/>
                <w:highlight w:val="none"/>
              </w:rPr>
              <w:t>3</w:t>
            </w:r>
            <w:r>
              <w:rPr>
                <w:rFonts w:hint="eastAsia"/>
                <w:sz w:val="24"/>
                <w:szCs w:val="24"/>
                <w:highlight w:val="none"/>
              </w:rPr>
              <w:t>月0</w:t>
            </w:r>
            <w:r>
              <w:rPr>
                <w:sz w:val="24"/>
                <w:szCs w:val="24"/>
                <w:highlight w:val="none"/>
              </w:rPr>
              <w:t>1</w:t>
            </w:r>
            <w:r>
              <w:rPr>
                <w:rFonts w:hint="eastAsia"/>
                <w:sz w:val="24"/>
                <w:szCs w:val="24"/>
                <w:highlight w:val="none"/>
              </w:rPr>
              <w:t>日起至今，以合同签订日期为准）完成类似项目的业绩，每个项目业绩得</w:t>
            </w:r>
            <w:r>
              <w:rPr>
                <w:sz w:val="24"/>
                <w:szCs w:val="24"/>
                <w:highlight w:val="none"/>
              </w:rPr>
              <w:t>2</w:t>
            </w:r>
            <w:r>
              <w:rPr>
                <w:rFonts w:hint="eastAsia"/>
                <w:sz w:val="24"/>
                <w:szCs w:val="24"/>
                <w:highlight w:val="none"/>
              </w:rPr>
              <w:t>分，最多得</w:t>
            </w:r>
            <w:r>
              <w:rPr>
                <w:sz w:val="24"/>
                <w:szCs w:val="24"/>
                <w:highlight w:val="none"/>
              </w:rPr>
              <w:t>4</w:t>
            </w:r>
            <w:r>
              <w:rPr>
                <w:rFonts w:hint="eastAsia"/>
                <w:sz w:val="24"/>
                <w:szCs w:val="24"/>
                <w:highlight w:val="none"/>
              </w:rPr>
              <w:t>分。</w:t>
            </w:r>
          </w:p>
          <w:p>
            <w:pPr>
              <w:widowControl/>
              <w:spacing w:line="400" w:lineRule="exact"/>
              <w:ind w:firstLine="482" w:firstLineChars="200"/>
              <w:textAlignment w:val="center"/>
              <w:rPr>
                <w:b/>
                <w:bCs/>
                <w:sz w:val="24"/>
                <w:szCs w:val="24"/>
                <w:highlight w:val="none"/>
              </w:rPr>
            </w:pPr>
            <w:r>
              <w:rPr>
                <w:rFonts w:hint="eastAsia"/>
                <w:b/>
                <w:bCs/>
                <w:sz w:val="24"/>
                <w:szCs w:val="24"/>
                <w:highlight w:val="none"/>
              </w:rPr>
              <w:t>注：①提供中标（成交）通知书和合同复印件，未按要求提供不得分；②同一单位近三年的类似合同不重复计算业绩，仅算一个业绩。</w:t>
            </w:r>
          </w:p>
        </w:tc>
        <w:tc>
          <w:tcPr>
            <w:tcW w:w="687" w:type="dxa"/>
            <w:tcMar>
              <w:top w:w="15" w:type="dxa"/>
              <w:left w:w="15" w:type="dxa"/>
              <w:right w:w="15" w:type="dxa"/>
            </w:tcMar>
            <w:vAlign w:val="center"/>
          </w:tcPr>
          <w:p>
            <w:pPr>
              <w:widowControl/>
              <w:spacing w:line="400" w:lineRule="exact"/>
              <w:jc w:val="center"/>
              <w:textAlignment w:val="center"/>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val="en-US" w:eastAsia="zh-CN"/>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p>
        </w:tc>
        <w:tc>
          <w:tcPr>
            <w:tcW w:w="1371" w:type="dxa"/>
            <w:tcMar>
              <w:top w:w="15" w:type="dxa"/>
              <w:left w:w="15" w:type="dxa"/>
              <w:right w:w="15" w:type="dxa"/>
            </w:tcMar>
            <w:vAlign w:val="center"/>
          </w:tcPr>
          <w:p>
            <w:pPr>
              <w:snapToGrid w:val="0"/>
              <w:spacing w:line="40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项目组织</w:t>
            </w:r>
          </w:p>
          <w:p>
            <w:pPr>
              <w:widowControl/>
              <w:spacing w:line="400" w:lineRule="exact"/>
              <w:jc w:val="center"/>
              <w:textAlignment w:val="center"/>
              <w:rPr>
                <w:sz w:val="24"/>
                <w:szCs w:val="24"/>
                <w:highlight w:val="none"/>
              </w:rPr>
            </w:pPr>
            <w:r>
              <w:rPr>
                <w:rFonts w:hint="eastAsia" w:ascii="宋体" w:hAnsi="宋体" w:eastAsia="宋体" w:cs="宋体"/>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sz w:val="24"/>
                <w:szCs w:val="24"/>
                <w:highlight w:val="none"/>
              </w:rPr>
            </w:pPr>
            <w:r>
              <w:rPr>
                <w:rFonts w:hint="eastAsia"/>
                <w:sz w:val="24"/>
                <w:szCs w:val="24"/>
                <w:highlight w:val="none"/>
              </w:rPr>
              <w:t>根据</w:t>
            </w:r>
            <w:r>
              <w:rPr>
                <w:rFonts w:hint="eastAsia"/>
                <w:sz w:val="24"/>
                <w:szCs w:val="24"/>
                <w:highlight w:val="none"/>
                <w:lang w:eastAsia="zh-CN"/>
              </w:rPr>
              <w:t>投标人</w:t>
            </w:r>
            <w:r>
              <w:rPr>
                <w:rFonts w:hint="eastAsia"/>
                <w:sz w:val="24"/>
                <w:szCs w:val="24"/>
                <w:highlight w:val="none"/>
              </w:rPr>
              <w:t>提供的项目组织方案进行评分：</w:t>
            </w:r>
          </w:p>
          <w:p>
            <w:pPr>
              <w:widowControl/>
              <w:spacing w:line="400" w:lineRule="exact"/>
              <w:ind w:firstLine="480" w:firstLineChars="200"/>
              <w:rPr>
                <w:sz w:val="24"/>
                <w:szCs w:val="24"/>
                <w:highlight w:val="none"/>
              </w:rPr>
            </w:pPr>
            <w:r>
              <w:rPr>
                <w:rFonts w:hint="eastAsia"/>
                <w:sz w:val="24"/>
                <w:szCs w:val="24"/>
                <w:highlight w:val="none"/>
              </w:rPr>
              <w:t>项目组织方案包括但不限于：①</w:t>
            </w:r>
            <w:r>
              <w:rPr>
                <w:rFonts w:hint="eastAsia" w:ascii="宋体" w:hAnsi="宋体" w:eastAsia="宋体" w:cs="宋体"/>
                <w:sz w:val="24"/>
                <w:szCs w:val="24"/>
                <w:highlight w:val="none"/>
              </w:rPr>
              <w:t>项目人员安排（包含但不限于主要人员名单及基本情况介绍、在本项目中承担的职责等）、②供货方案（包含但不限于产品来源、供货计划、供货时间、包装和运输方式等）、③质量管控方案（包括但不限于质量管控的标准、方法和程序等）、④测试（调试）方案（包含但不限于人员安排、测试步骤、测试标准等）</w:t>
            </w:r>
            <w:r>
              <w:rPr>
                <w:sz w:val="24"/>
                <w:szCs w:val="24"/>
                <w:highlight w:val="none"/>
              </w:rPr>
              <w:t>等</w:t>
            </w:r>
            <w:r>
              <w:rPr>
                <w:rFonts w:hint="eastAsia"/>
                <w:sz w:val="24"/>
                <w:szCs w:val="24"/>
                <w:highlight w:val="none"/>
              </w:rPr>
              <w:t>4项内容，方案内容完整齐全，符合项目实际（</w:t>
            </w:r>
            <w:r>
              <w:rPr>
                <w:rFonts w:hint="eastAsia" w:ascii="宋体" w:hAnsi="宋体" w:eastAsia="宋体" w:cs="宋体"/>
                <w:sz w:val="24"/>
                <w:szCs w:val="24"/>
                <w:highlight w:val="none"/>
              </w:rPr>
              <w:t>第六章“项目需求”</w:t>
            </w:r>
            <w:r>
              <w:rPr>
                <w:rFonts w:hint="eastAsia"/>
                <w:sz w:val="24"/>
                <w:szCs w:val="24"/>
                <w:highlight w:val="none"/>
              </w:rPr>
              <w:t>）的，得</w:t>
            </w:r>
            <w:r>
              <w:rPr>
                <w:sz w:val="24"/>
                <w:szCs w:val="24"/>
                <w:highlight w:val="none"/>
              </w:rPr>
              <w:t>12</w:t>
            </w:r>
            <w:r>
              <w:rPr>
                <w:rFonts w:hint="eastAsia"/>
                <w:sz w:val="24"/>
                <w:szCs w:val="24"/>
                <w:highlight w:val="none"/>
              </w:rPr>
              <w:t>分；每缺少一项方案内容，或一项内容存在缺陷的，每一项扣</w:t>
            </w:r>
            <w:r>
              <w:rPr>
                <w:sz w:val="24"/>
                <w:szCs w:val="24"/>
                <w:highlight w:val="none"/>
              </w:rPr>
              <w:t>3</w:t>
            </w:r>
            <w:r>
              <w:rPr>
                <w:rFonts w:hint="eastAsia"/>
                <w:sz w:val="24"/>
                <w:szCs w:val="24"/>
                <w:highlight w:val="none"/>
              </w:rPr>
              <w:t>分，扣完为止；未提供项目组织方案的，此项不得分。</w:t>
            </w:r>
          </w:p>
          <w:p>
            <w:pPr>
              <w:widowControl/>
              <w:spacing w:line="400" w:lineRule="exact"/>
              <w:ind w:firstLine="482" w:firstLineChars="200"/>
              <w:rPr>
                <w:b/>
                <w:bCs/>
                <w:sz w:val="24"/>
                <w:szCs w:val="24"/>
                <w:highlight w:val="none"/>
              </w:rPr>
            </w:pPr>
            <w:r>
              <w:rPr>
                <w:rFonts w:hint="eastAsia"/>
                <w:b/>
                <w:bCs/>
                <w:sz w:val="24"/>
                <w:szCs w:val="24"/>
                <w:highlight w:val="none"/>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r>
              <w:rPr>
                <w:rFonts w:ascii="宋体" w:hAnsi="宋体" w:eastAsia="宋体" w:cs="宋体"/>
                <w:kern w:val="0"/>
                <w:sz w:val="24"/>
                <w:szCs w:val="24"/>
                <w:highlight w:val="none"/>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宋体" w:hAnsi="宋体" w:eastAsia="宋体" w:cs="宋体"/>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技术培训</w:t>
            </w:r>
          </w:p>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sz w:val="24"/>
                <w:szCs w:val="24"/>
                <w:highlight w:val="none"/>
              </w:rPr>
            </w:pPr>
            <w:r>
              <w:rPr>
                <w:rFonts w:hint="eastAsia"/>
                <w:sz w:val="24"/>
                <w:szCs w:val="24"/>
                <w:highlight w:val="none"/>
              </w:rPr>
              <w:t>根据</w:t>
            </w:r>
            <w:r>
              <w:rPr>
                <w:rFonts w:hint="eastAsia"/>
                <w:sz w:val="24"/>
                <w:szCs w:val="24"/>
                <w:highlight w:val="none"/>
                <w:lang w:eastAsia="zh-CN"/>
              </w:rPr>
              <w:t>投标人</w:t>
            </w:r>
            <w:r>
              <w:rPr>
                <w:rFonts w:hint="eastAsia"/>
                <w:sz w:val="24"/>
                <w:szCs w:val="24"/>
                <w:highlight w:val="none"/>
              </w:rPr>
              <w:t>提供的技术培训方案进行评分：</w:t>
            </w:r>
          </w:p>
          <w:p>
            <w:pPr>
              <w:widowControl/>
              <w:spacing w:line="400" w:lineRule="exact"/>
              <w:ind w:firstLine="480" w:firstLineChars="200"/>
              <w:rPr>
                <w:sz w:val="24"/>
                <w:szCs w:val="24"/>
                <w:highlight w:val="none"/>
              </w:rPr>
            </w:pPr>
            <w:r>
              <w:rPr>
                <w:rFonts w:hint="eastAsia"/>
                <w:sz w:val="24"/>
                <w:szCs w:val="24"/>
                <w:highlight w:val="none"/>
              </w:rPr>
              <w:t>技术培训方案包括但不限于</w:t>
            </w:r>
            <w:r>
              <w:rPr>
                <w:rFonts w:ascii="宋体" w:hAnsi="宋体" w:eastAsia="宋体" w:cs="宋体"/>
                <w:sz w:val="24"/>
                <w:szCs w:val="24"/>
                <w:highlight w:val="none"/>
              </w:rPr>
              <w:t>培训内容</w:t>
            </w:r>
            <w:r>
              <w:rPr>
                <w:rFonts w:hint="eastAsia" w:ascii="宋体" w:hAnsi="宋体" w:eastAsia="宋体" w:cs="宋体"/>
                <w:sz w:val="24"/>
                <w:szCs w:val="24"/>
                <w:highlight w:val="none"/>
              </w:rPr>
              <w:t>、</w:t>
            </w:r>
            <w:r>
              <w:rPr>
                <w:rFonts w:ascii="宋体" w:hAnsi="宋体" w:eastAsia="宋体" w:cs="宋体"/>
                <w:sz w:val="24"/>
                <w:szCs w:val="24"/>
                <w:highlight w:val="none"/>
              </w:rPr>
              <w:t>培训方式</w:t>
            </w:r>
            <w:r>
              <w:rPr>
                <w:rFonts w:hint="eastAsia" w:ascii="宋体" w:hAnsi="宋体" w:eastAsia="宋体" w:cs="宋体"/>
                <w:sz w:val="24"/>
                <w:szCs w:val="24"/>
                <w:highlight w:val="none"/>
              </w:rPr>
              <w:t>、</w:t>
            </w:r>
            <w:r>
              <w:rPr>
                <w:rFonts w:ascii="宋体" w:hAnsi="宋体" w:eastAsia="宋体" w:cs="宋体"/>
                <w:sz w:val="24"/>
                <w:szCs w:val="24"/>
                <w:highlight w:val="none"/>
              </w:rPr>
              <w:t>培训计划</w:t>
            </w:r>
            <w:r>
              <w:rPr>
                <w:rFonts w:hint="eastAsia" w:ascii="宋体" w:hAnsi="宋体" w:eastAsia="宋体" w:cs="宋体"/>
                <w:sz w:val="24"/>
                <w:szCs w:val="24"/>
                <w:highlight w:val="none"/>
              </w:rPr>
              <w:t>、</w:t>
            </w:r>
            <w:r>
              <w:rPr>
                <w:rFonts w:ascii="宋体" w:hAnsi="宋体" w:eastAsia="宋体" w:cs="宋体"/>
                <w:sz w:val="24"/>
                <w:szCs w:val="24"/>
                <w:highlight w:val="none"/>
              </w:rPr>
              <w:t>培训团队人员配置</w:t>
            </w:r>
            <w:r>
              <w:rPr>
                <w:sz w:val="24"/>
                <w:szCs w:val="24"/>
                <w:highlight w:val="none"/>
              </w:rPr>
              <w:t>等</w:t>
            </w:r>
            <w:r>
              <w:rPr>
                <w:rFonts w:hint="eastAsia"/>
                <w:sz w:val="24"/>
                <w:szCs w:val="24"/>
                <w:highlight w:val="none"/>
              </w:rPr>
              <w:t>4项内容，方案内容完整齐全，符合项目实际的，得</w:t>
            </w:r>
            <w:r>
              <w:rPr>
                <w:sz w:val="24"/>
                <w:szCs w:val="24"/>
                <w:highlight w:val="none"/>
              </w:rPr>
              <w:t>10</w:t>
            </w:r>
            <w:r>
              <w:rPr>
                <w:rFonts w:hint="eastAsia"/>
                <w:sz w:val="24"/>
                <w:szCs w:val="24"/>
                <w:highlight w:val="none"/>
              </w:rPr>
              <w:t>分；每缺少一项方案内容，或一项内容存在缺陷的，每一项扣</w:t>
            </w:r>
            <w:r>
              <w:rPr>
                <w:sz w:val="24"/>
                <w:szCs w:val="24"/>
                <w:highlight w:val="none"/>
              </w:rPr>
              <w:t>2.5</w:t>
            </w:r>
            <w:r>
              <w:rPr>
                <w:rFonts w:hint="eastAsia"/>
                <w:sz w:val="24"/>
                <w:szCs w:val="24"/>
                <w:highlight w:val="none"/>
              </w:rPr>
              <w:t>分，扣完为止；未提供技术培训方案的，此项不得分。</w:t>
            </w:r>
          </w:p>
          <w:p>
            <w:pPr>
              <w:snapToGrid w:val="0"/>
              <w:spacing w:line="400" w:lineRule="exact"/>
              <w:ind w:firstLine="482" w:firstLineChars="200"/>
              <w:rPr>
                <w:rFonts w:ascii="宋体" w:hAnsi="宋体" w:eastAsia="宋体" w:cs="宋体"/>
                <w:kern w:val="0"/>
                <w:sz w:val="24"/>
                <w:szCs w:val="24"/>
                <w:highlight w:val="none"/>
              </w:rPr>
            </w:pPr>
            <w:r>
              <w:rPr>
                <w:rFonts w:hint="eastAsia"/>
                <w:b/>
                <w:bCs/>
                <w:sz w:val="24"/>
                <w:szCs w:val="24"/>
                <w:highlight w:val="none"/>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ascii="宋体" w:hAnsi="宋体" w:eastAsia="宋体" w:cs="宋体"/>
                <w:sz w:val="24"/>
                <w:szCs w:val="24"/>
                <w:highlight w:val="none"/>
              </w:rPr>
            </w:pPr>
            <w:r>
              <w:rPr>
                <w:rFonts w:ascii="宋体" w:hAnsi="宋体" w:eastAsia="宋体" w:cs="宋体"/>
                <w:sz w:val="24"/>
                <w:szCs w:val="24"/>
                <w:highlight w:val="none"/>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宋体" w:hAnsi="宋体" w:eastAsia="宋体" w:cs="宋体"/>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售后服务</w:t>
            </w:r>
          </w:p>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sz w:val="24"/>
                <w:szCs w:val="24"/>
                <w:highlight w:val="none"/>
              </w:rPr>
            </w:pPr>
            <w:r>
              <w:rPr>
                <w:rFonts w:hint="eastAsia"/>
                <w:sz w:val="24"/>
                <w:szCs w:val="24"/>
                <w:highlight w:val="none"/>
              </w:rPr>
              <w:t>根据</w:t>
            </w:r>
            <w:r>
              <w:rPr>
                <w:rFonts w:hint="eastAsia"/>
                <w:sz w:val="24"/>
                <w:szCs w:val="24"/>
                <w:highlight w:val="none"/>
                <w:lang w:eastAsia="zh-CN"/>
              </w:rPr>
              <w:t>投标人</w:t>
            </w:r>
            <w:r>
              <w:rPr>
                <w:rFonts w:hint="eastAsia"/>
                <w:sz w:val="24"/>
                <w:szCs w:val="24"/>
                <w:highlight w:val="none"/>
              </w:rPr>
              <w:t>提供的售后服务方案进行评分：</w:t>
            </w:r>
          </w:p>
          <w:p>
            <w:pPr>
              <w:widowControl/>
              <w:spacing w:line="400" w:lineRule="exact"/>
              <w:ind w:firstLine="480" w:firstLineChars="200"/>
              <w:rPr>
                <w:sz w:val="24"/>
                <w:szCs w:val="24"/>
                <w:highlight w:val="none"/>
              </w:rPr>
            </w:pPr>
            <w:r>
              <w:rPr>
                <w:rFonts w:hint="eastAsia"/>
                <w:sz w:val="24"/>
                <w:szCs w:val="24"/>
                <w:highlight w:val="none"/>
              </w:rPr>
              <w:t>项目售后服务方案包括但不限于</w:t>
            </w:r>
            <w:r>
              <w:rPr>
                <w:rFonts w:hint="eastAsia" w:ascii="宋体" w:hAnsi="宋体" w:eastAsia="宋体" w:cs="宋体"/>
                <w:sz w:val="24"/>
                <w:szCs w:val="24"/>
                <w:highlight w:val="none"/>
              </w:rPr>
              <w:t>售后</w:t>
            </w:r>
            <w:r>
              <w:rPr>
                <w:rFonts w:ascii="宋体" w:hAnsi="宋体" w:eastAsia="宋体" w:cs="宋体"/>
                <w:sz w:val="24"/>
                <w:szCs w:val="24"/>
                <w:highlight w:val="none"/>
              </w:rPr>
              <w:t>服务承诺</w:t>
            </w:r>
            <w:r>
              <w:rPr>
                <w:rFonts w:hint="eastAsia" w:ascii="宋体" w:hAnsi="宋体" w:eastAsia="宋体" w:cs="宋体"/>
                <w:sz w:val="24"/>
                <w:szCs w:val="24"/>
                <w:highlight w:val="none"/>
              </w:rPr>
              <w:t>、</w:t>
            </w:r>
            <w:r>
              <w:rPr>
                <w:rFonts w:ascii="宋体" w:hAnsi="宋体" w:eastAsia="宋体" w:cs="宋体"/>
                <w:sz w:val="24"/>
                <w:szCs w:val="24"/>
                <w:highlight w:val="none"/>
              </w:rPr>
              <w:t>服务响应方案</w:t>
            </w:r>
            <w:r>
              <w:rPr>
                <w:rFonts w:hint="eastAsia" w:ascii="宋体" w:hAnsi="宋体" w:eastAsia="宋体" w:cs="宋体"/>
                <w:sz w:val="24"/>
                <w:szCs w:val="24"/>
                <w:highlight w:val="none"/>
              </w:rPr>
              <w:t>、</w:t>
            </w:r>
            <w:r>
              <w:rPr>
                <w:rFonts w:ascii="宋体" w:hAnsi="宋体" w:eastAsia="宋体" w:cs="宋体"/>
                <w:sz w:val="24"/>
                <w:szCs w:val="24"/>
                <w:highlight w:val="none"/>
              </w:rPr>
              <w:t>备件（易耗品）供应方案</w:t>
            </w:r>
            <w:r>
              <w:rPr>
                <w:rFonts w:hint="eastAsia" w:ascii="宋体" w:hAnsi="宋体" w:eastAsia="宋体" w:cs="宋体"/>
                <w:sz w:val="24"/>
                <w:szCs w:val="24"/>
                <w:highlight w:val="none"/>
              </w:rPr>
              <w:t>（含备件价格）、</w:t>
            </w:r>
            <w:r>
              <w:rPr>
                <w:rFonts w:ascii="宋体" w:hAnsi="宋体" w:eastAsia="宋体" w:cs="宋体"/>
                <w:sz w:val="24"/>
                <w:szCs w:val="24"/>
                <w:highlight w:val="none"/>
              </w:rPr>
              <w:t>服务人员配备</w:t>
            </w:r>
            <w:r>
              <w:rPr>
                <w:rFonts w:hint="eastAsia" w:ascii="宋体" w:hAnsi="宋体" w:eastAsia="宋体" w:cs="宋体"/>
                <w:sz w:val="24"/>
                <w:szCs w:val="24"/>
                <w:highlight w:val="none"/>
              </w:rPr>
              <w:t>、</w:t>
            </w:r>
            <w:r>
              <w:rPr>
                <w:rFonts w:ascii="宋体" w:hAnsi="宋体" w:eastAsia="宋体" w:cs="宋体"/>
                <w:sz w:val="24"/>
                <w:szCs w:val="24"/>
                <w:highlight w:val="none"/>
              </w:rPr>
              <w:t>故障响应</w:t>
            </w:r>
            <w:r>
              <w:rPr>
                <w:rFonts w:hint="eastAsia" w:ascii="宋体" w:hAnsi="宋体" w:eastAsia="宋体" w:cs="宋体"/>
                <w:sz w:val="24"/>
                <w:szCs w:val="24"/>
                <w:highlight w:val="none"/>
              </w:rPr>
              <w:t>措施、</w:t>
            </w:r>
            <w:r>
              <w:rPr>
                <w:rFonts w:ascii="宋体" w:hAnsi="宋体" w:eastAsia="宋体" w:cs="宋体"/>
                <w:sz w:val="24"/>
                <w:szCs w:val="24"/>
                <w:highlight w:val="none"/>
              </w:rPr>
              <w:t>质保外服务措施</w:t>
            </w:r>
            <w:r>
              <w:rPr>
                <w:sz w:val="24"/>
                <w:szCs w:val="24"/>
                <w:highlight w:val="none"/>
              </w:rPr>
              <w:t>等</w:t>
            </w:r>
            <w:r>
              <w:rPr>
                <w:rFonts w:hint="eastAsia"/>
                <w:sz w:val="24"/>
                <w:szCs w:val="24"/>
                <w:highlight w:val="none"/>
              </w:rPr>
              <w:t>6项内容，方案内容完整齐全，符合项目实际的，得</w:t>
            </w:r>
            <w:r>
              <w:rPr>
                <w:rFonts w:hint="eastAsia"/>
                <w:sz w:val="24"/>
                <w:szCs w:val="24"/>
                <w:highlight w:val="none"/>
                <w:lang w:val="en-US" w:eastAsia="zh-CN"/>
              </w:rPr>
              <w:t>6</w:t>
            </w:r>
            <w:r>
              <w:rPr>
                <w:rFonts w:hint="eastAsia"/>
                <w:sz w:val="24"/>
                <w:szCs w:val="24"/>
                <w:highlight w:val="none"/>
              </w:rPr>
              <w:t>分；每缺少一项方案内容，或一项内容存在缺陷的，每一项扣</w:t>
            </w:r>
            <w:r>
              <w:rPr>
                <w:rFonts w:hint="eastAsia"/>
                <w:sz w:val="24"/>
                <w:szCs w:val="24"/>
                <w:highlight w:val="none"/>
                <w:lang w:val="en-US" w:eastAsia="zh-CN"/>
              </w:rPr>
              <w:t>1</w:t>
            </w:r>
            <w:r>
              <w:rPr>
                <w:rFonts w:hint="eastAsia"/>
                <w:sz w:val="24"/>
                <w:szCs w:val="24"/>
                <w:highlight w:val="none"/>
              </w:rPr>
              <w:t>分，扣完为止；未提供售后服务方案的，此项不得分。</w:t>
            </w:r>
          </w:p>
          <w:p>
            <w:pPr>
              <w:snapToGrid w:val="0"/>
              <w:spacing w:line="400" w:lineRule="exact"/>
              <w:ind w:firstLine="482" w:firstLineChars="200"/>
              <w:rPr>
                <w:rFonts w:ascii="宋体" w:hAnsi="宋体" w:eastAsia="宋体" w:cs="宋体"/>
                <w:sz w:val="24"/>
                <w:szCs w:val="24"/>
                <w:highlight w:val="none"/>
              </w:rPr>
            </w:pPr>
            <w:r>
              <w:rPr>
                <w:rFonts w:hint="eastAsia"/>
                <w:b/>
                <w:bCs/>
                <w:sz w:val="24"/>
                <w:szCs w:val="24"/>
                <w:highlight w:val="none"/>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snapToGrid w:val="0"/>
              <w:spacing w:line="400" w:lineRule="exac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2"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宋体" w:hAnsi="宋体" w:eastAsia="宋体" w:cs="宋体"/>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r>
              <w:rPr>
                <w:rFonts w:hint="eastAsia" w:cs="Times New Roman"/>
                <w:color w:val="auto"/>
                <w:sz w:val="24"/>
                <w:szCs w:val="24"/>
                <w:highlight w:val="none"/>
                <w:lang w:val="en-US" w:eastAsia="zh-CN"/>
              </w:rPr>
              <w:t>投标</w:t>
            </w:r>
            <w:r>
              <w:rPr>
                <w:rFonts w:hint="default" w:ascii="Times New Roman" w:hAnsi="Times New Roman" w:eastAsia="宋体" w:cs="Times New Roman"/>
                <w:color w:val="auto"/>
                <w:sz w:val="24"/>
                <w:szCs w:val="24"/>
                <w:highlight w:val="none"/>
                <w:lang w:val="en-US" w:eastAsia="zh-CN"/>
              </w:rPr>
              <w:t>样品视频</w:t>
            </w:r>
            <w:r>
              <w:rPr>
                <w:rFonts w:hint="eastAsia" w:cs="Times New Roman"/>
                <w:color w:val="auto"/>
                <w:sz w:val="24"/>
                <w:szCs w:val="24"/>
                <w:highlight w:val="none"/>
                <w:lang w:val="en-US" w:eastAsia="zh-CN"/>
              </w:rPr>
              <w:t>评价</w:t>
            </w:r>
          </w:p>
        </w:tc>
        <w:tc>
          <w:tcPr>
            <w:tcW w:w="5954" w:type="dxa"/>
            <w:tcMar>
              <w:top w:w="15" w:type="dxa"/>
              <w:left w:w="15" w:type="dxa"/>
              <w:right w:w="15" w:type="dxa"/>
            </w:tcMar>
            <w:vAlign w:val="center"/>
          </w:tcPr>
          <w:p>
            <w:pPr>
              <w:adjustRightInd w:val="0"/>
              <w:snapToGrid w:val="0"/>
              <w:spacing w:line="400" w:lineRule="exact"/>
              <w:ind w:firstLine="480" w:firstLineChars="200"/>
              <w:jc w:val="left"/>
              <w:rPr>
                <w:rFonts w:ascii="宋体" w:hAnsi="宋体" w:cs="宋体"/>
                <w:color w:val="000000"/>
                <w:sz w:val="24"/>
                <w:szCs w:val="24"/>
                <w:highlight w:val="none"/>
              </w:rPr>
            </w:pPr>
            <w:r>
              <w:rPr>
                <w:rFonts w:hint="eastAsia" w:ascii="宋体" w:hAnsi="宋体" w:cs="宋体"/>
                <w:color w:val="000000"/>
                <w:sz w:val="24"/>
                <w:szCs w:val="24"/>
                <w:highlight w:val="none"/>
              </w:rPr>
              <w:t>样品视频分：评标委员会通过观看投标人装备样品视频讲解的方式，考评投标产品的</w:t>
            </w:r>
            <w:r>
              <w:rPr>
                <w:rFonts w:hint="eastAsia" w:ascii="宋体" w:hAnsi="宋体" w:cs="宋体"/>
                <w:color w:val="000000"/>
                <w:sz w:val="24"/>
                <w:szCs w:val="24"/>
                <w:highlight w:val="none"/>
                <w:lang w:val="en-US" w:eastAsia="zh-CN"/>
              </w:rPr>
              <w:t>①、使用材质；②、制作工艺水平；③使用功能演示；④有无操作安全隐患。</w:t>
            </w:r>
            <w:r>
              <w:rPr>
                <w:rFonts w:hint="eastAsia" w:ascii="宋体" w:hAnsi="宋体" w:cs="宋体"/>
                <w:color w:val="000000"/>
                <w:sz w:val="24"/>
                <w:szCs w:val="24"/>
                <w:highlight w:val="none"/>
              </w:rPr>
              <w:t>各项性能完备的得8分，提供的样品视频中每有一项或一处存在瑕疵或不满足技术参数要求或不符合采购人使用需求的扣</w:t>
            </w:r>
            <w:r>
              <w:rPr>
                <w:rFonts w:hint="eastAsia" w:ascii="宋体" w:hAnsi="宋体" w:cs="宋体"/>
                <w:color w:val="000000"/>
                <w:sz w:val="24"/>
                <w:szCs w:val="24"/>
                <w:highlight w:val="none"/>
                <w:lang w:val="en-US" w:eastAsia="zh-CN"/>
              </w:rPr>
              <w:t>2</w:t>
            </w:r>
            <w:r>
              <w:rPr>
                <w:rFonts w:hint="eastAsia" w:ascii="宋体" w:hAnsi="宋体" w:cs="宋体"/>
                <w:color w:val="000000"/>
                <w:sz w:val="24"/>
                <w:szCs w:val="24"/>
                <w:highlight w:val="none"/>
              </w:rPr>
              <w:t>分，扣完为止。</w:t>
            </w:r>
          </w:p>
          <w:p>
            <w:pPr>
              <w:widowControl/>
              <w:spacing w:line="400" w:lineRule="exact"/>
              <w:ind w:firstLine="480" w:firstLineChars="200"/>
              <w:rPr>
                <w:sz w:val="24"/>
                <w:szCs w:val="24"/>
                <w:highlight w:val="none"/>
              </w:rPr>
            </w:pPr>
            <w:r>
              <w:rPr>
                <w:rFonts w:hint="eastAsia" w:ascii="宋体" w:hAnsi="宋体" w:cs="宋体"/>
                <w:color w:val="000000"/>
                <w:sz w:val="24"/>
                <w:szCs w:val="24"/>
                <w:highlight w:val="none"/>
              </w:rPr>
              <w:t>注：投标人须完全按照采购文件要求递交装备样品讲解视频，凡出现下列情况的得分均为0分：①无讲解视频的；②讲解视频中样品不符合文件要求的；③讲解视频中透露品牌型号的。</w:t>
            </w:r>
          </w:p>
        </w:tc>
        <w:tc>
          <w:tcPr>
            <w:tcW w:w="687" w:type="dxa"/>
            <w:tcMar>
              <w:top w:w="15" w:type="dxa"/>
              <w:left w:w="15" w:type="dxa"/>
              <w:right w:w="15" w:type="dxa"/>
            </w:tcMar>
            <w:vAlign w:val="center"/>
          </w:tcPr>
          <w:p>
            <w:pPr>
              <w:snapToGrid w:val="0"/>
              <w:spacing w:line="40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jc w:val="center"/>
        </w:trPr>
        <w:tc>
          <w:tcPr>
            <w:tcW w:w="9109" w:type="dxa"/>
            <w:gridSpan w:val="4"/>
            <w:tcMar>
              <w:top w:w="15" w:type="dxa"/>
              <w:left w:w="15" w:type="dxa"/>
              <w:right w:w="15" w:type="dxa"/>
            </w:tcMar>
            <w:vAlign w:val="center"/>
          </w:tcPr>
          <w:p>
            <w:pPr>
              <w:widowControl/>
              <w:spacing w:line="400" w:lineRule="exact"/>
              <w:jc w:val="center"/>
              <w:textAlignment w:val="center"/>
              <w:rPr>
                <w:rFonts w:ascii="宋体" w:hAnsi="宋体" w:eastAsia="宋体" w:cs="宋体"/>
                <w:sz w:val="24"/>
                <w:szCs w:val="24"/>
                <w:highlight w:val="none"/>
              </w:rPr>
            </w:pPr>
            <w:r>
              <w:rPr>
                <w:rFonts w:hint="eastAsia" w:ascii="宋体" w:hAnsi="宋体" w:eastAsia="宋体" w:cs="宋体"/>
                <w:kern w:val="0"/>
                <w:sz w:val="24"/>
                <w:szCs w:val="24"/>
                <w:highlight w:val="none"/>
              </w:rPr>
              <w:t>合计：100分</w:t>
            </w:r>
          </w:p>
        </w:tc>
      </w:tr>
    </w:tbl>
    <w:p>
      <w:pPr>
        <w:pStyle w:val="4"/>
        <w:rPr>
          <w:rFonts w:ascii="宋体" w:hAnsi="宋体" w:eastAsia="宋体" w:cs="宋体"/>
          <w:b/>
          <w:sz w:val="24"/>
          <w:szCs w:val="24"/>
          <w:highlight w:val="none"/>
        </w:rPr>
      </w:pPr>
    </w:p>
    <w:p>
      <w:pPr>
        <w:pStyle w:val="4"/>
        <w:rPr>
          <w:rFonts w:ascii="宋体" w:hAnsi="宋体" w:eastAsia="宋体" w:cs="宋体"/>
          <w:b/>
          <w:sz w:val="24"/>
          <w:szCs w:val="24"/>
          <w:highlight w:val="none"/>
        </w:rPr>
      </w:pPr>
    </w:p>
    <w:p>
      <w:pPr>
        <w:pStyle w:val="4"/>
        <w:rPr>
          <w:rFonts w:ascii="宋体" w:hAnsi="宋体" w:eastAsia="宋体" w:cs="宋体"/>
          <w:b/>
          <w:sz w:val="24"/>
          <w:szCs w:val="24"/>
          <w:highlight w:val="none"/>
        </w:rPr>
      </w:pPr>
    </w:p>
    <w:p>
      <w:pPr>
        <w:pStyle w:val="4"/>
        <w:rPr>
          <w:rFonts w:ascii="宋体" w:hAnsi="宋体" w:eastAsia="宋体" w:cs="宋体"/>
          <w:b/>
          <w:sz w:val="24"/>
          <w:szCs w:val="24"/>
          <w:highlight w:val="none"/>
        </w:rPr>
      </w:pPr>
    </w:p>
    <w:p>
      <w:pPr>
        <w:pStyle w:val="4"/>
        <w:rPr>
          <w:rFonts w:ascii="宋体" w:hAnsi="宋体" w:eastAsia="宋体" w:cs="宋体"/>
          <w:b/>
          <w:sz w:val="24"/>
          <w:szCs w:val="24"/>
          <w:highlight w:val="none"/>
        </w:rPr>
      </w:pPr>
    </w:p>
    <w:p>
      <w:pPr>
        <w:pStyle w:val="4"/>
        <w:rPr>
          <w:rFonts w:ascii="宋体" w:hAnsi="宋体" w:eastAsia="宋体" w:cs="宋体"/>
          <w:b/>
          <w:sz w:val="24"/>
          <w:szCs w:val="24"/>
          <w:highlight w:val="none"/>
        </w:rPr>
      </w:pPr>
    </w:p>
    <w:p>
      <w:pPr>
        <w:pStyle w:val="4"/>
        <w:rPr>
          <w:rFonts w:ascii="宋体" w:hAnsi="宋体" w:eastAsia="宋体" w:cs="宋体"/>
          <w:b/>
          <w:sz w:val="24"/>
          <w:szCs w:val="24"/>
          <w:highlight w:val="none"/>
        </w:rPr>
      </w:pPr>
    </w:p>
    <w:p>
      <w:pPr>
        <w:pStyle w:val="4"/>
        <w:rPr>
          <w:rFonts w:ascii="宋体" w:hAnsi="宋体" w:eastAsia="宋体" w:cs="宋体"/>
          <w:b/>
          <w:sz w:val="24"/>
          <w:szCs w:val="24"/>
          <w:highlight w:val="none"/>
        </w:rPr>
      </w:pPr>
    </w:p>
    <w:p>
      <w:pPr>
        <w:pStyle w:val="4"/>
        <w:rPr>
          <w:rFonts w:ascii="宋体" w:hAnsi="宋体" w:eastAsia="宋体" w:cs="宋体"/>
          <w:b/>
          <w:sz w:val="24"/>
          <w:szCs w:val="24"/>
          <w:highlight w:val="none"/>
        </w:rPr>
      </w:pPr>
    </w:p>
    <w:p>
      <w:pPr>
        <w:pStyle w:val="4"/>
        <w:rPr>
          <w:rFonts w:ascii="宋体" w:hAnsi="宋体" w:eastAsia="宋体" w:cs="宋体"/>
          <w:b/>
          <w:sz w:val="24"/>
          <w:szCs w:val="24"/>
          <w:highlight w:val="none"/>
        </w:rPr>
      </w:pPr>
    </w:p>
    <w:p>
      <w:pPr>
        <w:pStyle w:val="4"/>
        <w:rPr>
          <w:rFonts w:hint="eastAsia" w:ascii="宋体" w:hAnsi="宋体" w:eastAsia="宋体" w:cs="宋体"/>
          <w:b/>
          <w:sz w:val="24"/>
          <w:szCs w:val="24"/>
          <w:highlight w:val="none"/>
        </w:rPr>
      </w:pPr>
    </w:p>
    <w:p>
      <w:pPr>
        <w:pStyle w:val="4"/>
        <w:rPr>
          <w:rFonts w:hint="eastAsia" w:ascii="宋体" w:hAnsi="宋体" w:eastAsia="宋体" w:cs="宋体"/>
          <w:b/>
          <w:sz w:val="24"/>
          <w:szCs w:val="24"/>
          <w:highlight w:val="none"/>
        </w:rPr>
      </w:pPr>
    </w:p>
    <w:p>
      <w:pPr>
        <w:pStyle w:val="4"/>
        <w:rPr>
          <w:rFonts w:ascii="宋体" w:hAnsi="宋体" w:eastAsia="宋体" w:cs="宋体"/>
          <w:b/>
          <w:sz w:val="24"/>
          <w:szCs w:val="24"/>
          <w:highlight w:val="none"/>
        </w:rPr>
      </w:pPr>
      <w:r>
        <w:rPr>
          <w:rFonts w:hint="eastAsia" w:ascii="宋体" w:hAnsi="宋体" w:eastAsia="宋体" w:cs="宋体"/>
          <w:b/>
          <w:sz w:val="24"/>
          <w:szCs w:val="24"/>
          <w:highlight w:val="none"/>
        </w:rPr>
        <w:t>第</w:t>
      </w:r>
      <w:r>
        <w:rPr>
          <w:rFonts w:hint="eastAsia" w:ascii="宋体" w:hAnsi="宋体" w:eastAsia="宋体" w:cs="宋体"/>
          <w:b/>
          <w:sz w:val="24"/>
          <w:szCs w:val="24"/>
          <w:highlight w:val="none"/>
          <w:lang w:val="en-US" w:eastAsia="zh-CN"/>
        </w:rPr>
        <w:t>十五</w:t>
      </w:r>
      <w:r>
        <w:rPr>
          <w:rFonts w:hint="eastAsia" w:ascii="宋体" w:hAnsi="宋体" w:eastAsia="宋体" w:cs="宋体"/>
          <w:b/>
          <w:sz w:val="24"/>
          <w:szCs w:val="24"/>
          <w:highlight w:val="none"/>
        </w:rPr>
        <w:t>包评分标准：</w:t>
      </w:r>
    </w:p>
    <w:tbl>
      <w:tblPr>
        <w:tblStyle w:val="38"/>
        <w:tblW w:w="91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5954"/>
        <w:gridCol w:w="6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宋体" w:hAnsi="宋体" w:eastAsia="宋体" w:cs="宋体"/>
                <w:b/>
                <w:sz w:val="24"/>
                <w:szCs w:val="24"/>
                <w:highlight w:val="none"/>
              </w:rPr>
            </w:pPr>
            <w:r>
              <w:rPr>
                <w:rFonts w:hint="eastAsia" w:ascii="宋体" w:hAnsi="宋体" w:eastAsia="宋体" w:cs="宋体"/>
                <w:b/>
                <w:kern w:val="0"/>
                <w:sz w:val="24"/>
                <w:szCs w:val="24"/>
                <w:highlight w:val="none"/>
              </w:rPr>
              <w:t>评分因素及权重</w:t>
            </w:r>
          </w:p>
        </w:tc>
        <w:tc>
          <w:tcPr>
            <w:tcW w:w="1371" w:type="dxa"/>
            <w:tcMar>
              <w:top w:w="15" w:type="dxa"/>
              <w:left w:w="15" w:type="dxa"/>
              <w:right w:w="15" w:type="dxa"/>
            </w:tcMar>
            <w:vAlign w:val="center"/>
          </w:tcPr>
          <w:p>
            <w:pPr>
              <w:widowControl/>
              <w:spacing w:line="400" w:lineRule="exact"/>
              <w:jc w:val="center"/>
              <w:textAlignment w:val="center"/>
              <w:rPr>
                <w:rFonts w:ascii="宋体" w:hAnsi="宋体" w:eastAsia="宋体" w:cs="宋体"/>
                <w:b/>
                <w:sz w:val="24"/>
                <w:szCs w:val="24"/>
                <w:highlight w:val="none"/>
              </w:rPr>
            </w:pPr>
            <w:r>
              <w:rPr>
                <w:rFonts w:hint="eastAsia" w:ascii="宋体" w:hAnsi="宋体" w:eastAsia="宋体" w:cs="宋体"/>
                <w:b/>
                <w:kern w:val="0"/>
                <w:sz w:val="24"/>
                <w:szCs w:val="24"/>
                <w:highlight w:val="none"/>
              </w:rPr>
              <w:t>评标因素</w:t>
            </w:r>
          </w:p>
        </w:tc>
        <w:tc>
          <w:tcPr>
            <w:tcW w:w="5954" w:type="dxa"/>
            <w:tcMar>
              <w:top w:w="15" w:type="dxa"/>
              <w:left w:w="15" w:type="dxa"/>
              <w:right w:w="15" w:type="dxa"/>
            </w:tcMar>
            <w:vAlign w:val="center"/>
          </w:tcPr>
          <w:p>
            <w:pPr>
              <w:widowControl/>
              <w:spacing w:line="400" w:lineRule="exact"/>
              <w:jc w:val="center"/>
              <w:textAlignment w:val="center"/>
              <w:rPr>
                <w:rFonts w:ascii="宋体" w:hAnsi="宋体" w:eastAsia="宋体" w:cs="宋体"/>
                <w:b/>
                <w:sz w:val="24"/>
                <w:szCs w:val="24"/>
                <w:highlight w:val="none"/>
              </w:rPr>
            </w:pPr>
            <w:r>
              <w:rPr>
                <w:rFonts w:hint="eastAsia" w:ascii="宋体" w:hAnsi="宋体" w:eastAsia="宋体" w:cs="宋体"/>
                <w:b/>
                <w:kern w:val="0"/>
                <w:sz w:val="24"/>
                <w:szCs w:val="24"/>
                <w:highlight w:val="none"/>
              </w:rPr>
              <w:t>评分标准</w:t>
            </w:r>
          </w:p>
        </w:tc>
        <w:tc>
          <w:tcPr>
            <w:tcW w:w="687" w:type="dxa"/>
            <w:tcMar>
              <w:top w:w="15" w:type="dxa"/>
              <w:left w:w="15" w:type="dxa"/>
              <w:right w:w="15" w:type="dxa"/>
            </w:tcMar>
            <w:vAlign w:val="center"/>
          </w:tcPr>
          <w:p>
            <w:pPr>
              <w:widowControl/>
              <w:spacing w:line="400" w:lineRule="exact"/>
              <w:jc w:val="center"/>
              <w:textAlignment w:val="center"/>
              <w:rPr>
                <w:rFonts w:ascii="宋体" w:hAnsi="宋体" w:eastAsia="宋体" w:cs="宋体"/>
                <w:b/>
                <w:sz w:val="24"/>
                <w:szCs w:val="24"/>
                <w:highlight w:val="none"/>
              </w:rPr>
            </w:pPr>
            <w:r>
              <w:rPr>
                <w:rFonts w:hint="eastAsia" w:ascii="宋体" w:hAnsi="宋体" w:eastAsia="宋体" w:cs="宋体"/>
                <w:b/>
                <w:kern w:val="0"/>
                <w:sz w:val="24"/>
                <w:szCs w:val="24"/>
                <w:highlight w:val="none"/>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宋体" w:hAnsi="宋体" w:eastAsia="宋体" w:cs="宋体"/>
                <w:sz w:val="24"/>
                <w:szCs w:val="24"/>
                <w:highlight w:val="none"/>
              </w:rPr>
            </w:pPr>
            <w:r>
              <w:rPr>
                <w:rFonts w:hint="eastAsia" w:ascii="宋体" w:hAnsi="宋体" w:eastAsia="宋体" w:cs="宋体"/>
                <w:kern w:val="0"/>
                <w:sz w:val="24"/>
                <w:szCs w:val="24"/>
                <w:highlight w:val="none"/>
              </w:rPr>
              <w:t>价格部分（30分）</w:t>
            </w:r>
          </w:p>
        </w:tc>
        <w:tc>
          <w:tcPr>
            <w:tcW w:w="1371" w:type="dxa"/>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投标</w:t>
            </w:r>
          </w:p>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报价</w:t>
            </w:r>
          </w:p>
        </w:tc>
        <w:tc>
          <w:tcPr>
            <w:tcW w:w="5954" w:type="dxa"/>
            <w:tcMar>
              <w:top w:w="15" w:type="dxa"/>
              <w:left w:w="15" w:type="dxa"/>
              <w:right w:w="15" w:type="dxa"/>
            </w:tcMar>
            <w:vAlign w:val="center"/>
          </w:tcPr>
          <w:p>
            <w:pPr>
              <w:widowControl/>
              <w:spacing w:line="400" w:lineRule="exact"/>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综合评分法中的价格分统一采用低价优先法计算，即满足招标文件要求且投标价格最低的投标报价为评标基准价，其价格分为满分30分，其它投标报价得分=评标基准价/投标报价*30</w:t>
            </w:r>
          </w:p>
        </w:tc>
        <w:tc>
          <w:tcPr>
            <w:tcW w:w="687" w:type="dxa"/>
            <w:tcMar>
              <w:top w:w="15" w:type="dxa"/>
              <w:left w:w="15" w:type="dxa"/>
              <w:right w:w="15" w:type="dxa"/>
            </w:tcMar>
            <w:vAlign w:val="center"/>
          </w:tcPr>
          <w:p>
            <w:pPr>
              <w:widowControl/>
              <w:spacing w:line="400" w:lineRule="exact"/>
              <w:jc w:val="center"/>
              <w:textAlignment w:val="center"/>
              <w:rPr>
                <w:rFonts w:ascii="宋体" w:hAnsi="宋体" w:eastAsia="宋体" w:cs="宋体"/>
                <w:sz w:val="24"/>
                <w:szCs w:val="24"/>
                <w:highlight w:val="none"/>
              </w:rPr>
            </w:pPr>
            <w:r>
              <w:rPr>
                <w:rFonts w:hint="eastAsia" w:ascii="宋体" w:hAnsi="宋体" w:eastAsia="宋体" w:cs="宋体"/>
                <w:kern w:val="0"/>
                <w:sz w:val="24"/>
                <w:szCs w:val="24"/>
                <w:highlight w:val="none"/>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sz w:val="24"/>
                <w:szCs w:val="24"/>
                <w:highlight w:val="none"/>
              </w:rPr>
            </w:pPr>
            <w:r>
              <w:rPr>
                <w:rFonts w:hint="eastAsia" w:ascii="宋体" w:hAnsi="宋体" w:eastAsia="宋体" w:cs="宋体"/>
                <w:kern w:val="0"/>
                <w:sz w:val="24"/>
                <w:szCs w:val="24"/>
                <w:highlight w:val="none"/>
              </w:rPr>
              <w:t>技术和商务部分（ 70分）</w:t>
            </w:r>
          </w:p>
        </w:tc>
        <w:tc>
          <w:tcPr>
            <w:tcW w:w="1371" w:type="dxa"/>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技术要求</w:t>
            </w:r>
          </w:p>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响应评价</w:t>
            </w:r>
          </w:p>
        </w:tc>
        <w:tc>
          <w:tcPr>
            <w:tcW w:w="5954" w:type="dxa"/>
            <w:tcMar>
              <w:top w:w="15" w:type="dxa"/>
              <w:left w:w="15" w:type="dxa"/>
              <w:right w:w="15" w:type="dxa"/>
            </w:tcMar>
            <w:vAlign w:val="center"/>
          </w:tcPr>
          <w:p>
            <w:pPr>
              <w:widowControl/>
              <w:spacing w:line="400" w:lineRule="exact"/>
              <w:ind w:firstLine="480" w:firstLineChars="200"/>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对照“项目需求”技术参数（每条技术参数前标注“★”的为核心技术参数，未标注的为一般参数），根据投标人提供的产品配置及技术性能指标的响应情况进行评审。</w:t>
            </w:r>
          </w:p>
          <w:p>
            <w:pPr>
              <w:widowControl/>
              <w:spacing w:line="400" w:lineRule="exact"/>
              <w:ind w:firstLine="480" w:firstLineChars="200"/>
              <w:textAlignment w:val="center"/>
              <w:rPr>
                <w:rFonts w:ascii="宋体" w:hAnsi="宋体" w:eastAsia="宋体" w:cs="宋体"/>
                <w:sz w:val="24"/>
                <w:szCs w:val="24"/>
                <w:highlight w:val="none"/>
              </w:rPr>
            </w:pPr>
            <w:r>
              <w:rPr>
                <w:rFonts w:hint="eastAsia" w:ascii="宋体" w:hAnsi="宋体" w:eastAsia="宋体" w:cs="宋体"/>
                <w:sz w:val="24"/>
                <w:szCs w:val="24"/>
                <w:highlight w:val="none"/>
              </w:rPr>
              <w:t>1.投标人所投产品技术参数完全响应招标文件要求的，得</w:t>
            </w:r>
            <w:r>
              <w:rPr>
                <w:rFonts w:hint="eastAsia" w:ascii="宋体" w:hAnsi="宋体" w:eastAsia="宋体" w:cs="宋体"/>
                <w:sz w:val="24"/>
                <w:szCs w:val="24"/>
                <w:highlight w:val="none"/>
                <w:lang w:val="en-US" w:eastAsia="zh-CN"/>
              </w:rPr>
              <w:t>30</w:t>
            </w:r>
            <w:r>
              <w:rPr>
                <w:rFonts w:hint="eastAsia" w:ascii="宋体" w:hAnsi="宋体" w:eastAsia="宋体" w:cs="宋体"/>
                <w:sz w:val="24"/>
                <w:szCs w:val="24"/>
                <w:highlight w:val="none"/>
              </w:rPr>
              <w:t>分；</w:t>
            </w:r>
          </w:p>
          <w:p>
            <w:pPr>
              <w:pStyle w:val="30"/>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w:t>
            </w:r>
            <w:r>
              <w:rPr>
                <w:rFonts w:ascii="宋体" w:hAnsi="宋体" w:eastAsia="宋体" w:cs="宋体"/>
                <w:sz w:val="24"/>
                <w:szCs w:val="24"/>
                <w:highlight w:val="none"/>
              </w:rPr>
              <w:t>.</w:t>
            </w:r>
            <w:r>
              <w:rPr>
                <w:rFonts w:hint="eastAsia"/>
                <w:highlight w:val="none"/>
              </w:rPr>
              <w:t xml:space="preserve"> </w:t>
            </w:r>
            <w:r>
              <w:rPr>
                <w:rFonts w:hint="eastAsia" w:ascii="宋体" w:hAnsi="宋体" w:eastAsia="宋体" w:cs="宋体"/>
                <w:sz w:val="24"/>
                <w:szCs w:val="24"/>
                <w:highlight w:val="none"/>
              </w:rPr>
              <w:t>核心技术参数存在负偏离的（</w:t>
            </w:r>
            <w:r>
              <w:rPr>
                <w:rFonts w:hint="eastAsia" w:ascii="宋体" w:hAnsi="宋体" w:eastAsia="宋体" w:cs="宋体"/>
                <w:sz w:val="24"/>
                <w:szCs w:val="24"/>
                <w:highlight w:val="none"/>
                <w:lang w:val="en-US" w:eastAsia="zh-CN"/>
              </w:rPr>
              <w:t>共</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条），此项不得分；</w:t>
            </w:r>
          </w:p>
          <w:p>
            <w:pPr>
              <w:pStyle w:val="30"/>
              <w:ind w:firstLine="480" w:firstLineChars="200"/>
              <w:rPr>
                <w:rFonts w:ascii="宋体" w:hAnsi="宋体" w:eastAsia="宋体" w:cs="宋体"/>
                <w:kern w:val="0"/>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kern w:val="0"/>
                <w:sz w:val="24"/>
                <w:szCs w:val="24"/>
                <w:highlight w:val="none"/>
              </w:rPr>
              <w:t>一般技术参数存在负偏离的（</w:t>
            </w:r>
            <w:r>
              <w:rPr>
                <w:rFonts w:hint="eastAsia" w:ascii="宋体" w:hAnsi="宋体" w:eastAsia="宋体" w:cs="宋体"/>
                <w:sz w:val="24"/>
                <w:szCs w:val="24"/>
                <w:highlight w:val="none"/>
                <w:lang w:val="en-US" w:eastAsia="zh-CN"/>
              </w:rPr>
              <w:t>共</w:t>
            </w:r>
            <w:r>
              <w:rPr>
                <w:rFonts w:hint="eastAsia" w:ascii="宋体" w:hAnsi="宋体" w:eastAsia="宋体" w:cs="宋体"/>
                <w:kern w:val="0"/>
                <w:sz w:val="24"/>
                <w:szCs w:val="24"/>
                <w:highlight w:val="none"/>
                <w:lang w:val="en-US" w:eastAsia="zh-CN"/>
              </w:rPr>
              <w:t>21</w:t>
            </w:r>
            <w:r>
              <w:rPr>
                <w:rFonts w:hint="eastAsia" w:ascii="宋体" w:hAnsi="宋体" w:eastAsia="宋体" w:cs="宋体"/>
                <w:kern w:val="0"/>
                <w:sz w:val="24"/>
                <w:szCs w:val="24"/>
                <w:highlight w:val="none"/>
              </w:rPr>
              <w:t>条），每一条扣</w:t>
            </w:r>
            <w:r>
              <w:rPr>
                <w:rFonts w:hint="eastAsia" w:ascii="宋体" w:hAnsi="宋体" w:eastAsia="宋体" w:cs="宋体"/>
                <w:kern w:val="0"/>
                <w:sz w:val="24"/>
                <w:szCs w:val="24"/>
                <w:highlight w:val="none"/>
                <w:lang w:val="en-US" w:eastAsia="zh-CN"/>
              </w:rPr>
              <w:t>1.5</w:t>
            </w:r>
            <w:r>
              <w:rPr>
                <w:rFonts w:hint="eastAsia" w:ascii="宋体" w:hAnsi="宋体" w:eastAsia="宋体" w:cs="宋体"/>
                <w:kern w:val="0"/>
                <w:sz w:val="24"/>
                <w:szCs w:val="24"/>
                <w:highlight w:val="none"/>
              </w:rPr>
              <w:t>分，最多扣</w:t>
            </w:r>
            <w:r>
              <w:rPr>
                <w:rFonts w:hint="eastAsia" w:ascii="宋体" w:hAnsi="宋体" w:eastAsia="宋体" w:cs="宋体"/>
                <w:kern w:val="0"/>
                <w:sz w:val="24"/>
                <w:szCs w:val="24"/>
                <w:highlight w:val="none"/>
                <w:lang w:val="en-US" w:eastAsia="zh-CN"/>
              </w:rPr>
              <w:t>30</w:t>
            </w:r>
            <w:r>
              <w:rPr>
                <w:rFonts w:hint="eastAsia" w:ascii="宋体" w:hAnsi="宋体" w:eastAsia="宋体" w:cs="宋体"/>
                <w:kern w:val="0"/>
                <w:sz w:val="24"/>
                <w:szCs w:val="24"/>
                <w:highlight w:val="none"/>
              </w:rPr>
              <w:t>分。</w:t>
            </w:r>
          </w:p>
          <w:p>
            <w:pPr>
              <w:widowControl/>
              <w:spacing w:line="400" w:lineRule="exact"/>
              <w:ind w:firstLine="482" w:firstLineChars="200"/>
              <w:textAlignment w:val="center"/>
              <w:rPr>
                <w:rFonts w:eastAsia="宋体"/>
                <w:highlight w:val="none"/>
              </w:rPr>
            </w:pPr>
            <w:r>
              <w:rPr>
                <w:b/>
                <w:bCs/>
                <w:sz w:val="24"/>
                <w:szCs w:val="24"/>
                <w:highlight w:val="none"/>
              </w:rPr>
              <w:t>注：负偏离评审依据：</w:t>
            </w:r>
            <w:r>
              <w:rPr>
                <w:rFonts w:hint="eastAsia"/>
                <w:b/>
                <w:bCs/>
                <w:sz w:val="24"/>
                <w:szCs w:val="24"/>
                <w:highlight w:val="none"/>
              </w:rPr>
              <w:t>①</w:t>
            </w:r>
            <w:r>
              <w:rPr>
                <w:b/>
                <w:bCs/>
                <w:sz w:val="24"/>
                <w:szCs w:val="24"/>
                <w:highlight w:val="none"/>
              </w:rPr>
              <w:t>所</w:t>
            </w:r>
            <w:r>
              <w:rPr>
                <w:rFonts w:hint="eastAsia"/>
                <w:b/>
                <w:bCs/>
                <w:sz w:val="24"/>
                <w:szCs w:val="24"/>
                <w:highlight w:val="none"/>
              </w:rPr>
              <w:t>提供</w:t>
            </w:r>
            <w:r>
              <w:rPr>
                <w:b/>
                <w:bCs/>
                <w:sz w:val="24"/>
                <w:szCs w:val="24"/>
                <w:highlight w:val="none"/>
              </w:rPr>
              <w:t>产品技术参数低于</w:t>
            </w:r>
            <w:r>
              <w:rPr>
                <w:rFonts w:hint="eastAsia"/>
                <w:b/>
                <w:bCs/>
                <w:sz w:val="24"/>
                <w:szCs w:val="24"/>
                <w:highlight w:val="none"/>
              </w:rPr>
              <w:t>招标</w:t>
            </w:r>
            <w:r>
              <w:rPr>
                <w:b/>
                <w:bCs/>
                <w:sz w:val="24"/>
                <w:szCs w:val="24"/>
                <w:highlight w:val="none"/>
              </w:rPr>
              <w:t>文件要求的，视为负偏离；</w:t>
            </w:r>
            <w:r>
              <w:rPr>
                <w:rFonts w:hint="eastAsia"/>
                <w:b/>
                <w:bCs/>
                <w:sz w:val="24"/>
                <w:szCs w:val="24"/>
                <w:highlight w:val="none"/>
              </w:rPr>
              <w:t>②</w:t>
            </w:r>
            <w:r>
              <w:rPr>
                <w:b/>
                <w:bCs/>
                <w:sz w:val="24"/>
                <w:szCs w:val="24"/>
                <w:highlight w:val="none"/>
              </w:rPr>
              <w:t>技术参数响应条款</w:t>
            </w:r>
            <w:r>
              <w:rPr>
                <w:rFonts w:hint="eastAsia"/>
                <w:b/>
                <w:bCs/>
                <w:sz w:val="24"/>
                <w:szCs w:val="24"/>
                <w:highlight w:val="none"/>
              </w:rPr>
              <w:t>（以投标文件内技术偏离表为准）</w:t>
            </w:r>
            <w:r>
              <w:rPr>
                <w:b/>
                <w:bCs/>
                <w:sz w:val="24"/>
                <w:szCs w:val="24"/>
                <w:highlight w:val="none"/>
              </w:rPr>
              <w:t>与</w:t>
            </w:r>
            <w:r>
              <w:rPr>
                <w:rFonts w:hint="eastAsia"/>
                <w:b/>
                <w:bCs/>
                <w:sz w:val="24"/>
                <w:szCs w:val="24"/>
                <w:highlight w:val="none"/>
              </w:rPr>
              <w:t>招标</w:t>
            </w:r>
            <w:r>
              <w:rPr>
                <w:b/>
                <w:bCs/>
                <w:sz w:val="24"/>
                <w:szCs w:val="24"/>
                <w:highlight w:val="none"/>
              </w:rPr>
              <w:t>文件对比有缺项、漏项的，视为负偏离；</w:t>
            </w:r>
            <w:r>
              <w:rPr>
                <w:rFonts w:hint="eastAsia"/>
                <w:b/>
                <w:bCs/>
                <w:sz w:val="24"/>
                <w:szCs w:val="24"/>
                <w:highlight w:val="none"/>
              </w:rPr>
              <w:t>③投标文件内技术偏离表完全复制招标文件技术参数的（不涉及具体参数指标的描述性技术要求除外），视为负偏离；④投标人</w:t>
            </w:r>
            <w:r>
              <w:rPr>
                <w:b/>
                <w:bCs/>
                <w:sz w:val="24"/>
                <w:szCs w:val="24"/>
                <w:highlight w:val="none"/>
              </w:rPr>
              <w:t>提供的</w:t>
            </w:r>
            <w:r>
              <w:rPr>
                <w:rFonts w:hint="eastAsia"/>
                <w:b/>
                <w:bCs/>
                <w:sz w:val="24"/>
                <w:szCs w:val="24"/>
                <w:highlight w:val="none"/>
              </w:rPr>
              <w:t>投标</w:t>
            </w:r>
            <w:r>
              <w:rPr>
                <w:b/>
                <w:bCs/>
                <w:sz w:val="24"/>
                <w:szCs w:val="24"/>
                <w:highlight w:val="none"/>
              </w:rPr>
              <w:t>文件中产品技术偏离表、产品技术规格书和产品检测报告内描述的同一产品技术参数响应值不一致的，视为负偏离</w:t>
            </w:r>
            <w:r>
              <w:rPr>
                <w:rFonts w:hint="eastAsia"/>
                <w:b/>
                <w:bCs/>
                <w:sz w:val="24"/>
                <w:szCs w:val="24"/>
                <w:highlight w:val="none"/>
              </w:rPr>
              <w:t>。</w:t>
            </w:r>
          </w:p>
        </w:tc>
        <w:tc>
          <w:tcPr>
            <w:tcW w:w="687" w:type="dxa"/>
            <w:tcMar>
              <w:top w:w="15" w:type="dxa"/>
              <w:left w:w="15" w:type="dxa"/>
              <w:right w:w="15" w:type="dxa"/>
            </w:tcMar>
            <w:vAlign w:val="center"/>
          </w:tcPr>
          <w:p>
            <w:pPr>
              <w:widowControl/>
              <w:spacing w:line="400" w:lineRule="exact"/>
              <w:jc w:val="center"/>
              <w:textAlignment w:val="center"/>
              <w:rPr>
                <w:rFonts w:hint="default"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r>
              <w:rPr>
                <w:sz w:val="24"/>
                <w:szCs w:val="24"/>
                <w:highlight w:val="none"/>
              </w:rPr>
              <w:t>业绩证明</w:t>
            </w:r>
          </w:p>
        </w:tc>
        <w:tc>
          <w:tcPr>
            <w:tcW w:w="5954" w:type="dxa"/>
            <w:tcMar>
              <w:top w:w="15" w:type="dxa"/>
              <w:left w:w="15" w:type="dxa"/>
              <w:right w:w="15" w:type="dxa"/>
            </w:tcMar>
            <w:vAlign w:val="center"/>
          </w:tcPr>
          <w:p>
            <w:pPr>
              <w:widowControl/>
              <w:spacing w:line="400" w:lineRule="exact"/>
              <w:ind w:firstLine="480" w:firstLineChars="200"/>
              <w:rPr>
                <w:sz w:val="24"/>
                <w:szCs w:val="24"/>
                <w:highlight w:val="none"/>
              </w:rPr>
            </w:pPr>
            <w:r>
              <w:rPr>
                <w:rFonts w:hint="eastAsia"/>
                <w:sz w:val="24"/>
                <w:szCs w:val="24"/>
                <w:highlight w:val="none"/>
                <w:lang w:eastAsia="zh-CN"/>
              </w:rPr>
              <w:t>投标人</w:t>
            </w:r>
            <w:r>
              <w:rPr>
                <w:rFonts w:hint="eastAsia"/>
                <w:sz w:val="24"/>
                <w:szCs w:val="24"/>
                <w:highlight w:val="none"/>
              </w:rPr>
              <w:t>近三年内（</w:t>
            </w:r>
            <w:r>
              <w:rPr>
                <w:sz w:val="24"/>
                <w:szCs w:val="24"/>
                <w:highlight w:val="none"/>
              </w:rPr>
              <w:t>2021</w:t>
            </w:r>
            <w:r>
              <w:rPr>
                <w:rFonts w:hint="eastAsia"/>
                <w:sz w:val="24"/>
                <w:szCs w:val="24"/>
                <w:highlight w:val="none"/>
              </w:rPr>
              <w:t>年0</w:t>
            </w:r>
            <w:r>
              <w:rPr>
                <w:sz w:val="24"/>
                <w:szCs w:val="24"/>
                <w:highlight w:val="none"/>
              </w:rPr>
              <w:t>3</w:t>
            </w:r>
            <w:r>
              <w:rPr>
                <w:rFonts w:hint="eastAsia"/>
                <w:sz w:val="24"/>
                <w:szCs w:val="24"/>
                <w:highlight w:val="none"/>
              </w:rPr>
              <w:t>月0</w:t>
            </w:r>
            <w:r>
              <w:rPr>
                <w:sz w:val="24"/>
                <w:szCs w:val="24"/>
                <w:highlight w:val="none"/>
              </w:rPr>
              <w:t>1</w:t>
            </w:r>
            <w:r>
              <w:rPr>
                <w:rFonts w:hint="eastAsia"/>
                <w:sz w:val="24"/>
                <w:szCs w:val="24"/>
                <w:highlight w:val="none"/>
              </w:rPr>
              <w:t>日起至今，以合同签订日期为准）完成类似项目的业绩，每个项目业绩得</w:t>
            </w:r>
            <w:r>
              <w:rPr>
                <w:sz w:val="24"/>
                <w:szCs w:val="24"/>
                <w:highlight w:val="none"/>
              </w:rPr>
              <w:t>2</w:t>
            </w:r>
            <w:r>
              <w:rPr>
                <w:rFonts w:hint="eastAsia"/>
                <w:sz w:val="24"/>
                <w:szCs w:val="24"/>
                <w:highlight w:val="none"/>
              </w:rPr>
              <w:t>分，最多得</w:t>
            </w:r>
            <w:r>
              <w:rPr>
                <w:sz w:val="24"/>
                <w:szCs w:val="24"/>
                <w:highlight w:val="none"/>
              </w:rPr>
              <w:t>4</w:t>
            </w:r>
            <w:r>
              <w:rPr>
                <w:rFonts w:hint="eastAsia"/>
                <w:sz w:val="24"/>
                <w:szCs w:val="24"/>
                <w:highlight w:val="none"/>
              </w:rPr>
              <w:t>分。</w:t>
            </w:r>
          </w:p>
          <w:p>
            <w:pPr>
              <w:widowControl/>
              <w:spacing w:line="400" w:lineRule="exact"/>
              <w:ind w:firstLine="482" w:firstLineChars="200"/>
              <w:textAlignment w:val="center"/>
              <w:rPr>
                <w:b/>
                <w:bCs/>
                <w:sz w:val="24"/>
                <w:szCs w:val="24"/>
                <w:highlight w:val="none"/>
              </w:rPr>
            </w:pPr>
            <w:r>
              <w:rPr>
                <w:rFonts w:hint="eastAsia"/>
                <w:b/>
                <w:bCs/>
                <w:sz w:val="24"/>
                <w:szCs w:val="24"/>
                <w:highlight w:val="none"/>
              </w:rPr>
              <w:t>注：①提供中标（成交）通知书和合同复印件，未按要求提供不得分；②同一单位近三年的类似合同不重复计算业绩，仅算一个业绩。</w:t>
            </w:r>
          </w:p>
        </w:tc>
        <w:tc>
          <w:tcPr>
            <w:tcW w:w="687" w:type="dxa"/>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r>
              <w:rPr>
                <w:rFonts w:ascii="宋体" w:hAnsi="宋体" w:eastAsia="宋体" w:cs="宋体"/>
                <w:kern w:val="0"/>
                <w:sz w:val="24"/>
                <w:szCs w:val="24"/>
                <w:highlight w:val="none"/>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p>
        </w:tc>
        <w:tc>
          <w:tcPr>
            <w:tcW w:w="1371" w:type="dxa"/>
            <w:tcMar>
              <w:top w:w="15" w:type="dxa"/>
              <w:left w:w="15" w:type="dxa"/>
              <w:right w:w="15" w:type="dxa"/>
            </w:tcMar>
            <w:vAlign w:val="center"/>
          </w:tcPr>
          <w:p>
            <w:pPr>
              <w:snapToGrid w:val="0"/>
              <w:spacing w:line="40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项目组织</w:t>
            </w:r>
          </w:p>
          <w:p>
            <w:pPr>
              <w:widowControl/>
              <w:spacing w:line="400" w:lineRule="exact"/>
              <w:jc w:val="center"/>
              <w:textAlignment w:val="center"/>
              <w:rPr>
                <w:sz w:val="24"/>
                <w:szCs w:val="24"/>
                <w:highlight w:val="none"/>
              </w:rPr>
            </w:pPr>
            <w:r>
              <w:rPr>
                <w:rFonts w:hint="eastAsia" w:ascii="宋体" w:hAnsi="宋体" w:eastAsia="宋体" w:cs="宋体"/>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sz w:val="24"/>
                <w:szCs w:val="24"/>
                <w:highlight w:val="none"/>
              </w:rPr>
            </w:pPr>
            <w:r>
              <w:rPr>
                <w:rFonts w:hint="eastAsia"/>
                <w:sz w:val="24"/>
                <w:szCs w:val="24"/>
                <w:highlight w:val="none"/>
              </w:rPr>
              <w:t>根据</w:t>
            </w:r>
            <w:r>
              <w:rPr>
                <w:rFonts w:hint="eastAsia"/>
                <w:sz w:val="24"/>
                <w:szCs w:val="24"/>
                <w:highlight w:val="none"/>
                <w:lang w:eastAsia="zh-CN"/>
              </w:rPr>
              <w:t>投标人</w:t>
            </w:r>
            <w:r>
              <w:rPr>
                <w:rFonts w:hint="eastAsia"/>
                <w:sz w:val="24"/>
                <w:szCs w:val="24"/>
                <w:highlight w:val="none"/>
              </w:rPr>
              <w:t>提供的项目组织方案进行评分：</w:t>
            </w:r>
          </w:p>
          <w:p>
            <w:pPr>
              <w:widowControl/>
              <w:spacing w:line="400" w:lineRule="exact"/>
              <w:ind w:firstLine="480" w:firstLineChars="200"/>
              <w:rPr>
                <w:sz w:val="24"/>
                <w:szCs w:val="24"/>
                <w:highlight w:val="none"/>
              </w:rPr>
            </w:pPr>
            <w:r>
              <w:rPr>
                <w:rFonts w:hint="eastAsia"/>
                <w:sz w:val="24"/>
                <w:szCs w:val="24"/>
                <w:highlight w:val="none"/>
              </w:rPr>
              <w:t>项目组织方案包括但不限于：①</w:t>
            </w:r>
            <w:r>
              <w:rPr>
                <w:rFonts w:hint="eastAsia" w:ascii="宋体" w:hAnsi="宋体" w:eastAsia="宋体" w:cs="宋体"/>
                <w:sz w:val="24"/>
                <w:szCs w:val="24"/>
                <w:highlight w:val="none"/>
              </w:rPr>
              <w:t>项目人员安排（包含但不限于主要人员名单及基本情况介绍、在本项目中承担的职责等）、②供货方案（包含但不限于产品来源、供货计划、供货时间、包装和运输方式等）、③质量管控方案（包括但不限于质量管控的标准、方法和程序等）、④测试（调试）方案（包含但不限于人员安排、测试步骤、测试标准等）</w:t>
            </w:r>
            <w:r>
              <w:rPr>
                <w:sz w:val="24"/>
                <w:szCs w:val="24"/>
                <w:highlight w:val="none"/>
              </w:rPr>
              <w:t>等</w:t>
            </w:r>
            <w:r>
              <w:rPr>
                <w:rFonts w:hint="eastAsia"/>
                <w:sz w:val="24"/>
                <w:szCs w:val="24"/>
                <w:highlight w:val="none"/>
              </w:rPr>
              <w:t>4项内容，方案内容完整齐全，符合项目实际（</w:t>
            </w:r>
            <w:r>
              <w:rPr>
                <w:rFonts w:hint="eastAsia" w:ascii="宋体" w:hAnsi="宋体" w:eastAsia="宋体" w:cs="宋体"/>
                <w:sz w:val="24"/>
                <w:szCs w:val="24"/>
                <w:highlight w:val="none"/>
              </w:rPr>
              <w:t>第六章“项目需求”</w:t>
            </w:r>
            <w:r>
              <w:rPr>
                <w:rFonts w:hint="eastAsia"/>
                <w:sz w:val="24"/>
                <w:szCs w:val="24"/>
                <w:highlight w:val="none"/>
              </w:rPr>
              <w:t>）的，得</w:t>
            </w:r>
            <w:r>
              <w:rPr>
                <w:sz w:val="24"/>
                <w:szCs w:val="24"/>
                <w:highlight w:val="none"/>
              </w:rPr>
              <w:t>14</w:t>
            </w:r>
            <w:r>
              <w:rPr>
                <w:rFonts w:hint="eastAsia"/>
                <w:sz w:val="24"/>
                <w:szCs w:val="24"/>
                <w:highlight w:val="none"/>
              </w:rPr>
              <w:t>分；每缺少一项方案内容，或一项内容存在缺陷的，每一项扣</w:t>
            </w:r>
            <w:r>
              <w:rPr>
                <w:sz w:val="24"/>
                <w:szCs w:val="24"/>
                <w:highlight w:val="none"/>
              </w:rPr>
              <w:t>3.5</w:t>
            </w:r>
            <w:r>
              <w:rPr>
                <w:rFonts w:hint="eastAsia"/>
                <w:sz w:val="24"/>
                <w:szCs w:val="24"/>
                <w:highlight w:val="none"/>
              </w:rPr>
              <w:t>分，扣完为止；未提供项目组织方案的，此项不得分。</w:t>
            </w:r>
          </w:p>
          <w:p>
            <w:pPr>
              <w:widowControl/>
              <w:spacing w:line="400" w:lineRule="exact"/>
              <w:ind w:firstLine="482" w:firstLineChars="200"/>
              <w:rPr>
                <w:b/>
                <w:bCs/>
                <w:sz w:val="24"/>
                <w:szCs w:val="24"/>
                <w:highlight w:val="none"/>
              </w:rPr>
            </w:pPr>
            <w:r>
              <w:rPr>
                <w:rFonts w:hint="eastAsia"/>
                <w:b/>
                <w:bCs/>
                <w:sz w:val="24"/>
                <w:szCs w:val="24"/>
                <w:highlight w:val="none"/>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r>
              <w:rPr>
                <w:rFonts w:ascii="宋体" w:hAnsi="宋体" w:eastAsia="宋体" w:cs="宋体"/>
                <w:kern w:val="0"/>
                <w:sz w:val="24"/>
                <w:szCs w:val="24"/>
                <w:highlight w:val="none"/>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宋体" w:hAnsi="宋体" w:eastAsia="宋体" w:cs="宋体"/>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技术培训</w:t>
            </w:r>
          </w:p>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sz w:val="24"/>
                <w:szCs w:val="24"/>
                <w:highlight w:val="none"/>
              </w:rPr>
            </w:pPr>
            <w:r>
              <w:rPr>
                <w:rFonts w:hint="eastAsia"/>
                <w:sz w:val="24"/>
                <w:szCs w:val="24"/>
                <w:highlight w:val="none"/>
              </w:rPr>
              <w:t>根据</w:t>
            </w:r>
            <w:r>
              <w:rPr>
                <w:rFonts w:hint="eastAsia"/>
                <w:sz w:val="24"/>
                <w:szCs w:val="24"/>
                <w:highlight w:val="none"/>
                <w:lang w:eastAsia="zh-CN"/>
              </w:rPr>
              <w:t>投标人</w:t>
            </w:r>
            <w:r>
              <w:rPr>
                <w:rFonts w:hint="eastAsia"/>
                <w:sz w:val="24"/>
                <w:szCs w:val="24"/>
                <w:highlight w:val="none"/>
              </w:rPr>
              <w:t>提供的技术培训方案进行评分：</w:t>
            </w:r>
          </w:p>
          <w:p>
            <w:pPr>
              <w:widowControl/>
              <w:spacing w:line="400" w:lineRule="exact"/>
              <w:ind w:firstLine="480" w:firstLineChars="200"/>
              <w:rPr>
                <w:sz w:val="24"/>
                <w:szCs w:val="24"/>
                <w:highlight w:val="none"/>
              </w:rPr>
            </w:pPr>
            <w:r>
              <w:rPr>
                <w:rFonts w:hint="eastAsia"/>
                <w:sz w:val="24"/>
                <w:szCs w:val="24"/>
                <w:highlight w:val="none"/>
              </w:rPr>
              <w:t>技术培训方案包括但不限于</w:t>
            </w:r>
            <w:r>
              <w:rPr>
                <w:rFonts w:ascii="宋体" w:hAnsi="宋体" w:eastAsia="宋体" w:cs="宋体"/>
                <w:sz w:val="24"/>
                <w:szCs w:val="24"/>
                <w:highlight w:val="none"/>
              </w:rPr>
              <w:t>培训内容</w:t>
            </w:r>
            <w:r>
              <w:rPr>
                <w:rFonts w:hint="eastAsia" w:ascii="宋体" w:hAnsi="宋体" w:eastAsia="宋体" w:cs="宋体"/>
                <w:sz w:val="24"/>
                <w:szCs w:val="24"/>
                <w:highlight w:val="none"/>
              </w:rPr>
              <w:t>、</w:t>
            </w:r>
            <w:r>
              <w:rPr>
                <w:rFonts w:ascii="宋体" w:hAnsi="宋体" w:eastAsia="宋体" w:cs="宋体"/>
                <w:sz w:val="24"/>
                <w:szCs w:val="24"/>
                <w:highlight w:val="none"/>
              </w:rPr>
              <w:t>培训方式</w:t>
            </w:r>
            <w:r>
              <w:rPr>
                <w:rFonts w:hint="eastAsia" w:ascii="宋体" w:hAnsi="宋体" w:eastAsia="宋体" w:cs="宋体"/>
                <w:sz w:val="24"/>
                <w:szCs w:val="24"/>
                <w:highlight w:val="none"/>
              </w:rPr>
              <w:t>、</w:t>
            </w:r>
            <w:r>
              <w:rPr>
                <w:rFonts w:ascii="宋体" w:hAnsi="宋体" w:eastAsia="宋体" w:cs="宋体"/>
                <w:sz w:val="24"/>
                <w:szCs w:val="24"/>
                <w:highlight w:val="none"/>
              </w:rPr>
              <w:t>培训计划</w:t>
            </w:r>
            <w:r>
              <w:rPr>
                <w:rFonts w:hint="eastAsia" w:ascii="宋体" w:hAnsi="宋体" w:eastAsia="宋体" w:cs="宋体"/>
                <w:sz w:val="24"/>
                <w:szCs w:val="24"/>
                <w:highlight w:val="none"/>
              </w:rPr>
              <w:t>、</w:t>
            </w:r>
            <w:r>
              <w:rPr>
                <w:rFonts w:ascii="宋体" w:hAnsi="宋体" w:eastAsia="宋体" w:cs="宋体"/>
                <w:sz w:val="24"/>
                <w:szCs w:val="24"/>
                <w:highlight w:val="none"/>
              </w:rPr>
              <w:t>培训团队人员配置</w:t>
            </w:r>
            <w:r>
              <w:rPr>
                <w:sz w:val="24"/>
                <w:szCs w:val="24"/>
                <w:highlight w:val="none"/>
              </w:rPr>
              <w:t>等</w:t>
            </w:r>
            <w:r>
              <w:rPr>
                <w:rFonts w:hint="eastAsia"/>
                <w:sz w:val="24"/>
                <w:szCs w:val="24"/>
                <w:highlight w:val="none"/>
              </w:rPr>
              <w:t>4项内容，方案内容完整齐全，符合项目实际的，得</w:t>
            </w:r>
            <w:r>
              <w:rPr>
                <w:sz w:val="24"/>
                <w:szCs w:val="24"/>
                <w:highlight w:val="none"/>
              </w:rPr>
              <w:t>16</w:t>
            </w:r>
            <w:r>
              <w:rPr>
                <w:rFonts w:hint="eastAsia"/>
                <w:sz w:val="24"/>
                <w:szCs w:val="24"/>
                <w:highlight w:val="none"/>
              </w:rPr>
              <w:t>分；每缺少一项方案内容，或一项内容存在缺陷的，每一项扣</w:t>
            </w:r>
            <w:r>
              <w:rPr>
                <w:sz w:val="24"/>
                <w:szCs w:val="24"/>
                <w:highlight w:val="none"/>
              </w:rPr>
              <w:t>4</w:t>
            </w:r>
            <w:r>
              <w:rPr>
                <w:rFonts w:hint="eastAsia"/>
                <w:sz w:val="24"/>
                <w:szCs w:val="24"/>
                <w:highlight w:val="none"/>
              </w:rPr>
              <w:t>分，扣完为止；未提供技术培训方案的，此项不得分。</w:t>
            </w:r>
          </w:p>
          <w:p>
            <w:pPr>
              <w:snapToGrid w:val="0"/>
              <w:spacing w:line="400" w:lineRule="exact"/>
              <w:ind w:firstLine="482" w:firstLineChars="200"/>
              <w:rPr>
                <w:rFonts w:ascii="宋体" w:hAnsi="宋体" w:eastAsia="宋体" w:cs="宋体"/>
                <w:kern w:val="0"/>
                <w:sz w:val="24"/>
                <w:szCs w:val="24"/>
                <w:highlight w:val="none"/>
              </w:rPr>
            </w:pPr>
            <w:r>
              <w:rPr>
                <w:rFonts w:hint="eastAsia"/>
                <w:b/>
                <w:bCs/>
                <w:sz w:val="24"/>
                <w:szCs w:val="24"/>
                <w:highlight w:val="none"/>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ascii="宋体" w:hAnsi="宋体" w:eastAsia="宋体" w:cs="宋体"/>
                <w:sz w:val="24"/>
                <w:szCs w:val="24"/>
                <w:highlight w:val="none"/>
              </w:rPr>
            </w:pPr>
            <w:r>
              <w:rPr>
                <w:rFonts w:ascii="宋体" w:hAnsi="宋体" w:eastAsia="宋体" w:cs="宋体"/>
                <w:sz w:val="24"/>
                <w:szCs w:val="24"/>
                <w:highlight w:val="none"/>
              </w:rPr>
              <w:t>16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宋体" w:hAnsi="宋体" w:eastAsia="宋体" w:cs="宋体"/>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售后服务</w:t>
            </w:r>
          </w:p>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sz w:val="24"/>
                <w:szCs w:val="24"/>
                <w:highlight w:val="none"/>
              </w:rPr>
            </w:pPr>
            <w:r>
              <w:rPr>
                <w:rFonts w:hint="eastAsia"/>
                <w:sz w:val="24"/>
                <w:szCs w:val="24"/>
                <w:highlight w:val="none"/>
              </w:rPr>
              <w:t>根据</w:t>
            </w:r>
            <w:r>
              <w:rPr>
                <w:rFonts w:hint="eastAsia"/>
                <w:sz w:val="24"/>
                <w:szCs w:val="24"/>
                <w:highlight w:val="none"/>
                <w:lang w:eastAsia="zh-CN"/>
              </w:rPr>
              <w:t>投标人</w:t>
            </w:r>
            <w:r>
              <w:rPr>
                <w:rFonts w:hint="eastAsia"/>
                <w:sz w:val="24"/>
                <w:szCs w:val="24"/>
                <w:highlight w:val="none"/>
              </w:rPr>
              <w:t>提供的售后服务方案进行评分：</w:t>
            </w:r>
          </w:p>
          <w:p>
            <w:pPr>
              <w:widowControl/>
              <w:spacing w:line="400" w:lineRule="exact"/>
              <w:ind w:firstLine="480" w:firstLineChars="200"/>
              <w:rPr>
                <w:sz w:val="24"/>
                <w:szCs w:val="24"/>
                <w:highlight w:val="none"/>
              </w:rPr>
            </w:pPr>
            <w:r>
              <w:rPr>
                <w:rFonts w:hint="eastAsia"/>
                <w:sz w:val="24"/>
                <w:szCs w:val="24"/>
                <w:highlight w:val="none"/>
              </w:rPr>
              <w:t>项目售后服务方案包括但不限于</w:t>
            </w:r>
            <w:r>
              <w:rPr>
                <w:rFonts w:hint="eastAsia" w:ascii="宋体" w:hAnsi="宋体" w:eastAsia="宋体" w:cs="宋体"/>
                <w:sz w:val="24"/>
                <w:szCs w:val="24"/>
                <w:highlight w:val="none"/>
              </w:rPr>
              <w:t>售后</w:t>
            </w:r>
            <w:r>
              <w:rPr>
                <w:rFonts w:ascii="宋体" w:hAnsi="宋体" w:eastAsia="宋体" w:cs="宋体"/>
                <w:sz w:val="24"/>
                <w:szCs w:val="24"/>
                <w:highlight w:val="none"/>
              </w:rPr>
              <w:t>服务承诺</w:t>
            </w:r>
            <w:r>
              <w:rPr>
                <w:rFonts w:hint="eastAsia" w:ascii="宋体" w:hAnsi="宋体" w:eastAsia="宋体" w:cs="宋体"/>
                <w:sz w:val="24"/>
                <w:szCs w:val="24"/>
                <w:highlight w:val="none"/>
              </w:rPr>
              <w:t>、</w:t>
            </w:r>
            <w:r>
              <w:rPr>
                <w:rFonts w:ascii="宋体" w:hAnsi="宋体" w:eastAsia="宋体" w:cs="宋体"/>
                <w:sz w:val="24"/>
                <w:szCs w:val="24"/>
                <w:highlight w:val="none"/>
              </w:rPr>
              <w:t>服务响应方案</w:t>
            </w:r>
            <w:r>
              <w:rPr>
                <w:rFonts w:hint="eastAsia" w:ascii="宋体" w:hAnsi="宋体" w:eastAsia="宋体" w:cs="宋体"/>
                <w:sz w:val="24"/>
                <w:szCs w:val="24"/>
                <w:highlight w:val="none"/>
              </w:rPr>
              <w:t>、</w:t>
            </w:r>
            <w:r>
              <w:rPr>
                <w:rFonts w:ascii="宋体" w:hAnsi="宋体" w:eastAsia="宋体" w:cs="宋体"/>
                <w:sz w:val="24"/>
                <w:szCs w:val="24"/>
                <w:highlight w:val="none"/>
              </w:rPr>
              <w:t>备件（易耗品）供应方案</w:t>
            </w:r>
            <w:r>
              <w:rPr>
                <w:rFonts w:hint="eastAsia" w:ascii="宋体" w:hAnsi="宋体" w:eastAsia="宋体" w:cs="宋体"/>
                <w:sz w:val="24"/>
                <w:szCs w:val="24"/>
                <w:highlight w:val="none"/>
              </w:rPr>
              <w:t>（含备件价格）、</w:t>
            </w:r>
            <w:r>
              <w:rPr>
                <w:rFonts w:ascii="宋体" w:hAnsi="宋体" w:eastAsia="宋体" w:cs="宋体"/>
                <w:sz w:val="24"/>
                <w:szCs w:val="24"/>
                <w:highlight w:val="none"/>
              </w:rPr>
              <w:t>服务人员配备</w:t>
            </w:r>
            <w:r>
              <w:rPr>
                <w:rFonts w:hint="eastAsia" w:ascii="宋体" w:hAnsi="宋体" w:eastAsia="宋体" w:cs="宋体"/>
                <w:sz w:val="24"/>
                <w:szCs w:val="24"/>
                <w:highlight w:val="none"/>
              </w:rPr>
              <w:t>、</w:t>
            </w:r>
            <w:r>
              <w:rPr>
                <w:rFonts w:ascii="宋体" w:hAnsi="宋体" w:eastAsia="宋体" w:cs="宋体"/>
                <w:sz w:val="24"/>
                <w:szCs w:val="24"/>
                <w:highlight w:val="none"/>
              </w:rPr>
              <w:t>故障响应</w:t>
            </w:r>
            <w:r>
              <w:rPr>
                <w:rFonts w:hint="eastAsia" w:ascii="宋体" w:hAnsi="宋体" w:eastAsia="宋体" w:cs="宋体"/>
                <w:sz w:val="24"/>
                <w:szCs w:val="24"/>
                <w:highlight w:val="none"/>
              </w:rPr>
              <w:t>措施、</w:t>
            </w:r>
            <w:r>
              <w:rPr>
                <w:rFonts w:ascii="宋体" w:hAnsi="宋体" w:eastAsia="宋体" w:cs="宋体"/>
                <w:sz w:val="24"/>
                <w:szCs w:val="24"/>
                <w:highlight w:val="none"/>
              </w:rPr>
              <w:t>质保外服务措施</w:t>
            </w:r>
            <w:r>
              <w:rPr>
                <w:sz w:val="24"/>
                <w:szCs w:val="24"/>
                <w:highlight w:val="none"/>
              </w:rPr>
              <w:t>等</w:t>
            </w:r>
            <w:r>
              <w:rPr>
                <w:rFonts w:hint="eastAsia"/>
                <w:sz w:val="24"/>
                <w:szCs w:val="24"/>
                <w:highlight w:val="none"/>
              </w:rPr>
              <w:t>6项内容，方案内容完整齐全，符合项目实际的，得</w:t>
            </w:r>
            <w:r>
              <w:rPr>
                <w:rFonts w:hint="eastAsia"/>
                <w:sz w:val="24"/>
                <w:szCs w:val="24"/>
                <w:highlight w:val="none"/>
                <w:lang w:val="en-US" w:eastAsia="zh-CN"/>
              </w:rPr>
              <w:t>6</w:t>
            </w:r>
            <w:r>
              <w:rPr>
                <w:rFonts w:hint="eastAsia"/>
                <w:sz w:val="24"/>
                <w:szCs w:val="24"/>
                <w:highlight w:val="none"/>
              </w:rPr>
              <w:t>分；每缺少一项方案内容，或一项内容存在缺陷的，每一项扣</w:t>
            </w:r>
            <w:r>
              <w:rPr>
                <w:rFonts w:hint="eastAsia"/>
                <w:sz w:val="24"/>
                <w:szCs w:val="24"/>
                <w:highlight w:val="none"/>
                <w:lang w:val="en-US" w:eastAsia="zh-CN"/>
              </w:rPr>
              <w:t>1</w:t>
            </w:r>
            <w:r>
              <w:rPr>
                <w:rFonts w:hint="eastAsia"/>
                <w:sz w:val="24"/>
                <w:szCs w:val="24"/>
                <w:highlight w:val="none"/>
              </w:rPr>
              <w:t>分，扣完为止；未提供售后服务方案的，此项不得分。</w:t>
            </w:r>
          </w:p>
          <w:p>
            <w:pPr>
              <w:snapToGrid w:val="0"/>
              <w:spacing w:line="400" w:lineRule="exact"/>
              <w:ind w:firstLine="482" w:firstLineChars="200"/>
              <w:rPr>
                <w:rFonts w:ascii="宋体" w:hAnsi="宋体" w:eastAsia="宋体" w:cs="宋体"/>
                <w:sz w:val="24"/>
                <w:szCs w:val="24"/>
                <w:highlight w:val="none"/>
              </w:rPr>
            </w:pPr>
            <w:r>
              <w:rPr>
                <w:rFonts w:hint="eastAsia"/>
                <w:b/>
                <w:bCs/>
                <w:sz w:val="24"/>
                <w:szCs w:val="24"/>
                <w:highlight w:val="none"/>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snapToGrid w:val="0"/>
              <w:spacing w:line="400" w:lineRule="exac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jc w:val="center"/>
        </w:trPr>
        <w:tc>
          <w:tcPr>
            <w:tcW w:w="9109" w:type="dxa"/>
            <w:gridSpan w:val="4"/>
            <w:tcMar>
              <w:top w:w="15" w:type="dxa"/>
              <w:left w:w="15" w:type="dxa"/>
              <w:right w:w="15" w:type="dxa"/>
            </w:tcMar>
            <w:vAlign w:val="center"/>
          </w:tcPr>
          <w:p>
            <w:pPr>
              <w:widowControl/>
              <w:spacing w:line="400" w:lineRule="exact"/>
              <w:jc w:val="center"/>
              <w:textAlignment w:val="center"/>
              <w:rPr>
                <w:rFonts w:ascii="宋体" w:hAnsi="宋体" w:eastAsia="宋体" w:cs="宋体"/>
                <w:sz w:val="24"/>
                <w:szCs w:val="24"/>
                <w:highlight w:val="none"/>
              </w:rPr>
            </w:pPr>
            <w:r>
              <w:rPr>
                <w:rFonts w:hint="eastAsia" w:ascii="宋体" w:hAnsi="宋体" w:eastAsia="宋体" w:cs="宋体"/>
                <w:kern w:val="0"/>
                <w:sz w:val="24"/>
                <w:szCs w:val="24"/>
                <w:highlight w:val="none"/>
              </w:rPr>
              <w:t>合计：100分</w:t>
            </w:r>
          </w:p>
        </w:tc>
      </w:tr>
    </w:tbl>
    <w:p>
      <w:pPr>
        <w:pStyle w:val="4"/>
        <w:rPr>
          <w:rFonts w:hint="eastAsia" w:ascii="宋体" w:hAnsi="宋体" w:eastAsia="宋体" w:cs="宋体"/>
          <w:b/>
          <w:sz w:val="24"/>
          <w:szCs w:val="24"/>
          <w:highlight w:val="none"/>
        </w:rPr>
      </w:pPr>
    </w:p>
    <w:p>
      <w:pPr>
        <w:pStyle w:val="4"/>
        <w:rPr>
          <w:rFonts w:hint="eastAsia" w:ascii="宋体" w:hAnsi="宋体" w:eastAsia="宋体" w:cs="宋体"/>
          <w:b/>
          <w:sz w:val="24"/>
          <w:szCs w:val="24"/>
          <w:highlight w:val="none"/>
        </w:rPr>
      </w:pPr>
    </w:p>
    <w:p>
      <w:pPr>
        <w:pStyle w:val="4"/>
        <w:rPr>
          <w:rFonts w:hint="eastAsia" w:ascii="宋体" w:hAnsi="宋体" w:eastAsia="宋体" w:cs="宋体"/>
          <w:b/>
          <w:sz w:val="24"/>
          <w:szCs w:val="24"/>
          <w:highlight w:val="none"/>
        </w:rPr>
      </w:pPr>
    </w:p>
    <w:p>
      <w:pPr>
        <w:pStyle w:val="4"/>
        <w:rPr>
          <w:rFonts w:hint="eastAsia" w:ascii="宋体" w:hAnsi="宋体" w:eastAsia="宋体" w:cs="宋体"/>
          <w:b/>
          <w:sz w:val="24"/>
          <w:szCs w:val="24"/>
          <w:highlight w:val="none"/>
        </w:rPr>
      </w:pPr>
    </w:p>
    <w:p>
      <w:pPr>
        <w:pStyle w:val="4"/>
        <w:rPr>
          <w:rFonts w:hint="eastAsia" w:ascii="宋体" w:hAnsi="宋体" w:eastAsia="宋体" w:cs="宋体"/>
          <w:b/>
          <w:sz w:val="24"/>
          <w:szCs w:val="24"/>
          <w:highlight w:val="none"/>
        </w:rPr>
      </w:pPr>
    </w:p>
    <w:p>
      <w:pPr>
        <w:pStyle w:val="4"/>
        <w:rPr>
          <w:rFonts w:hint="eastAsia" w:ascii="宋体" w:hAnsi="宋体" w:eastAsia="宋体" w:cs="宋体"/>
          <w:b/>
          <w:sz w:val="24"/>
          <w:szCs w:val="24"/>
          <w:highlight w:val="none"/>
        </w:rPr>
      </w:pPr>
    </w:p>
    <w:p>
      <w:pPr>
        <w:pStyle w:val="4"/>
        <w:rPr>
          <w:rFonts w:hint="eastAsia" w:ascii="宋体" w:hAnsi="宋体" w:eastAsia="宋体" w:cs="宋体"/>
          <w:b/>
          <w:sz w:val="24"/>
          <w:szCs w:val="24"/>
          <w:highlight w:val="none"/>
        </w:rPr>
      </w:pPr>
    </w:p>
    <w:p>
      <w:pPr>
        <w:pStyle w:val="4"/>
        <w:rPr>
          <w:rFonts w:hint="eastAsia" w:ascii="宋体" w:hAnsi="宋体" w:eastAsia="宋体" w:cs="宋体"/>
          <w:b/>
          <w:sz w:val="24"/>
          <w:szCs w:val="24"/>
          <w:highlight w:val="none"/>
        </w:rPr>
      </w:pPr>
    </w:p>
    <w:p>
      <w:pPr>
        <w:pStyle w:val="4"/>
        <w:rPr>
          <w:rFonts w:hint="eastAsia" w:ascii="宋体" w:hAnsi="宋体" w:eastAsia="宋体" w:cs="宋体"/>
          <w:b/>
          <w:sz w:val="24"/>
          <w:szCs w:val="24"/>
          <w:highlight w:val="none"/>
        </w:rPr>
      </w:pPr>
    </w:p>
    <w:p>
      <w:pPr>
        <w:pStyle w:val="4"/>
        <w:rPr>
          <w:rFonts w:hint="eastAsia" w:ascii="宋体" w:hAnsi="宋体" w:eastAsia="宋体" w:cs="宋体"/>
          <w:b/>
          <w:sz w:val="24"/>
          <w:szCs w:val="24"/>
          <w:highlight w:val="none"/>
        </w:rPr>
      </w:pPr>
    </w:p>
    <w:p>
      <w:pPr>
        <w:pStyle w:val="4"/>
        <w:rPr>
          <w:rFonts w:hint="eastAsia" w:ascii="宋体" w:hAnsi="宋体" w:eastAsia="宋体" w:cs="宋体"/>
          <w:b/>
          <w:sz w:val="24"/>
          <w:szCs w:val="24"/>
          <w:highlight w:val="none"/>
        </w:rPr>
      </w:pPr>
    </w:p>
    <w:p>
      <w:pPr>
        <w:pStyle w:val="4"/>
        <w:rPr>
          <w:rFonts w:hint="eastAsia" w:ascii="宋体" w:hAnsi="宋体" w:eastAsia="宋体" w:cs="宋体"/>
          <w:b/>
          <w:sz w:val="24"/>
          <w:szCs w:val="24"/>
          <w:highlight w:val="none"/>
        </w:rPr>
      </w:pPr>
    </w:p>
    <w:p>
      <w:pPr>
        <w:pStyle w:val="4"/>
        <w:rPr>
          <w:rFonts w:hint="eastAsia" w:ascii="宋体" w:hAnsi="宋体" w:eastAsia="宋体" w:cs="宋体"/>
          <w:b/>
          <w:sz w:val="24"/>
          <w:szCs w:val="24"/>
          <w:highlight w:val="none"/>
        </w:rPr>
      </w:pPr>
    </w:p>
    <w:p>
      <w:pPr>
        <w:pStyle w:val="4"/>
        <w:rPr>
          <w:rFonts w:hint="eastAsia" w:ascii="宋体" w:hAnsi="宋体" w:eastAsia="宋体" w:cs="宋体"/>
          <w:b/>
          <w:sz w:val="24"/>
          <w:szCs w:val="24"/>
          <w:highlight w:val="none"/>
        </w:rPr>
      </w:pPr>
    </w:p>
    <w:p>
      <w:pPr>
        <w:pStyle w:val="4"/>
        <w:rPr>
          <w:rFonts w:hint="eastAsia" w:ascii="宋体" w:hAnsi="宋体" w:eastAsia="宋体" w:cs="宋体"/>
          <w:b/>
          <w:sz w:val="24"/>
          <w:szCs w:val="24"/>
          <w:highlight w:val="none"/>
        </w:rPr>
      </w:pPr>
    </w:p>
    <w:p>
      <w:pPr>
        <w:pStyle w:val="4"/>
        <w:rPr>
          <w:rFonts w:hint="eastAsia" w:ascii="宋体" w:hAnsi="宋体" w:eastAsia="宋体" w:cs="宋体"/>
          <w:b/>
          <w:sz w:val="24"/>
          <w:szCs w:val="24"/>
          <w:highlight w:val="none"/>
        </w:rPr>
      </w:pPr>
    </w:p>
    <w:p>
      <w:pPr>
        <w:pStyle w:val="4"/>
        <w:rPr>
          <w:rFonts w:hint="eastAsia" w:ascii="宋体" w:hAnsi="宋体" w:eastAsia="宋体" w:cs="宋体"/>
          <w:b/>
          <w:sz w:val="24"/>
          <w:szCs w:val="24"/>
          <w:highlight w:val="none"/>
        </w:rPr>
      </w:pPr>
    </w:p>
    <w:p>
      <w:pPr>
        <w:pStyle w:val="4"/>
        <w:rPr>
          <w:rFonts w:hint="eastAsia" w:ascii="宋体" w:hAnsi="宋体" w:eastAsia="宋体" w:cs="宋体"/>
          <w:b/>
          <w:sz w:val="24"/>
          <w:szCs w:val="24"/>
          <w:highlight w:val="none"/>
        </w:rPr>
      </w:pPr>
    </w:p>
    <w:p>
      <w:pPr>
        <w:pStyle w:val="4"/>
        <w:rPr>
          <w:rFonts w:hint="eastAsia" w:ascii="宋体" w:hAnsi="宋体" w:eastAsia="宋体" w:cs="宋体"/>
          <w:b/>
          <w:sz w:val="24"/>
          <w:szCs w:val="24"/>
          <w:highlight w:val="none"/>
        </w:rPr>
      </w:pPr>
    </w:p>
    <w:p>
      <w:pPr>
        <w:pStyle w:val="4"/>
        <w:rPr>
          <w:rFonts w:hint="eastAsia" w:ascii="宋体" w:hAnsi="宋体" w:eastAsia="宋体" w:cs="宋体"/>
          <w:b/>
          <w:sz w:val="24"/>
          <w:szCs w:val="24"/>
          <w:highlight w:val="none"/>
        </w:rPr>
      </w:pPr>
    </w:p>
    <w:p>
      <w:pPr>
        <w:pStyle w:val="4"/>
        <w:rPr>
          <w:rFonts w:hint="eastAsia" w:ascii="宋体" w:hAnsi="宋体" w:eastAsia="宋体" w:cs="宋体"/>
          <w:b/>
          <w:sz w:val="24"/>
          <w:szCs w:val="24"/>
          <w:highlight w:val="none"/>
        </w:rPr>
      </w:pPr>
    </w:p>
    <w:p>
      <w:pPr>
        <w:pStyle w:val="4"/>
        <w:rPr>
          <w:rFonts w:hint="eastAsia" w:ascii="宋体" w:hAnsi="宋体" w:eastAsia="宋体" w:cs="宋体"/>
          <w:b/>
          <w:sz w:val="24"/>
          <w:szCs w:val="24"/>
          <w:highlight w:val="none"/>
        </w:rPr>
      </w:pPr>
    </w:p>
    <w:p>
      <w:pPr>
        <w:pStyle w:val="4"/>
        <w:rPr>
          <w:rFonts w:hint="eastAsia" w:ascii="宋体" w:hAnsi="宋体" w:eastAsia="宋体" w:cs="宋体"/>
          <w:b/>
          <w:sz w:val="24"/>
          <w:szCs w:val="24"/>
          <w:highlight w:val="none"/>
        </w:rPr>
      </w:pPr>
    </w:p>
    <w:p>
      <w:pPr>
        <w:pStyle w:val="4"/>
        <w:rPr>
          <w:rFonts w:hint="eastAsia" w:ascii="宋体" w:hAnsi="宋体" w:eastAsia="宋体" w:cs="宋体"/>
          <w:b/>
          <w:sz w:val="24"/>
          <w:szCs w:val="24"/>
          <w:highlight w:val="none"/>
        </w:rPr>
      </w:pPr>
    </w:p>
    <w:p>
      <w:pPr>
        <w:pStyle w:val="4"/>
        <w:rPr>
          <w:rFonts w:hint="eastAsia" w:ascii="宋体" w:hAnsi="宋体" w:eastAsia="宋体" w:cs="宋体"/>
          <w:b/>
          <w:sz w:val="24"/>
          <w:szCs w:val="24"/>
          <w:highlight w:val="none"/>
        </w:rPr>
      </w:pPr>
    </w:p>
    <w:p>
      <w:pPr>
        <w:pStyle w:val="4"/>
        <w:rPr>
          <w:rFonts w:ascii="宋体" w:hAnsi="宋体" w:eastAsia="宋体" w:cs="宋体"/>
          <w:b/>
          <w:sz w:val="24"/>
          <w:szCs w:val="24"/>
          <w:highlight w:val="none"/>
        </w:rPr>
      </w:pPr>
      <w:r>
        <w:rPr>
          <w:rFonts w:hint="eastAsia" w:ascii="宋体" w:hAnsi="宋体" w:eastAsia="宋体" w:cs="宋体"/>
          <w:b/>
          <w:sz w:val="24"/>
          <w:szCs w:val="24"/>
          <w:highlight w:val="none"/>
        </w:rPr>
        <w:t>第</w:t>
      </w:r>
      <w:r>
        <w:rPr>
          <w:rFonts w:hint="eastAsia" w:ascii="宋体" w:hAnsi="宋体" w:eastAsia="宋体" w:cs="宋体"/>
          <w:b/>
          <w:sz w:val="24"/>
          <w:szCs w:val="24"/>
          <w:highlight w:val="none"/>
          <w:lang w:val="en-US" w:eastAsia="zh-CN"/>
        </w:rPr>
        <w:t>十六</w:t>
      </w:r>
      <w:r>
        <w:rPr>
          <w:rFonts w:hint="eastAsia" w:ascii="宋体" w:hAnsi="宋体" w:eastAsia="宋体" w:cs="宋体"/>
          <w:b/>
          <w:sz w:val="24"/>
          <w:szCs w:val="24"/>
          <w:highlight w:val="none"/>
        </w:rPr>
        <w:t>包评分标准：</w:t>
      </w:r>
    </w:p>
    <w:tbl>
      <w:tblPr>
        <w:tblStyle w:val="38"/>
        <w:tblW w:w="91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5954"/>
        <w:gridCol w:w="6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宋体" w:hAnsi="宋体" w:eastAsia="宋体" w:cs="宋体"/>
                <w:b/>
                <w:sz w:val="24"/>
                <w:szCs w:val="24"/>
                <w:highlight w:val="none"/>
              </w:rPr>
            </w:pPr>
            <w:r>
              <w:rPr>
                <w:rFonts w:hint="eastAsia" w:ascii="宋体" w:hAnsi="宋体" w:eastAsia="宋体" w:cs="宋体"/>
                <w:b/>
                <w:kern w:val="0"/>
                <w:sz w:val="24"/>
                <w:szCs w:val="24"/>
                <w:highlight w:val="none"/>
              </w:rPr>
              <w:t>评分因素及权重</w:t>
            </w:r>
          </w:p>
        </w:tc>
        <w:tc>
          <w:tcPr>
            <w:tcW w:w="1371" w:type="dxa"/>
            <w:tcMar>
              <w:top w:w="15" w:type="dxa"/>
              <w:left w:w="15" w:type="dxa"/>
              <w:right w:w="15" w:type="dxa"/>
            </w:tcMar>
            <w:vAlign w:val="center"/>
          </w:tcPr>
          <w:p>
            <w:pPr>
              <w:widowControl/>
              <w:spacing w:line="400" w:lineRule="exact"/>
              <w:jc w:val="center"/>
              <w:textAlignment w:val="center"/>
              <w:rPr>
                <w:rFonts w:ascii="宋体" w:hAnsi="宋体" w:eastAsia="宋体" w:cs="宋体"/>
                <w:b/>
                <w:sz w:val="24"/>
                <w:szCs w:val="24"/>
                <w:highlight w:val="none"/>
              </w:rPr>
            </w:pPr>
            <w:r>
              <w:rPr>
                <w:rFonts w:hint="eastAsia" w:ascii="宋体" w:hAnsi="宋体" w:eastAsia="宋体" w:cs="宋体"/>
                <w:b/>
                <w:kern w:val="0"/>
                <w:sz w:val="24"/>
                <w:szCs w:val="24"/>
                <w:highlight w:val="none"/>
              </w:rPr>
              <w:t>评标因素</w:t>
            </w:r>
          </w:p>
        </w:tc>
        <w:tc>
          <w:tcPr>
            <w:tcW w:w="5954" w:type="dxa"/>
            <w:tcMar>
              <w:top w:w="15" w:type="dxa"/>
              <w:left w:w="15" w:type="dxa"/>
              <w:right w:w="15" w:type="dxa"/>
            </w:tcMar>
            <w:vAlign w:val="center"/>
          </w:tcPr>
          <w:p>
            <w:pPr>
              <w:widowControl/>
              <w:spacing w:line="400" w:lineRule="exact"/>
              <w:jc w:val="center"/>
              <w:textAlignment w:val="center"/>
              <w:rPr>
                <w:rFonts w:ascii="宋体" w:hAnsi="宋体" w:eastAsia="宋体" w:cs="宋体"/>
                <w:b/>
                <w:sz w:val="24"/>
                <w:szCs w:val="24"/>
                <w:highlight w:val="none"/>
              </w:rPr>
            </w:pPr>
            <w:r>
              <w:rPr>
                <w:rFonts w:hint="eastAsia" w:ascii="宋体" w:hAnsi="宋体" w:eastAsia="宋体" w:cs="宋体"/>
                <w:b/>
                <w:kern w:val="0"/>
                <w:sz w:val="24"/>
                <w:szCs w:val="24"/>
                <w:highlight w:val="none"/>
              </w:rPr>
              <w:t>评分标准</w:t>
            </w:r>
          </w:p>
        </w:tc>
        <w:tc>
          <w:tcPr>
            <w:tcW w:w="687" w:type="dxa"/>
            <w:tcMar>
              <w:top w:w="15" w:type="dxa"/>
              <w:left w:w="15" w:type="dxa"/>
              <w:right w:w="15" w:type="dxa"/>
            </w:tcMar>
            <w:vAlign w:val="center"/>
          </w:tcPr>
          <w:p>
            <w:pPr>
              <w:widowControl/>
              <w:spacing w:line="400" w:lineRule="exact"/>
              <w:jc w:val="center"/>
              <w:textAlignment w:val="center"/>
              <w:rPr>
                <w:rFonts w:ascii="宋体" w:hAnsi="宋体" w:eastAsia="宋体" w:cs="宋体"/>
                <w:b/>
                <w:sz w:val="24"/>
                <w:szCs w:val="24"/>
                <w:highlight w:val="none"/>
              </w:rPr>
            </w:pPr>
            <w:r>
              <w:rPr>
                <w:rFonts w:hint="eastAsia" w:ascii="宋体" w:hAnsi="宋体" w:eastAsia="宋体" w:cs="宋体"/>
                <w:b/>
                <w:kern w:val="0"/>
                <w:sz w:val="24"/>
                <w:szCs w:val="24"/>
                <w:highlight w:val="none"/>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宋体" w:hAnsi="宋体" w:eastAsia="宋体" w:cs="宋体"/>
                <w:sz w:val="24"/>
                <w:szCs w:val="24"/>
                <w:highlight w:val="none"/>
              </w:rPr>
            </w:pPr>
            <w:r>
              <w:rPr>
                <w:rFonts w:hint="eastAsia" w:ascii="宋体" w:hAnsi="宋体" w:eastAsia="宋体" w:cs="宋体"/>
                <w:kern w:val="0"/>
                <w:sz w:val="24"/>
                <w:szCs w:val="24"/>
                <w:highlight w:val="none"/>
              </w:rPr>
              <w:t>价格部分（30分）</w:t>
            </w:r>
          </w:p>
        </w:tc>
        <w:tc>
          <w:tcPr>
            <w:tcW w:w="1371" w:type="dxa"/>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投标</w:t>
            </w:r>
          </w:p>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报价</w:t>
            </w:r>
          </w:p>
        </w:tc>
        <w:tc>
          <w:tcPr>
            <w:tcW w:w="5954" w:type="dxa"/>
            <w:tcMar>
              <w:top w:w="15" w:type="dxa"/>
              <w:left w:w="15" w:type="dxa"/>
              <w:right w:w="15" w:type="dxa"/>
            </w:tcMar>
            <w:vAlign w:val="center"/>
          </w:tcPr>
          <w:p>
            <w:pPr>
              <w:widowControl/>
              <w:spacing w:line="400" w:lineRule="exact"/>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综合评分法中的价格分统一采用低价优先法计算，即满足招标文件要求且投标价格最低的投标报价为评标基准价，其价格分为满分30分，其它投标报价得分=评标基准价/投标报价*30</w:t>
            </w:r>
          </w:p>
        </w:tc>
        <w:tc>
          <w:tcPr>
            <w:tcW w:w="687" w:type="dxa"/>
            <w:tcMar>
              <w:top w:w="15" w:type="dxa"/>
              <w:left w:w="15" w:type="dxa"/>
              <w:right w:w="15" w:type="dxa"/>
            </w:tcMar>
            <w:vAlign w:val="center"/>
          </w:tcPr>
          <w:p>
            <w:pPr>
              <w:widowControl/>
              <w:spacing w:line="400" w:lineRule="exact"/>
              <w:jc w:val="center"/>
              <w:textAlignment w:val="center"/>
              <w:rPr>
                <w:rFonts w:ascii="宋体" w:hAnsi="宋体" w:eastAsia="宋体" w:cs="宋体"/>
                <w:sz w:val="24"/>
                <w:szCs w:val="24"/>
                <w:highlight w:val="none"/>
              </w:rPr>
            </w:pPr>
            <w:r>
              <w:rPr>
                <w:rFonts w:hint="eastAsia" w:ascii="宋体" w:hAnsi="宋体" w:eastAsia="宋体" w:cs="宋体"/>
                <w:kern w:val="0"/>
                <w:sz w:val="24"/>
                <w:szCs w:val="24"/>
                <w:highlight w:val="none"/>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kern w:val="0"/>
                <w:sz w:val="24"/>
                <w:szCs w:val="24"/>
                <w:highlight w:val="none"/>
              </w:rPr>
            </w:pPr>
          </w:p>
          <w:p>
            <w:pPr>
              <w:widowControl/>
              <w:spacing w:line="400" w:lineRule="exact"/>
              <w:jc w:val="center"/>
              <w:textAlignment w:val="center"/>
              <w:rPr>
                <w:rFonts w:ascii="宋体" w:hAnsi="宋体" w:eastAsia="宋体" w:cs="宋体"/>
                <w:sz w:val="24"/>
                <w:szCs w:val="24"/>
                <w:highlight w:val="none"/>
              </w:rPr>
            </w:pPr>
            <w:r>
              <w:rPr>
                <w:rFonts w:hint="eastAsia" w:ascii="宋体" w:hAnsi="宋体" w:eastAsia="宋体" w:cs="宋体"/>
                <w:kern w:val="0"/>
                <w:sz w:val="24"/>
                <w:szCs w:val="24"/>
                <w:highlight w:val="none"/>
              </w:rPr>
              <w:t>技术和商务部分（ 70分）</w:t>
            </w:r>
          </w:p>
        </w:tc>
        <w:tc>
          <w:tcPr>
            <w:tcW w:w="1371" w:type="dxa"/>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技术要求</w:t>
            </w:r>
          </w:p>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响应评价</w:t>
            </w:r>
          </w:p>
        </w:tc>
        <w:tc>
          <w:tcPr>
            <w:tcW w:w="5954" w:type="dxa"/>
            <w:tcMar>
              <w:top w:w="15" w:type="dxa"/>
              <w:left w:w="15" w:type="dxa"/>
              <w:right w:w="15" w:type="dxa"/>
            </w:tcMar>
            <w:vAlign w:val="center"/>
          </w:tcPr>
          <w:p>
            <w:pPr>
              <w:widowControl/>
              <w:spacing w:line="400" w:lineRule="exact"/>
              <w:ind w:firstLine="480" w:firstLineChars="200"/>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对照“项目需求”技术参数（每条技术参数前标注“★”的为核心技术参数，标注“▲”的为主要技术参数，未标注的为一般参数），根据投标人提供的产品配置及技术性能指标的响应情况进行评审。</w:t>
            </w:r>
          </w:p>
          <w:p>
            <w:pPr>
              <w:pStyle w:val="30"/>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1.投标人所投产品技术参数完全响应招标文件要求的，得</w:t>
            </w:r>
            <w:r>
              <w:rPr>
                <w:rFonts w:hint="eastAsia" w:ascii="宋体" w:hAnsi="宋体" w:eastAsia="宋体" w:cs="宋体"/>
                <w:kern w:val="0"/>
                <w:sz w:val="24"/>
                <w:szCs w:val="24"/>
                <w:highlight w:val="none"/>
                <w:lang w:val="en-US" w:eastAsia="zh-CN"/>
              </w:rPr>
              <w:t>30</w:t>
            </w:r>
            <w:r>
              <w:rPr>
                <w:rFonts w:hint="eastAsia" w:ascii="宋体" w:hAnsi="宋体" w:eastAsia="宋体" w:cs="宋体"/>
                <w:kern w:val="0"/>
                <w:sz w:val="24"/>
                <w:szCs w:val="24"/>
                <w:highlight w:val="none"/>
              </w:rPr>
              <w:t>分；</w:t>
            </w:r>
          </w:p>
          <w:p>
            <w:pPr>
              <w:pStyle w:val="30"/>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2</w:t>
            </w:r>
            <w:r>
              <w:rPr>
                <w:rFonts w:ascii="宋体" w:hAnsi="宋体" w:eastAsia="宋体" w:cs="宋体"/>
                <w:kern w:val="0"/>
                <w:sz w:val="24"/>
                <w:szCs w:val="24"/>
                <w:highlight w:val="none"/>
              </w:rPr>
              <w:t>.</w:t>
            </w:r>
            <w:r>
              <w:rPr>
                <w:rFonts w:hint="eastAsia" w:ascii="宋体" w:hAnsi="宋体" w:eastAsia="宋体" w:cs="宋体"/>
                <w:kern w:val="0"/>
                <w:sz w:val="24"/>
                <w:szCs w:val="24"/>
                <w:highlight w:val="none"/>
              </w:rPr>
              <w:t xml:space="preserve"> 核心技术参数存在负偏离的（</w:t>
            </w:r>
            <w:r>
              <w:rPr>
                <w:rFonts w:hint="eastAsia" w:ascii="宋体" w:hAnsi="宋体" w:eastAsia="宋体" w:cs="宋体"/>
                <w:kern w:val="0"/>
                <w:sz w:val="24"/>
                <w:szCs w:val="24"/>
                <w:highlight w:val="none"/>
                <w:lang w:val="en-US" w:eastAsia="zh-CN"/>
              </w:rPr>
              <w:t>共</w:t>
            </w:r>
            <w:r>
              <w:rPr>
                <w:rFonts w:hint="eastAsia" w:ascii="宋体" w:hAnsi="宋体" w:cs="宋体"/>
                <w:kern w:val="0"/>
                <w:sz w:val="24"/>
                <w:szCs w:val="24"/>
                <w:highlight w:val="none"/>
                <w:lang w:val="en-US" w:eastAsia="zh-CN"/>
              </w:rPr>
              <w:t>8</w:t>
            </w:r>
            <w:r>
              <w:rPr>
                <w:rFonts w:hint="eastAsia" w:ascii="宋体" w:hAnsi="宋体" w:eastAsia="宋体" w:cs="宋体"/>
                <w:kern w:val="0"/>
                <w:sz w:val="24"/>
                <w:szCs w:val="24"/>
                <w:highlight w:val="none"/>
              </w:rPr>
              <w:t>条），此项不得分；</w:t>
            </w:r>
          </w:p>
          <w:p>
            <w:pPr>
              <w:pStyle w:val="30"/>
              <w:ind w:firstLine="480" w:firstLineChars="200"/>
              <w:rPr>
                <w:rFonts w:ascii="宋体" w:hAnsi="宋体" w:eastAsia="宋体" w:cs="宋体"/>
                <w:kern w:val="0"/>
                <w:sz w:val="24"/>
                <w:szCs w:val="24"/>
                <w:highlight w:val="none"/>
              </w:rPr>
            </w:pPr>
            <w:r>
              <w:rPr>
                <w:rFonts w:ascii="宋体" w:hAnsi="宋体" w:eastAsia="宋体" w:cs="宋体"/>
                <w:kern w:val="0"/>
                <w:sz w:val="24"/>
                <w:szCs w:val="24"/>
                <w:highlight w:val="none"/>
              </w:rPr>
              <w:t>3</w:t>
            </w:r>
            <w:r>
              <w:rPr>
                <w:rFonts w:hint="eastAsia" w:ascii="宋体" w:hAnsi="宋体" w:eastAsia="宋体" w:cs="宋体"/>
                <w:kern w:val="0"/>
                <w:sz w:val="24"/>
                <w:szCs w:val="24"/>
                <w:highlight w:val="none"/>
              </w:rPr>
              <w:t>.主要技术参数存在负偏离的（</w:t>
            </w:r>
            <w:r>
              <w:rPr>
                <w:rFonts w:hint="eastAsia" w:ascii="宋体" w:hAnsi="宋体" w:eastAsia="宋体" w:cs="宋体"/>
                <w:kern w:val="0"/>
                <w:sz w:val="24"/>
                <w:szCs w:val="24"/>
                <w:highlight w:val="none"/>
                <w:lang w:val="en-US" w:eastAsia="zh-CN"/>
              </w:rPr>
              <w:t>共9</w:t>
            </w:r>
            <w:r>
              <w:rPr>
                <w:rFonts w:hint="eastAsia" w:ascii="宋体" w:hAnsi="宋体" w:eastAsia="宋体" w:cs="宋体"/>
                <w:kern w:val="0"/>
                <w:sz w:val="24"/>
                <w:szCs w:val="24"/>
                <w:highlight w:val="none"/>
              </w:rPr>
              <w:t>条），每一条扣</w:t>
            </w:r>
            <w:r>
              <w:rPr>
                <w:rFonts w:ascii="宋体" w:hAnsi="宋体" w:eastAsia="宋体" w:cs="宋体"/>
                <w:kern w:val="0"/>
                <w:sz w:val="24"/>
                <w:szCs w:val="24"/>
                <w:highlight w:val="none"/>
              </w:rPr>
              <w:t>1</w:t>
            </w:r>
            <w:r>
              <w:rPr>
                <w:rFonts w:hint="eastAsia" w:ascii="宋体" w:hAnsi="宋体" w:cs="宋体"/>
                <w:kern w:val="0"/>
                <w:sz w:val="24"/>
                <w:szCs w:val="24"/>
                <w:highlight w:val="none"/>
                <w:lang w:val="en-US" w:eastAsia="zh-CN"/>
              </w:rPr>
              <w:t>.5</w:t>
            </w:r>
            <w:r>
              <w:rPr>
                <w:rFonts w:hint="eastAsia" w:ascii="宋体" w:hAnsi="宋体" w:eastAsia="宋体" w:cs="宋体"/>
                <w:kern w:val="0"/>
                <w:sz w:val="24"/>
                <w:szCs w:val="24"/>
                <w:highlight w:val="none"/>
              </w:rPr>
              <w:t>分，最多扣</w:t>
            </w:r>
            <w:r>
              <w:rPr>
                <w:rFonts w:hint="eastAsia" w:ascii="宋体" w:hAnsi="宋体" w:cs="宋体"/>
                <w:kern w:val="0"/>
                <w:sz w:val="24"/>
                <w:szCs w:val="24"/>
                <w:highlight w:val="none"/>
                <w:lang w:val="en-US" w:eastAsia="zh-CN"/>
              </w:rPr>
              <w:t>13.5</w:t>
            </w:r>
            <w:r>
              <w:rPr>
                <w:rFonts w:hint="eastAsia" w:ascii="宋体" w:hAnsi="宋体" w:eastAsia="宋体" w:cs="宋体"/>
                <w:kern w:val="0"/>
                <w:sz w:val="24"/>
                <w:szCs w:val="24"/>
                <w:highlight w:val="none"/>
              </w:rPr>
              <w:t>分；</w:t>
            </w:r>
          </w:p>
          <w:p>
            <w:pPr>
              <w:pStyle w:val="30"/>
              <w:ind w:firstLine="480" w:firstLineChars="200"/>
              <w:rPr>
                <w:rFonts w:ascii="宋体" w:hAnsi="宋体" w:eastAsia="宋体" w:cs="宋体"/>
                <w:kern w:val="0"/>
                <w:sz w:val="24"/>
                <w:szCs w:val="24"/>
                <w:highlight w:val="none"/>
              </w:rPr>
            </w:pPr>
            <w:r>
              <w:rPr>
                <w:rFonts w:ascii="宋体" w:hAnsi="宋体" w:eastAsia="宋体" w:cs="宋体"/>
                <w:kern w:val="0"/>
                <w:sz w:val="24"/>
                <w:szCs w:val="24"/>
                <w:highlight w:val="none"/>
              </w:rPr>
              <w:t>4</w:t>
            </w:r>
            <w:r>
              <w:rPr>
                <w:rFonts w:hint="eastAsia" w:ascii="宋体" w:hAnsi="宋体" w:eastAsia="宋体" w:cs="宋体"/>
                <w:kern w:val="0"/>
                <w:sz w:val="24"/>
                <w:szCs w:val="24"/>
                <w:highlight w:val="none"/>
              </w:rPr>
              <w:t>.一般技术参数存在负偏离的（</w:t>
            </w:r>
            <w:r>
              <w:rPr>
                <w:rFonts w:hint="eastAsia" w:ascii="宋体" w:hAnsi="宋体" w:eastAsia="宋体" w:cs="宋体"/>
                <w:kern w:val="0"/>
                <w:sz w:val="24"/>
                <w:szCs w:val="24"/>
                <w:highlight w:val="none"/>
                <w:lang w:val="en-US" w:eastAsia="zh-CN"/>
              </w:rPr>
              <w:t>共</w:t>
            </w:r>
            <w:r>
              <w:rPr>
                <w:rFonts w:hint="eastAsia" w:ascii="宋体" w:hAnsi="宋体" w:cs="宋体"/>
                <w:kern w:val="0"/>
                <w:sz w:val="24"/>
                <w:szCs w:val="24"/>
                <w:highlight w:val="none"/>
                <w:lang w:val="en-US" w:eastAsia="zh-CN"/>
              </w:rPr>
              <w:t>27</w:t>
            </w:r>
            <w:r>
              <w:rPr>
                <w:rFonts w:hint="eastAsia" w:ascii="宋体" w:hAnsi="宋体" w:eastAsia="宋体" w:cs="宋体"/>
                <w:kern w:val="0"/>
                <w:sz w:val="24"/>
                <w:szCs w:val="24"/>
                <w:highlight w:val="none"/>
              </w:rPr>
              <w:t>条），每一条扣</w:t>
            </w:r>
            <w:r>
              <w:rPr>
                <w:rFonts w:hint="eastAsia" w:ascii="宋体" w:hAnsi="宋体" w:cs="宋体"/>
                <w:kern w:val="0"/>
                <w:sz w:val="24"/>
                <w:szCs w:val="24"/>
                <w:highlight w:val="none"/>
                <w:lang w:val="en-US" w:eastAsia="zh-CN"/>
              </w:rPr>
              <w:t>0.7</w:t>
            </w:r>
            <w:r>
              <w:rPr>
                <w:rFonts w:hint="eastAsia" w:ascii="宋体" w:hAnsi="宋体" w:eastAsia="宋体" w:cs="宋体"/>
                <w:kern w:val="0"/>
                <w:sz w:val="24"/>
                <w:szCs w:val="24"/>
                <w:highlight w:val="none"/>
              </w:rPr>
              <w:t>分，最多扣</w:t>
            </w:r>
            <w:r>
              <w:rPr>
                <w:rFonts w:hint="eastAsia" w:ascii="宋体" w:hAnsi="宋体" w:cs="宋体"/>
                <w:kern w:val="0"/>
                <w:sz w:val="24"/>
                <w:szCs w:val="24"/>
                <w:highlight w:val="none"/>
                <w:lang w:val="en-US" w:eastAsia="zh-CN"/>
              </w:rPr>
              <w:t>16.5</w:t>
            </w:r>
            <w:r>
              <w:rPr>
                <w:rFonts w:hint="eastAsia" w:ascii="宋体" w:hAnsi="宋体" w:eastAsia="宋体" w:cs="宋体"/>
                <w:kern w:val="0"/>
                <w:sz w:val="24"/>
                <w:szCs w:val="24"/>
                <w:highlight w:val="none"/>
              </w:rPr>
              <w:t>分。</w:t>
            </w:r>
          </w:p>
          <w:p>
            <w:pPr>
              <w:widowControl/>
              <w:spacing w:line="400" w:lineRule="exact"/>
              <w:ind w:firstLine="482" w:firstLineChars="200"/>
              <w:textAlignment w:val="center"/>
              <w:rPr>
                <w:rFonts w:eastAsia="宋体"/>
                <w:highlight w:val="none"/>
              </w:rPr>
            </w:pPr>
            <w:r>
              <w:rPr>
                <w:b/>
                <w:bCs/>
                <w:sz w:val="24"/>
                <w:szCs w:val="24"/>
                <w:highlight w:val="none"/>
              </w:rPr>
              <w:t>注：负偏离评审依据：</w:t>
            </w:r>
            <w:r>
              <w:rPr>
                <w:rFonts w:hint="eastAsia"/>
                <w:b/>
                <w:bCs/>
                <w:sz w:val="24"/>
                <w:szCs w:val="24"/>
                <w:highlight w:val="none"/>
              </w:rPr>
              <w:t>①</w:t>
            </w:r>
            <w:r>
              <w:rPr>
                <w:b/>
                <w:bCs/>
                <w:sz w:val="24"/>
                <w:szCs w:val="24"/>
                <w:highlight w:val="none"/>
              </w:rPr>
              <w:t>所</w:t>
            </w:r>
            <w:r>
              <w:rPr>
                <w:rFonts w:hint="eastAsia"/>
                <w:b/>
                <w:bCs/>
                <w:sz w:val="24"/>
                <w:szCs w:val="24"/>
                <w:highlight w:val="none"/>
              </w:rPr>
              <w:t>提供</w:t>
            </w:r>
            <w:r>
              <w:rPr>
                <w:b/>
                <w:bCs/>
                <w:sz w:val="24"/>
                <w:szCs w:val="24"/>
                <w:highlight w:val="none"/>
              </w:rPr>
              <w:t>产品技术参数低于</w:t>
            </w:r>
            <w:r>
              <w:rPr>
                <w:rFonts w:hint="eastAsia"/>
                <w:b/>
                <w:bCs/>
                <w:sz w:val="24"/>
                <w:szCs w:val="24"/>
                <w:highlight w:val="none"/>
              </w:rPr>
              <w:t>招标</w:t>
            </w:r>
            <w:r>
              <w:rPr>
                <w:b/>
                <w:bCs/>
                <w:sz w:val="24"/>
                <w:szCs w:val="24"/>
                <w:highlight w:val="none"/>
              </w:rPr>
              <w:t>文件要求的，视为负偏离；</w:t>
            </w:r>
            <w:r>
              <w:rPr>
                <w:rFonts w:hint="eastAsia"/>
                <w:b/>
                <w:bCs/>
                <w:sz w:val="24"/>
                <w:szCs w:val="24"/>
                <w:highlight w:val="none"/>
              </w:rPr>
              <w:t>②</w:t>
            </w:r>
            <w:r>
              <w:rPr>
                <w:b/>
                <w:bCs/>
                <w:sz w:val="24"/>
                <w:szCs w:val="24"/>
                <w:highlight w:val="none"/>
              </w:rPr>
              <w:t>技术参数响应条款</w:t>
            </w:r>
            <w:r>
              <w:rPr>
                <w:rFonts w:hint="eastAsia"/>
                <w:b/>
                <w:bCs/>
                <w:sz w:val="24"/>
                <w:szCs w:val="24"/>
                <w:highlight w:val="none"/>
              </w:rPr>
              <w:t>（以投标文件内技术偏离表为准）</w:t>
            </w:r>
            <w:r>
              <w:rPr>
                <w:b/>
                <w:bCs/>
                <w:sz w:val="24"/>
                <w:szCs w:val="24"/>
                <w:highlight w:val="none"/>
              </w:rPr>
              <w:t>与</w:t>
            </w:r>
            <w:r>
              <w:rPr>
                <w:rFonts w:hint="eastAsia"/>
                <w:b/>
                <w:bCs/>
                <w:sz w:val="24"/>
                <w:szCs w:val="24"/>
                <w:highlight w:val="none"/>
              </w:rPr>
              <w:t>招标</w:t>
            </w:r>
            <w:r>
              <w:rPr>
                <w:b/>
                <w:bCs/>
                <w:sz w:val="24"/>
                <w:szCs w:val="24"/>
                <w:highlight w:val="none"/>
              </w:rPr>
              <w:t>文件对比有缺项、漏项的，视为负偏离；</w:t>
            </w:r>
            <w:r>
              <w:rPr>
                <w:rFonts w:hint="eastAsia"/>
                <w:b/>
                <w:bCs/>
                <w:sz w:val="24"/>
                <w:szCs w:val="24"/>
                <w:highlight w:val="none"/>
              </w:rPr>
              <w:t>③投标文件内技术偏离表完全复制招标文件技术参数的（不涉及具体参数指标的描述性技术要求除外），视为负偏离；④投标人</w:t>
            </w:r>
            <w:r>
              <w:rPr>
                <w:b/>
                <w:bCs/>
                <w:sz w:val="24"/>
                <w:szCs w:val="24"/>
                <w:highlight w:val="none"/>
              </w:rPr>
              <w:t>提供的</w:t>
            </w:r>
            <w:r>
              <w:rPr>
                <w:rFonts w:hint="eastAsia"/>
                <w:b/>
                <w:bCs/>
                <w:sz w:val="24"/>
                <w:szCs w:val="24"/>
                <w:highlight w:val="none"/>
              </w:rPr>
              <w:t>投标</w:t>
            </w:r>
            <w:r>
              <w:rPr>
                <w:b/>
                <w:bCs/>
                <w:sz w:val="24"/>
                <w:szCs w:val="24"/>
                <w:highlight w:val="none"/>
              </w:rPr>
              <w:t>文件中产品技术偏离表、产品技术规格书和产品检测报告内描述的同一产品技术参数响应值不一致的，视为负偏离</w:t>
            </w:r>
            <w:r>
              <w:rPr>
                <w:rFonts w:hint="eastAsia"/>
                <w:b/>
                <w:bCs/>
                <w:sz w:val="24"/>
                <w:szCs w:val="24"/>
                <w:highlight w:val="none"/>
              </w:rPr>
              <w:t>。</w:t>
            </w:r>
          </w:p>
        </w:tc>
        <w:tc>
          <w:tcPr>
            <w:tcW w:w="687" w:type="dxa"/>
            <w:tcMar>
              <w:top w:w="15" w:type="dxa"/>
              <w:left w:w="15" w:type="dxa"/>
              <w:right w:w="15" w:type="dxa"/>
            </w:tcMar>
            <w:vAlign w:val="center"/>
          </w:tcPr>
          <w:p>
            <w:pPr>
              <w:widowControl/>
              <w:spacing w:line="400" w:lineRule="exact"/>
              <w:jc w:val="center"/>
              <w:textAlignment w:val="center"/>
              <w:rPr>
                <w:rFonts w:hint="default"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r>
              <w:rPr>
                <w:sz w:val="24"/>
                <w:szCs w:val="24"/>
                <w:highlight w:val="none"/>
              </w:rPr>
              <w:t>业绩证明</w:t>
            </w:r>
          </w:p>
        </w:tc>
        <w:tc>
          <w:tcPr>
            <w:tcW w:w="5954" w:type="dxa"/>
            <w:tcMar>
              <w:top w:w="15" w:type="dxa"/>
              <w:left w:w="15" w:type="dxa"/>
              <w:right w:w="15" w:type="dxa"/>
            </w:tcMar>
            <w:vAlign w:val="center"/>
          </w:tcPr>
          <w:p>
            <w:pPr>
              <w:widowControl/>
              <w:spacing w:line="400" w:lineRule="exact"/>
              <w:ind w:firstLine="480" w:firstLineChars="200"/>
              <w:rPr>
                <w:sz w:val="24"/>
                <w:szCs w:val="24"/>
                <w:highlight w:val="none"/>
              </w:rPr>
            </w:pPr>
            <w:r>
              <w:rPr>
                <w:rFonts w:hint="eastAsia"/>
                <w:sz w:val="24"/>
                <w:szCs w:val="24"/>
                <w:highlight w:val="none"/>
                <w:lang w:eastAsia="zh-CN"/>
              </w:rPr>
              <w:t>投标人</w:t>
            </w:r>
            <w:r>
              <w:rPr>
                <w:rFonts w:hint="eastAsia"/>
                <w:sz w:val="24"/>
                <w:szCs w:val="24"/>
                <w:highlight w:val="none"/>
              </w:rPr>
              <w:t>近三年内（</w:t>
            </w:r>
            <w:r>
              <w:rPr>
                <w:sz w:val="24"/>
                <w:szCs w:val="24"/>
                <w:highlight w:val="none"/>
              </w:rPr>
              <w:t>2021</w:t>
            </w:r>
            <w:r>
              <w:rPr>
                <w:rFonts w:hint="eastAsia"/>
                <w:sz w:val="24"/>
                <w:szCs w:val="24"/>
                <w:highlight w:val="none"/>
              </w:rPr>
              <w:t>年0</w:t>
            </w:r>
            <w:r>
              <w:rPr>
                <w:sz w:val="24"/>
                <w:szCs w:val="24"/>
                <w:highlight w:val="none"/>
              </w:rPr>
              <w:t>3</w:t>
            </w:r>
            <w:r>
              <w:rPr>
                <w:rFonts w:hint="eastAsia"/>
                <w:sz w:val="24"/>
                <w:szCs w:val="24"/>
                <w:highlight w:val="none"/>
              </w:rPr>
              <w:t>月0</w:t>
            </w:r>
            <w:r>
              <w:rPr>
                <w:sz w:val="24"/>
                <w:szCs w:val="24"/>
                <w:highlight w:val="none"/>
              </w:rPr>
              <w:t>1</w:t>
            </w:r>
            <w:r>
              <w:rPr>
                <w:rFonts w:hint="eastAsia"/>
                <w:sz w:val="24"/>
                <w:szCs w:val="24"/>
                <w:highlight w:val="none"/>
              </w:rPr>
              <w:t>日起至今，以合同签订日期为准）完成类似项目的业绩，每个项目业绩得</w:t>
            </w:r>
            <w:r>
              <w:rPr>
                <w:sz w:val="24"/>
                <w:szCs w:val="24"/>
                <w:highlight w:val="none"/>
              </w:rPr>
              <w:t>2</w:t>
            </w:r>
            <w:r>
              <w:rPr>
                <w:rFonts w:hint="eastAsia"/>
                <w:sz w:val="24"/>
                <w:szCs w:val="24"/>
                <w:highlight w:val="none"/>
              </w:rPr>
              <w:t>分，最多得</w:t>
            </w:r>
            <w:r>
              <w:rPr>
                <w:sz w:val="24"/>
                <w:szCs w:val="24"/>
                <w:highlight w:val="none"/>
              </w:rPr>
              <w:t>4</w:t>
            </w:r>
            <w:r>
              <w:rPr>
                <w:rFonts w:hint="eastAsia"/>
                <w:sz w:val="24"/>
                <w:szCs w:val="24"/>
                <w:highlight w:val="none"/>
              </w:rPr>
              <w:t>分。</w:t>
            </w:r>
          </w:p>
          <w:p>
            <w:pPr>
              <w:widowControl/>
              <w:spacing w:line="400" w:lineRule="exact"/>
              <w:ind w:firstLine="482" w:firstLineChars="200"/>
              <w:textAlignment w:val="center"/>
              <w:rPr>
                <w:b/>
                <w:bCs/>
                <w:sz w:val="24"/>
                <w:szCs w:val="24"/>
                <w:highlight w:val="none"/>
              </w:rPr>
            </w:pPr>
            <w:r>
              <w:rPr>
                <w:rFonts w:hint="eastAsia"/>
                <w:b/>
                <w:bCs/>
                <w:sz w:val="24"/>
                <w:szCs w:val="24"/>
                <w:highlight w:val="none"/>
              </w:rPr>
              <w:t>注：①提供中标（成交）通知书和合同复印件，未按要求提供不得分；②同一单位近三年的类似合同不重复计算业绩，仅算一个业绩。</w:t>
            </w:r>
          </w:p>
        </w:tc>
        <w:tc>
          <w:tcPr>
            <w:tcW w:w="687" w:type="dxa"/>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r>
              <w:rPr>
                <w:rFonts w:ascii="宋体" w:hAnsi="宋体" w:eastAsia="宋体" w:cs="宋体"/>
                <w:kern w:val="0"/>
                <w:sz w:val="24"/>
                <w:szCs w:val="24"/>
                <w:highlight w:val="none"/>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p>
        </w:tc>
        <w:tc>
          <w:tcPr>
            <w:tcW w:w="1371" w:type="dxa"/>
            <w:tcMar>
              <w:top w:w="15" w:type="dxa"/>
              <w:left w:w="15" w:type="dxa"/>
              <w:right w:w="15" w:type="dxa"/>
            </w:tcMar>
            <w:vAlign w:val="center"/>
          </w:tcPr>
          <w:p>
            <w:pPr>
              <w:snapToGrid w:val="0"/>
              <w:spacing w:line="40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项目组织</w:t>
            </w:r>
          </w:p>
          <w:p>
            <w:pPr>
              <w:widowControl/>
              <w:spacing w:line="400" w:lineRule="exact"/>
              <w:jc w:val="center"/>
              <w:textAlignment w:val="center"/>
              <w:rPr>
                <w:sz w:val="24"/>
                <w:szCs w:val="24"/>
                <w:highlight w:val="none"/>
              </w:rPr>
            </w:pPr>
            <w:r>
              <w:rPr>
                <w:rFonts w:hint="eastAsia" w:ascii="宋体" w:hAnsi="宋体" w:eastAsia="宋体" w:cs="宋体"/>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sz w:val="24"/>
                <w:szCs w:val="24"/>
                <w:highlight w:val="none"/>
              </w:rPr>
            </w:pPr>
            <w:r>
              <w:rPr>
                <w:rFonts w:hint="eastAsia"/>
                <w:sz w:val="24"/>
                <w:szCs w:val="24"/>
                <w:highlight w:val="none"/>
              </w:rPr>
              <w:t>根据</w:t>
            </w:r>
            <w:r>
              <w:rPr>
                <w:rFonts w:hint="eastAsia"/>
                <w:sz w:val="24"/>
                <w:szCs w:val="24"/>
                <w:highlight w:val="none"/>
                <w:lang w:eastAsia="zh-CN"/>
              </w:rPr>
              <w:t>投标人</w:t>
            </w:r>
            <w:r>
              <w:rPr>
                <w:rFonts w:hint="eastAsia"/>
                <w:sz w:val="24"/>
                <w:szCs w:val="24"/>
                <w:highlight w:val="none"/>
              </w:rPr>
              <w:t>提供的项目组织方案进行评分：</w:t>
            </w:r>
          </w:p>
          <w:p>
            <w:pPr>
              <w:widowControl/>
              <w:spacing w:line="400" w:lineRule="exact"/>
              <w:ind w:firstLine="480" w:firstLineChars="200"/>
              <w:rPr>
                <w:sz w:val="24"/>
                <w:szCs w:val="24"/>
                <w:highlight w:val="none"/>
              </w:rPr>
            </w:pPr>
            <w:r>
              <w:rPr>
                <w:rFonts w:hint="eastAsia"/>
                <w:sz w:val="24"/>
                <w:szCs w:val="24"/>
                <w:highlight w:val="none"/>
              </w:rPr>
              <w:t>项目组织方案包括但不限于：①</w:t>
            </w:r>
            <w:r>
              <w:rPr>
                <w:rFonts w:hint="eastAsia" w:ascii="宋体" w:hAnsi="宋体" w:eastAsia="宋体" w:cs="宋体"/>
                <w:sz w:val="24"/>
                <w:szCs w:val="24"/>
                <w:highlight w:val="none"/>
              </w:rPr>
              <w:t>项目人员安排（包含但不限于主要人员名单及基本情况介绍、在本项目中承担的职责等）、②供货方案（包含但不限于产品来源、供货计划、供货时间、包装和运输方式等）、③质量管控方案（包括但不限于质量管控的标准、方法和程序等）、④测试（调试）方案（包含但不限于人员安排、测试步骤、测试标准等）</w:t>
            </w:r>
            <w:r>
              <w:rPr>
                <w:sz w:val="24"/>
                <w:szCs w:val="24"/>
                <w:highlight w:val="none"/>
              </w:rPr>
              <w:t>等</w:t>
            </w:r>
            <w:r>
              <w:rPr>
                <w:rFonts w:hint="eastAsia"/>
                <w:sz w:val="24"/>
                <w:szCs w:val="24"/>
                <w:highlight w:val="none"/>
              </w:rPr>
              <w:t>4项内容，方案内容完整齐全，符合项目实际（</w:t>
            </w:r>
            <w:r>
              <w:rPr>
                <w:rFonts w:hint="eastAsia" w:ascii="宋体" w:hAnsi="宋体" w:eastAsia="宋体" w:cs="宋体"/>
                <w:sz w:val="24"/>
                <w:szCs w:val="24"/>
                <w:highlight w:val="none"/>
              </w:rPr>
              <w:t>第六章“项目需求”</w:t>
            </w:r>
            <w:r>
              <w:rPr>
                <w:rFonts w:hint="eastAsia"/>
                <w:sz w:val="24"/>
                <w:szCs w:val="24"/>
                <w:highlight w:val="none"/>
              </w:rPr>
              <w:t>）的，得</w:t>
            </w:r>
            <w:r>
              <w:rPr>
                <w:sz w:val="24"/>
                <w:szCs w:val="24"/>
                <w:highlight w:val="none"/>
              </w:rPr>
              <w:t>12</w:t>
            </w:r>
            <w:r>
              <w:rPr>
                <w:rFonts w:hint="eastAsia"/>
                <w:sz w:val="24"/>
                <w:szCs w:val="24"/>
                <w:highlight w:val="none"/>
              </w:rPr>
              <w:t>分；每缺少一项方案内容，或一项内容存在缺陷的，每一项扣</w:t>
            </w:r>
            <w:r>
              <w:rPr>
                <w:sz w:val="24"/>
                <w:szCs w:val="24"/>
                <w:highlight w:val="none"/>
              </w:rPr>
              <w:t>3</w:t>
            </w:r>
            <w:r>
              <w:rPr>
                <w:rFonts w:hint="eastAsia"/>
                <w:sz w:val="24"/>
                <w:szCs w:val="24"/>
                <w:highlight w:val="none"/>
              </w:rPr>
              <w:t>分，扣完为止；未提供项目组织方案的，此项不得分。</w:t>
            </w:r>
          </w:p>
          <w:p>
            <w:pPr>
              <w:widowControl/>
              <w:spacing w:line="400" w:lineRule="exact"/>
              <w:ind w:firstLine="482" w:firstLineChars="200"/>
              <w:rPr>
                <w:b/>
                <w:bCs/>
                <w:sz w:val="24"/>
                <w:szCs w:val="24"/>
                <w:highlight w:val="none"/>
              </w:rPr>
            </w:pPr>
            <w:r>
              <w:rPr>
                <w:rFonts w:hint="eastAsia"/>
                <w:b/>
                <w:bCs/>
                <w:sz w:val="24"/>
                <w:szCs w:val="24"/>
                <w:highlight w:val="none"/>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r>
              <w:rPr>
                <w:rFonts w:ascii="宋体" w:hAnsi="宋体" w:eastAsia="宋体" w:cs="宋体"/>
                <w:kern w:val="0"/>
                <w:sz w:val="24"/>
                <w:szCs w:val="24"/>
                <w:highlight w:val="none"/>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宋体" w:hAnsi="宋体" w:eastAsia="宋体" w:cs="宋体"/>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技术培训</w:t>
            </w:r>
          </w:p>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sz w:val="24"/>
                <w:szCs w:val="24"/>
                <w:highlight w:val="none"/>
              </w:rPr>
            </w:pPr>
            <w:r>
              <w:rPr>
                <w:rFonts w:hint="eastAsia"/>
                <w:sz w:val="24"/>
                <w:szCs w:val="24"/>
                <w:highlight w:val="none"/>
              </w:rPr>
              <w:t>根据</w:t>
            </w:r>
            <w:r>
              <w:rPr>
                <w:rFonts w:hint="eastAsia"/>
                <w:sz w:val="24"/>
                <w:szCs w:val="24"/>
                <w:highlight w:val="none"/>
                <w:lang w:eastAsia="zh-CN"/>
              </w:rPr>
              <w:t>投标人</w:t>
            </w:r>
            <w:r>
              <w:rPr>
                <w:rFonts w:hint="eastAsia"/>
                <w:sz w:val="24"/>
                <w:szCs w:val="24"/>
                <w:highlight w:val="none"/>
              </w:rPr>
              <w:t>提供的技术培训方案进行评分：</w:t>
            </w:r>
          </w:p>
          <w:p>
            <w:pPr>
              <w:widowControl/>
              <w:spacing w:line="400" w:lineRule="exact"/>
              <w:ind w:firstLine="480" w:firstLineChars="200"/>
              <w:rPr>
                <w:sz w:val="24"/>
                <w:szCs w:val="24"/>
                <w:highlight w:val="none"/>
              </w:rPr>
            </w:pPr>
            <w:r>
              <w:rPr>
                <w:rFonts w:hint="eastAsia"/>
                <w:sz w:val="24"/>
                <w:szCs w:val="24"/>
                <w:highlight w:val="none"/>
              </w:rPr>
              <w:t>技术培训方案包括但不限于</w:t>
            </w:r>
            <w:r>
              <w:rPr>
                <w:rFonts w:ascii="宋体" w:hAnsi="宋体" w:eastAsia="宋体" w:cs="宋体"/>
                <w:sz w:val="24"/>
                <w:szCs w:val="24"/>
                <w:highlight w:val="none"/>
              </w:rPr>
              <w:t>培训内容</w:t>
            </w:r>
            <w:r>
              <w:rPr>
                <w:rFonts w:hint="eastAsia" w:ascii="宋体" w:hAnsi="宋体" w:eastAsia="宋体" w:cs="宋体"/>
                <w:sz w:val="24"/>
                <w:szCs w:val="24"/>
                <w:highlight w:val="none"/>
              </w:rPr>
              <w:t>、</w:t>
            </w:r>
            <w:r>
              <w:rPr>
                <w:rFonts w:ascii="宋体" w:hAnsi="宋体" w:eastAsia="宋体" w:cs="宋体"/>
                <w:sz w:val="24"/>
                <w:szCs w:val="24"/>
                <w:highlight w:val="none"/>
              </w:rPr>
              <w:t>培训方式</w:t>
            </w:r>
            <w:r>
              <w:rPr>
                <w:rFonts w:hint="eastAsia" w:ascii="宋体" w:hAnsi="宋体" w:eastAsia="宋体" w:cs="宋体"/>
                <w:sz w:val="24"/>
                <w:szCs w:val="24"/>
                <w:highlight w:val="none"/>
              </w:rPr>
              <w:t>、</w:t>
            </w:r>
            <w:r>
              <w:rPr>
                <w:rFonts w:ascii="宋体" w:hAnsi="宋体" w:eastAsia="宋体" w:cs="宋体"/>
                <w:sz w:val="24"/>
                <w:szCs w:val="24"/>
                <w:highlight w:val="none"/>
              </w:rPr>
              <w:t>培训计划</w:t>
            </w:r>
            <w:r>
              <w:rPr>
                <w:rFonts w:hint="eastAsia" w:ascii="宋体" w:hAnsi="宋体" w:eastAsia="宋体" w:cs="宋体"/>
                <w:sz w:val="24"/>
                <w:szCs w:val="24"/>
                <w:highlight w:val="none"/>
              </w:rPr>
              <w:t>、</w:t>
            </w:r>
            <w:r>
              <w:rPr>
                <w:rFonts w:ascii="宋体" w:hAnsi="宋体" w:eastAsia="宋体" w:cs="宋体"/>
                <w:sz w:val="24"/>
                <w:szCs w:val="24"/>
                <w:highlight w:val="none"/>
              </w:rPr>
              <w:t>培训团队人员配置</w:t>
            </w:r>
            <w:r>
              <w:rPr>
                <w:sz w:val="24"/>
                <w:szCs w:val="24"/>
                <w:highlight w:val="none"/>
              </w:rPr>
              <w:t>等</w:t>
            </w:r>
            <w:r>
              <w:rPr>
                <w:rFonts w:hint="eastAsia"/>
                <w:sz w:val="24"/>
                <w:szCs w:val="24"/>
                <w:highlight w:val="none"/>
              </w:rPr>
              <w:t>4项内容，方案内容完整齐全，符合项目实际的，得</w:t>
            </w:r>
            <w:r>
              <w:rPr>
                <w:sz w:val="24"/>
                <w:szCs w:val="24"/>
                <w:highlight w:val="none"/>
              </w:rPr>
              <w:t>10</w:t>
            </w:r>
            <w:r>
              <w:rPr>
                <w:rFonts w:hint="eastAsia"/>
                <w:sz w:val="24"/>
                <w:szCs w:val="24"/>
                <w:highlight w:val="none"/>
              </w:rPr>
              <w:t>分；每缺少一项方案内容，或一项内容存在缺陷的，每一项扣</w:t>
            </w:r>
            <w:r>
              <w:rPr>
                <w:sz w:val="24"/>
                <w:szCs w:val="24"/>
                <w:highlight w:val="none"/>
              </w:rPr>
              <w:t>2.5</w:t>
            </w:r>
            <w:r>
              <w:rPr>
                <w:rFonts w:hint="eastAsia"/>
                <w:sz w:val="24"/>
                <w:szCs w:val="24"/>
                <w:highlight w:val="none"/>
              </w:rPr>
              <w:t>分，扣完为止；未提供技术培训方案的，此项不得分。</w:t>
            </w:r>
          </w:p>
          <w:p>
            <w:pPr>
              <w:snapToGrid w:val="0"/>
              <w:spacing w:line="400" w:lineRule="exact"/>
              <w:ind w:firstLine="482" w:firstLineChars="200"/>
              <w:rPr>
                <w:rFonts w:ascii="宋体" w:hAnsi="宋体" w:eastAsia="宋体" w:cs="宋体"/>
                <w:kern w:val="0"/>
                <w:sz w:val="24"/>
                <w:szCs w:val="24"/>
                <w:highlight w:val="none"/>
              </w:rPr>
            </w:pPr>
            <w:r>
              <w:rPr>
                <w:rFonts w:hint="eastAsia"/>
                <w:b/>
                <w:bCs/>
                <w:sz w:val="24"/>
                <w:szCs w:val="24"/>
                <w:highlight w:val="none"/>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ascii="宋体" w:hAnsi="宋体" w:eastAsia="宋体" w:cs="宋体"/>
                <w:sz w:val="24"/>
                <w:szCs w:val="24"/>
                <w:highlight w:val="none"/>
              </w:rPr>
            </w:pPr>
            <w:r>
              <w:rPr>
                <w:rFonts w:ascii="宋体" w:hAnsi="宋体" w:eastAsia="宋体" w:cs="宋体"/>
                <w:sz w:val="24"/>
                <w:szCs w:val="24"/>
                <w:highlight w:val="none"/>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宋体" w:hAnsi="宋体" w:eastAsia="宋体" w:cs="宋体"/>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售后服务</w:t>
            </w:r>
          </w:p>
          <w:p>
            <w:pPr>
              <w:widowControl/>
              <w:spacing w:line="400" w:lineRule="exact"/>
              <w:jc w:val="center"/>
              <w:textAlignment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方案评价</w:t>
            </w:r>
          </w:p>
        </w:tc>
        <w:tc>
          <w:tcPr>
            <w:tcW w:w="5954" w:type="dxa"/>
            <w:tcMar>
              <w:top w:w="15" w:type="dxa"/>
              <w:left w:w="15" w:type="dxa"/>
              <w:right w:w="15" w:type="dxa"/>
            </w:tcMar>
            <w:vAlign w:val="center"/>
          </w:tcPr>
          <w:p>
            <w:pPr>
              <w:widowControl/>
              <w:spacing w:line="400" w:lineRule="exact"/>
              <w:ind w:firstLine="480" w:firstLineChars="200"/>
              <w:rPr>
                <w:sz w:val="24"/>
                <w:szCs w:val="24"/>
                <w:highlight w:val="none"/>
              </w:rPr>
            </w:pPr>
            <w:r>
              <w:rPr>
                <w:rFonts w:hint="eastAsia"/>
                <w:sz w:val="24"/>
                <w:szCs w:val="24"/>
                <w:highlight w:val="none"/>
              </w:rPr>
              <w:t>根据</w:t>
            </w:r>
            <w:r>
              <w:rPr>
                <w:rFonts w:hint="eastAsia"/>
                <w:sz w:val="24"/>
                <w:szCs w:val="24"/>
                <w:highlight w:val="none"/>
                <w:lang w:eastAsia="zh-CN"/>
              </w:rPr>
              <w:t>投标人</w:t>
            </w:r>
            <w:r>
              <w:rPr>
                <w:rFonts w:hint="eastAsia"/>
                <w:sz w:val="24"/>
                <w:szCs w:val="24"/>
                <w:highlight w:val="none"/>
              </w:rPr>
              <w:t>提供的售后服务方案进行评分：</w:t>
            </w:r>
          </w:p>
          <w:p>
            <w:pPr>
              <w:widowControl/>
              <w:spacing w:line="400" w:lineRule="exact"/>
              <w:ind w:firstLine="480" w:firstLineChars="200"/>
              <w:rPr>
                <w:sz w:val="24"/>
                <w:szCs w:val="24"/>
                <w:highlight w:val="none"/>
              </w:rPr>
            </w:pPr>
            <w:r>
              <w:rPr>
                <w:rFonts w:hint="eastAsia"/>
                <w:sz w:val="24"/>
                <w:szCs w:val="24"/>
                <w:highlight w:val="none"/>
              </w:rPr>
              <w:t>项目售后服务方案包括但不限于</w:t>
            </w:r>
            <w:r>
              <w:rPr>
                <w:rFonts w:hint="eastAsia" w:ascii="宋体" w:hAnsi="宋体" w:eastAsia="宋体" w:cs="宋体"/>
                <w:sz w:val="24"/>
                <w:szCs w:val="24"/>
                <w:highlight w:val="none"/>
              </w:rPr>
              <w:t>售后</w:t>
            </w:r>
            <w:r>
              <w:rPr>
                <w:rFonts w:ascii="宋体" w:hAnsi="宋体" w:eastAsia="宋体" w:cs="宋体"/>
                <w:sz w:val="24"/>
                <w:szCs w:val="24"/>
                <w:highlight w:val="none"/>
              </w:rPr>
              <w:t>服务承诺</w:t>
            </w:r>
            <w:r>
              <w:rPr>
                <w:rFonts w:hint="eastAsia" w:ascii="宋体" w:hAnsi="宋体" w:eastAsia="宋体" w:cs="宋体"/>
                <w:sz w:val="24"/>
                <w:szCs w:val="24"/>
                <w:highlight w:val="none"/>
              </w:rPr>
              <w:t>、</w:t>
            </w:r>
            <w:r>
              <w:rPr>
                <w:rFonts w:ascii="宋体" w:hAnsi="宋体" w:eastAsia="宋体" w:cs="宋体"/>
                <w:sz w:val="24"/>
                <w:szCs w:val="24"/>
                <w:highlight w:val="none"/>
              </w:rPr>
              <w:t>服务响应方案</w:t>
            </w:r>
            <w:r>
              <w:rPr>
                <w:rFonts w:hint="eastAsia" w:ascii="宋体" w:hAnsi="宋体" w:eastAsia="宋体" w:cs="宋体"/>
                <w:sz w:val="24"/>
                <w:szCs w:val="24"/>
                <w:highlight w:val="none"/>
              </w:rPr>
              <w:t>、</w:t>
            </w:r>
            <w:r>
              <w:rPr>
                <w:rFonts w:ascii="宋体" w:hAnsi="宋体" w:eastAsia="宋体" w:cs="宋体"/>
                <w:sz w:val="24"/>
                <w:szCs w:val="24"/>
                <w:highlight w:val="none"/>
              </w:rPr>
              <w:t>备件（易耗品）供应方案</w:t>
            </w:r>
            <w:r>
              <w:rPr>
                <w:rFonts w:hint="eastAsia" w:ascii="宋体" w:hAnsi="宋体" w:eastAsia="宋体" w:cs="宋体"/>
                <w:sz w:val="24"/>
                <w:szCs w:val="24"/>
                <w:highlight w:val="none"/>
              </w:rPr>
              <w:t>（含备件价格）、</w:t>
            </w:r>
            <w:r>
              <w:rPr>
                <w:rFonts w:ascii="宋体" w:hAnsi="宋体" w:eastAsia="宋体" w:cs="宋体"/>
                <w:sz w:val="24"/>
                <w:szCs w:val="24"/>
                <w:highlight w:val="none"/>
              </w:rPr>
              <w:t>服务人员配备</w:t>
            </w:r>
            <w:r>
              <w:rPr>
                <w:rFonts w:hint="eastAsia" w:ascii="宋体" w:hAnsi="宋体" w:eastAsia="宋体" w:cs="宋体"/>
                <w:sz w:val="24"/>
                <w:szCs w:val="24"/>
                <w:highlight w:val="none"/>
              </w:rPr>
              <w:t>、</w:t>
            </w:r>
            <w:r>
              <w:rPr>
                <w:rFonts w:ascii="宋体" w:hAnsi="宋体" w:eastAsia="宋体" w:cs="宋体"/>
                <w:sz w:val="24"/>
                <w:szCs w:val="24"/>
                <w:highlight w:val="none"/>
              </w:rPr>
              <w:t>故障响应</w:t>
            </w:r>
            <w:r>
              <w:rPr>
                <w:rFonts w:hint="eastAsia" w:ascii="宋体" w:hAnsi="宋体" w:eastAsia="宋体" w:cs="宋体"/>
                <w:sz w:val="24"/>
                <w:szCs w:val="24"/>
                <w:highlight w:val="none"/>
              </w:rPr>
              <w:t>措施、</w:t>
            </w:r>
            <w:r>
              <w:rPr>
                <w:rFonts w:ascii="宋体" w:hAnsi="宋体" w:eastAsia="宋体" w:cs="宋体"/>
                <w:sz w:val="24"/>
                <w:szCs w:val="24"/>
                <w:highlight w:val="none"/>
              </w:rPr>
              <w:t>质保外服务措施</w:t>
            </w:r>
            <w:r>
              <w:rPr>
                <w:sz w:val="24"/>
                <w:szCs w:val="24"/>
                <w:highlight w:val="none"/>
              </w:rPr>
              <w:t>等</w:t>
            </w:r>
            <w:r>
              <w:rPr>
                <w:rFonts w:hint="eastAsia"/>
                <w:sz w:val="24"/>
                <w:szCs w:val="24"/>
                <w:highlight w:val="none"/>
              </w:rPr>
              <w:t>6项内容，方案内容完整齐全，符合项目实际的，得</w:t>
            </w:r>
            <w:r>
              <w:rPr>
                <w:rFonts w:hint="eastAsia"/>
                <w:sz w:val="24"/>
                <w:szCs w:val="24"/>
                <w:highlight w:val="none"/>
                <w:lang w:val="en-US" w:eastAsia="zh-CN"/>
              </w:rPr>
              <w:t>6</w:t>
            </w:r>
            <w:r>
              <w:rPr>
                <w:rFonts w:hint="eastAsia"/>
                <w:sz w:val="24"/>
                <w:szCs w:val="24"/>
                <w:highlight w:val="none"/>
              </w:rPr>
              <w:t>分；每缺少一项方案内容，或一项内容存在缺陷的，每一项扣</w:t>
            </w:r>
            <w:r>
              <w:rPr>
                <w:rFonts w:hint="eastAsia"/>
                <w:sz w:val="24"/>
                <w:szCs w:val="24"/>
                <w:highlight w:val="none"/>
                <w:lang w:val="en-US" w:eastAsia="zh-CN"/>
              </w:rPr>
              <w:t>1</w:t>
            </w:r>
            <w:r>
              <w:rPr>
                <w:rFonts w:hint="eastAsia"/>
                <w:sz w:val="24"/>
                <w:szCs w:val="24"/>
                <w:highlight w:val="none"/>
              </w:rPr>
              <w:t>分，扣完为止；未提供售后服务方案的，此项不得分。</w:t>
            </w:r>
          </w:p>
          <w:p>
            <w:pPr>
              <w:snapToGrid w:val="0"/>
              <w:spacing w:line="400" w:lineRule="exact"/>
              <w:ind w:firstLine="482" w:firstLineChars="200"/>
              <w:rPr>
                <w:rFonts w:ascii="宋体" w:hAnsi="宋体" w:eastAsia="宋体" w:cs="宋体"/>
                <w:sz w:val="24"/>
                <w:szCs w:val="24"/>
                <w:highlight w:val="none"/>
              </w:rPr>
            </w:pPr>
            <w:r>
              <w:rPr>
                <w:rFonts w:hint="eastAsia"/>
                <w:b/>
                <w:bCs/>
                <w:sz w:val="24"/>
                <w:szCs w:val="24"/>
                <w:highlight w:val="none"/>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snapToGrid w:val="0"/>
              <w:spacing w:line="400" w:lineRule="exac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2"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宋体" w:hAnsi="宋体" w:eastAsia="宋体" w:cs="宋体"/>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hint="default" w:ascii="宋体" w:hAnsi="宋体" w:eastAsia="宋体" w:cs="宋体"/>
                <w:kern w:val="0"/>
                <w:sz w:val="24"/>
                <w:szCs w:val="24"/>
                <w:highlight w:val="none"/>
                <w:lang w:val="en-US" w:eastAsia="zh-CN"/>
              </w:rPr>
            </w:pPr>
            <w:r>
              <w:rPr>
                <w:rFonts w:hint="eastAsia" w:cs="Times New Roman"/>
                <w:color w:val="auto"/>
                <w:sz w:val="24"/>
                <w:szCs w:val="24"/>
                <w:highlight w:val="none"/>
                <w:lang w:val="en-US" w:eastAsia="zh-CN"/>
              </w:rPr>
              <w:t>投标</w:t>
            </w:r>
            <w:r>
              <w:rPr>
                <w:rFonts w:hint="default" w:ascii="Times New Roman" w:hAnsi="Times New Roman" w:eastAsia="宋体" w:cs="Times New Roman"/>
                <w:color w:val="auto"/>
                <w:sz w:val="24"/>
                <w:szCs w:val="24"/>
                <w:highlight w:val="none"/>
                <w:lang w:val="en-US" w:eastAsia="zh-CN"/>
              </w:rPr>
              <w:t>样品</w:t>
            </w:r>
            <w:r>
              <w:rPr>
                <w:rFonts w:hint="eastAsia" w:cs="Times New Roman"/>
                <w:color w:val="auto"/>
                <w:sz w:val="24"/>
                <w:szCs w:val="24"/>
                <w:highlight w:val="none"/>
                <w:lang w:val="en-US" w:eastAsia="zh-CN"/>
              </w:rPr>
              <w:t>及</w:t>
            </w:r>
            <w:r>
              <w:rPr>
                <w:rFonts w:hint="default" w:ascii="Times New Roman" w:hAnsi="Times New Roman" w:eastAsia="宋体" w:cs="Times New Roman"/>
                <w:color w:val="auto"/>
                <w:sz w:val="24"/>
                <w:szCs w:val="24"/>
                <w:highlight w:val="none"/>
                <w:lang w:val="en-US" w:eastAsia="zh-CN"/>
              </w:rPr>
              <w:t>视频</w:t>
            </w:r>
            <w:r>
              <w:rPr>
                <w:rFonts w:hint="eastAsia" w:cs="Times New Roman"/>
                <w:color w:val="auto"/>
                <w:sz w:val="24"/>
                <w:szCs w:val="24"/>
                <w:highlight w:val="none"/>
                <w:lang w:val="en-US" w:eastAsia="zh-CN"/>
              </w:rPr>
              <w:t>评价</w:t>
            </w:r>
          </w:p>
        </w:tc>
        <w:tc>
          <w:tcPr>
            <w:tcW w:w="5954" w:type="dxa"/>
            <w:tcMar>
              <w:top w:w="15" w:type="dxa"/>
              <w:left w:w="15" w:type="dxa"/>
              <w:right w:w="15" w:type="dxa"/>
            </w:tcMar>
            <w:vAlign w:val="center"/>
          </w:tcPr>
          <w:p>
            <w:pPr>
              <w:widowControl/>
              <w:spacing w:line="40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lang w:val="en-US" w:eastAsia="zh-CN"/>
              </w:rPr>
              <w:t>样品分：</w:t>
            </w:r>
            <w:r>
              <w:rPr>
                <w:rFonts w:hint="eastAsia" w:ascii="宋体" w:hAnsi="宋体" w:cs="宋体"/>
                <w:color w:val="000000"/>
                <w:sz w:val="24"/>
                <w:highlight w:val="none"/>
              </w:rPr>
              <w:t>根据投标人提供样品的整体性能进行评审：1.符合人体设计工学、结构合理、操作简单快捷、便于携带和背负；2.制作工艺水平高，外观整体较好；3.有无操作安全隐患或影响使用性能的安全隐患；4.功能实用性能强，贴合灭火救援实战需要。各项性能完备的得</w:t>
            </w:r>
            <w:r>
              <w:rPr>
                <w:rFonts w:hint="eastAsia" w:ascii="宋体" w:hAnsi="宋体" w:cs="宋体"/>
                <w:color w:val="000000"/>
                <w:sz w:val="24"/>
                <w:highlight w:val="none"/>
                <w:lang w:val="en-US" w:eastAsia="zh-CN"/>
              </w:rPr>
              <w:t>4</w:t>
            </w:r>
            <w:r>
              <w:rPr>
                <w:rFonts w:hint="eastAsia" w:ascii="宋体" w:hAnsi="宋体" w:cs="宋体"/>
                <w:color w:val="000000"/>
                <w:sz w:val="24"/>
                <w:highlight w:val="none"/>
              </w:rPr>
              <w:t>分，每有一项存在瑕疵或不符合采购人使用需求的，扣</w:t>
            </w:r>
            <w:r>
              <w:rPr>
                <w:rFonts w:hint="eastAsia" w:ascii="宋体" w:hAnsi="宋体" w:cs="宋体"/>
                <w:color w:val="000000"/>
                <w:sz w:val="24"/>
                <w:highlight w:val="none"/>
                <w:lang w:val="en-US" w:eastAsia="zh-CN"/>
              </w:rPr>
              <w:t>1</w:t>
            </w:r>
            <w:r>
              <w:rPr>
                <w:rFonts w:hint="eastAsia" w:ascii="宋体" w:hAnsi="宋体" w:cs="宋体"/>
                <w:color w:val="000000"/>
                <w:sz w:val="24"/>
                <w:highlight w:val="none"/>
              </w:rPr>
              <w:t>分，扣完为止。注：样品由采购代理机构提前编号并作登记，评标委员会采用盲评形式进行评审。</w:t>
            </w:r>
          </w:p>
          <w:p>
            <w:pPr>
              <w:adjustRightInd w:val="0"/>
              <w:snapToGrid w:val="0"/>
              <w:spacing w:line="400" w:lineRule="exact"/>
              <w:ind w:firstLine="480" w:firstLineChars="200"/>
              <w:jc w:val="left"/>
              <w:rPr>
                <w:rFonts w:ascii="宋体" w:hAnsi="宋体" w:cs="宋体"/>
                <w:color w:val="000000"/>
                <w:sz w:val="24"/>
                <w:szCs w:val="24"/>
                <w:highlight w:val="none"/>
              </w:rPr>
            </w:pPr>
            <w:r>
              <w:rPr>
                <w:rFonts w:hint="eastAsia" w:ascii="宋体" w:hAnsi="宋体" w:cs="宋体"/>
                <w:color w:val="000000"/>
                <w:sz w:val="24"/>
                <w:szCs w:val="24"/>
                <w:highlight w:val="none"/>
              </w:rPr>
              <w:t>视频分：评标委员会通过观看投标人装备样品视频讲解的方式，考评投标产品的</w:t>
            </w:r>
            <w:r>
              <w:rPr>
                <w:rFonts w:hint="eastAsia" w:ascii="宋体" w:hAnsi="宋体" w:cs="宋体"/>
                <w:color w:val="000000"/>
                <w:sz w:val="24"/>
                <w:szCs w:val="24"/>
                <w:highlight w:val="none"/>
                <w:lang w:val="en-US" w:eastAsia="zh-CN"/>
              </w:rPr>
              <w:t>①、使用材质；②、制作工艺水平；③使用功能演示；④有无操作安全隐患。</w:t>
            </w:r>
            <w:r>
              <w:rPr>
                <w:rFonts w:hint="eastAsia" w:ascii="宋体" w:hAnsi="宋体" w:cs="宋体"/>
                <w:color w:val="000000"/>
                <w:sz w:val="24"/>
                <w:szCs w:val="24"/>
                <w:highlight w:val="none"/>
              </w:rPr>
              <w:t>各项性能完备的得</w:t>
            </w:r>
            <w:r>
              <w:rPr>
                <w:rFonts w:hint="eastAsia" w:ascii="宋体" w:hAnsi="宋体" w:cs="宋体"/>
                <w:color w:val="000000"/>
                <w:sz w:val="24"/>
                <w:szCs w:val="24"/>
                <w:highlight w:val="none"/>
                <w:lang w:val="en-US" w:eastAsia="zh-CN"/>
              </w:rPr>
              <w:t>4</w:t>
            </w:r>
            <w:r>
              <w:rPr>
                <w:rFonts w:hint="eastAsia" w:ascii="宋体" w:hAnsi="宋体" w:cs="宋体"/>
                <w:color w:val="000000"/>
                <w:sz w:val="24"/>
                <w:szCs w:val="24"/>
                <w:highlight w:val="none"/>
              </w:rPr>
              <w:t>分，提供的样品视频中每有一项或一处存在瑕疵或不满足技术参数要求或不符合采购人使用需求的扣</w:t>
            </w:r>
            <w:r>
              <w:rPr>
                <w:rFonts w:hint="eastAsia" w:ascii="宋体" w:hAnsi="宋体" w:cs="宋体"/>
                <w:color w:val="000000"/>
                <w:sz w:val="24"/>
                <w:szCs w:val="24"/>
                <w:highlight w:val="none"/>
                <w:lang w:val="en-US" w:eastAsia="zh-CN"/>
              </w:rPr>
              <w:t>1</w:t>
            </w:r>
            <w:r>
              <w:rPr>
                <w:rFonts w:hint="eastAsia" w:ascii="宋体" w:hAnsi="宋体" w:cs="宋体"/>
                <w:color w:val="000000"/>
                <w:sz w:val="24"/>
                <w:szCs w:val="24"/>
                <w:highlight w:val="none"/>
              </w:rPr>
              <w:t>分，扣完为止。</w:t>
            </w:r>
          </w:p>
          <w:p>
            <w:pPr>
              <w:pStyle w:val="2"/>
              <w:rPr>
                <w:highlight w:val="none"/>
              </w:rPr>
            </w:pPr>
            <w:r>
              <w:rPr>
                <w:rFonts w:hint="eastAsia" w:ascii="Times New Roman" w:hAnsi="Times New Roman" w:eastAsia="宋体" w:cs="Times New Roman"/>
                <w:b/>
                <w:bCs/>
                <w:kern w:val="2"/>
                <w:sz w:val="24"/>
                <w:szCs w:val="24"/>
                <w:highlight w:val="none"/>
                <w:lang w:val="en-US" w:eastAsia="zh-CN" w:bidi="ar-SA"/>
              </w:rPr>
              <w:t>注：投标人须完全按照采购文件要求递交装备样品讲解视频，凡出现下列情况的得分均为0分：①无讲解视频的；②讲解视频中样品不符合文件要求的；③讲解视频中透露品牌型号的。</w:t>
            </w:r>
          </w:p>
        </w:tc>
        <w:tc>
          <w:tcPr>
            <w:tcW w:w="687" w:type="dxa"/>
            <w:tcMar>
              <w:top w:w="15" w:type="dxa"/>
              <w:left w:w="15" w:type="dxa"/>
              <w:right w:w="15" w:type="dxa"/>
            </w:tcMar>
            <w:vAlign w:val="center"/>
          </w:tcPr>
          <w:p>
            <w:pPr>
              <w:snapToGrid w:val="0"/>
              <w:spacing w:line="400" w:lineRule="exact"/>
              <w:jc w:val="center"/>
              <w:rPr>
                <w:rFonts w:ascii="宋体" w:hAnsi="宋体" w:eastAsia="宋体" w:cs="宋体"/>
                <w:sz w:val="24"/>
                <w:szCs w:val="24"/>
                <w:highlight w:val="none"/>
              </w:rPr>
            </w:pPr>
            <w:r>
              <w:rPr>
                <w:rFonts w:ascii="宋体" w:hAnsi="宋体" w:eastAsia="宋体" w:cs="宋体"/>
                <w:sz w:val="24"/>
                <w:szCs w:val="24"/>
                <w:highlight w:val="none"/>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jc w:val="center"/>
        </w:trPr>
        <w:tc>
          <w:tcPr>
            <w:tcW w:w="9109" w:type="dxa"/>
            <w:gridSpan w:val="4"/>
            <w:tcMar>
              <w:top w:w="15" w:type="dxa"/>
              <w:left w:w="15" w:type="dxa"/>
              <w:right w:w="15" w:type="dxa"/>
            </w:tcMar>
            <w:vAlign w:val="center"/>
          </w:tcPr>
          <w:p>
            <w:pPr>
              <w:widowControl/>
              <w:spacing w:line="400" w:lineRule="exact"/>
              <w:jc w:val="center"/>
              <w:textAlignment w:val="center"/>
              <w:rPr>
                <w:rFonts w:ascii="宋体" w:hAnsi="宋体" w:eastAsia="宋体" w:cs="宋体"/>
                <w:sz w:val="24"/>
                <w:szCs w:val="24"/>
                <w:highlight w:val="none"/>
              </w:rPr>
            </w:pPr>
            <w:r>
              <w:rPr>
                <w:rFonts w:hint="eastAsia" w:ascii="宋体" w:hAnsi="宋体" w:eastAsia="宋体" w:cs="宋体"/>
                <w:kern w:val="0"/>
                <w:sz w:val="24"/>
                <w:szCs w:val="24"/>
                <w:highlight w:val="none"/>
              </w:rPr>
              <w:t>合计：100分</w:t>
            </w:r>
          </w:p>
        </w:tc>
      </w:tr>
    </w:tbl>
    <w:p>
      <w:pPr>
        <w:pStyle w:val="4"/>
        <w:rPr>
          <w:rFonts w:ascii="宋体" w:hAnsi="宋体" w:eastAsia="宋体" w:cs="宋体"/>
          <w:b/>
          <w:sz w:val="24"/>
          <w:szCs w:val="24"/>
          <w:highlight w:val="none"/>
        </w:rPr>
      </w:pPr>
    </w:p>
    <w:p>
      <w:pPr>
        <w:rPr>
          <w:highlight w:val="none"/>
        </w:rPr>
      </w:pPr>
    </w:p>
    <w:p>
      <w:pPr>
        <w:pStyle w:val="4"/>
        <w:rPr>
          <w:rFonts w:hint="eastAsia" w:ascii="宋体" w:hAnsi="宋体" w:eastAsia="宋体" w:cs="宋体"/>
          <w:b/>
          <w:bCs/>
          <w:sz w:val="24"/>
          <w:szCs w:val="24"/>
          <w:highlight w:val="none"/>
        </w:rPr>
      </w:pPr>
    </w:p>
    <w:p>
      <w:pPr>
        <w:pStyle w:val="4"/>
        <w:rPr>
          <w:rFonts w:ascii="宋体" w:hAnsi="宋体" w:eastAsia="宋体" w:cs="宋体"/>
          <w:b/>
          <w:bCs/>
          <w:sz w:val="24"/>
          <w:szCs w:val="24"/>
          <w:highlight w:val="none"/>
        </w:rPr>
      </w:pPr>
      <w:r>
        <w:rPr>
          <w:rFonts w:hint="eastAsia" w:ascii="宋体" w:hAnsi="宋体" w:eastAsia="宋体" w:cs="宋体"/>
          <w:b/>
          <w:bCs/>
          <w:sz w:val="24"/>
          <w:szCs w:val="24"/>
          <w:highlight w:val="none"/>
        </w:rPr>
        <w:t>（三）政府采购政策功能落实</w:t>
      </w:r>
    </w:p>
    <w:bookmarkEnd w:id="16"/>
    <w:bookmarkEnd w:id="17"/>
    <w:bookmarkEnd w:id="18"/>
    <w:bookmarkEnd w:id="19"/>
    <w:bookmarkEnd w:id="20"/>
    <w:bookmarkEnd w:id="21"/>
    <w:bookmarkEnd w:id="31"/>
    <w:p>
      <w:pPr>
        <w:spacing w:line="400" w:lineRule="exact"/>
        <w:ind w:firstLine="480" w:firstLineChars="200"/>
        <w:rPr>
          <w:rFonts w:ascii="宋体" w:hAnsi="宋体" w:eastAsia="宋体" w:cs="宋体"/>
          <w:sz w:val="24"/>
          <w:szCs w:val="24"/>
          <w:highlight w:val="none"/>
        </w:rPr>
      </w:pPr>
      <w:bookmarkStart w:id="100" w:name="_Toc26728"/>
      <w:bookmarkStart w:id="101" w:name="_Toc12223"/>
      <w:bookmarkStart w:id="102" w:name="_Toc15450"/>
      <w:bookmarkStart w:id="103" w:name="_Toc16938590"/>
      <w:bookmarkStart w:id="104" w:name="_Toc120614244"/>
      <w:bookmarkStart w:id="105" w:name="_Toc20823346"/>
      <w:bookmarkStart w:id="106" w:name="_Toc479757211"/>
      <w:bookmarkStart w:id="107" w:name="_Hlt16619350"/>
      <w:bookmarkStart w:id="108" w:name="_Toc462564139"/>
      <w:bookmarkStart w:id="109" w:name="_Toc9411"/>
      <w:bookmarkStart w:id="110" w:name="_Toc17639"/>
      <w:bookmarkStart w:id="111" w:name="_Toc31151"/>
      <w:r>
        <w:rPr>
          <w:rFonts w:hint="eastAsia" w:ascii="宋体" w:hAnsi="宋体" w:eastAsia="宋体" w:cs="宋体"/>
          <w:sz w:val="24"/>
          <w:szCs w:val="24"/>
          <w:highlight w:val="none"/>
        </w:rPr>
        <w:t>1.小微型企业价格扣除</w:t>
      </w:r>
    </w:p>
    <w:p>
      <w:pPr>
        <w:spacing w:line="4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zh-CN"/>
        </w:rPr>
        <w:t>“第</w:t>
      </w:r>
      <w:r>
        <w:rPr>
          <w:rFonts w:hint="eastAsia" w:ascii="宋体" w:hAnsi="宋体" w:eastAsia="宋体" w:cs="宋体"/>
          <w:sz w:val="24"/>
          <w:szCs w:val="24"/>
          <w:highlight w:val="none"/>
          <w:lang w:val="en-US" w:eastAsia="zh-CN"/>
        </w:rPr>
        <w:t>十一</w:t>
      </w:r>
      <w:r>
        <w:rPr>
          <w:rFonts w:hint="eastAsia" w:ascii="宋体" w:hAnsi="宋体" w:eastAsia="宋体" w:cs="宋体"/>
          <w:sz w:val="24"/>
          <w:szCs w:val="24"/>
          <w:highlight w:val="none"/>
          <w:lang w:val="zh-CN"/>
        </w:rPr>
        <w:t>包、第</w:t>
      </w:r>
      <w:r>
        <w:rPr>
          <w:rFonts w:hint="eastAsia" w:ascii="宋体" w:hAnsi="宋体" w:eastAsia="宋体" w:cs="宋体"/>
          <w:sz w:val="24"/>
          <w:szCs w:val="24"/>
          <w:highlight w:val="none"/>
          <w:lang w:val="en-US" w:eastAsia="zh-CN"/>
        </w:rPr>
        <w:t>十二</w:t>
      </w:r>
      <w:r>
        <w:rPr>
          <w:rFonts w:hint="eastAsia" w:ascii="宋体" w:hAnsi="宋体" w:eastAsia="宋体" w:cs="宋体"/>
          <w:sz w:val="24"/>
          <w:szCs w:val="24"/>
          <w:highlight w:val="none"/>
          <w:lang w:val="zh-CN"/>
        </w:rPr>
        <w:t>包、第</w:t>
      </w:r>
      <w:r>
        <w:rPr>
          <w:rFonts w:hint="eastAsia" w:ascii="宋体" w:hAnsi="宋体" w:eastAsia="宋体" w:cs="宋体"/>
          <w:sz w:val="24"/>
          <w:szCs w:val="24"/>
          <w:highlight w:val="none"/>
          <w:lang w:val="en-US" w:eastAsia="zh-CN"/>
        </w:rPr>
        <w:t>十三</w:t>
      </w:r>
      <w:r>
        <w:rPr>
          <w:rFonts w:hint="eastAsia" w:ascii="宋体" w:hAnsi="宋体" w:eastAsia="宋体" w:cs="宋体"/>
          <w:sz w:val="24"/>
          <w:szCs w:val="24"/>
          <w:highlight w:val="none"/>
          <w:lang w:val="zh-CN"/>
        </w:rPr>
        <w:t>包、第</w:t>
      </w:r>
      <w:r>
        <w:rPr>
          <w:rFonts w:hint="eastAsia" w:ascii="宋体" w:hAnsi="宋体" w:eastAsia="宋体" w:cs="宋体"/>
          <w:sz w:val="24"/>
          <w:szCs w:val="24"/>
          <w:highlight w:val="none"/>
          <w:lang w:val="en-US" w:eastAsia="zh-CN"/>
        </w:rPr>
        <w:t>十五</w:t>
      </w:r>
      <w:r>
        <w:rPr>
          <w:rFonts w:hint="eastAsia" w:ascii="宋体" w:hAnsi="宋体" w:eastAsia="宋体" w:cs="宋体"/>
          <w:sz w:val="24"/>
          <w:szCs w:val="24"/>
          <w:highlight w:val="none"/>
          <w:lang w:val="zh-CN"/>
        </w:rPr>
        <w:t>包</w:t>
      </w:r>
      <w:r>
        <w:rPr>
          <w:rFonts w:hint="eastAsia" w:ascii="宋体" w:hAnsi="宋体" w:cs="宋体"/>
          <w:sz w:val="24"/>
          <w:szCs w:val="24"/>
          <w:highlight w:val="none"/>
          <w:lang w:val="zh-CN" w:eastAsia="zh-CN"/>
        </w:rPr>
        <w:t>、第十六包</w:t>
      </w:r>
      <w:bookmarkStart w:id="123" w:name="_GoBack"/>
      <w:bookmarkEnd w:id="123"/>
      <w:r>
        <w:rPr>
          <w:rFonts w:hint="eastAsia" w:ascii="宋体" w:hAnsi="宋体" w:eastAsia="宋体" w:cs="宋体"/>
          <w:sz w:val="24"/>
          <w:szCs w:val="24"/>
          <w:highlight w:val="none"/>
          <w:lang w:val="zh-CN"/>
        </w:rPr>
        <w:t>”专门面向中小企业采购，价格不再进行财政政策扣除；“第</w:t>
      </w:r>
      <w:r>
        <w:rPr>
          <w:rFonts w:hint="eastAsia" w:ascii="宋体" w:hAnsi="宋体" w:eastAsia="宋体" w:cs="宋体"/>
          <w:sz w:val="24"/>
          <w:szCs w:val="24"/>
          <w:highlight w:val="none"/>
          <w:lang w:val="en-US" w:eastAsia="zh-CN"/>
        </w:rPr>
        <w:t>十</w:t>
      </w:r>
      <w:r>
        <w:rPr>
          <w:rFonts w:hint="eastAsia" w:ascii="宋体" w:hAnsi="宋体" w:eastAsia="宋体" w:cs="宋体"/>
          <w:sz w:val="24"/>
          <w:szCs w:val="24"/>
          <w:highlight w:val="none"/>
          <w:lang w:val="zh-CN"/>
        </w:rPr>
        <w:t>包、第</w:t>
      </w:r>
      <w:r>
        <w:rPr>
          <w:rFonts w:hint="eastAsia" w:ascii="宋体" w:hAnsi="宋体" w:eastAsia="宋体" w:cs="宋体"/>
          <w:sz w:val="24"/>
          <w:szCs w:val="24"/>
          <w:highlight w:val="none"/>
          <w:lang w:val="en-US" w:eastAsia="zh-CN"/>
        </w:rPr>
        <w:t>十四</w:t>
      </w:r>
      <w:r>
        <w:rPr>
          <w:rFonts w:hint="eastAsia" w:ascii="宋体" w:hAnsi="宋体" w:eastAsia="宋体" w:cs="宋体"/>
          <w:sz w:val="24"/>
          <w:szCs w:val="24"/>
          <w:highlight w:val="none"/>
          <w:lang w:val="zh-CN"/>
        </w:rPr>
        <w:t>包”非专门面向中小企业采购，投标人所提供货物的制造商为小型、微型企业的，给予10%的价格扣除；</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 </w:t>
      </w:r>
    </w:p>
    <w:p>
      <w:pPr>
        <w:spacing w:line="4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cs="宋体"/>
          <w:sz w:val="24"/>
          <w:szCs w:val="24"/>
          <w:highlight w:val="none"/>
          <w:lang w:eastAsia="zh-CN"/>
        </w:rPr>
        <w:t>投标人</w:t>
      </w:r>
      <w:r>
        <w:rPr>
          <w:rFonts w:hint="eastAsia" w:ascii="宋体" w:hAnsi="宋体" w:eastAsia="宋体" w:cs="宋体"/>
          <w:sz w:val="24"/>
          <w:szCs w:val="24"/>
          <w:highlight w:val="none"/>
        </w:rPr>
        <w:t>需按照采购文件的要求提供相应的《中小企业声明函》。</w:t>
      </w:r>
    </w:p>
    <w:p>
      <w:pPr>
        <w:spacing w:line="400" w:lineRule="exact"/>
        <w:ind w:firstLine="480" w:firstLineChars="200"/>
        <w:rPr>
          <w:highlight w:val="none"/>
        </w:rPr>
      </w:pPr>
      <w:r>
        <w:rPr>
          <w:rFonts w:hint="eastAsia" w:ascii="宋体" w:hAnsi="宋体" w:eastAsia="宋体" w:cs="宋体"/>
          <w:sz w:val="24"/>
          <w:szCs w:val="24"/>
          <w:highlight w:val="none"/>
        </w:rPr>
        <w:t>（3）企业标准请参照关于印发《政府采购促进中小企业发展管理办法》的通知（财库[2020]46号）文件规定自行填写。</w:t>
      </w:r>
    </w:p>
    <w:p>
      <w:pPr>
        <w:spacing w:line="4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2.残疾人福利单位价格扣除</w:t>
      </w:r>
    </w:p>
    <w:p>
      <w:pPr>
        <w:spacing w:line="4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（1）本项目</w:t>
      </w:r>
      <w:r>
        <w:rPr>
          <w:rFonts w:hint="eastAsia" w:ascii="宋体" w:hAnsi="宋体" w:eastAsia="宋体" w:cs="宋体"/>
          <w:sz w:val="24"/>
          <w:szCs w:val="24"/>
          <w:highlight w:val="none"/>
          <w:lang w:val="zh-CN"/>
        </w:rPr>
        <w:t>“第</w:t>
      </w:r>
      <w:r>
        <w:rPr>
          <w:rFonts w:hint="eastAsia" w:ascii="宋体" w:hAnsi="宋体" w:eastAsia="宋体" w:cs="宋体"/>
          <w:sz w:val="24"/>
          <w:szCs w:val="24"/>
          <w:highlight w:val="none"/>
          <w:lang w:val="en-US" w:eastAsia="zh-CN"/>
        </w:rPr>
        <w:t>十</w:t>
      </w:r>
      <w:r>
        <w:rPr>
          <w:rFonts w:hint="eastAsia" w:ascii="宋体" w:hAnsi="宋体" w:eastAsia="宋体" w:cs="宋体"/>
          <w:sz w:val="24"/>
          <w:szCs w:val="24"/>
          <w:highlight w:val="none"/>
          <w:lang w:val="zh-CN"/>
        </w:rPr>
        <w:t>包、第</w:t>
      </w:r>
      <w:r>
        <w:rPr>
          <w:rFonts w:hint="eastAsia" w:ascii="宋体" w:hAnsi="宋体" w:eastAsia="宋体" w:cs="宋体"/>
          <w:sz w:val="24"/>
          <w:szCs w:val="24"/>
          <w:highlight w:val="none"/>
          <w:lang w:val="en-US" w:eastAsia="zh-CN"/>
        </w:rPr>
        <w:t>十四</w:t>
      </w:r>
      <w:r>
        <w:rPr>
          <w:rFonts w:hint="eastAsia" w:ascii="宋体" w:hAnsi="宋体" w:eastAsia="宋体" w:cs="宋体"/>
          <w:sz w:val="24"/>
          <w:szCs w:val="24"/>
          <w:highlight w:val="none"/>
          <w:lang w:val="zh-CN"/>
        </w:rPr>
        <w:t>包”</w:t>
      </w:r>
      <w:r>
        <w:rPr>
          <w:rFonts w:hint="eastAsia" w:ascii="宋体" w:hAnsi="宋体" w:eastAsia="宋体" w:cs="宋体"/>
          <w:sz w:val="24"/>
          <w:szCs w:val="24"/>
          <w:highlight w:val="none"/>
        </w:rPr>
        <w:t>对残疾人福利性单位视同小型、微型企业，给予10%的价格扣除，用扣除后的价格参与评审。</w:t>
      </w:r>
    </w:p>
    <w:p>
      <w:pPr>
        <w:spacing w:line="4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（2）残疾人福利单位需按照采购文件的要求提供《残疾人福利性单位声明函》。</w:t>
      </w:r>
    </w:p>
    <w:p>
      <w:pPr>
        <w:spacing w:line="400" w:lineRule="exact"/>
        <w:ind w:firstLine="480" w:firstLineChars="200"/>
        <w:rPr>
          <w:rFonts w:ascii="宋体" w:hAnsi="宋体" w:cs="宋体"/>
          <w:sz w:val="24"/>
          <w:szCs w:val="24"/>
          <w:highlight w:val="none"/>
        </w:rPr>
      </w:pPr>
      <w:r>
        <w:rPr>
          <w:rFonts w:hint="eastAsia" w:ascii="宋体" w:hAnsi="宋体" w:eastAsia="宋体" w:cs="宋体"/>
          <w:sz w:val="24"/>
          <w:szCs w:val="24"/>
          <w:highlight w:val="none"/>
        </w:rPr>
        <w:t>（3）残疾人福利单位标准请参照《</w:t>
      </w:r>
      <w:r>
        <w:rPr>
          <w:rFonts w:hint="eastAsia" w:ascii="宋体" w:hAnsi="宋体" w:cs="宋体"/>
          <w:sz w:val="24"/>
          <w:szCs w:val="24"/>
          <w:highlight w:val="none"/>
        </w:rPr>
        <w:t>关于促进残疾人就业政府采购政策的通知</w:t>
      </w:r>
      <w:r>
        <w:rPr>
          <w:rFonts w:hint="eastAsia" w:ascii="宋体" w:hAnsi="宋体" w:eastAsia="宋体" w:cs="宋体"/>
          <w:sz w:val="24"/>
          <w:szCs w:val="24"/>
          <w:highlight w:val="none"/>
        </w:rPr>
        <w:t>》（财库[2017]141号）。</w:t>
      </w:r>
    </w:p>
    <w:p>
      <w:pPr>
        <w:spacing w:line="4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3.监狱和戒毒企业价格扣除</w:t>
      </w:r>
    </w:p>
    <w:p>
      <w:pPr>
        <w:spacing w:line="4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（1）本项目</w:t>
      </w:r>
      <w:r>
        <w:rPr>
          <w:rFonts w:hint="eastAsia" w:ascii="宋体" w:hAnsi="宋体" w:eastAsia="宋体" w:cs="宋体"/>
          <w:sz w:val="24"/>
          <w:szCs w:val="24"/>
          <w:highlight w:val="none"/>
          <w:lang w:val="zh-CN"/>
        </w:rPr>
        <w:t>“第</w:t>
      </w:r>
      <w:r>
        <w:rPr>
          <w:rFonts w:hint="eastAsia" w:ascii="宋体" w:hAnsi="宋体" w:eastAsia="宋体" w:cs="宋体"/>
          <w:sz w:val="24"/>
          <w:szCs w:val="24"/>
          <w:highlight w:val="none"/>
          <w:lang w:val="en-US" w:eastAsia="zh-CN"/>
        </w:rPr>
        <w:t>十</w:t>
      </w:r>
      <w:r>
        <w:rPr>
          <w:rFonts w:hint="eastAsia" w:ascii="宋体" w:hAnsi="宋体" w:eastAsia="宋体" w:cs="宋体"/>
          <w:sz w:val="24"/>
          <w:szCs w:val="24"/>
          <w:highlight w:val="none"/>
          <w:lang w:val="zh-CN"/>
        </w:rPr>
        <w:t>包、第</w:t>
      </w:r>
      <w:r>
        <w:rPr>
          <w:rFonts w:hint="eastAsia" w:ascii="宋体" w:hAnsi="宋体" w:eastAsia="宋体" w:cs="宋体"/>
          <w:sz w:val="24"/>
          <w:szCs w:val="24"/>
          <w:highlight w:val="none"/>
          <w:lang w:val="en-US" w:eastAsia="zh-CN"/>
        </w:rPr>
        <w:t>十四</w:t>
      </w:r>
      <w:r>
        <w:rPr>
          <w:rFonts w:hint="eastAsia" w:ascii="宋体" w:hAnsi="宋体" w:eastAsia="宋体" w:cs="宋体"/>
          <w:sz w:val="24"/>
          <w:szCs w:val="24"/>
          <w:highlight w:val="none"/>
          <w:lang w:val="zh-CN"/>
        </w:rPr>
        <w:t>包”</w:t>
      </w:r>
      <w:r>
        <w:rPr>
          <w:rFonts w:hint="eastAsia" w:ascii="宋体" w:hAnsi="宋体" w:eastAsia="宋体" w:cs="宋体"/>
          <w:sz w:val="24"/>
          <w:szCs w:val="24"/>
          <w:highlight w:val="none"/>
        </w:rPr>
        <w:t>对监狱和戒毒企业（简称监狱企业）视同小型、微型企业，给予10%的价格扣除，用扣除后的价格参与评审。</w:t>
      </w:r>
    </w:p>
    <w:p>
      <w:pPr>
        <w:spacing w:line="4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（2）监狱企业参加政府采购活动时，需提供由省级以上监狱管理局、戒毒管理局(含新疆生产建设兵团)出具的属于监狱企业的证明文件。</w:t>
      </w:r>
      <w:r>
        <w:rPr>
          <w:rFonts w:hint="eastAsia" w:ascii="宋体" w:hAnsi="宋体" w:cs="宋体"/>
          <w:sz w:val="24"/>
          <w:szCs w:val="24"/>
          <w:highlight w:val="none"/>
          <w:lang w:eastAsia="zh-CN"/>
        </w:rPr>
        <w:t>投标人</w:t>
      </w:r>
      <w:r>
        <w:rPr>
          <w:rFonts w:hint="eastAsia" w:ascii="宋体" w:hAnsi="宋体" w:eastAsia="宋体" w:cs="宋体"/>
          <w:sz w:val="24"/>
          <w:szCs w:val="24"/>
          <w:highlight w:val="none"/>
        </w:rPr>
        <w:t>如不提供上述证明文件，价格将不做相应扣除。</w:t>
      </w:r>
    </w:p>
    <w:p>
      <w:pPr>
        <w:spacing w:line="4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（3）监狱企业标准请参照《财政部、司法部关于政府采购支持监狱企业发展有关问题的通知》（财库[2014]68号）。</w:t>
      </w:r>
    </w:p>
    <w:p>
      <w:pPr>
        <w:spacing w:line="4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4.残疾人福利单位、监狱企业属于小型、微型企业的，不重复享受政策。</w:t>
      </w:r>
    </w:p>
    <w:p>
      <w:pPr>
        <w:pStyle w:val="30"/>
        <w:rPr>
          <w:highlight w:val="none"/>
        </w:rPr>
      </w:pPr>
    </w:p>
    <w:p>
      <w:pPr>
        <w:pStyle w:val="30"/>
        <w:rPr>
          <w:highlight w:val="none"/>
        </w:rPr>
      </w:pPr>
    </w:p>
    <w:p>
      <w:pPr>
        <w:pStyle w:val="30"/>
        <w:rPr>
          <w:highlight w:val="none"/>
        </w:rPr>
      </w:pPr>
    </w:p>
    <w:p>
      <w:pPr>
        <w:pStyle w:val="30"/>
        <w:rPr>
          <w:highlight w:val="none"/>
        </w:rPr>
      </w:pPr>
    </w:p>
    <w:p>
      <w:pPr>
        <w:pStyle w:val="30"/>
        <w:rPr>
          <w:highlight w:val="none"/>
        </w:rPr>
      </w:pPr>
    </w:p>
    <w:p>
      <w:pPr>
        <w:pStyle w:val="30"/>
        <w:rPr>
          <w:highlight w:val="none"/>
        </w:rPr>
      </w:pPr>
    </w:p>
    <w:p>
      <w:pPr>
        <w:pStyle w:val="30"/>
        <w:rPr>
          <w:highlight w:val="none"/>
        </w:rPr>
      </w:pPr>
    </w:p>
    <w:p>
      <w:pPr>
        <w:pStyle w:val="30"/>
        <w:rPr>
          <w:highlight w:val="none"/>
        </w:rPr>
      </w:pPr>
    </w:p>
    <w:p>
      <w:pPr>
        <w:pStyle w:val="30"/>
        <w:rPr>
          <w:highlight w:val="none"/>
        </w:rPr>
      </w:pPr>
    </w:p>
    <w:p>
      <w:pPr>
        <w:pStyle w:val="30"/>
        <w:rPr>
          <w:highlight w:val="none"/>
        </w:rPr>
      </w:pPr>
    </w:p>
    <w:p>
      <w:pPr>
        <w:pStyle w:val="30"/>
        <w:rPr>
          <w:highlight w:val="none"/>
        </w:rPr>
      </w:pPr>
    </w:p>
    <w:p>
      <w:pPr>
        <w:pStyle w:val="30"/>
        <w:rPr>
          <w:highlight w:val="none"/>
        </w:rPr>
      </w:pPr>
    </w:p>
    <w:p>
      <w:pPr>
        <w:pStyle w:val="30"/>
        <w:rPr>
          <w:highlight w:val="none"/>
        </w:rPr>
      </w:pPr>
    </w:p>
    <w:p>
      <w:pPr>
        <w:pStyle w:val="30"/>
        <w:rPr>
          <w:highlight w:val="none"/>
        </w:rPr>
      </w:pPr>
    </w:p>
    <w:p>
      <w:pPr>
        <w:pStyle w:val="30"/>
        <w:rPr>
          <w:highlight w:val="none"/>
        </w:rPr>
      </w:pPr>
    </w:p>
    <w:p>
      <w:pPr>
        <w:pStyle w:val="30"/>
        <w:rPr>
          <w:highlight w:val="none"/>
        </w:rPr>
      </w:pPr>
    </w:p>
    <w:p>
      <w:pPr>
        <w:pStyle w:val="30"/>
        <w:rPr>
          <w:highlight w:val="none"/>
        </w:rPr>
      </w:pPr>
    </w:p>
    <w:p>
      <w:pPr>
        <w:pStyle w:val="30"/>
        <w:rPr>
          <w:highlight w:val="none"/>
        </w:rPr>
      </w:pPr>
    </w:p>
    <w:p>
      <w:pPr>
        <w:pStyle w:val="30"/>
        <w:rPr>
          <w:highlight w:val="none"/>
        </w:rPr>
      </w:pPr>
    </w:p>
    <w:p>
      <w:pPr>
        <w:pStyle w:val="3"/>
        <w:rPr>
          <w:highlight w:val="none"/>
        </w:rPr>
      </w:pPr>
      <w:r>
        <w:rPr>
          <w:rFonts w:hint="eastAsia"/>
          <w:highlight w:val="none"/>
        </w:rPr>
        <w:t>第四章拟订立的合同样本</w:t>
      </w:r>
      <w:bookmarkEnd w:id="100"/>
      <w:bookmarkEnd w:id="101"/>
      <w:bookmarkEnd w:id="102"/>
    </w:p>
    <w:p>
      <w:pPr>
        <w:pStyle w:val="4"/>
        <w:rPr>
          <w:highlight w:val="none"/>
        </w:rPr>
      </w:pPr>
    </w:p>
    <w:p>
      <w:pPr>
        <w:rPr>
          <w:highlight w:val="none"/>
        </w:rPr>
      </w:pPr>
    </w:p>
    <w:p>
      <w:pPr>
        <w:pStyle w:val="30"/>
        <w:rPr>
          <w:highlight w:val="none"/>
        </w:rPr>
      </w:pPr>
    </w:p>
    <w:p>
      <w:pPr>
        <w:pStyle w:val="30"/>
        <w:rPr>
          <w:highlight w:val="none"/>
        </w:rPr>
      </w:pPr>
    </w:p>
    <w:p>
      <w:pPr>
        <w:pStyle w:val="30"/>
        <w:rPr>
          <w:highlight w:val="none"/>
        </w:rPr>
      </w:pPr>
    </w:p>
    <w:p>
      <w:pPr>
        <w:pStyle w:val="30"/>
        <w:rPr>
          <w:highlight w:val="none"/>
        </w:rPr>
      </w:pPr>
    </w:p>
    <w:p>
      <w:pPr>
        <w:pStyle w:val="30"/>
        <w:rPr>
          <w:highlight w:val="none"/>
        </w:rPr>
      </w:pPr>
    </w:p>
    <w:p>
      <w:pPr>
        <w:pStyle w:val="30"/>
        <w:rPr>
          <w:highlight w:val="none"/>
        </w:rPr>
      </w:pPr>
    </w:p>
    <w:p>
      <w:pPr>
        <w:pStyle w:val="4"/>
        <w:ind w:firstLine="0"/>
        <w:rPr>
          <w:highlight w:val="none"/>
        </w:rPr>
      </w:pPr>
    </w:p>
    <w:bookmarkEnd w:id="103"/>
    <w:bookmarkEnd w:id="104"/>
    <w:bookmarkEnd w:id="105"/>
    <w:bookmarkEnd w:id="106"/>
    <w:bookmarkEnd w:id="107"/>
    <w:bookmarkEnd w:id="108"/>
    <w:p>
      <w:pPr>
        <w:adjustRightInd w:val="0"/>
        <w:snapToGrid w:val="0"/>
        <w:spacing w:line="360" w:lineRule="auto"/>
        <w:jc w:val="center"/>
        <w:rPr>
          <w:rFonts w:hAnsi="宋体"/>
          <w:b/>
          <w:bCs/>
          <w:sz w:val="44"/>
          <w:szCs w:val="44"/>
          <w:highlight w:val="none"/>
        </w:rPr>
      </w:pPr>
      <w:bookmarkStart w:id="112" w:name="_Toc9510642"/>
      <w:r>
        <w:rPr>
          <w:rFonts w:hint="eastAsia" w:hAnsi="宋体"/>
          <w:b/>
          <w:bCs/>
          <w:sz w:val="44"/>
          <w:szCs w:val="44"/>
          <w:highlight w:val="none"/>
        </w:rPr>
        <w:t>**项目合同</w:t>
      </w:r>
    </w:p>
    <w:p>
      <w:pPr>
        <w:rPr>
          <w:highlight w:val="none"/>
        </w:rPr>
      </w:pPr>
    </w:p>
    <w:p>
      <w:pPr>
        <w:pStyle w:val="15"/>
        <w:rPr>
          <w:highlight w:val="none"/>
        </w:rPr>
      </w:pPr>
    </w:p>
    <w:p>
      <w:pPr>
        <w:pStyle w:val="4"/>
        <w:ind w:firstLine="0"/>
        <w:jc w:val="center"/>
        <w:rPr>
          <w:rFonts w:ascii="宋体" w:hAnsi="宋体" w:cs="宋体"/>
          <w:sz w:val="24"/>
          <w:szCs w:val="24"/>
          <w:highlight w:val="none"/>
        </w:rPr>
      </w:pPr>
      <w:r>
        <w:rPr>
          <w:rFonts w:hint="eastAsia" w:ascii="宋体" w:hAnsi="宋体" w:cs="宋体"/>
          <w:sz w:val="24"/>
          <w:szCs w:val="24"/>
          <w:highlight w:val="none"/>
        </w:rPr>
        <w:t>本合同仅供参考，最终以与采购人实际签订合同为准</w:t>
      </w:r>
    </w:p>
    <w:p>
      <w:pPr>
        <w:pStyle w:val="15"/>
        <w:rPr>
          <w:highlight w:val="none"/>
        </w:rPr>
      </w:pPr>
    </w:p>
    <w:p>
      <w:pPr>
        <w:pStyle w:val="15"/>
        <w:rPr>
          <w:highlight w:val="none"/>
        </w:rPr>
      </w:pPr>
    </w:p>
    <w:p>
      <w:pPr>
        <w:pStyle w:val="15"/>
        <w:rPr>
          <w:highlight w:val="none"/>
        </w:rPr>
      </w:pPr>
    </w:p>
    <w:p>
      <w:pPr>
        <w:snapToGrid w:val="0"/>
        <w:spacing w:line="400" w:lineRule="exact"/>
        <w:rPr>
          <w:rFonts w:ascii="宋体" w:hAnsi="宋体"/>
          <w:sz w:val="24"/>
          <w:highlight w:val="none"/>
          <w:u w:val="single"/>
        </w:rPr>
      </w:pPr>
      <w:r>
        <w:rPr>
          <w:rFonts w:hint="eastAsia" w:ascii="宋体" w:hAnsi="宋体"/>
          <w:sz w:val="24"/>
          <w:highlight w:val="none"/>
        </w:rPr>
        <w:t>买方（甲方）：</w:t>
      </w:r>
    </w:p>
    <w:p>
      <w:pPr>
        <w:snapToGrid w:val="0"/>
        <w:spacing w:line="400" w:lineRule="exact"/>
        <w:rPr>
          <w:rFonts w:ascii="宋体" w:hAnsi="宋体"/>
          <w:sz w:val="24"/>
          <w:highlight w:val="none"/>
        </w:rPr>
      </w:pPr>
      <w:r>
        <w:rPr>
          <w:rFonts w:hint="eastAsia" w:ascii="宋体" w:hAnsi="宋体"/>
          <w:sz w:val="24"/>
          <w:highlight w:val="none"/>
        </w:rPr>
        <w:t>地址：</w:t>
      </w:r>
    </w:p>
    <w:p>
      <w:pPr>
        <w:snapToGrid w:val="0"/>
        <w:spacing w:line="400" w:lineRule="exact"/>
        <w:rPr>
          <w:rFonts w:ascii="宋体" w:hAnsi="宋体"/>
          <w:sz w:val="24"/>
          <w:highlight w:val="none"/>
        </w:rPr>
      </w:pPr>
      <w:r>
        <w:rPr>
          <w:rFonts w:hint="eastAsia" w:ascii="宋体" w:hAnsi="宋体"/>
          <w:sz w:val="24"/>
          <w:highlight w:val="none"/>
        </w:rPr>
        <w:t>指定联系人：              联系电话：                  联系邮箱：</w:t>
      </w:r>
    </w:p>
    <w:p>
      <w:pPr>
        <w:snapToGrid w:val="0"/>
        <w:spacing w:line="400" w:lineRule="exact"/>
        <w:rPr>
          <w:rFonts w:ascii="宋体" w:hAnsi="宋体"/>
          <w:sz w:val="24"/>
          <w:highlight w:val="none"/>
          <w:u w:val="single"/>
        </w:rPr>
      </w:pPr>
      <w:r>
        <w:rPr>
          <w:rFonts w:hint="eastAsia" w:ascii="宋体" w:hAnsi="宋体"/>
          <w:sz w:val="24"/>
          <w:highlight w:val="none"/>
        </w:rPr>
        <w:t>卖方（乙方）：</w:t>
      </w:r>
    </w:p>
    <w:p>
      <w:pPr>
        <w:snapToGrid w:val="0"/>
        <w:spacing w:line="400" w:lineRule="exact"/>
        <w:rPr>
          <w:rFonts w:ascii="宋体" w:hAnsi="宋体"/>
          <w:sz w:val="24"/>
          <w:highlight w:val="none"/>
        </w:rPr>
      </w:pPr>
      <w:r>
        <w:rPr>
          <w:rFonts w:hint="eastAsia" w:ascii="宋体" w:hAnsi="宋体"/>
          <w:sz w:val="24"/>
          <w:highlight w:val="none"/>
        </w:rPr>
        <w:t>法定代表人：</w:t>
      </w:r>
    </w:p>
    <w:p>
      <w:pPr>
        <w:snapToGrid w:val="0"/>
        <w:spacing w:line="400" w:lineRule="exact"/>
        <w:rPr>
          <w:rFonts w:ascii="宋体" w:hAnsi="宋体"/>
          <w:sz w:val="24"/>
          <w:highlight w:val="none"/>
        </w:rPr>
      </w:pPr>
      <w:r>
        <w:rPr>
          <w:rFonts w:hint="eastAsia" w:ascii="宋体" w:hAnsi="宋体"/>
          <w:sz w:val="24"/>
          <w:highlight w:val="none"/>
        </w:rPr>
        <w:t>地址：</w:t>
      </w:r>
    </w:p>
    <w:p>
      <w:pPr>
        <w:snapToGrid w:val="0"/>
        <w:spacing w:line="400" w:lineRule="exact"/>
        <w:rPr>
          <w:rFonts w:ascii="宋体" w:hAnsi="宋体"/>
          <w:sz w:val="24"/>
          <w:highlight w:val="none"/>
        </w:rPr>
      </w:pPr>
      <w:r>
        <w:rPr>
          <w:rFonts w:hint="eastAsia" w:ascii="宋体" w:hAnsi="宋体"/>
          <w:sz w:val="24"/>
          <w:highlight w:val="none"/>
        </w:rPr>
        <w:t>指定联系人：              联系电话：                  联系邮箱：</w:t>
      </w:r>
    </w:p>
    <w:p>
      <w:pPr>
        <w:pStyle w:val="15"/>
        <w:rPr>
          <w:highlight w:val="none"/>
        </w:rPr>
      </w:pPr>
    </w:p>
    <w:p>
      <w:pPr>
        <w:pStyle w:val="15"/>
        <w:rPr>
          <w:highlight w:val="none"/>
        </w:rPr>
      </w:pPr>
    </w:p>
    <w:p>
      <w:pPr>
        <w:pStyle w:val="34"/>
        <w:snapToGrid w:val="0"/>
        <w:spacing w:before="0" w:beforeAutospacing="0" w:after="0" w:afterAutospacing="0" w:line="400" w:lineRule="exact"/>
        <w:ind w:firstLine="420"/>
        <w:rPr>
          <w:b/>
          <w:bCs/>
          <w:highlight w:val="none"/>
          <w:u w:val="single"/>
        </w:rPr>
      </w:pPr>
      <w:r>
        <w:rPr>
          <w:rFonts w:hint="eastAsia"/>
          <w:highlight w:val="none"/>
        </w:rPr>
        <w:t>买、卖双方本着公平自愿、平等互利、协商一致的原则，就</w:t>
      </w:r>
      <w:r>
        <w:rPr>
          <w:rFonts w:hint="eastAsia"/>
          <w:b/>
          <w:bCs/>
          <w:highlight w:val="none"/>
          <w:u w:val="single"/>
        </w:rPr>
        <w:t>项目第  包</w:t>
      </w:r>
      <w:r>
        <w:rPr>
          <w:rFonts w:hint="eastAsia"/>
          <w:highlight w:val="none"/>
        </w:rPr>
        <w:t>签订本合同，双方信守执行。</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合同文本组成及解释顺序：</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第一章：合同协议书</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第二章：合同基本条款</w:t>
      </w:r>
    </w:p>
    <w:p>
      <w:pPr>
        <w:widowControl/>
        <w:snapToGrid w:val="0"/>
        <w:spacing w:line="400" w:lineRule="exact"/>
        <w:rPr>
          <w:rFonts w:ascii="宋体" w:hAnsi="宋体"/>
          <w:sz w:val="24"/>
          <w:highlight w:val="none"/>
        </w:rPr>
      </w:pPr>
      <w:r>
        <w:rPr>
          <w:rFonts w:ascii="宋体" w:hAnsi="宋体"/>
          <w:b/>
          <w:bCs/>
          <w:sz w:val="36"/>
          <w:szCs w:val="36"/>
          <w:highlight w:val="none"/>
        </w:rPr>
        <w:br w:type="page"/>
      </w:r>
      <w:r>
        <w:rPr>
          <w:rFonts w:hint="eastAsia" w:ascii="宋体" w:hAnsi="宋体"/>
          <w:b/>
          <w:bCs/>
          <w:sz w:val="36"/>
          <w:szCs w:val="36"/>
          <w:highlight w:val="none"/>
        </w:rPr>
        <w:t>一、  合同协议书</w:t>
      </w:r>
    </w:p>
    <w:p>
      <w:pPr>
        <w:tabs>
          <w:tab w:val="left" w:pos="5940"/>
        </w:tabs>
        <w:snapToGrid w:val="0"/>
        <w:spacing w:line="400" w:lineRule="exact"/>
        <w:ind w:firstLine="480" w:firstLineChars="200"/>
        <w:rPr>
          <w:rFonts w:ascii="宋体" w:hAnsi="宋体"/>
          <w:sz w:val="24"/>
          <w:highlight w:val="none"/>
        </w:rPr>
      </w:pPr>
    </w:p>
    <w:p>
      <w:pPr>
        <w:tabs>
          <w:tab w:val="left" w:pos="5940"/>
        </w:tabs>
        <w:snapToGrid w:val="0"/>
        <w:spacing w:line="400" w:lineRule="exact"/>
        <w:ind w:firstLine="480" w:firstLineChars="200"/>
        <w:rPr>
          <w:rFonts w:ascii="宋体" w:hAnsi="宋体"/>
          <w:sz w:val="24"/>
          <w:highlight w:val="none"/>
        </w:rPr>
      </w:pPr>
      <w:r>
        <w:rPr>
          <w:rFonts w:hint="eastAsia" w:ascii="宋体" w:hAnsi="宋体"/>
          <w:sz w:val="24"/>
          <w:highlight w:val="none"/>
        </w:rPr>
        <w:t>1.  商品名称、规格、型号、单位、数量、单价、金额详见清单。</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单位：人民币：元</w:t>
      </w:r>
    </w:p>
    <w:tbl>
      <w:tblPr>
        <w:tblStyle w:val="38"/>
        <w:tblpPr w:leftFromText="180" w:rightFromText="180" w:vertAnchor="text" w:horzAnchor="page" w:tblpX="1464" w:tblpY="456"/>
        <w:tblOverlap w:val="never"/>
        <w:tblW w:w="9357" w:type="dxa"/>
        <w:tblInd w:w="0" w:type="dxa"/>
        <w:tblLayout w:type="fixed"/>
        <w:tblCellMar>
          <w:top w:w="0" w:type="dxa"/>
          <w:left w:w="108" w:type="dxa"/>
          <w:bottom w:w="0" w:type="dxa"/>
          <w:right w:w="108" w:type="dxa"/>
        </w:tblCellMar>
      </w:tblPr>
      <w:tblGrid>
        <w:gridCol w:w="993"/>
        <w:gridCol w:w="992"/>
        <w:gridCol w:w="709"/>
        <w:gridCol w:w="709"/>
        <w:gridCol w:w="1004"/>
        <w:gridCol w:w="1116"/>
        <w:gridCol w:w="850"/>
        <w:gridCol w:w="992"/>
        <w:gridCol w:w="999"/>
        <w:gridCol w:w="993"/>
      </w:tblGrid>
      <w:tr>
        <w:tblPrEx>
          <w:tblCellMar>
            <w:top w:w="0" w:type="dxa"/>
            <w:left w:w="108" w:type="dxa"/>
            <w:bottom w:w="0" w:type="dxa"/>
            <w:right w:w="108" w:type="dxa"/>
          </w:tblCellMar>
        </w:tblPrEx>
        <w:trPr>
          <w:trHeight w:val="640" w:hRule="atLeast"/>
        </w:trPr>
        <w:tc>
          <w:tcPr>
            <w:tcW w:w="993" w:type="dxa"/>
            <w:tcBorders>
              <w:top w:val="single" w:color="auto" w:sz="4" w:space="0"/>
              <w:left w:val="single" w:color="auto" w:sz="4" w:space="0"/>
              <w:bottom w:val="single" w:color="auto" w:sz="4" w:space="0"/>
              <w:right w:val="single" w:color="auto" w:sz="4" w:space="0"/>
            </w:tcBorders>
            <w:noWrap/>
            <w:vAlign w:val="center"/>
          </w:tcPr>
          <w:p>
            <w:pPr>
              <w:widowControl/>
              <w:snapToGrid w:val="0"/>
              <w:spacing w:line="400" w:lineRule="exact"/>
              <w:rPr>
                <w:rFonts w:ascii="宋体" w:hAnsi="宋体" w:cs="宋体"/>
                <w:kern w:val="0"/>
                <w:sz w:val="22"/>
                <w:szCs w:val="22"/>
                <w:highlight w:val="none"/>
              </w:rPr>
            </w:pPr>
            <w:r>
              <w:rPr>
                <w:rFonts w:hint="eastAsia" w:ascii="宋体" w:hAnsi="宋体" w:cs="宋体"/>
                <w:kern w:val="0"/>
                <w:sz w:val="22"/>
                <w:szCs w:val="22"/>
                <w:highlight w:val="none"/>
              </w:rPr>
              <w:t>器材名称</w:t>
            </w:r>
          </w:p>
        </w:tc>
        <w:tc>
          <w:tcPr>
            <w:tcW w:w="992"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highlight w:val="none"/>
              </w:rPr>
            </w:pPr>
            <w:r>
              <w:rPr>
                <w:rFonts w:hint="eastAsia" w:ascii="宋体" w:hAnsi="宋体" w:cs="宋体"/>
                <w:kern w:val="0"/>
                <w:sz w:val="22"/>
                <w:szCs w:val="22"/>
                <w:highlight w:val="none"/>
              </w:rPr>
              <w:t>品名/型号</w:t>
            </w:r>
          </w:p>
        </w:tc>
        <w:tc>
          <w:tcPr>
            <w:tcW w:w="709"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highlight w:val="none"/>
              </w:rPr>
            </w:pPr>
            <w:r>
              <w:rPr>
                <w:rFonts w:hint="eastAsia" w:ascii="宋体" w:hAnsi="宋体" w:cs="宋体"/>
                <w:kern w:val="0"/>
                <w:sz w:val="22"/>
                <w:szCs w:val="22"/>
                <w:highlight w:val="none"/>
              </w:rPr>
              <w:t>产地</w:t>
            </w:r>
          </w:p>
        </w:tc>
        <w:tc>
          <w:tcPr>
            <w:tcW w:w="709"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highlight w:val="none"/>
              </w:rPr>
            </w:pPr>
            <w:r>
              <w:rPr>
                <w:rFonts w:hint="eastAsia" w:ascii="宋体" w:hAnsi="宋体" w:cs="宋体"/>
                <w:kern w:val="0"/>
                <w:sz w:val="22"/>
                <w:szCs w:val="22"/>
                <w:highlight w:val="none"/>
              </w:rPr>
              <w:t>生产商</w:t>
            </w:r>
          </w:p>
        </w:tc>
        <w:tc>
          <w:tcPr>
            <w:tcW w:w="1004"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highlight w:val="none"/>
              </w:rPr>
            </w:pPr>
            <w:r>
              <w:rPr>
                <w:rFonts w:hint="eastAsia" w:ascii="宋体" w:hAnsi="宋体" w:cs="宋体"/>
                <w:kern w:val="0"/>
                <w:sz w:val="22"/>
                <w:szCs w:val="22"/>
                <w:highlight w:val="none"/>
              </w:rPr>
              <w:t>单价（元/台）</w:t>
            </w:r>
          </w:p>
        </w:tc>
        <w:tc>
          <w:tcPr>
            <w:tcW w:w="1116"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highlight w:val="none"/>
              </w:rPr>
            </w:pPr>
            <w:r>
              <w:rPr>
                <w:rFonts w:hint="eastAsia" w:ascii="宋体" w:hAnsi="宋体" w:cs="宋体"/>
                <w:kern w:val="0"/>
                <w:sz w:val="22"/>
                <w:szCs w:val="22"/>
                <w:highlight w:val="none"/>
              </w:rPr>
              <w:t>数量（台）</w:t>
            </w:r>
          </w:p>
        </w:tc>
        <w:tc>
          <w:tcPr>
            <w:tcW w:w="850"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highlight w:val="none"/>
              </w:rPr>
            </w:pPr>
            <w:r>
              <w:rPr>
                <w:rFonts w:hint="eastAsia" w:ascii="宋体" w:hAnsi="宋体" w:cs="宋体"/>
                <w:kern w:val="0"/>
                <w:sz w:val="22"/>
                <w:szCs w:val="22"/>
                <w:highlight w:val="none"/>
              </w:rPr>
              <w:t>小计</w:t>
            </w:r>
          </w:p>
        </w:tc>
        <w:tc>
          <w:tcPr>
            <w:tcW w:w="992"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highlight w:val="none"/>
              </w:rPr>
            </w:pPr>
            <w:r>
              <w:rPr>
                <w:rFonts w:hint="eastAsia" w:ascii="宋体" w:hAnsi="宋体" w:cs="宋体"/>
                <w:kern w:val="0"/>
                <w:sz w:val="22"/>
                <w:szCs w:val="22"/>
                <w:highlight w:val="none"/>
              </w:rPr>
              <w:t>总报价</w:t>
            </w:r>
          </w:p>
        </w:tc>
        <w:tc>
          <w:tcPr>
            <w:tcW w:w="999"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highlight w:val="none"/>
              </w:rPr>
            </w:pPr>
            <w:r>
              <w:rPr>
                <w:rFonts w:hint="eastAsia" w:ascii="宋体" w:hAnsi="宋体" w:cs="宋体"/>
                <w:kern w:val="0"/>
                <w:sz w:val="22"/>
                <w:szCs w:val="22"/>
                <w:highlight w:val="none"/>
              </w:rPr>
              <w:t>中标总价</w:t>
            </w:r>
          </w:p>
        </w:tc>
        <w:tc>
          <w:tcPr>
            <w:tcW w:w="993"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highlight w:val="none"/>
              </w:rPr>
            </w:pPr>
            <w:r>
              <w:rPr>
                <w:rFonts w:hint="eastAsia" w:ascii="宋体" w:hAnsi="宋体" w:cs="宋体"/>
                <w:kern w:val="0"/>
                <w:sz w:val="22"/>
                <w:szCs w:val="22"/>
                <w:highlight w:val="none"/>
              </w:rPr>
              <w:t xml:space="preserve">履约保证金 </w:t>
            </w:r>
          </w:p>
        </w:tc>
      </w:tr>
      <w:tr>
        <w:tblPrEx>
          <w:tblCellMar>
            <w:top w:w="0" w:type="dxa"/>
            <w:left w:w="108" w:type="dxa"/>
            <w:bottom w:w="0" w:type="dxa"/>
            <w:right w:w="108" w:type="dxa"/>
          </w:tblCellMar>
        </w:tblPrEx>
        <w:trPr>
          <w:trHeight w:val="376" w:hRule="atLeast"/>
        </w:trPr>
        <w:tc>
          <w:tcPr>
            <w:tcW w:w="993" w:type="dxa"/>
            <w:tcBorders>
              <w:top w:val="single" w:color="auto" w:sz="4" w:space="0"/>
              <w:left w:val="single" w:color="auto" w:sz="4" w:space="0"/>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highlight w:val="none"/>
              </w:rPr>
            </w:pPr>
          </w:p>
        </w:tc>
        <w:tc>
          <w:tcPr>
            <w:tcW w:w="992"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highlight w:val="none"/>
              </w:rPr>
            </w:pPr>
          </w:p>
        </w:tc>
        <w:tc>
          <w:tcPr>
            <w:tcW w:w="709"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highlight w:val="none"/>
              </w:rPr>
            </w:pPr>
          </w:p>
        </w:tc>
        <w:tc>
          <w:tcPr>
            <w:tcW w:w="709"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highlight w:val="none"/>
              </w:rPr>
            </w:pPr>
          </w:p>
        </w:tc>
        <w:tc>
          <w:tcPr>
            <w:tcW w:w="1004"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highlight w:val="none"/>
              </w:rPr>
            </w:pPr>
          </w:p>
        </w:tc>
        <w:tc>
          <w:tcPr>
            <w:tcW w:w="1116"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highlight w:val="none"/>
              </w:rPr>
            </w:pPr>
          </w:p>
        </w:tc>
        <w:tc>
          <w:tcPr>
            <w:tcW w:w="850"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highlight w:val="none"/>
              </w:rPr>
            </w:pPr>
          </w:p>
        </w:tc>
        <w:tc>
          <w:tcPr>
            <w:tcW w:w="992"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highlight w:val="none"/>
              </w:rPr>
            </w:pPr>
          </w:p>
        </w:tc>
        <w:tc>
          <w:tcPr>
            <w:tcW w:w="999"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highlight w:val="none"/>
              </w:rPr>
            </w:pPr>
          </w:p>
        </w:tc>
        <w:tc>
          <w:tcPr>
            <w:tcW w:w="993"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highlight w:val="none"/>
              </w:rPr>
            </w:pPr>
          </w:p>
        </w:tc>
      </w:tr>
      <w:tr>
        <w:tblPrEx>
          <w:tblCellMar>
            <w:top w:w="0" w:type="dxa"/>
            <w:left w:w="108" w:type="dxa"/>
            <w:bottom w:w="0" w:type="dxa"/>
            <w:right w:w="108" w:type="dxa"/>
          </w:tblCellMar>
        </w:tblPrEx>
        <w:trPr>
          <w:trHeight w:val="522" w:hRule="atLeast"/>
        </w:trPr>
        <w:tc>
          <w:tcPr>
            <w:tcW w:w="9357" w:type="dxa"/>
            <w:gridSpan w:val="10"/>
            <w:tcBorders>
              <w:top w:val="single" w:color="auto" w:sz="4" w:space="0"/>
              <w:left w:val="single" w:color="auto" w:sz="4" w:space="0"/>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highlight w:val="none"/>
              </w:rPr>
            </w:pPr>
            <w:r>
              <w:rPr>
                <w:rFonts w:hint="eastAsia" w:ascii="宋体" w:hAnsi="宋体" w:cs="宋体"/>
                <w:kern w:val="0"/>
                <w:sz w:val="22"/>
                <w:szCs w:val="22"/>
                <w:highlight w:val="none"/>
              </w:rPr>
              <w:t>技术参数</w:t>
            </w:r>
          </w:p>
        </w:tc>
      </w:tr>
      <w:tr>
        <w:tblPrEx>
          <w:tblCellMar>
            <w:top w:w="0" w:type="dxa"/>
            <w:left w:w="108" w:type="dxa"/>
            <w:bottom w:w="0" w:type="dxa"/>
            <w:right w:w="108" w:type="dxa"/>
          </w:tblCellMar>
        </w:tblPrEx>
        <w:trPr>
          <w:trHeight w:val="2409" w:hRule="atLeast"/>
        </w:trPr>
        <w:tc>
          <w:tcPr>
            <w:tcW w:w="9357" w:type="dxa"/>
            <w:gridSpan w:val="10"/>
            <w:tcBorders>
              <w:top w:val="single" w:color="auto" w:sz="4" w:space="0"/>
              <w:left w:val="single" w:color="auto" w:sz="4" w:space="0"/>
              <w:bottom w:val="single" w:color="auto" w:sz="4" w:space="0"/>
              <w:right w:val="single" w:color="auto" w:sz="4" w:space="0"/>
            </w:tcBorders>
            <w:noWrap/>
            <w:vAlign w:val="center"/>
          </w:tcPr>
          <w:p>
            <w:pPr>
              <w:snapToGrid w:val="0"/>
              <w:spacing w:line="400" w:lineRule="exact"/>
              <w:ind w:firstLine="220" w:firstLineChars="100"/>
              <w:rPr>
                <w:rFonts w:ascii="宋体" w:hAnsi="宋体"/>
                <w:bCs/>
                <w:sz w:val="22"/>
                <w:szCs w:val="22"/>
                <w:highlight w:val="none"/>
              </w:rPr>
            </w:pPr>
          </w:p>
        </w:tc>
      </w:tr>
    </w:tbl>
    <w:p>
      <w:pPr>
        <w:snapToGrid w:val="0"/>
        <w:spacing w:line="400" w:lineRule="exact"/>
        <w:ind w:firstLine="480" w:firstLineChars="200"/>
        <w:rPr>
          <w:rFonts w:ascii="宋体" w:hAnsi="宋体"/>
          <w:sz w:val="24"/>
          <w:highlight w:val="none"/>
        </w:rPr>
      </w:pPr>
    </w:p>
    <w:p>
      <w:pPr>
        <w:numPr>
          <w:ilvl w:val="0"/>
          <w:numId w:val="7"/>
        </w:numPr>
        <w:snapToGrid w:val="0"/>
        <w:spacing w:line="400" w:lineRule="exact"/>
        <w:ind w:firstLine="480" w:firstLineChars="200"/>
        <w:rPr>
          <w:rFonts w:ascii="宋体" w:hAnsi="宋体"/>
          <w:bCs/>
          <w:sz w:val="24"/>
          <w:highlight w:val="none"/>
        </w:rPr>
      </w:pPr>
      <w:r>
        <w:rPr>
          <w:rFonts w:hint="eastAsia" w:ascii="宋体" w:hAnsi="宋体"/>
          <w:bCs/>
          <w:sz w:val="24"/>
          <w:highlight w:val="none"/>
        </w:rPr>
        <w:t>合同价款及结算方式（大写）</w:t>
      </w:r>
      <w:r>
        <w:rPr>
          <w:rFonts w:hint="eastAsia" w:ascii="宋体" w:hAnsi="宋体"/>
          <w:sz w:val="24"/>
          <w:highlight w:val="none"/>
          <w:u w:val="single"/>
        </w:rPr>
        <w:t>元整</w:t>
      </w:r>
      <w:r>
        <w:rPr>
          <w:rFonts w:hint="eastAsia" w:ascii="宋体" w:hAnsi="宋体"/>
          <w:sz w:val="24"/>
          <w:highlight w:val="none"/>
        </w:rPr>
        <w:t>（小写）元。以上价格为合同总价，最终结算价格以审定价格为准，包括但不限于设备费、备品备件、专用工具、包装费、运保费、卸货费、安装指导费、调试费、税费等合同项下的义务；也包括买卖双方签订的技术附件中卖方承诺的其它系统配件</w:t>
      </w:r>
      <w:r>
        <w:rPr>
          <w:rFonts w:hint="eastAsia" w:ascii="宋体" w:hAnsi="宋体"/>
          <w:bCs/>
          <w:sz w:val="24"/>
          <w:highlight w:val="none"/>
        </w:rPr>
        <w:t>。</w:t>
      </w:r>
    </w:p>
    <w:p>
      <w:pPr>
        <w:numPr>
          <w:ilvl w:val="1"/>
          <w:numId w:val="7"/>
        </w:numPr>
        <w:snapToGrid w:val="0"/>
        <w:spacing w:line="400" w:lineRule="exact"/>
        <w:ind w:firstLine="480" w:firstLineChars="200"/>
        <w:rPr>
          <w:rFonts w:ascii="宋体" w:hAnsi="宋体"/>
          <w:bCs/>
          <w:sz w:val="24"/>
          <w:highlight w:val="none"/>
        </w:rPr>
      </w:pPr>
      <w:r>
        <w:rPr>
          <w:rFonts w:hint="eastAsia" w:ascii="宋体" w:hAnsi="宋体"/>
          <w:bCs/>
          <w:sz w:val="24"/>
          <w:highlight w:val="none"/>
        </w:rPr>
        <w:t>履约保证金</w:t>
      </w:r>
    </w:p>
    <w:p>
      <w:pPr>
        <w:snapToGrid w:val="0"/>
        <w:spacing w:line="400" w:lineRule="exact"/>
        <w:ind w:firstLine="480" w:firstLineChars="200"/>
        <w:rPr>
          <w:rFonts w:ascii="宋体" w:hAnsi="宋体" w:cs="宋体"/>
          <w:sz w:val="24"/>
          <w:highlight w:val="none"/>
        </w:rPr>
      </w:pPr>
      <w:r>
        <w:rPr>
          <w:rFonts w:hint="eastAsia" w:ascii="宋体" w:hAnsi="宋体" w:cs="宋体"/>
          <w:sz w:val="24"/>
          <w:highlight w:val="none"/>
        </w:rPr>
        <w:t>2.1.1</w:t>
      </w:r>
      <w:r>
        <w:rPr>
          <w:rFonts w:hint="eastAsia" w:ascii="宋体" w:hAnsi="宋体" w:cs="宋体"/>
          <w:sz w:val="24"/>
          <w:highlight w:val="none"/>
          <w:lang w:val="zh-CN"/>
        </w:rPr>
        <w:t>履约保证金金额：签约合同价的</w:t>
      </w:r>
      <w:r>
        <w:rPr>
          <w:rFonts w:hint="eastAsia" w:ascii="宋体" w:hAnsi="宋体" w:cs="宋体"/>
          <w:sz w:val="24"/>
          <w:highlight w:val="none"/>
        </w:rPr>
        <w:t>5%；</w:t>
      </w:r>
    </w:p>
    <w:p>
      <w:pPr>
        <w:snapToGrid w:val="0"/>
        <w:spacing w:line="400" w:lineRule="exact"/>
        <w:ind w:firstLine="480" w:firstLineChars="200"/>
        <w:rPr>
          <w:rFonts w:ascii="宋体" w:hAnsi="宋体" w:cs="宋体"/>
          <w:sz w:val="24"/>
          <w:highlight w:val="none"/>
        </w:rPr>
      </w:pPr>
      <w:r>
        <w:rPr>
          <w:rFonts w:hint="eastAsia" w:ascii="宋体" w:hAnsi="宋体" w:cs="宋体"/>
          <w:sz w:val="24"/>
          <w:highlight w:val="none"/>
        </w:rPr>
        <w:t>2.1.2履约保证金缴纳时间：合同签订之前</w:t>
      </w:r>
    </w:p>
    <w:p>
      <w:pPr>
        <w:snapToGrid w:val="0"/>
        <w:spacing w:line="400" w:lineRule="exact"/>
        <w:ind w:firstLine="480" w:firstLineChars="200"/>
        <w:rPr>
          <w:rFonts w:ascii="宋体" w:hAnsi="宋体" w:cs="宋体"/>
          <w:sz w:val="24"/>
          <w:highlight w:val="none"/>
        </w:rPr>
      </w:pPr>
      <w:r>
        <w:rPr>
          <w:rFonts w:hint="eastAsia" w:ascii="宋体" w:hAnsi="宋体" w:cs="宋体"/>
          <w:sz w:val="24"/>
          <w:highlight w:val="none"/>
        </w:rPr>
        <w:t>2.1.3履约保证金缴纳方式：支票、汇票、本票或者金融机构、担保机构出具的保函等非现金形式。</w:t>
      </w:r>
    </w:p>
    <w:p>
      <w:pPr>
        <w:snapToGrid w:val="0"/>
        <w:spacing w:line="400" w:lineRule="exact"/>
        <w:ind w:firstLine="480" w:firstLineChars="200"/>
        <w:rPr>
          <w:rFonts w:ascii="宋体" w:hAnsi="宋体" w:cs="宋体"/>
          <w:sz w:val="24"/>
          <w:highlight w:val="none"/>
        </w:rPr>
      </w:pPr>
      <w:r>
        <w:rPr>
          <w:rFonts w:hint="eastAsia" w:ascii="宋体" w:hAnsi="宋体" w:cs="宋体"/>
          <w:sz w:val="24"/>
          <w:highlight w:val="none"/>
        </w:rPr>
        <w:t>2.1.4履约保证金退还时间：中标单位按合同约定交付全部产品，安装调试完毕，书面验收合格一年后，采购单位无息退还全部履约保证金。</w:t>
      </w:r>
    </w:p>
    <w:p>
      <w:pPr>
        <w:snapToGrid w:val="0"/>
        <w:spacing w:line="400" w:lineRule="exact"/>
        <w:ind w:firstLine="480" w:firstLineChars="200"/>
        <w:rPr>
          <w:highlight w:val="none"/>
        </w:rPr>
      </w:pPr>
      <w:r>
        <w:rPr>
          <w:rFonts w:hint="eastAsia" w:ascii="宋体" w:hAnsi="宋体" w:cs="宋体"/>
          <w:sz w:val="24"/>
          <w:highlight w:val="none"/>
        </w:rPr>
        <w:t>2.1.5履约保证金不予退还的情形：1）成交</w:t>
      </w:r>
      <w:r>
        <w:rPr>
          <w:rFonts w:hint="eastAsia" w:ascii="宋体" w:hAnsi="宋体" w:cs="宋体"/>
          <w:sz w:val="24"/>
          <w:highlight w:val="none"/>
          <w:lang w:eastAsia="zh-CN"/>
        </w:rPr>
        <w:t>投标人</w:t>
      </w:r>
      <w:r>
        <w:rPr>
          <w:rFonts w:hint="eastAsia" w:ascii="宋体" w:hAnsi="宋体" w:cs="宋体"/>
          <w:sz w:val="24"/>
          <w:highlight w:val="none"/>
        </w:rPr>
        <w:t>不履行与招标人订立的合同的，履约保证金不予退还；2）给招标人造成的损失超过履约保证金数额的，还应当对超过部分予以赔偿；3）没有提交履约保证金的，应当对招标人的损失承担赔偿责任。</w:t>
      </w:r>
    </w:p>
    <w:p>
      <w:pPr>
        <w:snapToGrid w:val="0"/>
        <w:spacing w:line="400" w:lineRule="exact"/>
        <w:ind w:left="139" w:leftChars="66" w:firstLine="360" w:firstLineChars="150"/>
        <w:rPr>
          <w:rFonts w:ascii="宋体" w:hAnsi="宋体"/>
          <w:bCs/>
          <w:sz w:val="24"/>
          <w:highlight w:val="none"/>
        </w:rPr>
      </w:pPr>
      <w:r>
        <w:rPr>
          <w:rFonts w:hint="eastAsia" w:ascii="宋体" w:hAnsi="宋体"/>
          <w:bCs/>
          <w:sz w:val="24"/>
          <w:highlight w:val="none"/>
        </w:rPr>
        <w:t>2.2 付款方式：中标单位按合同约定交付全部产品、安装调试完毕，验收合格并经过结算审计后30日内，采购人按验收报告、结算审计、合同相关条款支付货款100%；如结算审计有审减，按照结算审计结果支付货款；如验收不合格、未完成安装调试，参照违约责任执行。</w:t>
      </w:r>
    </w:p>
    <w:p>
      <w:pPr>
        <w:snapToGrid w:val="0"/>
        <w:spacing w:line="400" w:lineRule="exact"/>
        <w:ind w:left="139" w:leftChars="66" w:firstLine="360" w:firstLineChars="150"/>
        <w:rPr>
          <w:rFonts w:ascii="宋体" w:hAnsi="宋体"/>
          <w:b/>
          <w:sz w:val="24"/>
          <w:highlight w:val="none"/>
          <w:u w:val="single"/>
        </w:rPr>
      </w:pPr>
      <w:r>
        <w:rPr>
          <w:rFonts w:hint="eastAsia" w:ascii="宋体" w:hAnsi="宋体"/>
          <w:bCs/>
          <w:sz w:val="24"/>
          <w:highlight w:val="none"/>
        </w:rPr>
        <w:t>3.运输及保险：</w:t>
      </w:r>
      <w:r>
        <w:rPr>
          <w:rFonts w:hint="eastAsia" w:ascii="宋体" w:hAnsi="宋体"/>
          <w:sz w:val="24"/>
          <w:highlight w:val="none"/>
          <w:u w:val="single"/>
        </w:rPr>
        <w:t xml:space="preserve">货物运输方式不限，运输、保险等运输过程中发生的所有费用均由卖方承担  </w:t>
      </w:r>
      <w:r>
        <w:rPr>
          <w:rFonts w:hint="eastAsia" w:ascii="宋体" w:hAnsi="宋体"/>
          <w:sz w:val="24"/>
          <w:highlight w:val="none"/>
        </w:rPr>
        <w:t>。</w:t>
      </w:r>
    </w:p>
    <w:p>
      <w:pPr>
        <w:snapToGrid w:val="0"/>
        <w:spacing w:line="400" w:lineRule="exact"/>
        <w:rPr>
          <w:rFonts w:ascii="宋体" w:hAnsi="宋体"/>
          <w:sz w:val="24"/>
          <w:highlight w:val="none"/>
        </w:rPr>
      </w:pPr>
      <w:r>
        <w:rPr>
          <w:rFonts w:hint="eastAsia" w:ascii="宋体" w:hAnsi="宋体"/>
          <w:sz w:val="24"/>
          <w:highlight w:val="none"/>
        </w:rPr>
        <w:t xml:space="preserve">    4.  包装</w:t>
      </w:r>
    </w:p>
    <w:p>
      <w:pPr>
        <w:snapToGrid w:val="0"/>
        <w:spacing w:line="400" w:lineRule="exact"/>
        <w:ind w:left="244" w:leftChars="116"/>
        <w:rPr>
          <w:rFonts w:ascii="宋体" w:hAnsi="宋体"/>
          <w:b/>
          <w:sz w:val="24"/>
          <w:highlight w:val="none"/>
        </w:rPr>
      </w:pPr>
      <w:r>
        <w:rPr>
          <w:rFonts w:hint="eastAsia" w:ascii="宋体" w:hAnsi="宋体"/>
          <w:sz w:val="24"/>
          <w:highlight w:val="none"/>
        </w:rPr>
        <w:t xml:space="preserve">  4.1  </w:t>
      </w:r>
      <w:r>
        <w:rPr>
          <w:rFonts w:hint="eastAsia" w:ascii="宋体" w:hAnsi="宋体"/>
          <w:b/>
          <w:sz w:val="24"/>
          <w:highlight w:val="none"/>
        </w:rPr>
        <w:t>包装方式：木箱包装，保证货物抵达交货地点时包装完整无损，包装箱的尺寸及重量应考虑货物最终目的地的偏远程度以及货物转运地可能缺乏重型装卸设备的情况，尽量包装牢固。对由于包装不善而引起的货物损坏或损失、耽误交货时限等损失，均由卖方承担责任。</w:t>
      </w:r>
    </w:p>
    <w:p>
      <w:pPr>
        <w:snapToGrid w:val="0"/>
        <w:spacing w:line="400" w:lineRule="exact"/>
        <w:ind w:firstLine="480"/>
        <w:rPr>
          <w:rFonts w:ascii="宋体" w:hAnsi="宋体"/>
          <w:sz w:val="24"/>
          <w:highlight w:val="none"/>
        </w:rPr>
      </w:pPr>
      <w:r>
        <w:rPr>
          <w:rFonts w:hint="eastAsia" w:ascii="宋体" w:hAnsi="宋体"/>
          <w:sz w:val="24"/>
          <w:highlight w:val="none"/>
        </w:rPr>
        <w:t>4.2  包装物处理：不回收。</w:t>
      </w:r>
    </w:p>
    <w:p>
      <w:pPr>
        <w:tabs>
          <w:tab w:val="left" w:pos="540"/>
        </w:tabs>
        <w:snapToGrid w:val="0"/>
        <w:spacing w:line="400" w:lineRule="exact"/>
        <w:ind w:firstLine="480" w:firstLineChars="200"/>
        <w:rPr>
          <w:rFonts w:ascii="宋体" w:hAnsi="宋体"/>
          <w:bCs/>
          <w:sz w:val="24"/>
          <w:highlight w:val="none"/>
        </w:rPr>
      </w:pPr>
      <w:r>
        <w:rPr>
          <w:rFonts w:hint="eastAsia" w:ascii="宋体" w:hAnsi="宋体"/>
          <w:bCs/>
          <w:sz w:val="24"/>
          <w:highlight w:val="none"/>
        </w:rPr>
        <w:t>5.中标产品样品交付：合同签订后15日内，乙方将中标产品的实物样品（每种产品1件、套）交付给甲方。</w:t>
      </w:r>
    </w:p>
    <w:p>
      <w:pPr>
        <w:snapToGrid w:val="0"/>
        <w:spacing w:line="400" w:lineRule="exact"/>
        <w:ind w:firstLine="480"/>
        <w:rPr>
          <w:highlight w:val="none"/>
        </w:rPr>
      </w:pPr>
      <w:r>
        <w:rPr>
          <w:rFonts w:hint="eastAsia" w:ascii="宋体" w:hAnsi="宋体"/>
          <w:sz w:val="24"/>
          <w:highlight w:val="none"/>
        </w:rPr>
        <w:t>6.根据《国家消防救援局办公室关于推广应用新版消防装备管理系统的通知》要求，中标投标人在交付装备时须附着由“消防装备物资信息采集系统”统一发行的装备物资二维码和 RFID。</w:t>
      </w:r>
    </w:p>
    <w:p>
      <w:pPr>
        <w:tabs>
          <w:tab w:val="left" w:pos="540"/>
        </w:tabs>
        <w:snapToGrid w:val="0"/>
        <w:spacing w:line="400" w:lineRule="exact"/>
        <w:ind w:firstLine="480" w:firstLineChars="200"/>
        <w:rPr>
          <w:rFonts w:ascii="宋体" w:hAnsi="宋体"/>
          <w:bCs/>
          <w:sz w:val="24"/>
          <w:highlight w:val="none"/>
        </w:rPr>
      </w:pPr>
      <w:r>
        <w:rPr>
          <w:rFonts w:hint="eastAsia" w:ascii="宋体" w:hAnsi="宋体"/>
          <w:bCs/>
          <w:sz w:val="24"/>
          <w:highlight w:val="none"/>
        </w:rPr>
        <w:t>7.交货</w:t>
      </w:r>
    </w:p>
    <w:p>
      <w:pPr>
        <w:snapToGrid w:val="0"/>
        <w:spacing w:line="400" w:lineRule="exact"/>
        <w:ind w:firstLine="480" w:firstLineChars="200"/>
        <w:rPr>
          <w:rFonts w:ascii="宋体" w:hAnsi="宋体"/>
          <w:b/>
          <w:bCs/>
          <w:sz w:val="24"/>
          <w:highlight w:val="none"/>
        </w:rPr>
      </w:pPr>
      <w:r>
        <w:rPr>
          <w:rFonts w:hint="eastAsia" w:ascii="宋体" w:hAnsi="宋体"/>
          <w:bCs/>
          <w:sz w:val="24"/>
          <w:highlight w:val="none"/>
        </w:rPr>
        <w:t>7.1交货时间:</w:t>
      </w:r>
      <w:r>
        <w:rPr>
          <w:rFonts w:hint="eastAsia" w:ascii="宋体" w:hAnsi="宋体"/>
          <w:sz w:val="24"/>
          <w:szCs w:val="24"/>
          <w:highlight w:val="none"/>
        </w:rPr>
        <w:t>合同签订后</w:t>
      </w:r>
      <w:r>
        <w:rPr>
          <w:rFonts w:ascii="宋体" w:hAnsi="宋体"/>
          <w:sz w:val="24"/>
          <w:szCs w:val="24"/>
          <w:highlight w:val="none"/>
        </w:rPr>
        <w:t>45</w:t>
      </w:r>
      <w:r>
        <w:rPr>
          <w:rFonts w:hint="eastAsia" w:ascii="宋体" w:hAnsi="宋体"/>
          <w:sz w:val="24"/>
          <w:szCs w:val="24"/>
          <w:highlight w:val="none"/>
        </w:rPr>
        <w:t>日。</w:t>
      </w:r>
    </w:p>
    <w:p>
      <w:pPr>
        <w:snapToGrid w:val="0"/>
        <w:spacing w:line="400" w:lineRule="exact"/>
        <w:ind w:left="2205" w:leftChars="950" w:hanging="210" w:hangingChars="87"/>
        <w:jc w:val="left"/>
        <w:rPr>
          <w:rFonts w:ascii="宋体" w:hAnsi="宋体"/>
          <w:b/>
          <w:bCs/>
          <w:sz w:val="24"/>
          <w:highlight w:val="none"/>
        </w:rPr>
      </w:pPr>
      <w:r>
        <w:rPr>
          <w:rFonts w:hint="eastAsia" w:ascii="宋体" w:hAnsi="宋体"/>
          <w:b/>
          <w:bCs/>
          <w:sz w:val="24"/>
          <w:highlight w:val="none"/>
        </w:rPr>
        <w:t xml:space="preserve"> 卖方须在上述时限之前，一次完成供货并交付验收。</w:t>
      </w:r>
    </w:p>
    <w:p>
      <w:pPr>
        <w:snapToGrid w:val="0"/>
        <w:spacing w:line="400" w:lineRule="exact"/>
        <w:ind w:firstLine="480" w:firstLineChars="200"/>
        <w:rPr>
          <w:rFonts w:ascii="宋体" w:hAnsi="宋体"/>
          <w:b/>
          <w:bCs/>
          <w:sz w:val="24"/>
          <w:highlight w:val="none"/>
        </w:rPr>
      </w:pPr>
      <w:r>
        <w:rPr>
          <w:rFonts w:hint="eastAsia" w:ascii="宋体" w:hAnsi="宋体"/>
          <w:bCs/>
          <w:sz w:val="24"/>
          <w:highlight w:val="none"/>
        </w:rPr>
        <w:t>7.2交货地点：</w:t>
      </w:r>
      <w:r>
        <w:rPr>
          <w:rFonts w:hint="eastAsia" w:ascii="宋体" w:hAnsi="宋体"/>
          <w:b/>
          <w:bCs/>
          <w:sz w:val="24"/>
          <w:highlight w:val="none"/>
        </w:rPr>
        <w:t>卖方负责送货上门并卸货</w:t>
      </w:r>
    </w:p>
    <w:p>
      <w:pPr>
        <w:snapToGrid w:val="0"/>
        <w:spacing w:line="400" w:lineRule="exact"/>
        <w:ind w:firstLine="2168" w:firstLineChars="900"/>
        <w:rPr>
          <w:rFonts w:ascii="宋体" w:hAnsi="宋体"/>
          <w:b/>
          <w:bCs/>
          <w:sz w:val="24"/>
          <w:highlight w:val="none"/>
        </w:rPr>
      </w:pPr>
      <w:r>
        <w:rPr>
          <w:rFonts w:ascii="宋体" w:hAnsi="宋体"/>
          <w:b/>
          <w:bCs/>
          <w:sz w:val="24"/>
          <w:highlight w:val="none"/>
        </w:rPr>
        <w:t>收货联系人：</w:t>
      </w:r>
    </w:p>
    <w:p>
      <w:pPr>
        <w:snapToGrid w:val="0"/>
        <w:spacing w:line="400" w:lineRule="exact"/>
        <w:ind w:firstLine="480" w:firstLineChars="200"/>
        <w:rPr>
          <w:rFonts w:ascii="宋体" w:hAnsi="宋体"/>
          <w:b/>
          <w:bCs/>
          <w:sz w:val="24"/>
          <w:highlight w:val="none"/>
        </w:rPr>
      </w:pPr>
      <w:r>
        <w:rPr>
          <w:rFonts w:hint="eastAsia" w:ascii="宋体" w:hAnsi="宋体"/>
          <w:bCs/>
          <w:sz w:val="24"/>
          <w:highlight w:val="none"/>
        </w:rPr>
        <w:t>7.3联系方式：</w:t>
      </w:r>
      <w:r>
        <w:rPr>
          <w:rFonts w:hint="eastAsia" w:ascii="宋体" w:hAnsi="宋体"/>
          <w:b/>
          <w:bCs/>
          <w:sz w:val="24"/>
          <w:highlight w:val="none"/>
        </w:rPr>
        <w:t>昌吉州消防救援支队</w:t>
      </w:r>
    </w:p>
    <w:p>
      <w:pPr>
        <w:snapToGrid w:val="0"/>
        <w:spacing w:line="400" w:lineRule="exact"/>
        <w:ind w:firstLine="2168" w:firstLineChars="900"/>
        <w:jc w:val="left"/>
        <w:rPr>
          <w:rFonts w:ascii="宋体" w:hAnsi="宋体"/>
          <w:b/>
          <w:bCs/>
          <w:sz w:val="24"/>
          <w:highlight w:val="none"/>
        </w:rPr>
      </w:pPr>
      <w:r>
        <w:rPr>
          <w:rFonts w:hint="eastAsia" w:ascii="宋体" w:hAnsi="宋体"/>
          <w:b/>
          <w:bCs/>
          <w:sz w:val="24"/>
          <w:highlight w:val="none"/>
        </w:rPr>
        <w:t>姓  名：</w:t>
      </w:r>
      <w:r>
        <w:rPr>
          <w:rFonts w:ascii="宋体" w:hAnsi="宋体"/>
          <w:b/>
          <w:bCs/>
          <w:sz w:val="24"/>
          <w:highlight w:val="none"/>
        </w:rPr>
        <w:t xml:space="preserve"> </w:t>
      </w:r>
    </w:p>
    <w:p>
      <w:pPr>
        <w:snapToGrid w:val="0"/>
        <w:spacing w:line="400" w:lineRule="exact"/>
        <w:ind w:firstLine="2168" w:firstLineChars="900"/>
        <w:jc w:val="left"/>
        <w:rPr>
          <w:rFonts w:ascii="宋体" w:hAnsi="宋体"/>
          <w:b/>
          <w:bCs/>
          <w:sz w:val="24"/>
          <w:highlight w:val="none"/>
        </w:rPr>
      </w:pPr>
      <w:r>
        <w:rPr>
          <w:rFonts w:hint="eastAsia" w:ascii="宋体" w:hAnsi="宋体"/>
          <w:b/>
          <w:bCs/>
          <w:sz w:val="24"/>
          <w:highlight w:val="none"/>
        </w:rPr>
        <w:t>电  话：</w:t>
      </w:r>
    </w:p>
    <w:p>
      <w:pPr>
        <w:snapToGrid w:val="0"/>
        <w:spacing w:line="400" w:lineRule="exact"/>
        <w:ind w:firstLine="600" w:firstLineChars="250"/>
        <w:rPr>
          <w:rFonts w:ascii="宋体" w:hAnsi="宋体"/>
          <w:bCs/>
          <w:sz w:val="24"/>
          <w:highlight w:val="none"/>
        </w:rPr>
      </w:pPr>
      <w:r>
        <w:rPr>
          <w:rFonts w:hint="eastAsia" w:ascii="宋体" w:hAnsi="宋体"/>
          <w:bCs/>
          <w:sz w:val="24"/>
          <w:highlight w:val="none"/>
        </w:rPr>
        <w:t>8.验收：售后服务内容及履行情况将作为退还余款的必要条件写入合同。</w:t>
      </w:r>
    </w:p>
    <w:p>
      <w:pPr>
        <w:snapToGrid w:val="0"/>
        <w:spacing w:line="400" w:lineRule="exact"/>
        <w:ind w:firstLine="600" w:firstLineChars="250"/>
        <w:rPr>
          <w:rFonts w:ascii="宋体" w:hAnsi="宋体"/>
          <w:bCs/>
          <w:sz w:val="24"/>
          <w:highlight w:val="none"/>
        </w:rPr>
      </w:pPr>
      <w:r>
        <w:rPr>
          <w:rFonts w:hint="eastAsia" w:ascii="宋体" w:hAnsi="宋体"/>
          <w:bCs/>
          <w:sz w:val="24"/>
          <w:highlight w:val="none"/>
        </w:rPr>
        <w:t>8.1验收标准：依照样品及本合同约定。</w:t>
      </w:r>
    </w:p>
    <w:p>
      <w:pPr>
        <w:snapToGrid w:val="0"/>
        <w:spacing w:line="400" w:lineRule="exact"/>
        <w:ind w:firstLine="600" w:firstLineChars="250"/>
        <w:rPr>
          <w:rFonts w:ascii="宋体" w:hAnsi="宋体"/>
          <w:bCs/>
          <w:sz w:val="24"/>
          <w:highlight w:val="none"/>
        </w:rPr>
      </w:pPr>
      <w:r>
        <w:rPr>
          <w:rFonts w:hint="eastAsia" w:ascii="宋体" w:hAnsi="宋体"/>
          <w:bCs/>
          <w:sz w:val="24"/>
          <w:highlight w:val="none"/>
        </w:rPr>
        <w:t>8.2验收时间及组织：以合同签订为准。</w:t>
      </w:r>
    </w:p>
    <w:p>
      <w:pPr>
        <w:snapToGrid w:val="0"/>
        <w:spacing w:line="400" w:lineRule="exact"/>
        <w:ind w:firstLine="602" w:firstLineChars="250"/>
        <w:rPr>
          <w:rFonts w:ascii="宋体" w:hAnsi="宋体"/>
          <w:b/>
          <w:bCs/>
          <w:sz w:val="24"/>
          <w:highlight w:val="none"/>
        </w:rPr>
      </w:pPr>
      <w:r>
        <w:rPr>
          <w:rFonts w:hint="eastAsia" w:ascii="宋体" w:hAnsi="宋体"/>
          <w:b/>
          <w:bCs/>
          <w:sz w:val="24"/>
          <w:highlight w:val="none"/>
        </w:rPr>
        <w:t>8.3验收前买方不负责货物的保管，由卖方负责。</w:t>
      </w:r>
    </w:p>
    <w:p>
      <w:pPr>
        <w:snapToGrid w:val="0"/>
        <w:spacing w:line="400" w:lineRule="exact"/>
        <w:ind w:firstLine="600" w:firstLineChars="250"/>
        <w:rPr>
          <w:rFonts w:ascii="宋体" w:hAnsi="宋体"/>
          <w:bCs/>
          <w:sz w:val="24"/>
          <w:highlight w:val="none"/>
        </w:rPr>
      </w:pPr>
      <w:r>
        <w:rPr>
          <w:rFonts w:hint="eastAsia" w:ascii="宋体" w:hAnsi="宋体"/>
          <w:bCs/>
          <w:sz w:val="24"/>
          <w:highlight w:val="none"/>
        </w:rPr>
        <w:t>9.合同效力</w:t>
      </w:r>
    </w:p>
    <w:p>
      <w:pPr>
        <w:snapToGrid w:val="0"/>
        <w:spacing w:line="400" w:lineRule="exact"/>
        <w:ind w:firstLine="600" w:firstLineChars="250"/>
        <w:rPr>
          <w:rFonts w:ascii="宋体" w:hAnsi="宋体"/>
          <w:bCs/>
          <w:sz w:val="24"/>
          <w:highlight w:val="none"/>
        </w:rPr>
      </w:pPr>
      <w:r>
        <w:rPr>
          <w:rFonts w:hint="eastAsia" w:ascii="宋体" w:hAnsi="宋体"/>
          <w:bCs/>
          <w:sz w:val="24"/>
          <w:highlight w:val="none"/>
        </w:rPr>
        <w:t>9.1  本合同经买卖双方授权代表签署，并经双方盖章后生效。</w:t>
      </w:r>
    </w:p>
    <w:p>
      <w:pPr>
        <w:snapToGrid w:val="0"/>
        <w:spacing w:line="400" w:lineRule="exact"/>
        <w:ind w:firstLine="600" w:firstLineChars="250"/>
        <w:rPr>
          <w:rFonts w:ascii="宋体" w:hAnsi="宋体"/>
          <w:bCs/>
          <w:sz w:val="24"/>
          <w:highlight w:val="none"/>
        </w:rPr>
      </w:pPr>
      <w:r>
        <w:rPr>
          <w:rFonts w:hint="eastAsia" w:ascii="宋体" w:hAnsi="宋体"/>
          <w:bCs/>
          <w:sz w:val="24"/>
          <w:highlight w:val="none"/>
        </w:rPr>
        <w:t>9.2  本合同一式肆份，买卖双方各持两份，具有相同的法律效力。</w:t>
      </w:r>
    </w:p>
    <w:p>
      <w:pPr>
        <w:snapToGrid w:val="0"/>
        <w:spacing w:line="400" w:lineRule="exact"/>
        <w:ind w:firstLine="904" w:firstLineChars="250"/>
        <w:jc w:val="center"/>
        <w:rPr>
          <w:rFonts w:ascii="宋体" w:hAnsi="宋体"/>
          <w:b/>
          <w:bCs/>
          <w:sz w:val="36"/>
          <w:szCs w:val="36"/>
          <w:highlight w:val="none"/>
        </w:rPr>
      </w:pPr>
    </w:p>
    <w:p>
      <w:pPr>
        <w:numPr>
          <w:ilvl w:val="0"/>
          <w:numId w:val="8"/>
        </w:numPr>
        <w:snapToGrid w:val="0"/>
        <w:spacing w:line="400" w:lineRule="exact"/>
        <w:ind w:firstLine="904" w:firstLineChars="250"/>
        <w:jc w:val="center"/>
        <w:rPr>
          <w:rFonts w:ascii="宋体" w:hAnsi="宋体"/>
          <w:b/>
          <w:bCs/>
          <w:sz w:val="36"/>
          <w:szCs w:val="36"/>
          <w:highlight w:val="none"/>
        </w:rPr>
      </w:pPr>
      <w:r>
        <w:rPr>
          <w:rFonts w:hint="eastAsia" w:ascii="宋体" w:hAnsi="宋体"/>
          <w:b/>
          <w:bCs/>
          <w:sz w:val="36"/>
          <w:szCs w:val="36"/>
          <w:highlight w:val="none"/>
        </w:rPr>
        <w:br w:type="page"/>
      </w:r>
      <w:r>
        <w:rPr>
          <w:rFonts w:hint="eastAsia" w:ascii="宋体" w:hAnsi="宋体"/>
          <w:b/>
          <w:bCs/>
          <w:sz w:val="36"/>
          <w:szCs w:val="36"/>
          <w:highlight w:val="none"/>
        </w:rPr>
        <w:t>合同基本条款</w:t>
      </w:r>
    </w:p>
    <w:p>
      <w:pPr>
        <w:snapToGrid w:val="0"/>
        <w:spacing w:line="400" w:lineRule="exact"/>
        <w:rPr>
          <w:rFonts w:ascii="宋体" w:hAnsi="宋体"/>
          <w:b/>
          <w:bCs/>
          <w:sz w:val="36"/>
          <w:szCs w:val="36"/>
          <w:highlight w:val="none"/>
        </w:rPr>
      </w:pPr>
    </w:p>
    <w:p>
      <w:pPr>
        <w:snapToGrid w:val="0"/>
        <w:spacing w:line="400" w:lineRule="exact"/>
        <w:ind w:firstLine="480" w:firstLineChars="200"/>
        <w:rPr>
          <w:rFonts w:ascii="宋体" w:hAnsi="宋体"/>
          <w:sz w:val="24"/>
          <w:highlight w:val="none"/>
        </w:rPr>
      </w:pPr>
      <w:r>
        <w:rPr>
          <w:rFonts w:hint="eastAsia" w:ascii="宋体" w:hAnsi="宋体"/>
          <w:sz w:val="24"/>
          <w:highlight w:val="none"/>
        </w:rPr>
        <w:t>1.  定义：</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本合同有关术语解释：</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1.1  “合同”是指买卖双方签署的用以约定买卖双方买卖事项而达成的协议，包括所有的附件和构成合同的其它文件。</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1.2  “合同总价”是指根据本合同约定，卖方在正确地完全履行合同义务后买方应支付给卖方的全部价款。</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1.3  “货物”是指根据合同约定卖方向买方提供的一切设备及相应的配套设施（含备件、工具、操作手册及其他有关技术资料和材料）。</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1.4  “服务”是指根据合同约定卖方向买方承担的与供货有关的辅助服务，如运输、保险、安装、调试、技术支持、检验、维修、培训等与购销有关的义务。</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1.5  “现场”是指合同项下货物实际所在地。</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1.6  “验收”是指合同双方依据约定的程序和条件对合同标的物的数量、质量、性能等进行确认交接的行为。</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1.7   交货时间是指卖方将本合同内全部产品提交给买方验收的最后时间。卖方分几次供货时，以最后一次提交买方验收时间为交货时间。</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2. 标准</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2.1  本合同下交付的货物应符合技术规格所述的标准。合同未作特别标注的国产货物，以我国颁布的最新标准为准；如无国家标准的，以行业标准为准；如无行业标准的，按企业标准执行。</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2.2  本合同货物无特别标注的，计量单位均采用中华人民共和国法定计量单位。</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3. 专利权</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卖方保证，买方在使用合同货物或货物的任何一部分时，免受第三方提出的侵犯其专利权、商标权、著作权或其它知识产权的起诉。卖方应承担由此可能产生的一切法律责任和费用（包括但不限于买方支出的赔偿费、诉讼费、评估费、鉴定费、律师费等）。</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4. 包装</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4.1  除合同另有规定外，卖方提供的全部货物，均采用国家或专业标准保护措施（不低于木箱标准）进行包装，使包装适用于海运、空运或陆上的长途运输，并有良好的防潮、防震、防锈和防粗暴装卸等保护措施，确保货物安全无损运抵现场。这类包装还应足以承受但不限于承受转运过程中的装卸，暴露于恶劣气温，大风和降雨环境，以及露天存放。</w:t>
      </w:r>
      <w:r>
        <w:rPr>
          <w:rFonts w:hint="eastAsia" w:ascii="宋体" w:hAnsi="宋体"/>
          <w:bCs/>
          <w:sz w:val="24"/>
          <w:highlight w:val="none"/>
        </w:rPr>
        <w:t>包装箱的尺寸及重量应考虑货物最终目的地的偏远程度以及在所有转运地点缺乏重型装卸设施的情况。</w:t>
      </w:r>
      <w:r>
        <w:rPr>
          <w:rFonts w:hint="eastAsia" w:ascii="宋体" w:hAnsi="宋体"/>
          <w:sz w:val="24"/>
          <w:highlight w:val="none"/>
        </w:rPr>
        <w:t>对由于包装不善而引起的货物锈蚀、损坏或损失卖方应承担责任。</w:t>
      </w:r>
    </w:p>
    <w:p>
      <w:pPr>
        <w:snapToGrid w:val="0"/>
        <w:spacing w:line="400" w:lineRule="exact"/>
        <w:ind w:firstLine="480" w:firstLineChars="200"/>
        <w:rPr>
          <w:rFonts w:ascii="宋体" w:hAnsi="宋体"/>
          <w:b/>
          <w:sz w:val="24"/>
          <w:highlight w:val="none"/>
        </w:rPr>
      </w:pPr>
      <w:r>
        <w:rPr>
          <w:rFonts w:hint="eastAsia" w:ascii="宋体" w:hAnsi="宋体"/>
          <w:sz w:val="24"/>
          <w:highlight w:val="none"/>
        </w:rPr>
        <w:t xml:space="preserve">4.2  </w:t>
      </w:r>
      <w:r>
        <w:rPr>
          <w:rFonts w:hint="eastAsia" w:ascii="宋体" w:hAnsi="宋体"/>
          <w:bCs/>
          <w:sz w:val="24"/>
          <w:highlight w:val="none"/>
        </w:rPr>
        <w:t>卖方必须无偿提供合同内全部货物的中文使用说明书，说明书包括产品的功能、使用方法、技术参数、常见问题解决办法及产品序列号、型号、版本号以及配合使用的主要设备品牌、型号和版本等信息。</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5.  质量</w:t>
      </w:r>
    </w:p>
    <w:p>
      <w:pPr>
        <w:snapToGrid w:val="0"/>
        <w:spacing w:line="400" w:lineRule="exact"/>
        <w:ind w:firstLine="480" w:firstLineChars="200"/>
        <w:rPr>
          <w:rFonts w:ascii="宋体" w:hAnsi="宋体"/>
          <w:bCs/>
          <w:sz w:val="24"/>
          <w:highlight w:val="none"/>
        </w:rPr>
      </w:pPr>
      <w:r>
        <w:rPr>
          <w:rFonts w:hint="eastAsia" w:ascii="宋体" w:hAnsi="宋体"/>
          <w:sz w:val="24"/>
          <w:highlight w:val="none"/>
        </w:rPr>
        <w:t xml:space="preserve">5.1  </w:t>
      </w:r>
      <w:r>
        <w:rPr>
          <w:rFonts w:hint="eastAsia" w:ascii="宋体" w:hAnsi="宋体"/>
          <w:bCs/>
          <w:sz w:val="24"/>
          <w:highlight w:val="none"/>
        </w:rPr>
        <w:t xml:space="preserve">卖方保证所提供的货物是新品。 </w:t>
      </w:r>
    </w:p>
    <w:p>
      <w:pPr>
        <w:snapToGrid w:val="0"/>
        <w:spacing w:line="400" w:lineRule="exact"/>
        <w:ind w:firstLine="480" w:firstLineChars="200"/>
        <w:rPr>
          <w:rFonts w:ascii="宋体" w:hAnsi="宋体"/>
          <w:bCs/>
          <w:sz w:val="24"/>
          <w:highlight w:val="none"/>
        </w:rPr>
      </w:pPr>
      <w:r>
        <w:rPr>
          <w:rFonts w:hint="eastAsia" w:ascii="宋体" w:hAnsi="宋体"/>
          <w:bCs/>
          <w:sz w:val="24"/>
          <w:highlight w:val="none"/>
        </w:rPr>
        <w:t>5.2  在货物质保期内，卖方应当对由于设计、工艺、材料和配件的缺陷所产生的不足或故障负责。</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5.3  验收时，如发现卖方提供的货物或配件等不符合合同约定或有缺陷时，买方应以书面形式通知卖方，提出索赔，卖方应当在约定的时间内予以更换，并按违约的相关约定向买方给予赔偿，更换的新产品质保期相应顺延；质保期内，如货物或配件发生质量问题时，按售后服务的约定执行。</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6．交货</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6.1  交货的时间和地点执行本合同《协议书》。</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6.2  延期交货</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6.2.1  卖方应按合同规定的时间交货和提供服务。</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6.2.2  在履行合同过程中，如果卖方遇到不能按期交货和提供服务情况，应及时以书面形式将不能按时交货的理由、可能延误的时间通知买方。买方在收到通知后，应进行分析，如果同意，以书面形式通知卖方,可酌情延长交货时间。</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6.2.3   如果卖方毫无理由拖延交货，将受到扣除履约保证金的制裁或终止合同。</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7. 技术文件和资料</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7.1  提供技术文件和资料的种类和数量在本采购文件中已规定，买卖双方可根据需要订立具体的资料交付时间和数量。</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7.2  如果买方确认卖方提供的技术文件和资料不完整，或在运输途中丢失，卖方应在收到买方通知后3天内将文件、资料补齐。</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8. 税费</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8.1  器材装备的投标报价为货到采购人指定地点价格。</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8.2  根据国家现行税法征收的与本合同有关的一切税费均由卖方承担。</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8.3  在中国境外发生的与本合同执行有关的一切税费由卖方承担。</w:t>
      </w:r>
    </w:p>
    <w:p>
      <w:pPr>
        <w:snapToGrid w:val="0"/>
        <w:spacing w:line="400" w:lineRule="exact"/>
        <w:ind w:firstLine="480" w:firstLineChars="200"/>
        <w:rPr>
          <w:rFonts w:ascii="宋体" w:hAnsi="宋体"/>
          <w:bCs/>
          <w:sz w:val="24"/>
          <w:highlight w:val="none"/>
        </w:rPr>
      </w:pPr>
      <w:r>
        <w:rPr>
          <w:rFonts w:hint="eastAsia" w:ascii="宋体" w:hAnsi="宋体"/>
          <w:bCs/>
          <w:sz w:val="24"/>
          <w:highlight w:val="none"/>
        </w:rPr>
        <w:t>9.  验收</w:t>
      </w:r>
    </w:p>
    <w:p>
      <w:pPr>
        <w:snapToGrid w:val="0"/>
        <w:spacing w:line="400" w:lineRule="exact"/>
        <w:ind w:firstLine="480" w:firstLineChars="200"/>
        <w:rPr>
          <w:rFonts w:ascii="宋体" w:hAnsi="宋体"/>
          <w:bCs/>
          <w:sz w:val="24"/>
          <w:highlight w:val="none"/>
        </w:rPr>
      </w:pPr>
      <w:r>
        <w:rPr>
          <w:rFonts w:hint="eastAsia" w:ascii="宋体" w:hAnsi="宋体"/>
          <w:bCs/>
          <w:sz w:val="24"/>
          <w:highlight w:val="none"/>
        </w:rPr>
        <w:t>本合同项下货物验收遵照以下流程和条件</w:t>
      </w:r>
    </w:p>
    <w:p>
      <w:pPr>
        <w:snapToGrid w:val="0"/>
        <w:spacing w:line="400" w:lineRule="exact"/>
        <w:ind w:firstLine="480" w:firstLineChars="200"/>
        <w:rPr>
          <w:rFonts w:ascii="宋体" w:hAnsi="宋体"/>
          <w:bCs/>
          <w:sz w:val="24"/>
          <w:highlight w:val="none"/>
        </w:rPr>
      </w:pPr>
      <w:r>
        <w:rPr>
          <w:rFonts w:hint="eastAsia" w:ascii="宋体" w:hAnsi="宋体"/>
          <w:bCs/>
          <w:sz w:val="24"/>
          <w:highlight w:val="none"/>
        </w:rPr>
        <w:t>9.1 卖方应在供货合同规定的时间内将装备发送收货地点并提交书面验收申请。</w:t>
      </w:r>
    </w:p>
    <w:p>
      <w:pPr>
        <w:snapToGrid w:val="0"/>
        <w:spacing w:line="400" w:lineRule="exact"/>
        <w:ind w:firstLine="480" w:firstLineChars="200"/>
        <w:rPr>
          <w:rFonts w:ascii="宋体" w:hAnsi="宋体"/>
          <w:bCs/>
          <w:sz w:val="24"/>
          <w:highlight w:val="none"/>
        </w:rPr>
      </w:pPr>
      <w:r>
        <w:rPr>
          <w:rFonts w:hint="eastAsia" w:ascii="宋体" w:hAnsi="宋体"/>
          <w:bCs/>
          <w:sz w:val="24"/>
          <w:highlight w:val="none"/>
        </w:rPr>
        <w:t>9.2 货物到达目的地后买卖双方要在现场共同开箱验收。买方将按照装箱清单清点货物数量，检查货物破损情况，卖方必须派出代表参加货物验收工作，否则买方不予验收，按照卖方货物未到处理。</w:t>
      </w:r>
    </w:p>
    <w:p>
      <w:pPr>
        <w:snapToGrid w:val="0"/>
        <w:spacing w:line="400" w:lineRule="exact"/>
        <w:ind w:firstLine="480" w:firstLineChars="200"/>
        <w:rPr>
          <w:rFonts w:ascii="宋体" w:hAnsi="宋体"/>
          <w:bCs/>
          <w:sz w:val="24"/>
          <w:highlight w:val="none"/>
        </w:rPr>
      </w:pPr>
      <w:r>
        <w:rPr>
          <w:rFonts w:hint="eastAsia" w:ascii="宋体" w:hAnsi="宋体"/>
          <w:bCs/>
          <w:sz w:val="24"/>
          <w:highlight w:val="none"/>
        </w:rPr>
        <w:t>9.3 买方组成集中采购装备验收小组，对采购的货物进行专门验收，不符合合同规定的，买方将不予验收。</w:t>
      </w:r>
    </w:p>
    <w:p>
      <w:pPr>
        <w:snapToGrid w:val="0"/>
        <w:spacing w:line="400" w:lineRule="exact"/>
        <w:ind w:firstLine="480" w:firstLineChars="200"/>
        <w:rPr>
          <w:rFonts w:ascii="宋体" w:hAnsi="宋体"/>
          <w:bCs/>
          <w:sz w:val="24"/>
          <w:highlight w:val="none"/>
        </w:rPr>
      </w:pPr>
      <w:r>
        <w:rPr>
          <w:rFonts w:hint="eastAsia" w:ascii="宋体" w:hAnsi="宋体"/>
          <w:bCs/>
          <w:sz w:val="24"/>
          <w:highlight w:val="none"/>
        </w:rPr>
        <w:t>9.4产品验收时，卖方必须要有一名以上厂家技术人员在场，验收完毕后，买方和卖方共同签字确认新疆维吾尔自治区消防救援总队灭火救援车辆装备验收单。买方根据采购验收单按合同支付货款。</w:t>
      </w:r>
    </w:p>
    <w:p>
      <w:pPr>
        <w:adjustRightInd w:val="0"/>
        <w:snapToGrid w:val="0"/>
        <w:spacing w:line="400" w:lineRule="exact"/>
        <w:ind w:firstLine="480" w:firstLineChars="200"/>
        <w:rPr>
          <w:rFonts w:ascii="宋体" w:hAnsi="宋体"/>
          <w:bCs/>
          <w:sz w:val="24"/>
          <w:highlight w:val="none"/>
        </w:rPr>
      </w:pPr>
      <w:r>
        <w:rPr>
          <w:rFonts w:hint="eastAsia" w:ascii="宋体" w:hAnsi="宋体"/>
          <w:bCs/>
          <w:sz w:val="24"/>
          <w:highlight w:val="none"/>
        </w:rPr>
        <w:t>9.5装备的验收，综合判定为“合格”、“不合格”，综合评判为“合格”的器材，清点入总队库房。综合评判为“不合格”的器材，限期整改并等比例扣除履约保证金，整改完毕后进行复验；限期内未整改完毕的或“复验”不合格的，按合同规定做退货处理，扣除全额履约保证金，并将供货商列入总队装备集中采购黑名单，3年内不得参加总队装备采购投标工作。</w:t>
      </w:r>
    </w:p>
    <w:p>
      <w:pPr>
        <w:adjustRightInd w:val="0"/>
        <w:snapToGrid w:val="0"/>
        <w:spacing w:line="400" w:lineRule="exact"/>
        <w:ind w:firstLine="480" w:firstLineChars="200"/>
        <w:rPr>
          <w:rFonts w:ascii="宋体" w:hAnsi="宋体"/>
          <w:sz w:val="24"/>
          <w:highlight w:val="none"/>
        </w:rPr>
      </w:pPr>
      <w:r>
        <w:rPr>
          <w:rFonts w:hint="eastAsia" w:ascii="宋体" w:hAnsi="宋体"/>
          <w:sz w:val="24"/>
          <w:highlight w:val="none"/>
        </w:rPr>
        <w:t>10.  付款：执行本合同《协议书》。</w:t>
      </w:r>
    </w:p>
    <w:p>
      <w:pPr>
        <w:adjustRightInd w:val="0"/>
        <w:snapToGrid w:val="0"/>
        <w:spacing w:line="400" w:lineRule="exact"/>
        <w:ind w:firstLine="480" w:firstLineChars="200"/>
        <w:rPr>
          <w:rFonts w:ascii="宋体" w:hAnsi="宋体"/>
          <w:sz w:val="24"/>
          <w:highlight w:val="none"/>
        </w:rPr>
      </w:pPr>
      <w:r>
        <w:rPr>
          <w:rFonts w:hint="eastAsia" w:ascii="宋体" w:hAnsi="宋体"/>
          <w:sz w:val="24"/>
          <w:highlight w:val="none"/>
        </w:rPr>
        <w:t>11.  培训</w:t>
      </w:r>
    </w:p>
    <w:p>
      <w:pPr>
        <w:adjustRightInd w:val="0"/>
        <w:snapToGrid w:val="0"/>
        <w:spacing w:line="400" w:lineRule="exact"/>
        <w:ind w:firstLine="480" w:firstLineChars="200"/>
        <w:rPr>
          <w:rFonts w:ascii="宋体" w:hAnsi="宋体"/>
          <w:sz w:val="24"/>
          <w:highlight w:val="none"/>
        </w:rPr>
      </w:pPr>
      <w:r>
        <w:rPr>
          <w:rFonts w:hint="eastAsia" w:ascii="宋体" w:hAnsi="宋体"/>
          <w:sz w:val="24"/>
          <w:highlight w:val="none"/>
        </w:rPr>
        <w:t>12.  售后服务</w:t>
      </w:r>
    </w:p>
    <w:p>
      <w:pPr>
        <w:pStyle w:val="34"/>
        <w:adjustRightInd w:val="0"/>
        <w:snapToGrid w:val="0"/>
        <w:spacing w:before="0" w:beforeAutospacing="0" w:after="0" w:afterAutospacing="0" w:line="400" w:lineRule="exact"/>
        <w:ind w:firstLine="480" w:firstLineChars="200"/>
        <w:rPr>
          <w:rFonts w:cs="Times New Roman"/>
          <w:kern w:val="2"/>
          <w:szCs w:val="20"/>
          <w:highlight w:val="none"/>
        </w:rPr>
      </w:pPr>
      <w:r>
        <w:rPr>
          <w:rFonts w:hint="eastAsia" w:cs="Times New Roman"/>
          <w:kern w:val="2"/>
          <w:szCs w:val="20"/>
          <w:highlight w:val="none"/>
        </w:rPr>
        <w:t xml:space="preserve">  （以中标方投标承诺为准） </w:t>
      </w:r>
    </w:p>
    <w:p>
      <w:pPr>
        <w:pStyle w:val="34"/>
        <w:adjustRightInd w:val="0"/>
        <w:snapToGrid w:val="0"/>
        <w:spacing w:before="0" w:beforeAutospacing="0" w:after="0" w:afterAutospacing="0" w:line="400" w:lineRule="exact"/>
        <w:ind w:firstLine="480" w:firstLineChars="200"/>
        <w:rPr>
          <w:rFonts w:cs="Times New Roman"/>
          <w:kern w:val="2"/>
          <w:szCs w:val="20"/>
          <w:highlight w:val="none"/>
        </w:rPr>
      </w:pPr>
      <w:r>
        <w:rPr>
          <w:rFonts w:hint="eastAsia" w:cs="Times New Roman"/>
          <w:kern w:val="2"/>
          <w:szCs w:val="20"/>
          <w:highlight w:val="none"/>
        </w:rPr>
        <w:t>13.  双方责任</w:t>
      </w:r>
    </w:p>
    <w:p>
      <w:pPr>
        <w:pStyle w:val="34"/>
        <w:adjustRightInd w:val="0"/>
        <w:snapToGrid w:val="0"/>
        <w:spacing w:before="0" w:beforeAutospacing="0" w:after="0" w:afterAutospacing="0" w:line="400" w:lineRule="exact"/>
        <w:ind w:firstLine="480" w:firstLineChars="200"/>
        <w:rPr>
          <w:rFonts w:cs="Times New Roman"/>
          <w:kern w:val="2"/>
          <w:szCs w:val="20"/>
          <w:highlight w:val="none"/>
        </w:rPr>
      </w:pPr>
      <w:r>
        <w:rPr>
          <w:highlight w:val="none"/>
        </w:rPr>
        <w:t>1</w:t>
      </w:r>
      <w:r>
        <w:rPr>
          <w:rFonts w:hint="eastAsia"/>
          <w:highlight w:val="none"/>
        </w:rPr>
        <w:t>3</w:t>
      </w:r>
      <w:r>
        <w:rPr>
          <w:highlight w:val="none"/>
        </w:rPr>
        <w:t xml:space="preserve">.1  </w:t>
      </w:r>
      <w:r>
        <w:rPr>
          <w:rFonts w:hint="eastAsia"/>
          <w:highlight w:val="none"/>
        </w:rPr>
        <w:t>买方责任</w:t>
      </w:r>
    </w:p>
    <w:p>
      <w:pPr>
        <w:adjustRightInd w:val="0"/>
        <w:snapToGrid w:val="0"/>
        <w:spacing w:line="400" w:lineRule="exact"/>
        <w:ind w:firstLine="480" w:firstLineChars="200"/>
        <w:rPr>
          <w:rFonts w:ascii="宋体" w:hAnsi="宋体"/>
          <w:sz w:val="24"/>
          <w:highlight w:val="none"/>
        </w:rPr>
      </w:pPr>
      <w:r>
        <w:rPr>
          <w:rFonts w:ascii="宋体" w:hAnsi="宋体"/>
          <w:sz w:val="24"/>
          <w:highlight w:val="none"/>
        </w:rPr>
        <w:t>1</w:t>
      </w:r>
      <w:r>
        <w:rPr>
          <w:rFonts w:hint="eastAsia" w:ascii="宋体" w:hAnsi="宋体"/>
          <w:sz w:val="24"/>
          <w:highlight w:val="none"/>
        </w:rPr>
        <w:t>3</w:t>
      </w:r>
      <w:r>
        <w:rPr>
          <w:rFonts w:ascii="宋体" w:hAnsi="宋体"/>
          <w:sz w:val="24"/>
          <w:highlight w:val="none"/>
        </w:rPr>
        <w:t xml:space="preserve">.1.1  </w:t>
      </w:r>
      <w:r>
        <w:rPr>
          <w:rFonts w:hint="eastAsia" w:ascii="宋体" w:hAnsi="宋体"/>
          <w:sz w:val="24"/>
          <w:highlight w:val="none"/>
        </w:rPr>
        <w:t>按合同规定向卖方支付货款。</w:t>
      </w:r>
    </w:p>
    <w:p>
      <w:pPr>
        <w:adjustRightInd w:val="0"/>
        <w:snapToGrid w:val="0"/>
        <w:spacing w:line="400" w:lineRule="exact"/>
        <w:ind w:firstLine="480" w:firstLineChars="200"/>
        <w:rPr>
          <w:rFonts w:ascii="宋体" w:hAnsi="宋体"/>
          <w:sz w:val="24"/>
          <w:highlight w:val="none"/>
        </w:rPr>
      </w:pPr>
      <w:r>
        <w:rPr>
          <w:rFonts w:ascii="宋体" w:hAnsi="宋体"/>
          <w:sz w:val="24"/>
          <w:highlight w:val="none"/>
        </w:rPr>
        <w:t>1</w:t>
      </w:r>
      <w:r>
        <w:rPr>
          <w:rFonts w:hint="eastAsia" w:ascii="宋体" w:hAnsi="宋体"/>
          <w:sz w:val="24"/>
          <w:highlight w:val="none"/>
        </w:rPr>
        <w:t>3</w:t>
      </w:r>
      <w:r>
        <w:rPr>
          <w:rFonts w:ascii="宋体" w:hAnsi="宋体"/>
          <w:sz w:val="24"/>
          <w:highlight w:val="none"/>
        </w:rPr>
        <w:t xml:space="preserve">.1.2  </w:t>
      </w:r>
      <w:r>
        <w:rPr>
          <w:rFonts w:hint="eastAsia" w:ascii="宋体" w:hAnsi="宋体"/>
          <w:sz w:val="24"/>
          <w:highlight w:val="none"/>
        </w:rPr>
        <w:t>组织对货物的验收。</w:t>
      </w:r>
    </w:p>
    <w:p>
      <w:pPr>
        <w:adjustRightInd w:val="0"/>
        <w:snapToGrid w:val="0"/>
        <w:spacing w:line="400" w:lineRule="exact"/>
        <w:ind w:firstLine="480" w:firstLineChars="200"/>
        <w:rPr>
          <w:rFonts w:ascii="宋体" w:hAnsi="宋体"/>
          <w:sz w:val="24"/>
          <w:highlight w:val="none"/>
        </w:rPr>
      </w:pPr>
      <w:r>
        <w:rPr>
          <w:rFonts w:ascii="宋体" w:hAnsi="宋体"/>
          <w:sz w:val="24"/>
          <w:highlight w:val="none"/>
        </w:rPr>
        <w:t>1</w:t>
      </w:r>
      <w:r>
        <w:rPr>
          <w:rFonts w:hint="eastAsia" w:ascii="宋体" w:hAnsi="宋体"/>
          <w:sz w:val="24"/>
          <w:highlight w:val="none"/>
        </w:rPr>
        <w:t>3</w:t>
      </w:r>
      <w:r>
        <w:rPr>
          <w:rFonts w:ascii="宋体" w:hAnsi="宋体"/>
          <w:sz w:val="24"/>
          <w:highlight w:val="none"/>
        </w:rPr>
        <w:t xml:space="preserve">.2  </w:t>
      </w:r>
      <w:r>
        <w:rPr>
          <w:rFonts w:hint="eastAsia" w:ascii="宋体" w:hAnsi="宋体"/>
          <w:sz w:val="24"/>
          <w:highlight w:val="none"/>
        </w:rPr>
        <w:t>卖方责任</w:t>
      </w:r>
    </w:p>
    <w:p>
      <w:pPr>
        <w:adjustRightInd w:val="0"/>
        <w:snapToGrid w:val="0"/>
        <w:spacing w:line="400" w:lineRule="exact"/>
        <w:ind w:firstLine="480" w:firstLineChars="200"/>
        <w:rPr>
          <w:rFonts w:ascii="宋体" w:hAnsi="宋体"/>
          <w:sz w:val="24"/>
          <w:highlight w:val="none"/>
        </w:rPr>
      </w:pPr>
      <w:r>
        <w:rPr>
          <w:rFonts w:ascii="宋体" w:hAnsi="宋体"/>
          <w:sz w:val="24"/>
          <w:highlight w:val="none"/>
        </w:rPr>
        <w:t>1</w:t>
      </w:r>
      <w:r>
        <w:rPr>
          <w:rFonts w:hint="eastAsia" w:ascii="宋体" w:hAnsi="宋体"/>
          <w:sz w:val="24"/>
          <w:highlight w:val="none"/>
        </w:rPr>
        <w:t>3</w:t>
      </w:r>
      <w:r>
        <w:rPr>
          <w:rFonts w:ascii="宋体" w:hAnsi="宋体"/>
          <w:sz w:val="24"/>
          <w:highlight w:val="none"/>
        </w:rPr>
        <w:t xml:space="preserve">.2.1  </w:t>
      </w:r>
      <w:r>
        <w:rPr>
          <w:rFonts w:hint="eastAsia" w:ascii="宋体" w:hAnsi="宋体"/>
          <w:sz w:val="24"/>
          <w:highlight w:val="none"/>
        </w:rPr>
        <w:t>按合同要求提供货物和服务。</w:t>
      </w:r>
    </w:p>
    <w:p>
      <w:pPr>
        <w:adjustRightInd w:val="0"/>
        <w:snapToGrid w:val="0"/>
        <w:spacing w:line="400" w:lineRule="exact"/>
        <w:ind w:firstLine="480" w:firstLineChars="200"/>
        <w:rPr>
          <w:rFonts w:ascii="宋体" w:hAnsi="宋体"/>
          <w:sz w:val="24"/>
          <w:highlight w:val="none"/>
        </w:rPr>
      </w:pPr>
      <w:r>
        <w:rPr>
          <w:rFonts w:ascii="宋体" w:hAnsi="宋体"/>
          <w:sz w:val="24"/>
          <w:highlight w:val="none"/>
        </w:rPr>
        <w:t>1</w:t>
      </w:r>
      <w:r>
        <w:rPr>
          <w:rFonts w:hint="eastAsia" w:ascii="宋体" w:hAnsi="宋体"/>
          <w:sz w:val="24"/>
          <w:highlight w:val="none"/>
        </w:rPr>
        <w:t>3</w:t>
      </w:r>
      <w:r>
        <w:rPr>
          <w:rFonts w:ascii="宋体" w:hAnsi="宋体"/>
          <w:sz w:val="24"/>
          <w:highlight w:val="none"/>
        </w:rPr>
        <w:t xml:space="preserve">.2.2  </w:t>
      </w:r>
      <w:r>
        <w:rPr>
          <w:rFonts w:hint="eastAsia" w:ascii="宋体" w:hAnsi="宋体"/>
          <w:sz w:val="24"/>
          <w:highlight w:val="none"/>
        </w:rPr>
        <w:t>对所提供的货物和服务质量问题无条件负责处理。</w:t>
      </w:r>
    </w:p>
    <w:p>
      <w:pPr>
        <w:adjustRightInd w:val="0"/>
        <w:snapToGrid w:val="0"/>
        <w:spacing w:line="400" w:lineRule="exact"/>
        <w:ind w:firstLine="480" w:firstLineChars="200"/>
        <w:rPr>
          <w:rFonts w:ascii="宋体" w:hAnsi="宋体"/>
          <w:sz w:val="24"/>
          <w:highlight w:val="none"/>
        </w:rPr>
      </w:pPr>
      <w:r>
        <w:rPr>
          <w:rFonts w:ascii="宋体" w:hAnsi="宋体"/>
          <w:sz w:val="24"/>
          <w:highlight w:val="none"/>
        </w:rPr>
        <w:t>1</w:t>
      </w:r>
      <w:r>
        <w:rPr>
          <w:rFonts w:hint="eastAsia" w:ascii="宋体" w:hAnsi="宋体"/>
          <w:sz w:val="24"/>
          <w:highlight w:val="none"/>
        </w:rPr>
        <w:t>3</w:t>
      </w:r>
      <w:r>
        <w:rPr>
          <w:rFonts w:ascii="宋体" w:hAnsi="宋体"/>
          <w:sz w:val="24"/>
          <w:highlight w:val="none"/>
        </w:rPr>
        <w:t>.2.3卖方对本合同签订及履行过程中获知的买方信息负有保密义务。</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14.  违约责任</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14.1  交货违约</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14.1.1  卖方违反本合同约定，延迟交货未取得买方书面同意的，每延迟一天按合同总价的1 ‰扣除履约保证金；延迟超过15日，买方有权单方解除合同，扣除全部履约保证金，还应当承担合同总额30%的违约金，造成买方损失的，卖方还应当赔偿。</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14.1.2卖方所发货品规格、型号、质量等不符合合同约定的，买方有权单方解除合同，拒绝收货和付款，扣除履约保证金，并由卖方承担合同总额30%的违约金，由此所发生的一切费用、损失（包括给双方造成的经济损失），均由卖方负责。</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14.1.3合同生效后，卖方中途解除合同（不可抗力原因除外），应按给买方造成的损失向甲方支付赔偿金，买方有权扣除履约保证金，并由卖方向买方支付合同总金额30%的违约金。</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14.1.4卖方违约，还应赔偿买方因此遭受的其他损失，包括为主张权益所支付的律师费、交通费、公证费、鉴定费、评估费、差旅费等全部费用。</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14.1.5卖方违约的，买方有权将相应违约金、赔偿金从履约保证金及应给卖方支付的货款中直接予以扣除。</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14.2  付款违约</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买方接收经验收合格的货物后而未能按合同约定时间付款的，推迟付款时间超过</w:t>
      </w:r>
      <w:r>
        <w:rPr>
          <w:rFonts w:hint="eastAsia" w:ascii="宋体" w:hAnsi="宋体"/>
          <w:sz w:val="24"/>
          <w:highlight w:val="none"/>
          <w:u w:val="single"/>
        </w:rPr>
        <w:t>30</w:t>
      </w:r>
      <w:r>
        <w:rPr>
          <w:rFonts w:hint="eastAsia" w:ascii="宋体" w:hAnsi="宋体"/>
          <w:sz w:val="24"/>
          <w:highlight w:val="none"/>
        </w:rPr>
        <w:t>天时，每超过一天按合同总价的</w:t>
      </w:r>
      <w:r>
        <w:rPr>
          <w:rFonts w:hint="eastAsia" w:ascii="宋体" w:hAnsi="宋体"/>
          <w:sz w:val="24"/>
          <w:highlight w:val="none"/>
          <w:u w:val="single"/>
        </w:rPr>
        <w:t>1</w:t>
      </w:r>
      <w:r>
        <w:rPr>
          <w:rFonts w:hint="eastAsia" w:ascii="宋体" w:hAnsi="宋体"/>
          <w:sz w:val="24"/>
          <w:highlight w:val="none"/>
        </w:rPr>
        <w:t>‰向对方支付违约金。</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14.3任意一方如提出增减合同数量，变动交货的，应提前通知对方，并征得对方同意，否则应承担与之相关的经济责任。</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14.4卖方违反保密义务或违反禁止转让、分包合同义务或违反本合同其他约定的，除本合同另有约定外，应按照本合同总价款的5%向买方支付违约金。</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14.5卖方提供货物不符合约定或违反本协议其他约定，给买方造成损失的，应赔偿买方的全部损失，包括但不限于直接损失、间接损失、买方为处理违约事件支出的律师费、诉讼费、评估费、鉴定费等。</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14.6本合同所称违约金可以累积计算。</w:t>
      </w:r>
    </w:p>
    <w:p>
      <w:pPr>
        <w:snapToGrid w:val="0"/>
        <w:spacing w:line="400" w:lineRule="exact"/>
        <w:ind w:firstLine="480" w:firstLineChars="200"/>
        <w:rPr>
          <w:rFonts w:ascii="宋体" w:hAnsi="宋体"/>
          <w:bCs/>
          <w:sz w:val="24"/>
          <w:highlight w:val="none"/>
        </w:rPr>
      </w:pPr>
      <w:r>
        <w:rPr>
          <w:rFonts w:hint="eastAsia" w:ascii="宋体" w:hAnsi="宋体"/>
          <w:bCs/>
          <w:sz w:val="24"/>
          <w:highlight w:val="none"/>
        </w:rPr>
        <w:t>15.  履约保证金</w:t>
      </w:r>
    </w:p>
    <w:p>
      <w:pPr>
        <w:snapToGrid w:val="0"/>
        <w:spacing w:line="400" w:lineRule="exact"/>
        <w:ind w:firstLine="480" w:firstLineChars="200"/>
        <w:rPr>
          <w:rFonts w:ascii="宋体" w:hAnsi="宋体" w:cs="宋体"/>
          <w:sz w:val="24"/>
          <w:highlight w:val="none"/>
        </w:rPr>
      </w:pPr>
      <w:r>
        <w:rPr>
          <w:rFonts w:hint="eastAsia" w:ascii="宋体" w:hAnsi="宋体" w:cs="宋体"/>
          <w:sz w:val="24"/>
          <w:highlight w:val="none"/>
        </w:rPr>
        <w:t>15.1</w:t>
      </w:r>
      <w:r>
        <w:rPr>
          <w:rFonts w:hint="eastAsia" w:ascii="宋体" w:hAnsi="宋体" w:cs="宋体"/>
          <w:sz w:val="24"/>
          <w:highlight w:val="none"/>
          <w:lang w:val="zh-CN"/>
        </w:rPr>
        <w:t>履约保证金金额：签约合同价的</w:t>
      </w:r>
      <w:r>
        <w:rPr>
          <w:rFonts w:hint="eastAsia" w:ascii="宋体" w:hAnsi="宋体" w:cs="宋体"/>
          <w:sz w:val="24"/>
          <w:highlight w:val="none"/>
        </w:rPr>
        <w:t>5%；</w:t>
      </w:r>
    </w:p>
    <w:p>
      <w:pPr>
        <w:snapToGrid w:val="0"/>
        <w:spacing w:line="400" w:lineRule="exact"/>
        <w:ind w:firstLine="480" w:firstLineChars="200"/>
        <w:rPr>
          <w:rFonts w:ascii="宋体" w:hAnsi="宋体" w:cs="宋体"/>
          <w:sz w:val="24"/>
          <w:highlight w:val="none"/>
        </w:rPr>
      </w:pPr>
      <w:r>
        <w:rPr>
          <w:rFonts w:hint="eastAsia" w:ascii="宋体" w:hAnsi="宋体" w:cs="宋体"/>
          <w:sz w:val="24"/>
          <w:highlight w:val="none"/>
        </w:rPr>
        <w:t>15.2履约保证金缴纳时间：合同签订之前</w:t>
      </w:r>
    </w:p>
    <w:p>
      <w:pPr>
        <w:snapToGrid w:val="0"/>
        <w:spacing w:line="400" w:lineRule="exact"/>
        <w:ind w:firstLine="480" w:firstLineChars="200"/>
        <w:rPr>
          <w:rFonts w:ascii="宋体" w:hAnsi="宋体" w:cs="宋体"/>
          <w:sz w:val="24"/>
          <w:highlight w:val="none"/>
        </w:rPr>
      </w:pPr>
      <w:r>
        <w:rPr>
          <w:rFonts w:hint="eastAsia" w:ascii="宋体" w:hAnsi="宋体" w:cs="宋体"/>
          <w:sz w:val="24"/>
          <w:highlight w:val="none"/>
        </w:rPr>
        <w:t>15.3履约保证金缴纳方式：支票、汇票、本票或者金融机构、担保机构出具的保函等非现金形式。</w:t>
      </w:r>
    </w:p>
    <w:p>
      <w:pPr>
        <w:snapToGrid w:val="0"/>
        <w:spacing w:line="400" w:lineRule="exact"/>
        <w:ind w:firstLine="480" w:firstLineChars="200"/>
        <w:rPr>
          <w:rFonts w:ascii="宋体" w:hAnsi="宋体" w:cs="宋体"/>
          <w:sz w:val="24"/>
          <w:highlight w:val="none"/>
        </w:rPr>
      </w:pPr>
      <w:r>
        <w:rPr>
          <w:rFonts w:hint="eastAsia" w:ascii="宋体" w:hAnsi="宋体" w:cs="宋体"/>
          <w:sz w:val="24"/>
          <w:highlight w:val="none"/>
        </w:rPr>
        <w:t>15.4履约保证金退还时间：中标单位按合同约定交付全部产品，安装调试完毕，书面验收合格一年后，采购单位无息退还全部履约保证金。</w:t>
      </w:r>
    </w:p>
    <w:p>
      <w:pPr>
        <w:snapToGrid w:val="0"/>
        <w:spacing w:line="400" w:lineRule="exact"/>
        <w:ind w:firstLine="480" w:firstLineChars="200"/>
        <w:rPr>
          <w:rFonts w:ascii="宋体" w:hAnsi="宋体" w:cs="宋体"/>
          <w:sz w:val="24"/>
          <w:highlight w:val="none"/>
        </w:rPr>
      </w:pPr>
      <w:r>
        <w:rPr>
          <w:rFonts w:hint="eastAsia" w:ascii="宋体" w:hAnsi="宋体" w:cs="宋体"/>
          <w:sz w:val="24"/>
          <w:highlight w:val="none"/>
        </w:rPr>
        <w:t>15.5履约保证金不予退还的情形：1）成交</w:t>
      </w:r>
      <w:r>
        <w:rPr>
          <w:rFonts w:hint="eastAsia" w:ascii="宋体" w:hAnsi="宋体" w:cs="宋体"/>
          <w:sz w:val="24"/>
          <w:highlight w:val="none"/>
          <w:lang w:eastAsia="zh-CN"/>
        </w:rPr>
        <w:t>投标人</w:t>
      </w:r>
      <w:r>
        <w:rPr>
          <w:rFonts w:hint="eastAsia" w:ascii="宋体" w:hAnsi="宋体" w:cs="宋体"/>
          <w:sz w:val="24"/>
          <w:highlight w:val="none"/>
        </w:rPr>
        <w:t>不履行与招标人订立的合同的，履约保证金不予退还；2）给招标人造成的损失超过履约保证金数额的，还应当对超过部分予以赔偿；3）没有提交履约保证金的，应当对招标人的损失承担赔偿责任。</w:t>
      </w:r>
    </w:p>
    <w:p>
      <w:pPr>
        <w:snapToGrid w:val="0"/>
        <w:spacing w:line="400" w:lineRule="exact"/>
        <w:ind w:firstLine="480" w:firstLineChars="200"/>
        <w:rPr>
          <w:rFonts w:ascii="宋体" w:hAnsi="宋体"/>
          <w:bCs/>
          <w:sz w:val="24"/>
          <w:highlight w:val="none"/>
        </w:rPr>
      </w:pPr>
      <w:r>
        <w:rPr>
          <w:rFonts w:hint="eastAsia" w:ascii="宋体" w:hAnsi="宋体"/>
          <w:bCs/>
          <w:sz w:val="24"/>
          <w:highlight w:val="none"/>
        </w:rPr>
        <w:t>16.  合同终止</w:t>
      </w:r>
    </w:p>
    <w:p>
      <w:pPr>
        <w:snapToGrid w:val="0"/>
        <w:spacing w:line="400" w:lineRule="exact"/>
        <w:ind w:firstLine="480" w:firstLineChars="200"/>
        <w:rPr>
          <w:rFonts w:ascii="宋体" w:hAnsi="宋体"/>
          <w:bCs/>
          <w:sz w:val="24"/>
          <w:highlight w:val="none"/>
        </w:rPr>
      </w:pPr>
      <w:r>
        <w:rPr>
          <w:rFonts w:hint="eastAsia" w:ascii="宋体" w:hAnsi="宋体"/>
          <w:bCs/>
          <w:sz w:val="24"/>
          <w:highlight w:val="none"/>
        </w:rPr>
        <w:t>发生下列情况时，买方有权单方终止合同：</w:t>
      </w:r>
    </w:p>
    <w:p>
      <w:pPr>
        <w:snapToGrid w:val="0"/>
        <w:spacing w:line="400" w:lineRule="exact"/>
        <w:ind w:firstLine="480" w:firstLineChars="200"/>
        <w:rPr>
          <w:rFonts w:ascii="宋体" w:hAnsi="宋体"/>
          <w:bCs/>
          <w:sz w:val="24"/>
          <w:highlight w:val="none"/>
        </w:rPr>
      </w:pPr>
      <w:r>
        <w:rPr>
          <w:rFonts w:hint="eastAsia" w:ascii="宋体" w:hAnsi="宋体"/>
          <w:bCs/>
          <w:sz w:val="24"/>
          <w:highlight w:val="none"/>
        </w:rPr>
        <w:t>1）卖方未能在合同规定的期限内或买方同意延长的期限内提供全部或部分货物；</w:t>
      </w:r>
    </w:p>
    <w:p>
      <w:pPr>
        <w:snapToGrid w:val="0"/>
        <w:spacing w:line="400" w:lineRule="exact"/>
        <w:ind w:firstLine="480" w:firstLineChars="200"/>
        <w:rPr>
          <w:rFonts w:ascii="宋体" w:hAnsi="宋体"/>
          <w:bCs/>
          <w:sz w:val="24"/>
          <w:highlight w:val="none"/>
        </w:rPr>
      </w:pPr>
      <w:r>
        <w:rPr>
          <w:rFonts w:hint="eastAsia" w:ascii="宋体" w:hAnsi="宋体"/>
          <w:bCs/>
          <w:sz w:val="24"/>
          <w:highlight w:val="none"/>
        </w:rPr>
        <w:t>2）卖方未能履行合同规定的其他义务，卖方在收到买方发出的违约通知后30天内，或经买方书面认可延长的时间内未能纠正其过失。买方可向卖方发出书面通知，终止部分或全部合同，在这种情况下，并不影响买方向卖方提出的索赔。</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17.  纠纷解决方式</w:t>
      </w:r>
    </w:p>
    <w:p>
      <w:pPr>
        <w:snapToGrid w:val="0"/>
        <w:spacing w:line="400" w:lineRule="exact"/>
        <w:ind w:firstLine="420"/>
        <w:rPr>
          <w:rFonts w:ascii="宋体" w:hAnsi="宋体"/>
          <w:sz w:val="24"/>
          <w:highlight w:val="none"/>
        </w:rPr>
      </w:pPr>
      <w:r>
        <w:rPr>
          <w:rFonts w:hint="eastAsia" w:ascii="宋体" w:hAnsi="宋体"/>
          <w:sz w:val="24"/>
          <w:highlight w:val="none"/>
        </w:rPr>
        <w:t>本合同在执行中发生纠纷时，双方应友好协商予以解决。如协商解决不成时，双方约定采用第</w:t>
      </w:r>
      <w:r>
        <w:rPr>
          <w:rFonts w:hint="eastAsia" w:ascii="宋体" w:hAnsi="宋体"/>
          <w:sz w:val="24"/>
          <w:highlight w:val="none"/>
          <w:u w:val="single"/>
        </w:rPr>
        <w:t>17.1</w:t>
      </w:r>
      <w:r>
        <w:rPr>
          <w:rFonts w:hint="eastAsia" w:ascii="宋体" w:hAnsi="宋体"/>
          <w:sz w:val="24"/>
          <w:highlight w:val="none"/>
        </w:rPr>
        <w:t>种方式解决。</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17.1  向</w:t>
      </w:r>
      <w:r>
        <w:rPr>
          <w:rFonts w:hint="eastAsia" w:ascii="宋体" w:hAnsi="宋体"/>
          <w:sz w:val="24"/>
          <w:highlight w:val="none"/>
          <w:u w:val="single"/>
        </w:rPr>
        <w:t>合同签订地</w:t>
      </w:r>
      <w:r>
        <w:rPr>
          <w:rFonts w:hint="eastAsia" w:ascii="宋体" w:hAnsi="宋体"/>
          <w:sz w:val="24"/>
          <w:highlight w:val="none"/>
        </w:rPr>
        <w:t>人民法院提出诉讼；</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17.2  申请</w:t>
      </w:r>
      <w:r>
        <w:rPr>
          <w:rFonts w:hint="eastAsia" w:ascii="宋体" w:hAnsi="宋体"/>
          <w:sz w:val="24"/>
          <w:highlight w:val="none"/>
          <w:u w:val="single"/>
        </w:rPr>
        <w:t>合同签订地</w:t>
      </w:r>
      <w:r>
        <w:rPr>
          <w:rFonts w:hint="eastAsia" w:ascii="宋体" w:hAnsi="宋体"/>
          <w:sz w:val="24"/>
          <w:highlight w:val="none"/>
        </w:rPr>
        <w:t>（仲裁机构）进行仲裁。</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18.  转让和分包</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卖方不得转让或分包其履行合同的义务。</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19.  适用法律</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本合同按照中华人民共和国的法律进行解释。</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20.合同生效及其他</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20.1合同效力执行本合同《协议书》。</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20.2  合同执行期间，如因故不能履行或需要修改时，必须经双方同意，并互相换文或另订合同。其它未尽事宜，双方应友好进行协商。协商结果以“补充件”的形式作为本合同的附件，与本合同有同等的法律效力。</w:t>
      </w:r>
    </w:p>
    <w:p>
      <w:pPr>
        <w:snapToGrid w:val="0"/>
        <w:spacing w:line="400" w:lineRule="exact"/>
        <w:ind w:firstLine="480" w:firstLineChars="200"/>
        <w:rPr>
          <w:rFonts w:ascii="宋体" w:hAnsi="宋体"/>
          <w:sz w:val="24"/>
          <w:highlight w:val="none"/>
          <w:u w:val="single"/>
        </w:rPr>
      </w:pPr>
      <w:r>
        <w:rPr>
          <w:rFonts w:hint="eastAsia" w:ascii="宋体" w:hAnsi="宋体"/>
          <w:sz w:val="24"/>
          <w:highlight w:val="none"/>
        </w:rPr>
        <w:t>20.3 其他约定事项：</w:t>
      </w:r>
      <w:r>
        <w:rPr>
          <w:rFonts w:hint="eastAsia" w:ascii="宋体" w:hAnsi="宋体"/>
          <w:sz w:val="24"/>
          <w:highlight w:val="none"/>
          <w:u w:val="single"/>
        </w:rPr>
        <w:t xml:space="preserve">①合同签订地：       </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20.4 合同有效期：年月日至年月日。</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20.5通知和送达买卖双方就本合同中涉及各类通知、协议等文件以及就合同发生纠纷时相关文件和法律文书送达时的送达地址及法律后果作如下约定：</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20.5.1买卖双方确认有效的地址及联系方式以本合同首部列明的为准。</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20.5.2双方该送达地址适用范围包括双方非诉时各类通知、协议等文件以及就合同发生纠纷时相关文件和法律文书的送达，同时包括在争议进入仲裁、民事诉讼程序后的一审、二审、再审和执行程序。</w:t>
      </w:r>
    </w:p>
    <w:p>
      <w:pPr>
        <w:snapToGrid w:val="0"/>
        <w:spacing w:line="400" w:lineRule="exact"/>
        <w:ind w:firstLine="480" w:firstLineChars="200"/>
        <w:rPr>
          <w:rFonts w:ascii="宋体" w:hAnsi="宋体"/>
          <w:sz w:val="24"/>
          <w:highlight w:val="none"/>
        </w:rPr>
      </w:pPr>
      <w:r>
        <w:rPr>
          <w:rFonts w:hint="eastAsia" w:ascii="宋体" w:hAnsi="宋体"/>
          <w:sz w:val="24"/>
          <w:highlight w:val="none"/>
        </w:rPr>
        <w:t>20.5.3双方上述送达地址需要变更时应当向对方履行书面通知义务。若未履行变更通知义务，双方所确认的送达地址仍视为有效送达地址，因双方提供或者确认的送达地址不准确、送达地址变更后未及时依程序告知对方和法院、其他当事人或指定的接收人拒绝接收等原因，导致法律文书未能被接收方实际接收的，邮寄送达的，以文书退回之日视为送达之日；直接送达的，送达人当场在送达回证上记明情况之日视为送达之日；履行送达地址变更通知义务的，以变更后的送达地址为有效送达地址。对于上述双方在合同中明确约定的送达地址，法院进行送达时可直接邮寄送达，即使接收方未能收到法院邮寄送达的文书，由于其在合同中的约定，也应当视为送达。</w:t>
      </w:r>
    </w:p>
    <w:p>
      <w:pPr>
        <w:snapToGrid w:val="0"/>
        <w:spacing w:line="400" w:lineRule="exact"/>
        <w:ind w:firstLine="208" w:firstLineChars="87"/>
        <w:rPr>
          <w:rFonts w:ascii="宋体" w:hAnsi="宋体"/>
          <w:bCs/>
          <w:sz w:val="24"/>
          <w:highlight w:val="none"/>
        </w:rPr>
      </w:pPr>
    </w:p>
    <w:p>
      <w:pPr>
        <w:snapToGrid w:val="0"/>
        <w:spacing w:line="400" w:lineRule="exact"/>
        <w:ind w:firstLine="208" w:firstLineChars="87"/>
        <w:rPr>
          <w:rFonts w:ascii="宋体" w:hAnsi="宋体"/>
          <w:bCs/>
          <w:sz w:val="24"/>
          <w:highlight w:val="none"/>
        </w:rPr>
      </w:pPr>
    </w:p>
    <w:p>
      <w:pPr>
        <w:snapToGrid w:val="0"/>
        <w:spacing w:line="400" w:lineRule="exact"/>
        <w:ind w:firstLine="208" w:firstLineChars="87"/>
        <w:rPr>
          <w:rFonts w:ascii="宋体" w:hAnsi="宋体"/>
          <w:bCs/>
          <w:sz w:val="24"/>
          <w:highlight w:val="none"/>
        </w:rPr>
      </w:pPr>
    </w:p>
    <w:p>
      <w:pPr>
        <w:snapToGrid w:val="0"/>
        <w:spacing w:line="400" w:lineRule="exact"/>
        <w:ind w:firstLine="208" w:firstLineChars="87"/>
        <w:rPr>
          <w:rFonts w:ascii="宋体" w:hAnsi="宋体"/>
          <w:bCs/>
          <w:sz w:val="24"/>
          <w:highlight w:val="none"/>
        </w:rPr>
      </w:pPr>
      <w:r>
        <w:rPr>
          <w:rFonts w:hint="eastAsia" w:ascii="宋体" w:hAnsi="宋体"/>
          <w:bCs/>
          <w:sz w:val="24"/>
          <w:highlight w:val="none"/>
        </w:rPr>
        <w:t xml:space="preserve">买方（印章）：                              卖方：（印章） </w:t>
      </w:r>
    </w:p>
    <w:p>
      <w:pPr>
        <w:snapToGrid w:val="0"/>
        <w:spacing w:line="400" w:lineRule="exact"/>
        <w:ind w:firstLine="208" w:firstLineChars="87"/>
        <w:rPr>
          <w:rFonts w:ascii="宋体" w:hAnsi="宋体"/>
          <w:bCs/>
          <w:sz w:val="24"/>
          <w:highlight w:val="none"/>
        </w:rPr>
      </w:pPr>
      <w:r>
        <w:rPr>
          <w:rFonts w:hint="eastAsia" w:ascii="宋体" w:hAnsi="宋体"/>
          <w:bCs/>
          <w:sz w:val="24"/>
          <w:highlight w:val="none"/>
        </w:rPr>
        <w:t>法定代表人或委托代理人:（签字）           法定代表人或委托代理人:（签字）</w:t>
      </w:r>
    </w:p>
    <w:p>
      <w:pPr>
        <w:snapToGrid w:val="0"/>
        <w:spacing w:line="400" w:lineRule="exact"/>
        <w:ind w:firstLine="208" w:firstLineChars="87"/>
        <w:rPr>
          <w:rFonts w:ascii="宋体" w:hAnsi="宋体"/>
          <w:bCs/>
          <w:sz w:val="24"/>
          <w:highlight w:val="none"/>
        </w:rPr>
      </w:pPr>
      <w:r>
        <w:rPr>
          <w:rFonts w:hint="eastAsia" w:ascii="宋体" w:hAnsi="宋体"/>
          <w:bCs/>
          <w:sz w:val="24"/>
          <w:highlight w:val="none"/>
        </w:rPr>
        <w:t xml:space="preserve">地址：                                      地址：    </w:t>
      </w:r>
    </w:p>
    <w:p>
      <w:pPr>
        <w:snapToGrid w:val="0"/>
        <w:spacing w:line="400" w:lineRule="exact"/>
        <w:ind w:firstLine="208" w:firstLineChars="87"/>
        <w:rPr>
          <w:rFonts w:ascii="宋体" w:hAnsi="宋体"/>
          <w:bCs/>
          <w:sz w:val="24"/>
          <w:highlight w:val="none"/>
        </w:rPr>
      </w:pPr>
      <w:r>
        <w:rPr>
          <w:rFonts w:hint="eastAsia" w:ascii="宋体" w:hAnsi="宋体"/>
          <w:bCs/>
          <w:sz w:val="24"/>
          <w:highlight w:val="none"/>
        </w:rPr>
        <w:t xml:space="preserve">邮政编码：                                  邮政编码： </w:t>
      </w:r>
    </w:p>
    <w:p>
      <w:pPr>
        <w:snapToGrid w:val="0"/>
        <w:spacing w:line="400" w:lineRule="exact"/>
        <w:ind w:firstLine="208" w:firstLineChars="87"/>
        <w:rPr>
          <w:rFonts w:ascii="宋体" w:hAnsi="宋体"/>
          <w:bCs/>
          <w:sz w:val="24"/>
          <w:highlight w:val="none"/>
        </w:rPr>
      </w:pPr>
      <w:r>
        <w:rPr>
          <w:rFonts w:hint="eastAsia" w:ascii="宋体" w:hAnsi="宋体"/>
          <w:bCs/>
          <w:sz w:val="24"/>
          <w:highlight w:val="none"/>
        </w:rPr>
        <w:t xml:space="preserve">电话：                                      电话： </w:t>
      </w:r>
    </w:p>
    <w:p>
      <w:pPr>
        <w:snapToGrid w:val="0"/>
        <w:spacing w:line="400" w:lineRule="exact"/>
        <w:ind w:firstLine="208" w:firstLineChars="87"/>
        <w:rPr>
          <w:rFonts w:ascii="宋体" w:hAnsi="宋体"/>
          <w:bCs/>
          <w:sz w:val="24"/>
          <w:highlight w:val="none"/>
        </w:rPr>
      </w:pPr>
      <w:r>
        <w:rPr>
          <w:rFonts w:hint="eastAsia" w:ascii="宋体" w:hAnsi="宋体"/>
          <w:bCs/>
          <w:sz w:val="24"/>
          <w:highlight w:val="none"/>
        </w:rPr>
        <w:t xml:space="preserve">传真：                                      传真： </w:t>
      </w:r>
    </w:p>
    <w:p>
      <w:pPr>
        <w:snapToGrid w:val="0"/>
        <w:spacing w:line="400" w:lineRule="exact"/>
        <w:ind w:firstLine="208" w:firstLineChars="87"/>
        <w:rPr>
          <w:rFonts w:ascii="宋体" w:hAnsi="宋体"/>
          <w:bCs/>
          <w:sz w:val="24"/>
          <w:highlight w:val="none"/>
        </w:rPr>
      </w:pPr>
      <w:r>
        <w:rPr>
          <w:rFonts w:hint="eastAsia" w:ascii="宋体" w:hAnsi="宋体"/>
          <w:bCs/>
          <w:sz w:val="24"/>
          <w:highlight w:val="none"/>
        </w:rPr>
        <w:t xml:space="preserve">                                            开户银行及账号：</w:t>
      </w:r>
    </w:p>
    <w:p>
      <w:pPr>
        <w:snapToGrid w:val="0"/>
        <w:spacing w:line="400" w:lineRule="exact"/>
        <w:ind w:firstLine="208" w:firstLineChars="87"/>
        <w:rPr>
          <w:rFonts w:ascii="宋体" w:hAnsi="宋体"/>
          <w:bCs/>
          <w:sz w:val="24"/>
          <w:highlight w:val="none"/>
        </w:rPr>
      </w:pPr>
      <w:r>
        <w:rPr>
          <w:rFonts w:hint="eastAsia" w:ascii="宋体" w:hAnsi="宋体"/>
          <w:bCs/>
          <w:sz w:val="24"/>
          <w:highlight w:val="none"/>
        </w:rPr>
        <w:t>日期：      年   月    日                   日 期：    年    月   日</w:t>
      </w:r>
    </w:p>
    <w:p>
      <w:pPr>
        <w:widowControl/>
        <w:rPr>
          <w:rFonts w:ascii="宋体" w:hAnsi="宋体" w:cs="宋体"/>
          <w:b/>
          <w:spacing w:val="-4"/>
          <w:sz w:val="30"/>
          <w:szCs w:val="30"/>
          <w:highlight w:val="none"/>
        </w:rPr>
      </w:pPr>
    </w:p>
    <w:p>
      <w:pPr>
        <w:widowControl/>
        <w:rPr>
          <w:rFonts w:ascii="宋体" w:hAnsi="宋体" w:cs="宋体"/>
          <w:b/>
          <w:spacing w:val="-4"/>
          <w:sz w:val="30"/>
          <w:szCs w:val="30"/>
          <w:highlight w:val="none"/>
        </w:rPr>
      </w:pPr>
    </w:p>
    <w:p>
      <w:pPr>
        <w:widowControl/>
        <w:rPr>
          <w:rFonts w:ascii="宋体" w:hAnsi="宋体" w:cs="宋体"/>
          <w:b/>
          <w:spacing w:val="-4"/>
          <w:sz w:val="30"/>
          <w:szCs w:val="30"/>
          <w:highlight w:val="none"/>
        </w:rPr>
      </w:pPr>
    </w:p>
    <w:p>
      <w:pPr>
        <w:widowControl/>
        <w:rPr>
          <w:rFonts w:ascii="宋体" w:hAnsi="宋体" w:cs="宋体"/>
          <w:b/>
          <w:spacing w:val="-4"/>
          <w:sz w:val="30"/>
          <w:szCs w:val="30"/>
          <w:highlight w:val="none"/>
        </w:rPr>
      </w:pPr>
    </w:p>
    <w:p>
      <w:pPr>
        <w:widowControl/>
        <w:rPr>
          <w:rFonts w:ascii="宋体" w:hAnsi="宋体" w:cs="宋体"/>
          <w:b/>
          <w:spacing w:val="-4"/>
          <w:sz w:val="30"/>
          <w:szCs w:val="30"/>
          <w:highlight w:val="none"/>
        </w:rPr>
      </w:pPr>
    </w:p>
    <w:p>
      <w:pPr>
        <w:pStyle w:val="30"/>
        <w:rPr>
          <w:rFonts w:ascii="宋体" w:hAnsi="宋体" w:cs="宋体"/>
          <w:b/>
          <w:spacing w:val="-4"/>
          <w:sz w:val="30"/>
          <w:szCs w:val="30"/>
          <w:highlight w:val="none"/>
        </w:rPr>
      </w:pPr>
    </w:p>
    <w:p>
      <w:pPr>
        <w:pStyle w:val="30"/>
        <w:rPr>
          <w:rFonts w:ascii="宋体" w:hAnsi="宋体" w:cs="宋体"/>
          <w:b/>
          <w:spacing w:val="-4"/>
          <w:sz w:val="30"/>
          <w:szCs w:val="30"/>
          <w:highlight w:val="none"/>
        </w:rPr>
      </w:pPr>
    </w:p>
    <w:p>
      <w:pPr>
        <w:pStyle w:val="30"/>
        <w:rPr>
          <w:rFonts w:ascii="宋体" w:hAnsi="宋体" w:cs="宋体"/>
          <w:b/>
          <w:spacing w:val="-4"/>
          <w:sz w:val="30"/>
          <w:szCs w:val="30"/>
          <w:highlight w:val="none"/>
        </w:rPr>
      </w:pPr>
    </w:p>
    <w:p>
      <w:pPr>
        <w:pStyle w:val="30"/>
        <w:rPr>
          <w:rFonts w:ascii="宋体" w:hAnsi="宋体" w:cs="宋体"/>
          <w:b/>
          <w:spacing w:val="-4"/>
          <w:sz w:val="30"/>
          <w:szCs w:val="30"/>
          <w:highlight w:val="none"/>
        </w:rPr>
      </w:pPr>
    </w:p>
    <w:p>
      <w:pPr>
        <w:pStyle w:val="30"/>
        <w:rPr>
          <w:rFonts w:ascii="宋体" w:hAnsi="宋体" w:cs="宋体"/>
          <w:b/>
          <w:spacing w:val="-4"/>
          <w:sz w:val="30"/>
          <w:szCs w:val="30"/>
          <w:highlight w:val="none"/>
        </w:rPr>
      </w:pPr>
    </w:p>
    <w:p>
      <w:pPr>
        <w:pStyle w:val="30"/>
        <w:rPr>
          <w:rFonts w:ascii="宋体" w:hAnsi="宋体" w:cs="宋体"/>
          <w:b/>
          <w:spacing w:val="-4"/>
          <w:sz w:val="30"/>
          <w:szCs w:val="30"/>
          <w:highlight w:val="none"/>
        </w:rPr>
      </w:pPr>
    </w:p>
    <w:p>
      <w:pPr>
        <w:pStyle w:val="30"/>
        <w:rPr>
          <w:rFonts w:ascii="宋体" w:hAnsi="宋体" w:cs="宋体"/>
          <w:b/>
          <w:spacing w:val="-4"/>
          <w:sz w:val="30"/>
          <w:szCs w:val="30"/>
          <w:highlight w:val="none"/>
        </w:rPr>
      </w:pPr>
    </w:p>
    <w:p>
      <w:pPr>
        <w:pStyle w:val="30"/>
        <w:rPr>
          <w:rFonts w:ascii="宋体" w:hAnsi="宋体" w:cs="宋体"/>
          <w:b/>
          <w:spacing w:val="-4"/>
          <w:sz w:val="30"/>
          <w:szCs w:val="30"/>
          <w:highlight w:val="none"/>
        </w:rPr>
      </w:pPr>
    </w:p>
    <w:p>
      <w:pPr>
        <w:pStyle w:val="30"/>
        <w:rPr>
          <w:rFonts w:ascii="宋体" w:hAnsi="宋体" w:cs="宋体"/>
          <w:b/>
          <w:spacing w:val="-4"/>
          <w:sz w:val="30"/>
          <w:szCs w:val="30"/>
          <w:highlight w:val="none"/>
        </w:rPr>
      </w:pPr>
    </w:p>
    <w:p>
      <w:pPr>
        <w:pStyle w:val="30"/>
        <w:rPr>
          <w:rFonts w:ascii="宋体" w:hAnsi="宋体" w:cs="宋体"/>
          <w:b/>
          <w:spacing w:val="-4"/>
          <w:sz w:val="30"/>
          <w:szCs w:val="30"/>
          <w:highlight w:val="none"/>
        </w:rPr>
      </w:pPr>
    </w:p>
    <w:p>
      <w:pPr>
        <w:pStyle w:val="30"/>
        <w:rPr>
          <w:rFonts w:ascii="宋体" w:hAnsi="宋体" w:cs="宋体"/>
          <w:b/>
          <w:spacing w:val="-4"/>
          <w:sz w:val="30"/>
          <w:szCs w:val="30"/>
          <w:highlight w:val="none"/>
        </w:rPr>
      </w:pPr>
    </w:p>
    <w:p>
      <w:pPr>
        <w:pStyle w:val="30"/>
        <w:rPr>
          <w:rFonts w:ascii="宋体" w:hAnsi="宋体" w:cs="宋体"/>
          <w:b/>
          <w:spacing w:val="-4"/>
          <w:sz w:val="30"/>
          <w:szCs w:val="30"/>
          <w:highlight w:val="none"/>
        </w:rPr>
      </w:pPr>
    </w:p>
    <w:p>
      <w:pPr>
        <w:pStyle w:val="30"/>
        <w:rPr>
          <w:rFonts w:ascii="宋体" w:hAnsi="宋体" w:cs="宋体"/>
          <w:b/>
          <w:spacing w:val="-4"/>
          <w:sz w:val="30"/>
          <w:szCs w:val="30"/>
          <w:highlight w:val="none"/>
        </w:rPr>
      </w:pPr>
    </w:p>
    <w:bookmarkEnd w:id="112"/>
    <w:p>
      <w:pPr>
        <w:pStyle w:val="15"/>
        <w:rPr>
          <w:highlight w:val="none"/>
        </w:rPr>
      </w:pPr>
    </w:p>
    <w:p>
      <w:pPr>
        <w:pStyle w:val="3"/>
        <w:rPr>
          <w:highlight w:val="none"/>
        </w:rPr>
      </w:pPr>
      <w:r>
        <w:rPr>
          <w:rFonts w:hint="eastAsia"/>
          <w:highlight w:val="none"/>
        </w:rPr>
        <w:t>第</w:t>
      </w:r>
      <w:bookmarkStart w:id="113" w:name="_Toc9510643"/>
      <w:r>
        <w:rPr>
          <w:rFonts w:hint="eastAsia"/>
          <w:highlight w:val="none"/>
        </w:rPr>
        <w:t>五章 投标文件格式</w:t>
      </w:r>
      <w:bookmarkEnd w:id="109"/>
      <w:bookmarkEnd w:id="110"/>
      <w:bookmarkEnd w:id="111"/>
    </w:p>
    <w:p>
      <w:pPr>
        <w:adjustRightInd w:val="0"/>
        <w:snapToGrid w:val="0"/>
        <w:spacing w:line="360" w:lineRule="auto"/>
        <w:rPr>
          <w:rFonts w:ascii="宋体" w:hAnsi="宋体" w:cs="宋体"/>
          <w:szCs w:val="24"/>
          <w:highlight w:val="none"/>
        </w:rPr>
      </w:pPr>
    </w:p>
    <w:p>
      <w:pPr>
        <w:snapToGrid w:val="0"/>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一、投</w:t>
      </w:r>
      <w:bookmarkEnd w:id="113"/>
      <w:r>
        <w:rPr>
          <w:rFonts w:hint="eastAsia" w:ascii="宋体" w:hAnsi="宋体" w:cs="宋体"/>
          <w:sz w:val="24"/>
          <w:szCs w:val="24"/>
          <w:highlight w:val="none"/>
        </w:rPr>
        <w:t>标人提交投标文件须知：</w:t>
      </w:r>
    </w:p>
    <w:p>
      <w:pPr>
        <w:snapToGrid w:val="0"/>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1、投标人应严格按照以下顺序填写和提交下述规定的全部格式文件以及其他有关资料，混乱的编排导致投标文件被误读或评标小组查找不到有效文件是投标人的风险。</w:t>
      </w:r>
    </w:p>
    <w:p>
      <w:pPr>
        <w:snapToGrid w:val="0"/>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2、所附表格中要求回答的全部问题和/或信息都必须正面回答。</w:t>
      </w:r>
    </w:p>
    <w:p>
      <w:pPr>
        <w:snapToGrid w:val="0"/>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3、本声明书的签字人应保证全部声明和问题的回答是真实的和准确的。</w:t>
      </w:r>
    </w:p>
    <w:p>
      <w:pPr>
        <w:snapToGrid w:val="0"/>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4、评标委员会将应用投标人提交的资料根据自己的判断和考虑决定投标人履行合同的合格性及能力。</w:t>
      </w:r>
    </w:p>
    <w:p>
      <w:pPr>
        <w:snapToGrid w:val="0"/>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5、投标人提交的材料将在一定期限内被</w:t>
      </w:r>
      <w:r>
        <w:rPr>
          <w:rFonts w:hint="eastAsia" w:ascii="宋体" w:hAnsi="宋体" w:eastAsia="宋体" w:cs="宋体"/>
          <w:bCs/>
          <w:sz w:val="24"/>
          <w:szCs w:val="24"/>
          <w:highlight w:val="none"/>
        </w:rPr>
        <w:t>保密</w:t>
      </w:r>
      <w:r>
        <w:rPr>
          <w:rFonts w:hint="eastAsia" w:ascii="宋体" w:hAnsi="宋体" w:cs="宋体"/>
          <w:sz w:val="24"/>
          <w:szCs w:val="24"/>
          <w:highlight w:val="none"/>
        </w:rPr>
        <w:t>保存，但不退还。</w:t>
      </w:r>
    </w:p>
    <w:p>
      <w:pPr>
        <w:snapToGrid w:val="0"/>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6、全部文件应按投标人须知中规定的语言和份数提交。投标文件组成漏项或未按规定的格式编制或投标文件正、副本份数不足，内容不全或内容字迹模糊辨认不清的情况，将有可能被评标小组认定为投标无效。</w:t>
      </w:r>
    </w:p>
    <w:p>
      <w:pPr>
        <w:snapToGrid w:val="0"/>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二、投标文件编制格式及规范要求：</w:t>
      </w:r>
    </w:p>
    <w:p>
      <w:pPr>
        <w:adjustRightInd w:val="0"/>
        <w:snapToGrid w:val="0"/>
        <w:spacing w:line="500" w:lineRule="exact"/>
        <w:ind w:firstLine="360" w:firstLineChars="150"/>
        <w:rPr>
          <w:rFonts w:ascii="宋体" w:hAnsi="宋体" w:cs="宋体"/>
          <w:sz w:val="24"/>
          <w:szCs w:val="24"/>
          <w:highlight w:val="none"/>
        </w:rPr>
      </w:pPr>
      <w:r>
        <w:rPr>
          <w:rFonts w:hint="eastAsia" w:ascii="宋体" w:hAnsi="宋体" w:cs="宋体"/>
          <w:sz w:val="24"/>
          <w:szCs w:val="24"/>
          <w:highlight w:val="none"/>
        </w:rPr>
        <w:t>报价文件、商务技术文件部分，投标人在编制投标文件时请按照以下格式进行，并装订成册。</w:t>
      </w:r>
    </w:p>
    <w:p>
      <w:pPr>
        <w:adjustRightInd w:val="0"/>
        <w:snapToGrid w:val="0"/>
        <w:spacing w:before="50" w:after="50" w:line="360" w:lineRule="auto"/>
        <w:rPr>
          <w:rFonts w:ascii="宋体" w:hAnsi="宋体" w:cs="宋体"/>
          <w:sz w:val="32"/>
          <w:highlight w:val="none"/>
        </w:rPr>
      </w:pPr>
    </w:p>
    <w:p>
      <w:pPr>
        <w:adjustRightInd w:val="0"/>
        <w:snapToGrid w:val="0"/>
        <w:spacing w:line="360" w:lineRule="auto"/>
        <w:rPr>
          <w:rFonts w:ascii="宋体" w:hAnsi="宋体" w:cs="宋体"/>
          <w:b/>
          <w:sz w:val="24"/>
          <w:szCs w:val="24"/>
          <w:highlight w:val="none"/>
        </w:rPr>
      </w:pPr>
      <w:r>
        <w:rPr>
          <w:rFonts w:hint="eastAsia" w:ascii="宋体" w:hAnsi="宋体" w:cs="宋体"/>
          <w:sz w:val="32"/>
          <w:highlight w:val="none"/>
        </w:rPr>
        <w:br w:type="page"/>
      </w:r>
      <w:r>
        <w:rPr>
          <w:rFonts w:hint="eastAsia" w:ascii="宋体" w:hAnsi="宋体" w:cs="宋体"/>
          <w:b/>
          <w:sz w:val="24"/>
          <w:szCs w:val="24"/>
          <w:highlight w:val="none"/>
        </w:rPr>
        <w:t>投标文件封面</w:t>
      </w:r>
    </w:p>
    <w:p>
      <w:pPr>
        <w:snapToGrid w:val="0"/>
        <w:spacing w:line="360" w:lineRule="auto"/>
        <w:rPr>
          <w:rFonts w:ascii="宋体" w:hAnsi="宋体" w:cs="宋体"/>
          <w:sz w:val="40"/>
          <w:szCs w:val="20"/>
          <w:highlight w:val="none"/>
        </w:rPr>
      </w:pPr>
      <w:r>
        <w:rPr>
          <w:rFonts w:hint="eastAsia" w:ascii="宋体" w:hAnsi="宋体" w:cs="宋体"/>
          <w:sz w:val="40"/>
          <w:szCs w:val="20"/>
          <w:highlight w:val="none"/>
        </w:rPr>
        <w:t>正（副）本</w:t>
      </w:r>
    </w:p>
    <w:p>
      <w:pPr>
        <w:snapToGrid w:val="0"/>
        <w:spacing w:line="360" w:lineRule="auto"/>
        <w:jc w:val="center"/>
        <w:rPr>
          <w:rFonts w:ascii="宋体" w:hAnsi="宋体" w:cs="宋体"/>
          <w:sz w:val="56"/>
          <w:szCs w:val="20"/>
          <w:highlight w:val="none"/>
        </w:rPr>
      </w:pPr>
    </w:p>
    <w:p>
      <w:pPr>
        <w:snapToGrid w:val="0"/>
        <w:spacing w:line="360" w:lineRule="auto"/>
        <w:jc w:val="center"/>
        <w:rPr>
          <w:rFonts w:ascii="宋体" w:hAnsi="宋体" w:cs="宋体"/>
          <w:sz w:val="44"/>
          <w:szCs w:val="44"/>
          <w:highlight w:val="none"/>
        </w:rPr>
      </w:pPr>
      <w:r>
        <w:rPr>
          <w:rFonts w:hint="eastAsia" w:ascii="宋体" w:hAnsi="宋体" w:cs="宋体"/>
          <w:sz w:val="44"/>
          <w:szCs w:val="44"/>
          <w:highlight w:val="none"/>
        </w:rPr>
        <w:t>(项目名称)项目</w:t>
      </w:r>
    </w:p>
    <w:p>
      <w:pPr>
        <w:snapToGrid w:val="0"/>
        <w:spacing w:line="360" w:lineRule="auto"/>
        <w:jc w:val="center"/>
        <w:rPr>
          <w:rFonts w:ascii="宋体" w:hAnsi="宋体" w:cs="宋体"/>
          <w:sz w:val="28"/>
          <w:szCs w:val="20"/>
          <w:highlight w:val="none"/>
        </w:rPr>
      </w:pPr>
      <w:r>
        <w:rPr>
          <w:rFonts w:hint="eastAsia" w:ascii="宋体" w:hAnsi="宋体" w:cs="宋体"/>
          <w:sz w:val="28"/>
          <w:szCs w:val="20"/>
          <w:highlight w:val="none"/>
        </w:rPr>
        <w:t>标包编号：</w:t>
      </w:r>
    </w:p>
    <w:p>
      <w:pPr>
        <w:snapToGrid w:val="0"/>
        <w:spacing w:line="360" w:lineRule="auto"/>
        <w:jc w:val="center"/>
        <w:rPr>
          <w:rFonts w:ascii="宋体" w:hAnsi="宋体" w:cs="宋体"/>
          <w:sz w:val="56"/>
          <w:szCs w:val="20"/>
          <w:highlight w:val="none"/>
        </w:rPr>
      </w:pPr>
      <w:r>
        <w:rPr>
          <w:rFonts w:hint="eastAsia" w:ascii="宋体" w:hAnsi="宋体" w:cs="宋体"/>
          <w:sz w:val="56"/>
          <w:szCs w:val="20"/>
          <w:highlight w:val="none"/>
        </w:rPr>
        <w:t>报</w:t>
      </w:r>
    </w:p>
    <w:p>
      <w:pPr>
        <w:snapToGrid w:val="0"/>
        <w:spacing w:line="360" w:lineRule="auto"/>
        <w:jc w:val="center"/>
        <w:rPr>
          <w:rFonts w:ascii="宋体" w:hAnsi="宋体" w:cs="宋体"/>
          <w:sz w:val="56"/>
          <w:szCs w:val="20"/>
          <w:highlight w:val="none"/>
        </w:rPr>
      </w:pPr>
      <w:r>
        <w:rPr>
          <w:rFonts w:hint="eastAsia" w:ascii="宋体" w:hAnsi="宋体" w:cs="宋体"/>
          <w:sz w:val="56"/>
          <w:szCs w:val="20"/>
          <w:highlight w:val="none"/>
        </w:rPr>
        <w:t>价</w:t>
      </w:r>
    </w:p>
    <w:p>
      <w:pPr>
        <w:snapToGrid w:val="0"/>
        <w:spacing w:line="360" w:lineRule="auto"/>
        <w:jc w:val="center"/>
        <w:rPr>
          <w:rFonts w:ascii="宋体" w:hAnsi="宋体" w:cs="宋体"/>
          <w:sz w:val="56"/>
          <w:szCs w:val="20"/>
          <w:highlight w:val="none"/>
        </w:rPr>
      </w:pPr>
      <w:r>
        <w:rPr>
          <w:rFonts w:hint="eastAsia" w:ascii="宋体" w:hAnsi="宋体" w:cs="宋体"/>
          <w:sz w:val="56"/>
          <w:szCs w:val="20"/>
          <w:highlight w:val="none"/>
        </w:rPr>
        <w:t>文</w:t>
      </w:r>
    </w:p>
    <w:p>
      <w:pPr>
        <w:snapToGrid w:val="0"/>
        <w:spacing w:line="360" w:lineRule="auto"/>
        <w:jc w:val="center"/>
        <w:rPr>
          <w:rFonts w:ascii="宋体" w:hAnsi="宋体" w:cs="宋体"/>
          <w:sz w:val="56"/>
          <w:szCs w:val="20"/>
          <w:highlight w:val="none"/>
        </w:rPr>
      </w:pPr>
      <w:r>
        <w:rPr>
          <w:rFonts w:hint="eastAsia" w:ascii="宋体" w:hAnsi="宋体" w:cs="宋体"/>
          <w:sz w:val="56"/>
          <w:szCs w:val="20"/>
          <w:highlight w:val="none"/>
        </w:rPr>
        <w:t>件</w:t>
      </w:r>
    </w:p>
    <w:p>
      <w:pPr>
        <w:snapToGrid w:val="0"/>
        <w:spacing w:line="360" w:lineRule="auto"/>
        <w:rPr>
          <w:rFonts w:ascii="宋体" w:hAnsi="宋体" w:cs="宋体"/>
          <w:sz w:val="28"/>
          <w:szCs w:val="20"/>
          <w:highlight w:val="none"/>
        </w:rPr>
      </w:pPr>
    </w:p>
    <w:p>
      <w:pPr>
        <w:snapToGrid w:val="0"/>
        <w:spacing w:line="360" w:lineRule="auto"/>
        <w:rPr>
          <w:rFonts w:ascii="宋体" w:hAnsi="宋体" w:cs="宋体"/>
          <w:sz w:val="28"/>
          <w:szCs w:val="20"/>
          <w:highlight w:val="none"/>
        </w:rPr>
      </w:pPr>
      <w:r>
        <w:rPr>
          <w:rFonts w:hint="eastAsia" w:ascii="宋体" w:hAnsi="宋体" w:cs="宋体"/>
          <w:sz w:val="28"/>
          <w:szCs w:val="20"/>
          <w:highlight w:val="none"/>
        </w:rPr>
        <w:t>投标单位名称：（加盖单位公章）</w:t>
      </w:r>
    </w:p>
    <w:p>
      <w:pPr>
        <w:snapToGrid w:val="0"/>
        <w:spacing w:line="360" w:lineRule="auto"/>
        <w:rPr>
          <w:rFonts w:ascii="宋体" w:hAnsi="宋体" w:cs="宋体"/>
          <w:sz w:val="28"/>
          <w:szCs w:val="20"/>
          <w:highlight w:val="none"/>
        </w:rPr>
      </w:pPr>
      <w:r>
        <w:rPr>
          <w:rFonts w:hint="eastAsia" w:ascii="宋体" w:hAnsi="宋体" w:cs="宋体"/>
          <w:sz w:val="28"/>
          <w:szCs w:val="20"/>
          <w:highlight w:val="none"/>
        </w:rPr>
        <w:t>投标单位地址：</w:t>
      </w:r>
    </w:p>
    <w:p>
      <w:pPr>
        <w:snapToGrid w:val="0"/>
        <w:spacing w:line="360" w:lineRule="auto"/>
        <w:rPr>
          <w:rFonts w:ascii="宋体" w:hAnsi="宋体" w:cs="宋体"/>
          <w:sz w:val="28"/>
          <w:szCs w:val="20"/>
          <w:highlight w:val="none"/>
        </w:rPr>
      </w:pPr>
      <w:r>
        <w:rPr>
          <w:rFonts w:hint="eastAsia" w:ascii="宋体" w:hAnsi="宋体" w:cs="宋体"/>
          <w:sz w:val="28"/>
          <w:szCs w:val="20"/>
          <w:highlight w:val="none"/>
        </w:rPr>
        <w:t>法定代表人（负责人、自然人）或授权代表（签字）：</w:t>
      </w:r>
    </w:p>
    <w:p>
      <w:pPr>
        <w:snapToGrid w:val="0"/>
        <w:spacing w:line="360" w:lineRule="auto"/>
        <w:rPr>
          <w:rFonts w:ascii="宋体" w:hAnsi="宋体" w:cs="宋体"/>
          <w:sz w:val="28"/>
          <w:szCs w:val="20"/>
          <w:highlight w:val="none"/>
        </w:rPr>
      </w:pPr>
      <w:r>
        <w:rPr>
          <w:rFonts w:hint="eastAsia" w:ascii="宋体" w:hAnsi="宋体" w:cs="宋体"/>
          <w:sz w:val="28"/>
          <w:szCs w:val="20"/>
          <w:highlight w:val="none"/>
        </w:rPr>
        <w:t>投标单位法定代表人（负责人、自然人）或授权代表职务：</w:t>
      </w:r>
    </w:p>
    <w:p>
      <w:pPr>
        <w:snapToGrid w:val="0"/>
        <w:spacing w:line="360" w:lineRule="auto"/>
        <w:rPr>
          <w:rFonts w:ascii="宋体" w:hAnsi="宋体" w:cs="宋体"/>
          <w:sz w:val="28"/>
          <w:szCs w:val="20"/>
          <w:highlight w:val="none"/>
        </w:rPr>
      </w:pPr>
      <w:r>
        <w:rPr>
          <w:rFonts w:hint="eastAsia" w:ascii="宋体" w:hAnsi="宋体" w:cs="宋体"/>
          <w:sz w:val="28"/>
          <w:szCs w:val="20"/>
          <w:highlight w:val="none"/>
        </w:rPr>
        <w:t>投标单位联系方式：</w:t>
      </w:r>
    </w:p>
    <w:p>
      <w:pPr>
        <w:snapToGrid w:val="0"/>
        <w:spacing w:line="360" w:lineRule="auto"/>
        <w:rPr>
          <w:rFonts w:ascii="宋体" w:hAnsi="宋体" w:cs="宋体"/>
          <w:sz w:val="20"/>
          <w:szCs w:val="20"/>
          <w:highlight w:val="none"/>
        </w:rPr>
      </w:pPr>
    </w:p>
    <w:p>
      <w:pPr>
        <w:adjustRightInd w:val="0"/>
        <w:snapToGrid w:val="0"/>
        <w:spacing w:before="50" w:after="50" w:line="360" w:lineRule="auto"/>
        <w:jc w:val="center"/>
        <w:rPr>
          <w:rFonts w:ascii="宋体" w:hAnsi="宋体" w:cs="宋体"/>
          <w:sz w:val="28"/>
          <w:szCs w:val="28"/>
          <w:highlight w:val="none"/>
        </w:rPr>
      </w:pPr>
      <w:r>
        <w:rPr>
          <w:rFonts w:hint="eastAsia" w:ascii="宋体" w:hAnsi="宋体" w:cs="宋体"/>
          <w:sz w:val="28"/>
          <w:szCs w:val="28"/>
          <w:highlight w:val="none"/>
        </w:rPr>
        <w:t>年  月  日</w:t>
      </w:r>
    </w:p>
    <w:p>
      <w:pPr>
        <w:rPr>
          <w:rFonts w:ascii="宋体" w:hAnsi="宋体" w:cs="宋体"/>
          <w:b/>
          <w:sz w:val="44"/>
          <w:szCs w:val="44"/>
          <w:highlight w:val="none"/>
        </w:rPr>
      </w:pPr>
      <w:r>
        <w:rPr>
          <w:rFonts w:hint="eastAsia" w:ascii="宋体" w:hAnsi="宋体" w:cs="宋体"/>
          <w:b/>
          <w:sz w:val="44"/>
          <w:szCs w:val="44"/>
          <w:highlight w:val="none"/>
        </w:rPr>
        <w:br w:type="page"/>
      </w:r>
    </w:p>
    <w:p>
      <w:pPr>
        <w:widowControl/>
        <w:snapToGrid w:val="0"/>
        <w:spacing w:line="360" w:lineRule="auto"/>
        <w:jc w:val="center"/>
        <w:rPr>
          <w:rFonts w:ascii="宋体" w:hAnsi="宋体" w:cs="宋体"/>
          <w:b/>
          <w:sz w:val="44"/>
          <w:szCs w:val="44"/>
          <w:highlight w:val="none"/>
        </w:rPr>
      </w:pPr>
      <w:r>
        <w:rPr>
          <w:rFonts w:hint="eastAsia" w:ascii="宋体" w:hAnsi="宋体" w:cs="宋体"/>
          <w:b/>
          <w:sz w:val="44"/>
          <w:szCs w:val="44"/>
          <w:highlight w:val="none"/>
        </w:rPr>
        <w:t xml:space="preserve">目 </w:t>
      </w:r>
      <w:r>
        <w:rPr>
          <w:rFonts w:hint="eastAsia" w:ascii="宋体" w:hAnsi="宋体" w:cs="宋体"/>
          <w:b/>
          <w:sz w:val="44"/>
          <w:szCs w:val="44"/>
          <w:highlight w:val="none"/>
        </w:rPr>
        <w:tab/>
      </w:r>
      <w:r>
        <w:rPr>
          <w:rFonts w:hint="eastAsia" w:ascii="宋体" w:hAnsi="宋体" w:cs="宋体"/>
          <w:b/>
          <w:sz w:val="44"/>
          <w:szCs w:val="44"/>
          <w:highlight w:val="none"/>
        </w:rPr>
        <w:t>录</w:t>
      </w:r>
    </w:p>
    <w:p>
      <w:pPr>
        <w:adjustRightInd w:val="0"/>
        <w:snapToGrid w:val="0"/>
        <w:spacing w:line="400" w:lineRule="exact"/>
        <w:jc w:val="left"/>
        <w:rPr>
          <w:rFonts w:ascii="宋体" w:hAnsi="宋体" w:cs="宋体"/>
          <w:sz w:val="24"/>
          <w:szCs w:val="24"/>
          <w:highlight w:val="none"/>
        </w:rPr>
      </w:pPr>
      <w:r>
        <w:rPr>
          <w:rFonts w:hint="eastAsia" w:ascii="宋体" w:hAnsi="宋体" w:cs="宋体"/>
          <w:sz w:val="24"/>
          <w:szCs w:val="24"/>
          <w:highlight w:val="none"/>
        </w:rPr>
        <w:t>1、投标函…………………………………………………………………（页码）</w:t>
      </w:r>
    </w:p>
    <w:p>
      <w:pPr>
        <w:adjustRightInd w:val="0"/>
        <w:snapToGrid w:val="0"/>
        <w:spacing w:line="400" w:lineRule="exact"/>
        <w:jc w:val="left"/>
        <w:rPr>
          <w:rFonts w:ascii="宋体" w:hAnsi="宋体" w:cs="宋体"/>
          <w:sz w:val="24"/>
          <w:szCs w:val="24"/>
          <w:highlight w:val="none"/>
        </w:rPr>
      </w:pPr>
      <w:r>
        <w:rPr>
          <w:rFonts w:hint="eastAsia" w:ascii="宋体" w:hAnsi="宋体" w:cs="宋体"/>
          <w:sz w:val="24"/>
          <w:szCs w:val="24"/>
          <w:highlight w:val="none"/>
        </w:rPr>
        <w:t>2、开标一览表……………………………………………………………（页码）</w:t>
      </w:r>
    </w:p>
    <w:p>
      <w:pPr>
        <w:adjustRightInd w:val="0"/>
        <w:snapToGrid w:val="0"/>
        <w:spacing w:line="400" w:lineRule="exact"/>
        <w:jc w:val="left"/>
        <w:rPr>
          <w:rFonts w:ascii="宋体" w:hAnsi="宋体" w:cs="宋体"/>
          <w:sz w:val="24"/>
          <w:szCs w:val="24"/>
          <w:highlight w:val="none"/>
        </w:rPr>
      </w:pPr>
      <w:r>
        <w:rPr>
          <w:rFonts w:hint="eastAsia" w:ascii="宋体" w:hAnsi="宋体" w:cs="宋体"/>
          <w:sz w:val="24"/>
          <w:szCs w:val="24"/>
          <w:highlight w:val="none"/>
        </w:rPr>
        <w:t>3、投标报价明细表………………………………………………………（页码）</w:t>
      </w:r>
    </w:p>
    <w:p>
      <w:pPr>
        <w:adjustRightInd w:val="0"/>
        <w:snapToGrid w:val="0"/>
        <w:spacing w:line="400" w:lineRule="exact"/>
        <w:jc w:val="left"/>
        <w:rPr>
          <w:rFonts w:ascii="宋体" w:hAnsi="宋体" w:cs="宋体"/>
          <w:sz w:val="24"/>
          <w:szCs w:val="24"/>
          <w:highlight w:val="none"/>
        </w:rPr>
      </w:pPr>
      <w:r>
        <w:rPr>
          <w:rFonts w:hint="eastAsia" w:ascii="宋体" w:hAnsi="宋体" w:cs="宋体"/>
          <w:sz w:val="24"/>
          <w:szCs w:val="24"/>
          <w:highlight w:val="none"/>
        </w:rPr>
        <w:t>4、投标保证金缴纳凭证复印件…………………………………………（页码）</w:t>
      </w:r>
    </w:p>
    <w:p>
      <w:pPr>
        <w:adjustRightInd w:val="0"/>
        <w:snapToGrid w:val="0"/>
        <w:spacing w:line="400" w:lineRule="exact"/>
        <w:jc w:val="left"/>
        <w:rPr>
          <w:rFonts w:ascii="宋体" w:hAnsi="宋体" w:cs="宋体"/>
          <w:sz w:val="24"/>
          <w:szCs w:val="24"/>
          <w:highlight w:val="none"/>
        </w:rPr>
      </w:pPr>
      <w:r>
        <w:rPr>
          <w:rFonts w:hint="eastAsia" w:ascii="宋体" w:hAnsi="宋体" w:cs="宋体"/>
          <w:sz w:val="24"/>
          <w:szCs w:val="24"/>
          <w:highlight w:val="none"/>
        </w:rPr>
        <w:t>5、投标人针对报价需要说明的其他文件和资料………………………（页码）</w:t>
      </w:r>
    </w:p>
    <w:p>
      <w:pPr>
        <w:adjustRightInd w:val="0"/>
        <w:snapToGrid w:val="0"/>
        <w:spacing w:line="400" w:lineRule="exact"/>
        <w:rPr>
          <w:rFonts w:ascii="宋体" w:hAnsi="宋体" w:cs="宋体"/>
          <w:sz w:val="24"/>
          <w:szCs w:val="24"/>
          <w:highlight w:val="none"/>
        </w:rPr>
      </w:pPr>
    </w:p>
    <w:p>
      <w:pPr>
        <w:widowControl/>
        <w:jc w:val="left"/>
        <w:rPr>
          <w:rFonts w:ascii="宋体" w:hAnsi="宋体"/>
          <w:b/>
          <w:bCs/>
          <w:sz w:val="32"/>
          <w:szCs w:val="32"/>
          <w:highlight w:val="none"/>
        </w:rPr>
      </w:pPr>
      <w:r>
        <w:rPr>
          <w:highlight w:val="none"/>
        </w:rPr>
        <w:br w:type="page"/>
      </w:r>
    </w:p>
    <w:p>
      <w:pPr>
        <w:adjustRightInd w:val="0"/>
        <w:snapToGrid w:val="0"/>
        <w:spacing w:before="50" w:after="50" w:line="400" w:lineRule="exact"/>
        <w:rPr>
          <w:rFonts w:ascii="宋体" w:hAnsi="宋体" w:cs="宋体"/>
          <w:b/>
          <w:sz w:val="24"/>
          <w:szCs w:val="24"/>
          <w:highlight w:val="none"/>
        </w:rPr>
      </w:pPr>
      <w:r>
        <w:rPr>
          <w:rFonts w:hint="eastAsia" w:ascii="宋体" w:hAnsi="宋体" w:cs="宋体"/>
          <w:b/>
          <w:sz w:val="24"/>
          <w:szCs w:val="24"/>
          <w:highlight w:val="none"/>
        </w:rPr>
        <w:t>1、投标函格式：</w:t>
      </w:r>
    </w:p>
    <w:p>
      <w:pPr>
        <w:adjustRightInd w:val="0"/>
        <w:snapToGrid w:val="0"/>
        <w:spacing w:line="400" w:lineRule="exact"/>
        <w:jc w:val="center"/>
        <w:rPr>
          <w:rFonts w:ascii="宋体" w:hAnsi="宋体" w:cs="宋体"/>
          <w:b/>
          <w:sz w:val="24"/>
          <w:szCs w:val="24"/>
          <w:highlight w:val="none"/>
        </w:rPr>
      </w:pPr>
      <w:r>
        <w:rPr>
          <w:rFonts w:hint="eastAsia" w:ascii="宋体" w:hAnsi="宋体" w:cs="宋体"/>
          <w:b/>
          <w:sz w:val="24"/>
          <w:szCs w:val="24"/>
          <w:highlight w:val="none"/>
        </w:rPr>
        <w:t>投 标 函</w:t>
      </w:r>
    </w:p>
    <w:p>
      <w:pPr>
        <w:adjustRightInd w:val="0"/>
        <w:snapToGrid w:val="0"/>
        <w:spacing w:line="400" w:lineRule="exact"/>
        <w:rPr>
          <w:rFonts w:ascii="宋体" w:hAnsi="宋体" w:cs="宋体"/>
          <w:sz w:val="24"/>
          <w:szCs w:val="24"/>
          <w:highlight w:val="none"/>
        </w:rPr>
      </w:pPr>
      <w:r>
        <w:rPr>
          <w:rFonts w:hint="eastAsia" w:ascii="宋体" w:hAnsi="宋体" w:cs="宋体"/>
          <w:sz w:val="24"/>
          <w:szCs w:val="24"/>
          <w:highlight w:val="none"/>
        </w:rPr>
        <w:t>（采购代理机构名称）：</w:t>
      </w:r>
    </w:p>
    <w:p>
      <w:pPr>
        <w:adjustRightInd w:val="0"/>
        <w:snapToGrid w:val="0"/>
        <w:spacing w:line="400" w:lineRule="exact"/>
        <w:ind w:firstLine="480"/>
        <w:rPr>
          <w:rFonts w:ascii="宋体" w:hAnsi="宋体" w:cs="宋体"/>
          <w:sz w:val="24"/>
          <w:szCs w:val="24"/>
          <w:highlight w:val="none"/>
        </w:rPr>
      </w:pPr>
      <w:r>
        <w:rPr>
          <w:rFonts w:hint="eastAsia" w:ascii="宋体" w:hAnsi="宋体" w:cs="宋体"/>
          <w:sz w:val="24"/>
          <w:szCs w:val="24"/>
          <w:highlight w:val="none"/>
        </w:rPr>
        <w:t>根据贵方项目（项目编号：）招标公告/投标邀请书，签字代表（全名）经正式授权并代表投标人（投标人名称）提交</w:t>
      </w:r>
      <w:r>
        <w:rPr>
          <w:rFonts w:hint="eastAsia" w:ascii="宋体" w:hAnsi="宋体" w:cs="宋体"/>
          <w:sz w:val="24"/>
          <w:szCs w:val="24"/>
          <w:highlight w:val="none"/>
          <w:u w:val="single"/>
        </w:rPr>
        <w:t>标包编号及内容</w:t>
      </w:r>
      <w:r>
        <w:rPr>
          <w:rFonts w:hint="eastAsia" w:ascii="宋体" w:hAnsi="宋体" w:cs="宋体"/>
          <w:sz w:val="24"/>
          <w:szCs w:val="24"/>
          <w:highlight w:val="none"/>
        </w:rPr>
        <w:t>投标文件正本一份、副本份、电子文件份。</w:t>
      </w:r>
    </w:p>
    <w:p>
      <w:pPr>
        <w:adjustRightInd w:val="0"/>
        <w:snapToGrid w:val="0"/>
        <w:spacing w:line="400" w:lineRule="exact"/>
        <w:ind w:firstLine="480" w:firstLineChars="200"/>
        <w:rPr>
          <w:rFonts w:ascii="宋体" w:hAnsi="宋体" w:cs="宋体"/>
          <w:sz w:val="24"/>
          <w:szCs w:val="24"/>
          <w:highlight w:val="none"/>
        </w:rPr>
      </w:pPr>
      <w:r>
        <w:rPr>
          <w:rFonts w:hint="eastAsia" w:ascii="宋体" w:hAnsi="宋体" w:cs="宋体"/>
          <w:sz w:val="24"/>
          <w:szCs w:val="24"/>
          <w:highlight w:val="none"/>
        </w:rPr>
        <w:t>据此函，签字代表宣布同意如下：</w:t>
      </w:r>
    </w:p>
    <w:p>
      <w:pPr>
        <w:adjustRightInd w:val="0"/>
        <w:snapToGrid w:val="0"/>
        <w:spacing w:line="400" w:lineRule="exact"/>
        <w:ind w:firstLine="480" w:firstLineChars="200"/>
        <w:rPr>
          <w:rFonts w:ascii="宋体" w:hAnsi="宋体" w:cs="宋体"/>
          <w:sz w:val="24"/>
          <w:szCs w:val="24"/>
          <w:highlight w:val="none"/>
        </w:rPr>
      </w:pPr>
      <w:r>
        <w:rPr>
          <w:rFonts w:hint="eastAsia" w:ascii="宋体" w:hAnsi="宋体" w:cs="宋体"/>
          <w:sz w:val="24"/>
          <w:szCs w:val="24"/>
          <w:highlight w:val="none"/>
        </w:rPr>
        <w:t>1、投标人已详细审查全部“招标文件”，包括补充文件（如有）以及全部参考资料和有关附件，已经了解我方对于招标文件、采购过程、采购结果有依法进行询问、质疑、投诉的权利及相关渠道和要求。</w:t>
      </w:r>
    </w:p>
    <w:p>
      <w:pPr>
        <w:adjustRightInd w:val="0"/>
        <w:snapToGrid w:val="0"/>
        <w:spacing w:line="400" w:lineRule="exact"/>
        <w:ind w:firstLine="480" w:firstLineChars="200"/>
        <w:rPr>
          <w:rFonts w:ascii="宋体" w:hAnsi="宋体" w:cs="宋体"/>
          <w:sz w:val="24"/>
          <w:szCs w:val="24"/>
          <w:highlight w:val="none"/>
        </w:rPr>
      </w:pPr>
      <w:r>
        <w:rPr>
          <w:rFonts w:hint="eastAsia" w:ascii="宋体" w:hAnsi="宋体" w:cs="宋体"/>
          <w:sz w:val="24"/>
          <w:szCs w:val="24"/>
          <w:highlight w:val="none"/>
        </w:rPr>
        <w:t>2、投标人在投标之前已经与贵方进行了充分的沟通，完全理解并接受招标文件的各项规定和要求，对招标文件的合理性、合法性不再有异议。</w:t>
      </w:r>
    </w:p>
    <w:p>
      <w:pPr>
        <w:adjustRightInd w:val="0"/>
        <w:snapToGrid w:val="0"/>
        <w:spacing w:line="400" w:lineRule="exact"/>
        <w:ind w:firstLine="480" w:firstLineChars="200"/>
        <w:rPr>
          <w:rFonts w:ascii="宋体" w:hAnsi="宋体" w:cs="宋体"/>
          <w:sz w:val="24"/>
          <w:szCs w:val="24"/>
          <w:highlight w:val="none"/>
        </w:rPr>
      </w:pPr>
      <w:r>
        <w:rPr>
          <w:rFonts w:hint="eastAsia" w:ascii="宋体" w:hAnsi="宋体" w:cs="宋体"/>
          <w:sz w:val="24"/>
          <w:szCs w:val="24"/>
          <w:highlight w:val="none"/>
        </w:rPr>
        <w:t>3、本投标有效期自递交投标文件截止之日起</w:t>
      </w:r>
      <w:r>
        <w:rPr>
          <w:rFonts w:hint="eastAsia" w:ascii="宋体" w:hAnsi="宋体" w:cs="宋体"/>
          <w:sz w:val="24"/>
          <w:szCs w:val="24"/>
          <w:highlight w:val="none"/>
          <w:u w:val="single"/>
        </w:rPr>
        <w:t>90</w:t>
      </w:r>
      <w:r>
        <w:rPr>
          <w:rFonts w:hint="eastAsia" w:ascii="宋体" w:hAnsi="宋体" w:cs="宋体"/>
          <w:sz w:val="24"/>
          <w:szCs w:val="24"/>
          <w:highlight w:val="none"/>
        </w:rPr>
        <w:t>日。</w:t>
      </w:r>
    </w:p>
    <w:p>
      <w:pPr>
        <w:adjustRightInd w:val="0"/>
        <w:snapToGrid w:val="0"/>
        <w:spacing w:line="400" w:lineRule="exact"/>
        <w:ind w:firstLine="480" w:firstLineChars="200"/>
        <w:rPr>
          <w:rFonts w:ascii="宋体" w:hAnsi="宋体" w:cs="宋体"/>
          <w:sz w:val="24"/>
          <w:szCs w:val="24"/>
          <w:highlight w:val="none"/>
        </w:rPr>
      </w:pPr>
      <w:r>
        <w:rPr>
          <w:rFonts w:hint="eastAsia" w:ascii="宋体" w:hAnsi="宋体" w:cs="宋体"/>
          <w:sz w:val="24"/>
          <w:szCs w:val="24"/>
          <w:highlight w:val="none"/>
        </w:rPr>
        <w:t>4、如中标，本投标文件至本项目合同履行完毕止均保持有效，本投标人将按“招标文件”及政府采购法律、法规的规定履行合同责任和义务。</w:t>
      </w:r>
    </w:p>
    <w:p>
      <w:pPr>
        <w:adjustRightInd w:val="0"/>
        <w:snapToGrid w:val="0"/>
        <w:spacing w:line="400" w:lineRule="exact"/>
        <w:ind w:firstLine="480" w:firstLineChars="200"/>
        <w:rPr>
          <w:rFonts w:ascii="宋体" w:hAnsi="宋体" w:cs="宋体"/>
          <w:sz w:val="24"/>
          <w:szCs w:val="24"/>
          <w:highlight w:val="none"/>
        </w:rPr>
      </w:pPr>
      <w:r>
        <w:rPr>
          <w:rFonts w:hint="eastAsia" w:ascii="宋体" w:hAnsi="宋体" w:cs="宋体"/>
          <w:sz w:val="24"/>
          <w:szCs w:val="24"/>
          <w:highlight w:val="none"/>
        </w:rPr>
        <w:t>5、投标人同意按照贵方要求提供与投标有关的一切数据或资料，完全理解采购人不一定接受最低价的投标或收到的任何投标。</w:t>
      </w:r>
    </w:p>
    <w:p>
      <w:pPr>
        <w:adjustRightInd w:val="0"/>
        <w:snapToGrid w:val="0"/>
        <w:spacing w:line="400" w:lineRule="exact"/>
        <w:ind w:firstLine="480" w:firstLineChars="200"/>
        <w:rPr>
          <w:rFonts w:ascii="宋体" w:hAnsi="宋体" w:cs="宋体"/>
          <w:sz w:val="24"/>
          <w:szCs w:val="24"/>
          <w:highlight w:val="none"/>
        </w:rPr>
      </w:pPr>
      <w:r>
        <w:rPr>
          <w:rFonts w:hint="eastAsia" w:ascii="宋体" w:hAnsi="宋体" w:cs="宋体"/>
          <w:sz w:val="24"/>
          <w:szCs w:val="24"/>
          <w:highlight w:val="none"/>
        </w:rPr>
        <w:t>6、与本投标有关的一切正式往来信函请寄：</w:t>
      </w:r>
    </w:p>
    <w:p>
      <w:pPr>
        <w:adjustRightInd w:val="0"/>
        <w:snapToGrid w:val="0"/>
        <w:spacing w:line="400" w:lineRule="exact"/>
        <w:ind w:firstLine="480" w:firstLineChars="200"/>
        <w:rPr>
          <w:rFonts w:ascii="宋体" w:hAnsi="宋体" w:cs="宋体"/>
          <w:sz w:val="24"/>
          <w:szCs w:val="24"/>
          <w:highlight w:val="none"/>
        </w:rPr>
      </w:pPr>
    </w:p>
    <w:p>
      <w:pPr>
        <w:adjustRightInd w:val="0"/>
        <w:snapToGrid w:val="0"/>
        <w:spacing w:line="400" w:lineRule="exact"/>
        <w:rPr>
          <w:rFonts w:ascii="宋体" w:hAnsi="宋体" w:cs="宋体"/>
          <w:sz w:val="24"/>
          <w:szCs w:val="24"/>
          <w:highlight w:val="none"/>
        </w:rPr>
      </w:pPr>
      <w:r>
        <w:rPr>
          <w:rFonts w:hint="eastAsia" w:ascii="宋体" w:hAnsi="宋体" w:cs="宋体"/>
          <w:sz w:val="24"/>
          <w:szCs w:val="24"/>
          <w:highlight w:val="none"/>
        </w:rPr>
        <w:t>地址：  邮编：     电话：</w:t>
      </w:r>
    </w:p>
    <w:p>
      <w:pPr>
        <w:adjustRightInd w:val="0"/>
        <w:snapToGrid w:val="0"/>
        <w:spacing w:line="400" w:lineRule="exact"/>
        <w:rPr>
          <w:rFonts w:ascii="宋体" w:hAnsi="宋体" w:cs="宋体"/>
          <w:sz w:val="24"/>
          <w:szCs w:val="24"/>
          <w:highlight w:val="none"/>
        </w:rPr>
      </w:pPr>
      <w:r>
        <w:rPr>
          <w:rFonts w:hint="eastAsia" w:ascii="宋体" w:hAnsi="宋体" w:cs="宋体"/>
          <w:sz w:val="24"/>
          <w:szCs w:val="24"/>
          <w:highlight w:val="none"/>
        </w:rPr>
        <w:t>传真：   投标人代表姓名：  职务：</w:t>
      </w:r>
    </w:p>
    <w:p>
      <w:pPr>
        <w:adjustRightInd w:val="0"/>
        <w:snapToGrid w:val="0"/>
        <w:spacing w:line="400" w:lineRule="exact"/>
        <w:rPr>
          <w:rFonts w:ascii="宋体" w:hAnsi="宋体" w:cs="宋体"/>
          <w:sz w:val="24"/>
          <w:szCs w:val="24"/>
          <w:highlight w:val="none"/>
        </w:rPr>
      </w:pPr>
      <w:r>
        <w:rPr>
          <w:rFonts w:hint="eastAsia" w:ascii="宋体" w:hAnsi="宋体" w:cs="宋体"/>
          <w:sz w:val="24"/>
          <w:szCs w:val="24"/>
          <w:highlight w:val="none"/>
        </w:rPr>
        <w:t>投标人名称(公章):</w:t>
      </w:r>
    </w:p>
    <w:p>
      <w:pPr>
        <w:adjustRightInd w:val="0"/>
        <w:snapToGrid w:val="0"/>
        <w:spacing w:line="400" w:lineRule="exact"/>
        <w:rPr>
          <w:rFonts w:ascii="宋体" w:hAnsi="宋体" w:cs="宋体"/>
          <w:sz w:val="24"/>
          <w:szCs w:val="24"/>
          <w:highlight w:val="none"/>
        </w:rPr>
      </w:pPr>
      <w:r>
        <w:rPr>
          <w:rFonts w:hint="eastAsia" w:ascii="宋体" w:hAnsi="宋体" w:cs="宋体"/>
          <w:sz w:val="24"/>
          <w:szCs w:val="24"/>
          <w:highlight w:val="none"/>
        </w:rPr>
        <w:t>开户银行：    银行帐号：</w:t>
      </w:r>
    </w:p>
    <w:p>
      <w:pPr>
        <w:adjustRightInd w:val="0"/>
        <w:snapToGrid w:val="0"/>
        <w:spacing w:line="400" w:lineRule="exact"/>
        <w:jc w:val="left"/>
        <w:rPr>
          <w:rFonts w:ascii="宋体" w:hAnsi="宋体" w:cs="宋体"/>
          <w:sz w:val="24"/>
          <w:szCs w:val="24"/>
          <w:highlight w:val="none"/>
        </w:rPr>
      </w:pPr>
      <w:r>
        <w:rPr>
          <w:rFonts w:hint="eastAsia" w:ascii="宋体" w:hAnsi="宋体" w:cs="宋体"/>
          <w:sz w:val="24"/>
          <w:szCs w:val="24"/>
          <w:highlight w:val="none"/>
        </w:rPr>
        <w:t>法定代表人（负责人、自然人）或授权代表（签字）：</w:t>
      </w:r>
    </w:p>
    <w:p>
      <w:pPr>
        <w:adjustRightInd w:val="0"/>
        <w:snapToGrid w:val="0"/>
        <w:spacing w:line="400" w:lineRule="exact"/>
        <w:jc w:val="left"/>
        <w:rPr>
          <w:rFonts w:ascii="宋体" w:hAnsi="宋体" w:cs="宋体"/>
          <w:sz w:val="24"/>
          <w:szCs w:val="24"/>
          <w:highlight w:val="none"/>
        </w:rPr>
      </w:pPr>
      <w:r>
        <w:rPr>
          <w:rFonts w:hint="eastAsia" w:ascii="宋体" w:hAnsi="宋体" w:cs="宋体"/>
          <w:sz w:val="24"/>
          <w:szCs w:val="24"/>
          <w:highlight w:val="none"/>
        </w:rPr>
        <w:t xml:space="preserve">                                             日期：年月日</w:t>
      </w:r>
    </w:p>
    <w:p>
      <w:pPr>
        <w:adjustRightInd w:val="0"/>
        <w:snapToGrid w:val="0"/>
        <w:spacing w:line="400" w:lineRule="exact"/>
        <w:rPr>
          <w:rFonts w:ascii="宋体" w:hAnsi="宋体" w:cs="宋体"/>
          <w:sz w:val="24"/>
          <w:szCs w:val="24"/>
          <w:highlight w:val="none"/>
        </w:rPr>
      </w:pPr>
    </w:p>
    <w:p>
      <w:pPr>
        <w:adjustRightInd w:val="0"/>
        <w:snapToGrid w:val="0"/>
        <w:spacing w:line="400" w:lineRule="exact"/>
        <w:rPr>
          <w:highlight w:val="none"/>
        </w:rPr>
      </w:pPr>
    </w:p>
    <w:p>
      <w:pPr>
        <w:adjustRightInd w:val="0"/>
        <w:snapToGrid w:val="0"/>
        <w:spacing w:line="400" w:lineRule="exact"/>
        <w:rPr>
          <w:highlight w:val="none"/>
        </w:rPr>
      </w:pPr>
    </w:p>
    <w:p>
      <w:pPr>
        <w:adjustRightInd w:val="0"/>
        <w:snapToGrid w:val="0"/>
        <w:spacing w:line="400" w:lineRule="exact"/>
        <w:rPr>
          <w:highlight w:val="none"/>
        </w:rPr>
      </w:pPr>
    </w:p>
    <w:p>
      <w:pPr>
        <w:adjustRightInd w:val="0"/>
        <w:snapToGrid w:val="0"/>
        <w:spacing w:line="400" w:lineRule="exact"/>
        <w:rPr>
          <w:highlight w:val="none"/>
        </w:rPr>
      </w:pPr>
    </w:p>
    <w:p>
      <w:pPr>
        <w:adjustRightInd w:val="0"/>
        <w:snapToGrid w:val="0"/>
        <w:spacing w:line="400" w:lineRule="exact"/>
        <w:rPr>
          <w:highlight w:val="none"/>
        </w:rPr>
      </w:pPr>
    </w:p>
    <w:p>
      <w:pPr>
        <w:adjustRightInd w:val="0"/>
        <w:snapToGrid w:val="0"/>
        <w:spacing w:line="400" w:lineRule="exact"/>
        <w:rPr>
          <w:highlight w:val="none"/>
        </w:rPr>
      </w:pPr>
    </w:p>
    <w:p>
      <w:pPr>
        <w:adjustRightInd w:val="0"/>
        <w:snapToGrid w:val="0"/>
        <w:spacing w:line="400" w:lineRule="exact"/>
        <w:rPr>
          <w:highlight w:val="none"/>
        </w:rPr>
      </w:pPr>
    </w:p>
    <w:p>
      <w:pPr>
        <w:adjustRightInd w:val="0"/>
        <w:snapToGrid w:val="0"/>
        <w:spacing w:line="400" w:lineRule="exact"/>
        <w:rPr>
          <w:highlight w:val="none"/>
        </w:rPr>
      </w:pPr>
    </w:p>
    <w:p>
      <w:pPr>
        <w:adjustRightInd w:val="0"/>
        <w:snapToGrid w:val="0"/>
        <w:spacing w:line="400" w:lineRule="exact"/>
        <w:rPr>
          <w:rFonts w:ascii="宋体" w:hAnsi="宋体" w:cs="宋体"/>
          <w:b/>
          <w:sz w:val="24"/>
          <w:szCs w:val="24"/>
          <w:highlight w:val="none"/>
        </w:rPr>
      </w:pPr>
      <w:r>
        <w:rPr>
          <w:rFonts w:hint="eastAsia" w:ascii="宋体" w:hAnsi="宋体" w:cs="宋体"/>
          <w:b/>
          <w:sz w:val="24"/>
          <w:szCs w:val="24"/>
          <w:highlight w:val="none"/>
        </w:rPr>
        <w:t>2、开标一览表</w:t>
      </w:r>
    </w:p>
    <w:p>
      <w:pPr>
        <w:adjustRightInd w:val="0"/>
        <w:snapToGrid w:val="0"/>
        <w:spacing w:line="400" w:lineRule="exact"/>
        <w:jc w:val="center"/>
        <w:rPr>
          <w:rFonts w:ascii="宋体" w:hAnsi="宋体" w:cs="宋体"/>
          <w:b/>
          <w:sz w:val="24"/>
          <w:szCs w:val="24"/>
          <w:highlight w:val="none"/>
        </w:rPr>
      </w:pPr>
      <w:r>
        <w:rPr>
          <w:rFonts w:hint="eastAsia" w:ascii="宋体" w:hAnsi="宋体" w:cs="宋体"/>
          <w:b/>
          <w:sz w:val="24"/>
          <w:szCs w:val="24"/>
          <w:highlight w:val="none"/>
        </w:rPr>
        <w:t>开标一览表</w:t>
      </w:r>
    </w:p>
    <w:p>
      <w:pPr>
        <w:adjustRightInd w:val="0"/>
        <w:snapToGrid w:val="0"/>
        <w:spacing w:line="400" w:lineRule="exact"/>
        <w:rPr>
          <w:rFonts w:ascii="宋体" w:hAnsi="宋体" w:cs="宋体"/>
          <w:sz w:val="24"/>
          <w:szCs w:val="24"/>
          <w:highlight w:val="none"/>
        </w:rPr>
      </w:pPr>
      <w:r>
        <w:rPr>
          <w:rFonts w:hint="eastAsia" w:ascii="宋体" w:hAnsi="宋体" w:cs="宋体"/>
          <w:sz w:val="24"/>
          <w:szCs w:val="24"/>
          <w:highlight w:val="none"/>
        </w:rPr>
        <w:t xml:space="preserve">项目名称：      </w:t>
      </w:r>
    </w:p>
    <w:p>
      <w:pPr>
        <w:adjustRightInd w:val="0"/>
        <w:snapToGrid w:val="0"/>
        <w:spacing w:line="400" w:lineRule="exact"/>
        <w:rPr>
          <w:rFonts w:ascii="宋体" w:hAnsi="宋体" w:cs="宋体"/>
          <w:sz w:val="24"/>
          <w:szCs w:val="24"/>
          <w:highlight w:val="none"/>
        </w:rPr>
      </w:pPr>
      <w:r>
        <w:rPr>
          <w:rFonts w:hint="eastAsia" w:ascii="宋体" w:hAnsi="宋体" w:cs="宋体"/>
          <w:sz w:val="24"/>
          <w:szCs w:val="24"/>
          <w:highlight w:val="none"/>
        </w:rPr>
        <w:t>标包编号及内容：                          单位：据实填写</w:t>
      </w:r>
    </w:p>
    <w:tbl>
      <w:tblPr>
        <w:tblStyle w:val="38"/>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6"/>
        <w:gridCol w:w="1250"/>
        <w:gridCol w:w="1065"/>
        <w:gridCol w:w="641"/>
        <w:gridCol w:w="1282"/>
        <w:gridCol w:w="898"/>
        <w:gridCol w:w="1153"/>
        <w:gridCol w:w="1154"/>
        <w:gridCol w:w="8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476" w:type="dxa"/>
            <w:vAlign w:val="center"/>
          </w:tcPr>
          <w:p>
            <w:pPr>
              <w:snapToGrid w:val="0"/>
              <w:spacing w:line="400" w:lineRule="exact"/>
              <w:jc w:val="center"/>
              <w:rPr>
                <w:rFonts w:ascii="宋体" w:hAnsi="宋体" w:cs="宋体"/>
                <w:sz w:val="24"/>
                <w:szCs w:val="24"/>
                <w:highlight w:val="none"/>
              </w:rPr>
            </w:pPr>
            <w:r>
              <w:rPr>
                <w:rFonts w:hint="eastAsia" w:ascii="宋体" w:hAnsi="宋体" w:cs="宋体"/>
                <w:sz w:val="24"/>
                <w:szCs w:val="24"/>
                <w:highlight w:val="none"/>
              </w:rPr>
              <w:t>序号</w:t>
            </w:r>
          </w:p>
        </w:tc>
        <w:tc>
          <w:tcPr>
            <w:tcW w:w="1250" w:type="dxa"/>
            <w:vAlign w:val="center"/>
          </w:tcPr>
          <w:p>
            <w:pPr>
              <w:snapToGrid w:val="0"/>
              <w:spacing w:line="400" w:lineRule="exact"/>
              <w:jc w:val="center"/>
              <w:rPr>
                <w:rFonts w:ascii="宋体" w:hAnsi="宋体" w:cs="宋体"/>
                <w:sz w:val="24"/>
                <w:szCs w:val="24"/>
                <w:highlight w:val="none"/>
              </w:rPr>
            </w:pPr>
            <w:r>
              <w:rPr>
                <w:rFonts w:hint="eastAsia" w:ascii="宋体" w:hAnsi="宋体" w:cs="宋体"/>
                <w:sz w:val="24"/>
                <w:szCs w:val="24"/>
                <w:highlight w:val="none"/>
              </w:rPr>
              <w:t>标的名称</w:t>
            </w:r>
          </w:p>
        </w:tc>
        <w:tc>
          <w:tcPr>
            <w:tcW w:w="1065" w:type="dxa"/>
            <w:vAlign w:val="center"/>
          </w:tcPr>
          <w:p>
            <w:pPr>
              <w:snapToGrid w:val="0"/>
              <w:spacing w:line="400" w:lineRule="exact"/>
              <w:jc w:val="center"/>
              <w:rPr>
                <w:rFonts w:ascii="宋体" w:hAnsi="宋体" w:cs="宋体"/>
                <w:sz w:val="24"/>
                <w:szCs w:val="24"/>
                <w:highlight w:val="none"/>
              </w:rPr>
            </w:pPr>
            <w:r>
              <w:rPr>
                <w:rFonts w:hint="eastAsia" w:ascii="宋体" w:hAnsi="宋体" w:cs="宋体"/>
                <w:sz w:val="24"/>
                <w:szCs w:val="24"/>
                <w:highlight w:val="none"/>
              </w:rPr>
              <w:t>品牌</w:t>
            </w:r>
          </w:p>
        </w:tc>
        <w:tc>
          <w:tcPr>
            <w:tcW w:w="641" w:type="dxa"/>
            <w:vAlign w:val="center"/>
          </w:tcPr>
          <w:p>
            <w:pPr>
              <w:snapToGrid w:val="0"/>
              <w:spacing w:line="400" w:lineRule="exact"/>
              <w:jc w:val="center"/>
              <w:rPr>
                <w:rFonts w:ascii="宋体" w:hAnsi="宋体" w:cs="宋体"/>
                <w:sz w:val="24"/>
                <w:szCs w:val="24"/>
                <w:highlight w:val="none"/>
              </w:rPr>
            </w:pPr>
            <w:r>
              <w:rPr>
                <w:rFonts w:hint="eastAsia" w:ascii="宋体" w:hAnsi="宋体" w:cs="宋体"/>
                <w:sz w:val="24"/>
                <w:szCs w:val="24"/>
                <w:highlight w:val="none"/>
              </w:rPr>
              <w:t>产地</w:t>
            </w:r>
          </w:p>
        </w:tc>
        <w:tc>
          <w:tcPr>
            <w:tcW w:w="1282" w:type="dxa"/>
            <w:vAlign w:val="center"/>
          </w:tcPr>
          <w:p>
            <w:pPr>
              <w:snapToGrid w:val="0"/>
              <w:spacing w:line="400" w:lineRule="exact"/>
              <w:jc w:val="center"/>
              <w:rPr>
                <w:rFonts w:ascii="宋体" w:hAnsi="宋体" w:cs="宋体"/>
                <w:sz w:val="24"/>
                <w:szCs w:val="24"/>
                <w:highlight w:val="none"/>
              </w:rPr>
            </w:pPr>
            <w:r>
              <w:rPr>
                <w:rFonts w:hint="eastAsia" w:ascii="宋体" w:hAnsi="宋体" w:cs="宋体"/>
                <w:sz w:val="24"/>
                <w:szCs w:val="24"/>
                <w:highlight w:val="none"/>
              </w:rPr>
              <w:t>规格型号</w:t>
            </w:r>
          </w:p>
        </w:tc>
        <w:tc>
          <w:tcPr>
            <w:tcW w:w="898" w:type="dxa"/>
            <w:vAlign w:val="center"/>
          </w:tcPr>
          <w:p>
            <w:pPr>
              <w:snapToGrid w:val="0"/>
              <w:spacing w:line="400" w:lineRule="exact"/>
              <w:jc w:val="center"/>
              <w:rPr>
                <w:rFonts w:ascii="宋体" w:hAnsi="宋体" w:cs="宋体"/>
                <w:sz w:val="24"/>
                <w:szCs w:val="24"/>
                <w:highlight w:val="none"/>
              </w:rPr>
            </w:pPr>
            <w:r>
              <w:rPr>
                <w:rFonts w:hint="eastAsia" w:ascii="宋体" w:hAnsi="宋体" w:cs="宋体"/>
                <w:sz w:val="24"/>
                <w:szCs w:val="24"/>
                <w:highlight w:val="none"/>
              </w:rPr>
              <w:t>数量</w:t>
            </w:r>
          </w:p>
        </w:tc>
        <w:tc>
          <w:tcPr>
            <w:tcW w:w="1153" w:type="dxa"/>
            <w:vAlign w:val="center"/>
          </w:tcPr>
          <w:p>
            <w:pPr>
              <w:snapToGrid w:val="0"/>
              <w:spacing w:line="400" w:lineRule="exact"/>
              <w:jc w:val="center"/>
              <w:rPr>
                <w:rFonts w:ascii="宋体" w:hAnsi="宋体" w:cs="宋体"/>
                <w:sz w:val="24"/>
                <w:szCs w:val="24"/>
                <w:highlight w:val="none"/>
              </w:rPr>
            </w:pPr>
            <w:r>
              <w:rPr>
                <w:rFonts w:hint="eastAsia" w:ascii="宋体" w:hAnsi="宋体" w:cs="宋体"/>
                <w:sz w:val="24"/>
                <w:szCs w:val="24"/>
                <w:highlight w:val="none"/>
              </w:rPr>
              <w:t>单价（元）</w:t>
            </w:r>
          </w:p>
        </w:tc>
        <w:tc>
          <w:tcPr>
            <w:tcW w:w="1154" w:type="dxa"/>
            <w:vAlign w:val="center"/>
          </w:tcPr>
          <w:p>
            <w:pPr>
              <w:snapToGrid w:val="0"/>
              <w:spacing w:line="400" w:lineRule="exact"/>
              <w:jc w:val="center"/>
              <w:rPr>
                <w:rFonts w:ascii="宋体" w:hAnsi="宋体" w:cs="宋体"/>
                <w:sz w:val="24"/>
                <w:szCs w:val="24"/>
                <w:highlight w:val="none"/>
              </w:rPr>
            </w:pPr>
            <w:r>
              <w:rPr>
                <w:rFonts w:hint="eastAsia" w:ascii="宋体" w:hAnsi="宋体" w:cs="宋体"/>
                <w:sz w:val="24"/>
                <w:szCs w:val="24"/>
                <w:highlight w:val="none"/>
              </w:rPr>
              <w:t>合计（元）</w:t>
            </w:r>
          </w:p>
        </w:tc>
        <w:tc>
          <w:tcPr>
            <w:tcW w:w="897" w:type="dxa"/>
            <w:vAlign w:val="center"/>
          </w:tcPr>
          <w:p>
            <w:pPr>
              <w:snapToGrid w:val="0"/>
              <w:spacing w:line="400" w:lineRule="exact"/>
              <w:jc w:val="center"/>
              <w:rPr>
                <w:rFonts w:ascii="宋体" w:hAnsi="宋体" w:cs="宋体"/>
                <w:sz w:val="24"/>
                <w:szCs w:val="24"/>
                <w:highlight w:val="none"/>
              </w:rPr>
            </w:pPr>
            <w:r>
              <w:rPr>
                <w:rFonts w:hint="eastAsia" w:ascii="宋体" w:hAnsi="宋体" w:cs="宋体"/>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476" w:type="dxa"/>
            <w:vAlign w:val="center"/>
          </w:tcPr>
          <w:p>
            <w:pPr>
              <w:snapToGrid w:val="0"/>
              <w:spacing w:line="400" w:lineRule="exact"/>
              <w:jc w:val="center"/>
              <w:rPr>
                <w:rFonts w:ascii="宋体" w:hAnsi="宋体" w:cs="宋体"/>
                <w:sz w:val="24"/>
                <w:szCs w:val="24"/>
                <w:highlight w:val="none"/>
              </w:rPr>
            </w:pPr>
          </w:p>
        </w:tc>
        <w:tc>
          <w:tcPr>
            <w:tcW w:w="1250" w:type="dxa"/>
            <w:vAlign w:val="center"/>
          </w:tcPr>
          <w:p>
            <w:pPr>
              <w:snapToGrid w:val="0"/>
              <w:spacing w:line="400" w:lineRule="exact"/>
              <w:jc w:val="center"/>
              <w:rPr>
                <w:rFonts w:ascii="宋体" w:hAnsi="宋体" w:cs="宋体"/>
                <w:sz w:val="24"/>
                <w:szCs w:val="24"/>
                <w:highlight w:val="none"/>
              </w:rPr>
            </w:pPr>
          </w:p>
        </w:tc>
        <w:tc>
          <w:tcPr>
            <w:tcW w:w="1065" w:type="dxa"/>
            <w:vAlign w:val="center"/>
          </w:tcPr>
          <w:p>
            <w:pPr>
              <w:snapToGrid w:val="0"/>
              <w:spacing w:line="400" w:lineRule="exact"/>
              <w:jc w:val="center"/>
              <w:rPr>
                <w:rFonts w:ascii="宋体" w:hAnsi="宋体" w:cs="宋体"/>
                <w:sz w:val="24"/>
                <w:szCs w:val="24"/>
                <w:highlight w:val="none"/>
              </w:rPr>
            </w:pPr>
          </w:p>
        </w:tc>
        <w:tc>
          <w:tcPr>
            <w:tcW w:w="641" w:type="dxa"/>
            <w:vAlign w:val="center"/>
          </w:tcPr>
          <w:p>
            <w:pPr>
              <w:snapToGrid w:val="0"/>
              <w:spacing w:line="400" w:lineRule="exact"/>
              <w:jc w:val="center"/>
              <w:rPr>
                <w:rFonts w:ascii="宋体" w:hAnsi="宋体" w:cs="宋体"/>
                <w:sz w:val="24"/>
                <w:szCs w:val="24"/>
                <w:highlight w:val="none"/>
              </w:rPr>
            </w:pPr>
          </w:p>
        </w:tc>
        <w:tc>
          <w:tcPr>
            <w:tcW w:w="1282" w:type="dxa"/>
            <w:vAlign w:val="center"/>
          </w:tcPr>
          <w:p>
            <w:pPr>
              <w:snapToGrid w:val="0"/>
              <w:spacing w:line="400" w:lineRule="exact"/>
              <w:jc w:val="center"/>
              <w:rPr>
                <w:rFonts w:ascii="宋体" w:hAnsi="宋体" w:cs="宋体"/>
                <w:sz w:val="24"/>
                <w:szCs w:val="24"/>
                <w:highlight w:val="none"/>
              </w:rPr>
            </w:pPr>
          </w:p>
        </w:tc>
        <w:tc>
          <w:tcPr>
            <w:tcW w:w="898" w:type="dxa"/>
            <w:vAlign w:val="center"/>
          </w:tcPr>
          <w:p>
            <w:pPr>
              <w:snapToGrid w:val="0"/>
              <w:spacing w:line="400" w:lineRule="exact"/>
              <w:jc w:val="center"/>
              <w:rPr>
                <w:rFonts w:ascii="宋体" w:hAnsi="宋体" w:cs="宋体"/>
                <w:sz w:val="24"/>
                <w:szCs w:val="24"/>
                <w:highlight w:val="none"/>
              </w:rPr>
            </w:pPr>
          </w:p>
        </w:tc>
        <w:tc>
          <w:tcPr>
            <w:tcW w:w="1153" w:type="dxa"/>
            <w:vAlign w:val="center"/>
          </w:tcPr>
          <w:p>
            <w:pPr>
              <w:snapToGrid w:val="0"/>
              <w:spacing w:line="400" w:lineRule="exact"/>
              <w:jc w:val="left"/>
              <w:rPr>
                <w:rFonts w:ascii="宋体" w:hAnsi="宋体" w:cs="宋体"/>
                <w:sz w:val="24"/>
                <w:szCs w:val="24"/>
                <w:highlight w:val="none"/>
              </w:rPr>
            </w:pPr>
          </w:p>
        </w:tc>
        <w:tc>
          <w:tcPr>
            <w:tcW w:w="1154" w:type="dxa"/>
            <w:vAlign w:val="center"/>
          </w:tcPr>
          <w:p>
            <w:pPr>
              <w:snapToGrid w:val="0"/>
              <w:spacing w:line="400" w:lineRule="exact"/>
              <w:jc w:val="center"/>
              <w:rPr>
                <w:rFonts w:ascii="宋体" w:hAnsi="宋体" w:cs="宋体"/>
                <w:sz w:val="24"/>
                <w:szCs w:val="24"/>
                <w:highlight w:val="none"/>
              </w:rPr>
            </w:pPr>
          </w:p>
        </w:tc>
        <w:tc>
          <w:tcPr>
            <w:tcW w:w="897" w:type="dxa"/>
            <w:vAlign w:val="center"/>
          </w:tcPr>
          <w:p>
            <w:pPr>
              <w:snapToGrid w:val="0"/>
              <w:spacing w:line="400" w:lineRule="exact"/>
              <w:jc w:val="center"/>
              <w:rPr>
                <w:rFonts w:ascii="宋体" w:hAnsi="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476" w:type="dxa"/>
            <w:vAlign w:val="center"/>
          </w:tcPr>
          <w:p>
            <w:pPr>
              <w:snapToGrid w:val="0"/>
              <w:spacing w:line="400" w:lineRule="exact"/>
              <w:jc w:val="center"/>
              <w:rPr>
                <w:rFonts w:ascii="宋体" w:hAnsi="宋体" w:cs="宋体"/>
                <w:sz w:val="24"/>
                <w:szCs w:val="24"/>
                <w:highlight w:val="none"/>
              </w:rPr>
            </w:pPr>
          </w:p>
        </w:tc>
        <w:tc>
          <w:tcPr>
            <w:tcW w:w="1250" w:type="dxa"/>
            <w:vAlign w:val="center"/>
          </w:tcPr>
          <w:p>
            <w:pPr>
              <w:snapToGrid w:val="0"/>
              <w:spacing w:line="400" w:lineRule="exact"/>
              <w:jc w:val="center"/>
              <w:rPr>
                <w:rFonts w:ascii="宋体" w:hAnsi="宋体" w:cs="宋体"/>
                <w:sz w:val="24"/>
                <w:szCs w:val="24"/>
                <w:highlight w:val="none"/>
              </w:rPr>
            </w:pPr>
          </w:p>
        </w:tc>
        <w:tc>
          <w:tcPr>
            <w:tcW w:w="1065" w:type="dxa"/>
            <w:vAlign w:val="center"/>
          </w:tcPr>
          <w:p>
            <w:pPr>
              <w:snapToGrid w:val="0"/>
              <w:spacing w:line="400" w:lineRule="exact"/>
              <w:jc w:val="center"/>
              <w:rPr>
                <w:rFonts w:ascii="宋体" w:hAnsi="宋体" w:cs="宋体"/>
                <w:sz w:val="24"/>
                <w:szCs w:val="24"/>
                <w:highlight w:val="none"/>
              </w:rPr>
            </w:pPr>
          </w:p>
        </w:tc>
        <w:tc>
          <w:tcPr>
            <w:tcW w:w="641" w:type="dxa"/>
            <w:vAlign w:val="center"/>
          </w:tcPr>
          <w:p>
            <w:pPr>
              <w:snapToGrid w:val="0"/>
              <w:spacing w:line="400" w:lineRule="exact"/>
              <w:jc w:val="center"/>
              <w:rPr>
                <w:rFonts w:ascii="宋体" w:hAnsi="宋体" w:cs="宋体"/>
                <w:sz w:val="24"/>
                <w:szCs w:val="24"/>
                <w:highlight w:val="none"/>
              </w:rPr>
            </w:pPr>
          </w:p>
        </w:tc>
        <w:tc>
          <w:tcPr>
            <w:tcW w:w="1282" w:type="dxa"/>
            <w:vAlign w:val="center"/>
          </w:tcPr>
          <w:p>
            <w:pPr>
              <w:snapToGrid w:val="0"/>
              <w:spacing w:line="400" w:lineRule="exact"/>
              <w:jc w:val="center"/>
              <w:rPr>
                <w:rFonts w:ascii="宋体" w:hAnsi="宋体" w:cs="宋体"/>
                <w:sz w:val="24"/>
                <w:szCs w:val="24"/>
                <w:highlight w:val="none"/>
              </w:rPr>
            </w:pPr>
          </w:p>
        </w:tc>
        <w:tc>
          <w:tcPr>
            <w:tcW w:w="898" w:type="dxa"/>
            <w:vAlign w:val="center"/>
          </w:tcPr>
          <w:p>
            <w:pPr>
              <w:snapToGrid w:val="0"/>
              <w:spacing w:line="400" w:lineRule="exact"/>
              <w:jc w:val="center"/>
              <w:rPr>
                <w:rFonts w:ascii="宋体" w:hAnsi="宋体" w:cs="宋体"/>
                <w:sz w:val="24"/>
                <w:szCs w:val="24"/>
                <w:highlight w:val="none"/>
              </w:rPr>
            </w:pPr>
          </w:p>
        </w:tc>
        <w:tc>
          <w:tcPr>
            <w:tcW w:w="1153" w:type="dxa"/>
            <w:vAlign w:val="center"/>
          </w:tcPr>
          <w:p>
            <w:pPr>
              <w:snapToGrid w:val="0"/>
              <w:spacing w:line="400" w:lineRule="exact"/>
              <w:jc w:val="left"/>
              <w:rPr>
                <w:rFonts w:ascii="宋体" w:hAnsi="宋体" w:cs="宋体"/>
                <w:sz w:val="24"/>
                <w:szCs w:val="24"/>
                <w:highlight w:val="none"/>
              </w:rPr>
            </w:pPr>
          </w:p>
        </w:tc>
        <w:tc>
          <w:tcPr>
            <w:tcW w:w="1154" w:type="dxa"/>
            <w:vAlign w:val="center"/>
          </w:tcPr>
          <w:p>
            <w:pPr>
              <w:snapToGrid w:val="0"/>
              <w:spacing w:line="400" w:lineRule="exact"/>
              <w:jc w:val="center"/>
              <w:rPr>
                <w:rFonts w:ascii="宋体" w:hAnsi="宋体" w:cs="宋体"/>
                <w:sz w:val="24"/>
                <w:szCs w:val="24"/>
                <w:highlight w:val="none"/>
              </w:rPr>
            </w:pPr>
          </w:p>
        </w:tc>
        <w:tc>
          <w:tcPr>
            <w:tcW w:w="897" w:type="dxa"/>
            <w:vAlign w:val="center"/>
          </w:tcPr>
          <w:p>
            <w:pPr>
              <w:snapToGrid w:val="0"/>
              <w:spacing w:line="400" w:lineRule="exact"/>
              <w:jc w:val="center"/>
              <w:rPr>
                <w:rFonts w:ascii="宋体" w:hAnsi="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726" w:type="dxa"/>
            <w:gridSpan w:val="2"/>
            <w:vAlign w:val="center"/>
          </w:tcPr>
          <w:p>
            <w:pPr>
              <w:snapToGrid w:val="0"/>
              <w:spacing w:line="400" w:lineRule="exact"/>
              <w:jc w:val="center"/>
              <w:rPr>
                <w:rFonts w:ascii="宋体" w:hAnsi="宋体" w:cs="宋体"/>
                <w:sz w:val="24"/>
                <w:szCs w:val="24"/>
                <w:highlight w:val="none"/>
              </w:rPr>
            </w:pPr>
            <w:r>
              <w:rPr>
                <w:rFonts w:hint="eastAsia" w:ascii="宋体" w:hAnsi="宋体" w:cs="宋体"/>
                <w:sz w:val="24"/>
                <w:szCs w:val="24"/>
                <w:highlight w:val="none"/>
              </w:rPr>
              <w:t>投标总价（元）</w:t>
            </w:r>
          </w:p>
        </w:tc>
        <w:tc>
          <w:tcPr>
            <w:tcW w:w="7090" w:type="dxa"/>
            <w:gridSpan w:val="7"/>
            <w:vAlign w:val="center"/>
          </w:tcPr>
          <w:p>
            <w:pPr>
              <w:snapToGrid w:val="0"/>
              <w:spacing w:line="400" w:lineRule="exact"/>
              <w:rPr>
                <w:rFonts w:ascii="宋体" w:hAnsi="宋体" w:cs="宋体"/>
                <w:sz w:val="24"/>
                <w:szCs w:val="24"/>
                <w:highlight w:val="none"/>
              </w:rPr>
            </w:pPr>
            <w:r>
              <w:rPr>
                <w:rFonts w:hint="eastAsia" w:ascii="宋体" w:hAnsi="宋体" w:cs="宋体"/>
                <w:sz w:val="24"/>
                <w:szCs w:val="24"/>
                <w:highlight w:val="none"/>
              </w:rPr>
              <w:t>合计金额大写：  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726" w:type="dxa"/>
            <w:gridSpan w:val="2"/>
            <w:vAlign w:val="center"/>
          </w:tcPr>
          <w:p>
            <w:pPr>
              <w:snapToGrid w:val="0"/>
              <w:spacing w:line="400" w:lineRule="exact"/>
              <w:jc w:val="center"/>
              <w:rPr>
                <w:rFonts w:ascii="宋体" w:hAnsi="宋体" w:cs="宋体"/>
                <w:sz w:val="24"/>
                <w:szCs w:val="24"/>
                <w:highlight w:val="none"/>
              </w:rPr>
            </w:pPr>
            <w:r>
              <w:rPr>
                <w:rFonts w:hint="eastAsia" w:ascii="宋体" w:hAnsi="宋体" w:cs="宋体"/>
                <w:sz w:val="24"/>
                <w:szCs w:val="24"/>
                <w:highlight w:val="none"/>
              </w:rPr>
              <w:t>交货时间</w:t>
            </w:r>
          </w:p>
        </w:tc>
        <w:tc>
          <w:tcPr>
            <w:tcW w:w="7090" w:type="dxa"/>
            <w:gridSpan w:val="7"/>
            <w:vAlign w:val="center"/>
          </w:tcPr>
          <w:p>
            <w:pPr>
              <w:snapToGrid w:val="0"/>
              <w:spacing w:line="400" w:lineRule="exact"/>
              <w:jc w:val="center"/>
              <w:rPr>
                <w:rFonts w:ascii="宋体" w:hAnsi="宋体" w:cs="宋体"/>
                <w:sz w:val="24"/>
                <w:szCs w:val="24"/>
                <w:highlight w:val="none"/>
              </w:rPr>
            </w:pPr>
            <w:r>
              <w:rPr>
                <w:rFonts w:hint="eastAsia" w:ascii="宋体" w:hAnsi="宋体" w:cs="宋体"/>
                <w:sz w:val="24"/>
                <w:szCs w:val="24"/>
                <w:highlight w:val="none"/>
              </w:rPr>
              <w:t>（可填写是\否满足招标文件要求）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726" w:type="dxa"/>
            <w:gridSpan w:val="2"/>
            <w:vAlign w:val="center"/>
          </w:tcPr>
          <w:p>
            <w:pPr>
              <w:snapToGrid w:val="0"/>
              <w:spacing w:line="400" w:lineRule="exact"/>
              <w:jc w:val="center"/>
              <w:rPr>
                <w:rFonts w:ascii="宋体" w:hAnsi="宋体" w:cs="宋体"/>
                <w:sz w:val="24"/>
                <w:szCs w:val="24"/>
                <w:highlight w:val="none"/>
              </w:rPr>
            </w:pPr>
            <w:r>
              <w:rPr>
                <w:rFonts w:hint="eastAsia" w:ascii="宋体" w:hAnsi="宋体" w:cs="宋体"/>
                <w:sz w:val="24"/>
                <w:szCs w:val="24"/>
                <w:highlight w:val="none"/>
              </w:rPr>
              <w:t>质保期</w:t>
            </w:r>
          </w:p>
        </w:tc>
        <w:tc>
          <w:tcPr>
            <w:tcW w:w="7090" w:type="dxa"/>
            <w:gridSpan w:val="7"/>
            <w:vAlign w:val="center"/>
          </w:tcPr>
          <w:p>
            <w:pPr>
              <w:snapToGrid w:val="0"/>
              <w:spacing w:line="400" w:lineRule="exact"/>
              <w:jc w:val="center"/>
              <w:rPr>
                <w:rFonts w:ascii="宋体" w:hAnsi="宋体" w:cs="宋体"/>
                <w:sz w:val="24"/>
                <w:szCs w:val="24"/>
                <w:highlight w:val="none"/>
              </w:rPr>
            </w:pPr>
            <w:r>
              <w:rPr>
                <w:rFonts w:hint="eastAsia" w:ascii="宋体" w:hAnsi="宋体" w:cs="宋体"/>
                <w:sz w:val="24"/>
                <w:szCs w:val="24"/>
                <w:highlight w:val="none"/>
              </w:rPr>
              <w:t>（可填写是\否满足招标文件要求）</w:t>
            </w:r>
          </w:p>
        </w:tc>
      </w:tr>
    </w:tbl>
    <w:p>
      <w:pPr>
        <w:adjustRightInd w:val="0"/>
        <w:snapToGrid w:val="0"/>
        <w:spacing w:line="400" w:lineRule="exact"/>
        <w:rPr>
          <w:rFonts w:ascii="宋体" w:hAnsi="宋体" w:cs="宋体"/>
          <w:sz w:val="24"/>
          <w:szCs w:val="24"/>
          <w:highlight w:val="none"/>
        </w:rPr>
      </w:pPr>
    </w:p>
    <w:p>
      <w:pPr>
        <w:adjustRightInd w:val="0"/>
        <w:snapToGrid w:val="0"/>
        <w:spacing w:line="400" w:lineRule="exact"/>
        <w:jc w:val="left"/>
        <w:rPr>
          <w:rFonts w:ascii="宋体" w:hAnsi="宋体" w:cs="宋体"/>
          <w:sz w:val="24"/>
          <w:szCs w:val="24"/>
          <w:highlight w:val="none"/>
        </w:rPr>
      </w:pPr>
      <w:r>
        <w:rPr>
          <w:rFonts w:hint="eastAsia" w:ascii="宋体" w:hAnsi="宋体" w:cs="宋体"/>
          <w:sz w:val="24"/>
          <w:szCs w:val="24"/>
          <w:highlight w:val="none"/>
        </w:rPr>
        <w:t>注: 投标报价包括项目实施所需的货款、人工费、服务费、运输费、安装调试费、税金及其他一切费用。</w:t>
      </w:r>
    </w:p>
    <w:p>
      <w:pPr>
        <w:pStyle w:val="4"/>
        <w:rPr>
          <w:highlight w:val="none"/>
        </w:rPr>
      </w:pPr>
    </w:p>
    <w:p>
      <w:pPr>
        <w:adjustRightInd w:val="0"/>
        <w:snapToGrid w:val="0"/>
        <w:spacing w:line="400" w:lineRule="exact"/>
        <w:ind w:left="-4" w:leftChars="-2" w:right="-817" w:rightChars="-389" w:firstLine="2"/>
        <w:rPr>
          <w:rFonts w:ascii="宋体" w:hAnsi="宋体" w:cs="宋体"/>
          <w:sz w:val="24"/>
          <w:szCs w:val="24"/>
          <w:highlight w:val="none"/>
        </w:rPr>
      </w:pPr>
      <w:r>
        <w:rPr>
          <w:rFonts w:hint="eastAsia" w:ascii="宋体" w:hAnsi="宋体" w:cs="宋体"/>
          <w:sz w:val="24"/>
          <w:szCs w:val="24"/>
          <w:highlight w:val="none"/>
        </w:rPr>
        <w:t>投标人名称（盖章）：</w:t>
      </w:r>
    </w:p>
    <w:p>
      <w:pPr>
        <w:adjustRightInd w:val="0"/>
        <w:snapToGrid w:val="0"/>
        <w:spacing w:line="400" w:lineRule="exact"/>
        <w:ind w:left="-4" w:leftChars="-2" w:right="-817" w:rightChars="-389" w:firstLine="2"/>
        <w:rPr>
          <w:rFonts w:ascii="宋体" w:hAnsi="宋体" w:cs="宋体"/>
          <w:sz w:val="24"/>
          <w:szCs w:val="24"/>
          <w:highlight w:val="none"/>
        </w:rPr>
      </w:pPr>
      <w:r>
        <w:rPr>
          <w:rFonts w:hint="eastAsia" w:ascii="宋体" w:hAnsi="宋体" w:cs="宋体"/>
          <w:sz w:val="24"/>
          <w:szCs w:val="24"/>
          <w:highlight w:val="none"/>
        </w:rPr>
        <w:t>法定代表人（负责人、自然人）或授权代表（签字）：</w:t>
      </w:r>
    </w:p>
    <w:p>
      <w:pPr>
        <w:adjustRightInd w:val="0"/>
        <w:snapToGrid w:val="0"/>
        <w:spacing w:line="400" w:lineRule="exact"/>
        <w:ind w:left="-2" w:leftChars="-1" w:right="-817" w:rightChars="-389" w:firstLine="2"/>
        <w:rPr>
          <w:rFonts w:ascii="宋体" w:hAnsi="宋体" w:cs="宋体"/>
          <w:sz w:val="24"/>
          <w:szCs w:val="24"/>
          <w:highlight w:val="none"/>
        </w:rPr>
      </w:pPr>
      <w:r>
        <w:rPr>
          <w:rFonts w:hint="eastAsia" w:ascii="宋体" w:hAnsi="宋体" w:cs="宋体"/>
          <w:sz w:val="24"/>
          <w:szCs w:val="24"/>
          <w:highlight w:val="none"/>
        </w:rPr>
        <w:t>日期：    年   月   日</w:t>
      </w:r>
    </w:p>
    <w:p>
      <w:pPr>
        <w:adjustRightInd w:val="0"/>
        <w:snapToGrid w:val="0"/>
        <w:spacing w:line="400" w:lineRule="exact"/>
        <w:rPr>
          <w:highlight w:val="none"/>
        </w:rPr>
      </w:pPr>
      <w:r>
        <w:rPr>
          <w:rFonts w:hint="eastAsia" w:ascii="宋体" w:hAnsi="宋体" w:cs="宋体"/>
          <w:b/>
          <w:sz w:val="24"/>
          <w:szCs w:val="24"/>
          <w:highlight w:val="none"/>
        </w:rPr>
        <w:br w:type="page"/>
      </w:r>
    </w:p>
    <w:p>
      <w:pPr>
        <w:adjustRightInd w:val="0"/>
        <w:snapToGrid w:val="0"/>
        <w:spacing w:line="400" w:lineRule="exact"/>
        <w:rPr>
          <w:rFonts w:ascii="宋体" w:hAnsi="宋体" w:cs="宋体"/>
          <w:sz w:val="24"/>
          <w:szCs w:val="24"/>
          <w:highlight w:val="none"/>
        </w:rPr>
      </w:pPr>
      <w:r>
        <w:rPr>
          <w:rFonts w:hint="eastAsia" w:ascii="宋体" w:hAnsi="宋体" w:cs="宋体"/>
          <w:b/>
          <w:sz w:val="24"/>
          <w:szCs w:val="24"/>
          <w:highlight w:val="none"/>
        </w:rPr>
        <w:t>3、投标报价明细表格式</w:t>
      </w:r>
      <w:r>
        <w:rPr>
          <w:rFonts w:hint="eastAsia" w:ascii="宋体" w:hAnsi="宋体" w:cs="宋体"/>
          <w:sz w:val="24"/>
          <w:szCs w:val="24"/>
          <w:highlight w:val="none"/>
        </w:rPr>
        <w:t xml:space="preserve">：       </w:t>
      </w:r>
    </w:p>
    <w:p>
      <w:pPr>
        <w:adjustRightInd w:val="0"/>
        <w:snapToGrid w:val="0"/>
        <w:spacing w:line="400" w:lineRule="exact"/>
        <w:jc w:val="center"/>
        <w:rPr>
          <w:rFonts w:ascii="宋体" w:hAnsi="宋体" w:cs="宋体"/>
          <w:b/>
          <w:sz w:val="24"/>
          <w:szCs w:val="24"/>
          <w:highlight w:val="none"/>
        </w:rPr>
      </w:pPr>
      <w:r>
        <w:rPr>
          <w:rFonts w:hint="eastAsia" w:ascii="宋体" w:hAnsi="宋体" w:cs="宋体"/>
          <w:b/>
          <w:sz w:val="24"/>
          <w:szCs w:val="24"/>
          <w:highlight w:val="none"/>
        </w:rPr>
        <w:t>投标报价明细表</w:t>
      </w:r>
    </w:p>
    <w:p>
      <w:pPr>
        <w:adjustRightInd w:val="0"/>
        <w:snapToGrid w:val="0"/>
        <w:spacing w:line="400" w:lineRule="exact"/>
        <w:rPr>
          <w:rFonts w:ascii="宋体" w:hAnsi="宋体" w:cs="宋体"/>
          <w:sz w:val="24"/>
          <w:szCs w:val="24"/>
          <w:highlight w:val="none"/>
        </w:rPr>
      </w:pPr>
      <w:r>
        <w:rPr>
          <w:rFonts w:hint="eastAsia" w:ascii="宋体" w:hAnsi="宋体" w:cs="宋体"/>
          <w:sz w:val="24"/>
          <w:szCs w:val="24"/>
          <w:highlight w:val="none"/>
        </w:rPr>
        <w:t>项目名称：</w:t>
      </w:r>
    </w:p>
    <w:p>
      <w:pPr>
        <w:adjustRightInd w:val="0"/>
        <w:snapToGrid w:val="0"/>
        <w:spacing w:line="400" w:lineRule="exact"/>
        <w:rPr>
          <w:rFonts w:ascii="宋体" w:hAnsi="宋体" w:cs="宋体"/>
          <w:sz w:val="24"/>
          <w:szCs w:val="24"/>
          <w:highlight w:val="none"/>
        </w:rPr>
      </w:pPr>
      <w:r>
        <w:rPr>
          <w:rFonts w:hint="eastAsia" w:ascii="宋体" w:hAnsi="宋体" w:cs="宋体"/>
          <w:sz w:val="24"/>
          <w:szCs w:val="24"/>
          <w:highlight w:val="none"/>
        </w:rPr>
        <w:t>标包编号及内容：                               金额单位：人民币（元）</w:t>
      </w:r>
    </w:p>
    <w:tbl>
      <w:tblPr>
        <w:tblStyle w:val="38"/>
        <w:tblW w:w="833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57"/>
        <w:gridCol w:w="1315"/>
        <w:gridCol w:w="986"/>
        <w:gridCol w:w="1315"/>
        <w:gridCol w:w="1479"/>
        <w:gridCol w:w="903"/>
        <w:gridCol w:w="903"/>
        <w:gridCol w:w="78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8"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highlight w:val="none"/>
              </w:rPr>
            </w:pPr>
            <w:r>
              <w:rPr>
                <w:rFonts w:hint="eastAsia" w:ascii="宋体" w:hAnsi="宋体" w:cs="宋体"/>
                <w:sz w:val="24"/>
                <w:szCs w:val="24"/>
                <w:highlight w:val="none"/>
              </w:rPr>
              <w:t>序号</w:t>
            </w: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highlight w:val="none"/>
              </w:rPr>
            </w:pPr>
            <w:r>
              <w:rPr>
                <w:rFonts w:hint="eastAsia" w:ascii="宋体" w:hAnsi="宋体" w:cs="宋体"/>
                <w:sz w:val="24"/>
                <w:szCs w:val="24"/>
                <w:highlight w:val="none"/>
              </w:rPr>
              <w:t>报价组成</w:t>
            </w: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kern w:val="0"/>
                <w:sz w:val="24"/>
                <w:szCs w:val="24"/>
                <w:highlight w:val="none"/>
              </w:rPr>
            </w:pPr>
            <w:r>
              <w:rPr>
                <w:rFonts w:hint="eastAsia" w:ascii="宋体" w:hAnsi="宋体" w:cs="宋体"/>
                <w:spacing w:val="-20"/>
                <w:kern w:val="0"/>
                <w:sz w:val="24"/>
                <w:szCs w:val="24"/>
                <w:highlight w:val="none"/>
              </w:rPr>
              <w:t>品牌</w:t>
            </w: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highlight w:val="none"/>
              </w:rPr>
            </w:pPr>
            <w:r>
              <w:rPr>
                <w:rFonts w:hint="eastAsia" w:ascii="宋体" w:hAnsi="宋体" w:cs="宋体"/>
                <w:sz w:val="24"/>
                <w:szCs w:val="24"/>
                <w:highlight w:val="none"/>
              </w:rPr>
              <w:t>规格型号</w:t>
            </w: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highlight w:val="none"/>
              </w:rPr>
            </w:pPr>
            <w:r>
              <w:rPr>
                <w:rFonts w:hint="eastAsia" w:ascii="宋体" w:hAnsi="宋体" w:cs="宋体"/>
                <w:sz w:val="24"/>
                <w:szCs w:val="24"/>
                <w:highlight w:val="none"/>
              </w:rPr>
              <w:t>单位及数量</w:t>
            </w: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highlight w:val="none"/>
              </w:rPr>
            </w:pPr>
            <w:r>
              <w:rPr>
                <w:rFonts w:hint="eastAsia" w:ascii="宋体" w:hAnsi="宋体" w:cs="宋体"/>
                <w:sz w:val="24"/>
                <w:szCs w:val="24"/>
                <w:highlight w:val="none"/>
              </w:rPr>
              <w:t>单价</w:t>
            </w: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highlight w:val="none"/>
              </w:rPr>
            </w:pPr>
            <w:r>
              <w:rPr>
                <w:rFonts w:hint="eastAsia" w:ascii="宋体" w:hAnsi="宋体" w:cs="宋体"/>
                <w:sz w:val="24"/>
                <w:szCs w:val="24"/>
                <w:highlight w:val="none"/>
              </w:rPr>
              <w:t>金额</w:t>
            </w: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highlight w:val="none"/>
              </w:rPr>
            </w:pPr>
            <w:r>
              <w:rPr>
                <w:rFonts w:hint="eastAsia" w:ascii="宋体" w:hAnsi="宋体" w:cs="宋体"/>
                <w:spacing w:val="20"/>
                <w:sz w:val="24"/>
                <w:szCs w:val="24"/>
                <w:highlight w:val="none"/>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highlight w:val="none"/>
              </w:rPr>
            </w:pP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highlight w:val="none"/>
              </w:rPr>
            </w:pP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highlight w:val="none"/>
              </w:rPr>
            </w:pP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highlight w:val="none"/>
              </w:rPr>
            </w:pPr>
            <w:r>
              <w:rPr>
                <w:rFonts w:hint="eastAsia" w:ascii="宋体" w:hAnsi="宋体" w:cs="宋体"/>
                <w:spacing w:val="20"/>
                <w:sz w:val="24"/>
                <w:szCs w:val="24"/>
                <w:highlight w:val="none"/>
              </w:rPr>
              <w:t>……</w:t>
            </w: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1" w:hRule="atLeast"/>
          <w:jc w:val="center"/>
        </w:trPr>
        <w:tc>
          <w:tcPr>
            <w:tcW w:w="8338" w:type="dxa"/>
            <w:gridSpan w:val="8"/>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rPr>
                <w:rFonts w:ascii="宋体" w:hAnsi="宋体" w:cs="宋体"/>
                <w:spacing w:val="20"/>
                <w:sz w:val="24"/>
                <w:szCs w:val="24"/>
                <w:highlight w:val="none"/>
              </w:rPr>
            </w:pPr>
            <w:r>
              <w:rPr>
                <w:rFonts w:hint="eastAsia" w:ascii="宋体" w:hAnsi="宋体" w:cs="宋体"/>
                <w:spacing w:val="20"/>
                <w:sz w:val="24"/>
                <w:szCs w:val="24"/>
                <w:highlight w:val="none"/>
              </w:rPr>
              <w:t>合计金额：（人民币大写）</w:t>
            </w:r>
          </w:p>
        </w:tc>
      </w:tr>
    </w:tbl>
    <w:p>
      <w:pPr>
        <w:tabs>
          <w:tab w:val="left" w:pos="1418"/>
        </w:tabs>
        <w:snapToGrid w:val="0"/>
        <w:spacing w:line="400" w:lineRule="exact"/>
        <w:rPr>
          <w:rFonts w:ascii="宋体" w:hAnsi="宋体" w:cs="宋体"/>
          <w:spacing w:val="20"/>
          <w:sz w:val="24"/>
          <w:szCs w:val="24"/>
          <w:highlight w:val="none"/>
        </w:rPr>
      </w:pPr>
      <w:r>
        <w:rPr>
          <w:rFonts w:hint="eastAsia" w:ascii="宋体" w:hAnsi="宋体" w:cs="宋体"/>
          <w:sz w:val="24"/>
          <w:szCs w:val="24"/>
          <w:highlight w:val="none"/>
        </w:rPr>
        <w:t>说明：1、若获得中标资格并与采购人签署供货合同，由于报价遗漏而造成在供货、安装、调试、培训等工作中出现费用的增加，均由中标</w:t>
      </w:r>
      <w:r>
        <w:rPr>
          <w:rFonts w:hint="eastAsia" w:ascii="宋体" w:hAnsi="宋体" w:cs="宋体"/>
          <w:sz w:val="24"/>
          <w:szCs w:val="24"/>
          <w:highlight w:val="none"/>
          <w:lang w:eastAsia="zh-CN"/>
        </w:rPr>
        <w:t>投标人</w:t>
      </w:r>
      <w:r>
        <w:rPr>
          <w:rFonts w:hint="eastAsia" w:ascii="宋体" w:hAnsi="宋体" w:cs="宋体"/>
          <w:sz w:val="24"/>
          <w:szCs w:val="24"/>
          <w:highlight w:val="none"/>
        </w:rPr>
        <w:t>自行承担，采购人将不再支付任何额外费用</w:t>
      </w:r>
      <w:r>
        <w:rPr>
          <w:rFonts w:hint="eastAsia" w:ascii="宋体" w:hAnsi="宋体" w:cs="宋体"/>
          <w:spacing w:val="20"/>
          <w:sz w:val="24"/>
          <w:szCs w:val="24"/>
          <w:highlight w:val="none"/>
        </w:rPr>
        <w:t>。</w:t>
      </w:r>
    </w:p>
    <w:p>
      <w:pPr>
        <w:adjustRightInd w:val="0"/>
        <w:snapToGrid w:val="0"/>
        <w:spacing w:line="400" w:lineRule="exact"/>
        <w:ind w:left="-4" w:leftChars="-2" w:right="-817" w:rightChars="-389" w:firstLine="2"/>
        <w:rPr>
          <w:rFonts w:ascii="宋体" w:hAnsi="宋体" w:cs="宋体"/>
          <w:sz w:val="24"/>
          <w:szCs w:val="24"/>
          <w:highlight w:val="none"/>
        </w:rPr>
      </w:pPr>
      <w:r>
        <w:rPr>
          <w:rFonts w:hint="eastAsia" w:ascii="宋体" w:hAnsi="宋体" w:cs="宋体"/>
          <w:sz w:val="24"/>
          <w:szCs w:val="24"/>
          <w:highlight w:val="none"/>
        </w:rPr>
        <w:t>投标人名称（盖章）：</w:t>
      </w:r>
    </w:p>
    <w:p>
      <w:pPr>
        <w:adjustRightInd w:val="0"/>
        <w:snapToGrid w:val="0"/>
        <w:spacing w:line="400" w:lineRule="exact"/>
        <w:ind w:left="-3" w:leftChars="-72" w:right="-817" w:rightChars="-389" w:hanging="148" w:hangingChars="62"/>
        <w:rPr>
          <w:rFonts w:ascii="宋体" w:hAnsi="宋体" w:cs="宋体"/>
          <w:sz w:val="24"/>
          <w:szCs w:val="24"/>
          <w:highlight w:val="none"/>
        </w:rPr>
      </w:pPr>
    </w:p>
    <w:p>
      <w:pPr>
        <w:adjustRightInd w:val="0"/>
        <w:snapToGrid w:val="0"/>
        <w:spacing w:line="400" w:lineRule="exact"/>
        <w:ind w:left="-4" w:leftChars="-2" w:right="-817" w:rightChars="-389" w:firstLine="2"/>
        <w:rPr>
          <w:rFonts w:ascii="宋体" w:hAnsi="宋体" w:cs="宋体"/>
          <w:sz w:val="24"/>
          <w:szCs w:val="24"/>
          <w:highlight w:val="none"/>
        </w:rPr>
      </w:pPr>
      <w:r>
        <w:rPr>
          <w:rFonts w:hint="eastAsia" w:ascii="宋体" w:hAnsi="宋体" w:cs="宋体"/>
          <w:sz w:val="24"/>
          <w:szCs w:val="24"/>
          <w:highlight w:val="none"/>
        </w:rPr>
        <w:t>法定代表人（负责人、自然人）或授权代表（签字）：</w:t>
      </w:r>
      <w:r>
        <w:rPr>
          <w:rFonts w:ascii="宋体" w:hAnsi="宋体" w:cs="宋体"/>
          <w:sz w:val="24"/>
          <w:szCs w:val="24"/>
          <w:highlight w:val="none"/>
        </w:rPr>
        <w:t xml:space="preserve"> </w:t>
      </w:r>
    </w:p>
    <w:p>
      <w:pPr>
        <w:adjustRightInd w:val="0"/>
        <w:snapToGrid w:val="0"/>
        <w:spacing w:line="400" w:lineRule="exact"/>
        <w:rPr>
          <w:rFonts w:ascii="宋体" w:hAnsi="宋体" w:cs="宋体"/>
          <w:spacing w:val="20"/>
          <w:sz w:val="24"/>
          <w:szCs w:val="24"/>
          <w:highlight w:val="none"/>
        </w:rPr>
      </w:pPr>
    </w:p>
    <w:p>
      <w:pPr>
        <w:adjustRightInd w:val="0"/>
        <w:snapToGrid w:val="0"/>
        <w:spacing w:line="400" w:lineRule="exact"/>
        <w:ind w:left="-2" w:leftChars="-1" w:right="-817" w:rightChars="-389" w:firstLine="2"/>
        <w:jc w:val="left"/>
        <w:rPr>
          <w:rFonts w:ascii="宋体" w:hAnsi="宋体" w:cs="宋体"/>
          <w:sz w:val="24"/>
          <w:szCs w:val="24"/>
          <w:highlight w:val="none"/>
        </w:rPr>
      </w:pPr>
      <w:r>
        <w:rPr>
          <w:rFonts w:hint="eastAsia" w:ascii="宋体" w:hAnsi="宋体" w:cs="宋体"/>
          <w:sz w:val="24"/>
          <w:szCs w:val="24"/>
          <w:highlight w:val="none"/>
        </w:rPr>
        <w:t>日期：    年   月   日</w:t>
      </w:r>
    </w:p>
    <w:p>
      <w:pPr>
        <w:adjustRightInd w:val="0"/>
        <w:snapToGrid w:val="0"/>
        <w:spacing w:line="400" w:lineRule="exact"/>
        <w:rPr>
          <w:rFonts w:ascii="宋体" w:hAnsi="宋体" w:cs="宋体"/>
          <w:sz w:val="24"/>
          <w:szCs w:val="24"/>
          <w:highlight w:val="none"/>
        </w:rPr>
      </w:pPr>
    </w:p>
    <w:p>
      <w:pPr>
        <w:adjustRightInd w:val="0"/>
        <w:snapToGrid w:val="0"/>
        <w:spacing w:line="400" w:lineRule="exact"/>
        <w:rPr>
          <w:rFonts w:ascii="宋体" w:hAnsi="宋体" w:cs="宋体"/>
          <w:spacing w:val="20"/>
          <w:sz w:val="24"/>
          <w:szCs w:val="24"/>
          <w:highlight w:val="none"/>
          <w:u w:val="single"/>
        </w:rPr>
      </w:pPr>
    </w:p>
    <w:p>
      <w:pPr>
        <w:adjustRightInd w:val="0"/>
        <w:snapToGrid w:val="0"/>
        <w:spacing w:line="400" w:lineRule="exact"/>
        <w:rPr>
          <w:rFonts w:ascii="宋体" w:hAnsi="宋体" w:cs="宋体"/>
          <w:spacing w:val="20"/>
          <w:sz w:val="24"/>
          <w:szCs w:val="24"/>
          <w:highlight w:val="none"/>
          <w:u w:val="single"/>
        </w:rPr>
      </w:pPr>
    </w:p>
    <w:p>
      <w:pPr>
        <w:adjustRightInd w:val="0"/>
        <w:snapToGrid w:val="0"/>
        <w:spacing w:before="50" w:after="50" w:line="400" w:lineRule="exact"/>
        <w:rPr>
          <w:rFonts w:ascii="宋体" w:hAnsi="宋体" w:cs="宋体"/>
          <w:b/>
          <w:sz w:val="24"/>
          <w:szCs w:val="24"/>
          <w:highlight w:val="none"/>
        </w:rPr>
      </w:pPr>
      <w:r>
        <w:rPr>
          <w:rFonts w:hint="eastAsia" w:ascii="宋体" w:hAnsi="宋体" w:cs="宋体"/>
          <w:b/>
          <w:sz w:val="24"/>
          <w:szCs w:val="24"/>
          <w:highlight w:val="none"/>
        </w:rPr>
        <w:t>4、投标保证金缴纳凭证复印件</w:t>
      </w:r>
    </w:p>
    <w:p>
      <w:pPr>
        <w:adjustRightInd w:val="0"/>
        <w:snapToGrid w:val="0"/>
        <w:spacing w:before="50" w:after="50" w:line="400" w:lineRule="exact"/>
        <w:rPr>
          <w:rFonts w:ascii="宋体" w:hAnsi="宋体" w:cs="宋体"/>
          <w:b/>
          <w:sz w:val="24"/>
          <w:szCs w:val="24"/>
          <w:highlight w:val="none"/>
        </w:rPr>
      </w:pPr>
    </w:p>
    <w:p>
      <w:pPr>
        <w:adjustRightInd w:val="0"/>
        <w:snapToGrid w:val="0"/>
        <w:spacing w:before="50" w:after="50" w:line="400" w:lineRule="exact"/>
        <w:rPr>
          <w:rFonts w:ascii="宋体" w:hAnsi="宋体" w:cs="宋体"/>
          <w:b/>
          <w:sz w:val="24"/>
          <w:szCs w:val="24"/>
          <w:highlight w:val="none"/>
        </w:rPr>
      </w:pPr>
      <w:r>
        <w:rPr>
          <w:rFonts w:hint="eastAsia" w:ascii="宋体" w:hAnsi="宋体" w:cs="宋体"/>
          <w:b/>
          <w:sz w:val="24"/>
          <w:szCs w:val="24"/>
          <w:highlight w:val="none"/>
        </w:rPr>
        <w:t>5、投标人针对报价需要说明的其他文件和资料（如有）</w:t>
      </w:r>
    </w:p>
    <w:p>
      <w:pPr>
        <w:adjustRightInd w:val="0"/>
        <w:snapToGrid w:val="0"/>
        <w:spacing w:line="400" w:lineRule="exact"/>
        <w:rPr>
          <w:rFonts w:ascii="宋体" w:hAnsi="宋体" w:cs="宋体"/>
          <w:b/>
          <w:sz w:val="24"/>
          <w:szCs w:val="24"/>
          <w:highlight w:val="none"/>
        </w:rPr>
      </w:pPr>
      <w:r>
        <w:rPr>
          <w:rFonts w:hint="eastAsia" w:ascii="宋体" w:hAnsi="宋体" w:cs="宋体"/>
          <w:b/>
          <w:sz w:val="28"/>
          <w:szCs w:val="28"/>
          <w:highlight w:val="none"/>
        </w:rPr>
        <w:br w:type="page"/>
      </w:r>
      <w:r>
        <w:rPr>
          <w:rFonts w:hint="eastAsia" w:ascii="宋体" w:hAnsi="宋体" w:cs="宋体"/>
          <w:b/>
          <w:sz w:val="24"/>
          <w:szCs w:val="24"/>
          <w:highlight w:val="none"/>
        </w:rPr>
        <w:t>投标文件封面</w:t>
      </w:r>
    </w:p>
    <w:p>
      <w:pPr>
        <w:spacing w:line="360" w:lineRule="auto"/>
        <w:rPr>
          <w:rFonts w:ascii="宋体" w:hAnsi="宋体" w:cs="宋体"/>
          <w:sz w:val="40"/>
          <w:szCs w:val="20"/>
          <w:highlight w:val="none"/>
        </w:rPr>
      </w:pPr>
      <w:r>
        <w:rPr>
          <w:rFonts w:hint="eastAsia" w:ascii="宋体" w:hAnsi="宋体" w:cs="宋体"/>
          <w:sz w:val="40"/>
          <w:szCs w:val="20"/>
          <w:highlight w:val="none"/>
        </w:rPr>
        <w:t>正（副）本</w:t>
      </w:r>
    </w:p>
    <w:p>
      <w:pPr>
        <w:spacing w:line="360" w:lineRule="auto"/>
        <w:jc w:val="center"/>
        <w:rPr>
          <w:rFonts w:ascii="宋体" w:hAnsi="宋体" w:cs="宋体"/>
          <w:sz w:val="56"/>
          <w:szCs w:val="20"/>
          <w:highlight w:val="none"/>
        </w:rPr>
      </w:pPr>
    </w:p>
    <w:p>
      <w:pPr>
        <w:spacing w:line="360" w:lineRule="auto"/>
        <w:jc w:val="center"/>
        <w:rPr>
          <w:rFonts w:ascii="宋体" w:hAnsi="宋体" w:cs="宋体"/>
          <w:sz w:val="56"/>
          <w:szCs w:val="20"/>
          <w:highlight w:val="none"/>
        </w:rPr>
      </w:pPr>
      <w:r>
        <w:rPr>
          <w:rFonts w:hint="eastAsia" w:ascii="宋体" w:hAnsi="宋体" w:cs="宋体"/>
          <w:sz w:val="56"/>
          <w:szCs w:val="20"/>
          <w:highlight w:val="none"/>
        </w:rPr>
        <w:t>(项目名称)项目</w:t>
      </w:r>
    </w:p>
    <w:p>
      <w:pPr>
        <w:spacing w:line="360" w:lineRule="auto"/>
        <w:jc w:val="center"/>
        <w:rPr>
          <w:rFonts w:ascii="宋体" w:hAnsi="宋体" w:cs="宋体"/>
          <w:sz w:val="28"/>
          <w:szCs w:val="20"/>
          <w:highlight w:val="none"/>
        </w:rPr>
      </w:pPr>
    </w:p>
    <w:p>
      <w:pPr>
        <w:spacing w:line="360" w:lineRule="auto"/>
        <w:jc w:val="center"/>
        <w:rPr>
          <w:rFonts w:ascii="宋体" w:hAnsi="宋体" w:cs="宋体"/>
          <w:sz w:val="28"/>
          <w:szCs w:val="20"/>
          <w:highlight w:val="none"/>
        </w:rPr>
      </w:pPr>
      <w:r>
        <w:rPr>
          <w:rFonts w:hint="eastAsia" w:ascii="宋体" w:hAnsi="宋体" w:cs="宋体"/>
          <w:sz w:val="28"/>
          <w:szCs w:val="20"/>
          <w:highlight w:val="none"/>
        </w:rPr>
        <w:t>标包编号：</w:t>
      </w:r>
    </w:p>
    <w:p>
      <w:pPr>
        <w:spacing w:line="360" w:lineRule="auto"/>
        <w:jc w:val="center"/>
        <w:rPr>
          <w:rFonts w:ascii="宋体" w:hAnsi="宋体" w:cs="宋体"/>
          <w:sz w:val="28"/>
          <w:szCs w:val="20"/>
          <w:highlight w:val="none"/>
        </w:rPr>
      </w:pPr>
    </w:p>
    <w:p>
      <w:pPr>
        <w:spacing w:line="360" w:lineRule="auto"/>
        <w:jc w:val="center"/>
        <w:rPr>
          <w:rFonts w:ascii="宋体" w:hAnsi="宋体" w:cs="宋体"/>
          <w:sz w:val="56"/>
          <w:szCs w:val="20"/>
          <w:highlight w:val="none"/>
        </w:rPr>
      </w:pPr>
      <w:r>
        <w:rPr>
          <w:rFonts w:hint="eastAsia" w:ascii="宋体" w:hAnsi="宋体" w:cs="宋体"/>
          <w:sz w:val="56"/>
          <w:szCs w:val="20"/>
          <w:highlight w:val="none"/>
        </w:rPr>
        <w:t>商务技术文件</w:t>
      </w:r>
    </w:p>
    <w:p>
      <w:pPr>
        <w:spacing w:line="360" w:lineRule="auto"/>
        <w:jc w:val="center"/>
        <w:rPr>
          <w:rFonts w:ascii="宋体" w:hAnsi="宋体" w:cs="宋体"/>
          <w:sz w:val="56"/>
          <w:szCs w:val="20"/>
          <w:highlight w:val="none"/>
        </w:rPr>
      </w:pPr>
    </w:p>
    <w:p>
      <w:pPr>
        <w:spacing w:line="360" w:lineRule="auto"/>
        <w:jc w:val="center"/>
        <w:rPr>
          <w:rFonts w:ascii="宋体" w:hAnsi="宋体" w:cs="宋体"/>
          <w:sz w:val="56"/>
          <w:szCs w:val="20"/>
          <w:highlight w:val="none"/>
        </w:rPr>
      </w:pPr>
    </w:p>
    <w:p>
      <w:pPr>
        <w:spacing w:line="360" w:lineRule="auto"/>
        <w:jc w:val="center"/>
        <w:rPr>
          <w:rFonts w:ascii="宋体" w:hAnsi="宋体" w:cs="宋体"/>
          <w:sz w:val="56"/>
          <w:szCs w:val="20"/>
          <w:highlight w:val="none"/>
        </w:rPr>
      </w:pPr>
    </w:p>
    <w:p>
      <w:pPr>
        <w:spacing w:line="360" w:lineRule="auto"/>
        <w:rPr>
          <w:rFonts w:ascii="宋体" w:hAnsi="宋体" w:cs="宋体"/>
          <w:sz w:val="28"/>
          <w:szCs w:val="20"/>
          <w:highlight w:val="none"/>
        </w:rPr>
      </w:pPr>
      <w:r>
        <w:rPr>
          <w:rFonts w:hint="eastAsia" w:ascii="宋体" w:hAnsi="宋体" w:cs="宋体"/>
          <w:sz w:val="28"/>
          <w:szCs w:val="20"/>
          <w:highlight w:val="none"/>
        </w:rPr>
        <w:t>投标单位名称：（加盖单位公章）</w:t>
      </w:r>
    </w:p>
    <w:p>
      <w:pPr>
        <w:spacing w:line="360" w:lineRule="auto"/>
        <w:rPr>
          <w:rFonts w:ascii="宋体" w:hAnsi="宋体" w:cs="宋体"/>
          <w:sz w:val="28"/>
          <w:szCs w:val="20"/>
          <w:highlight w:val="none"/>
        </w:rPr>
      </w:pPr>
      <w:r>
        <w:rPr>
          <w:rFonts w:hint="eastAsia" w:ascii="宋体" w:hAnsi="宋体" w:cs="宋体"/>
          <w:sz w:val="28"/>
          <w:szCs w:val="20"/>
          <w:highlight w:val="none"/>
        </w:rPr>
        <w:t>投标单位地址：</w:t>
      </w:r>
    </w:p>
    <w:p>
      <w:pPr>
        <w:spacing w:line="360" w:lineRule="auto"/>
        <w:rPr>
          <w:rFonts w:ascii="宋体" w:hAnsi="宋体" w:cs="宋体"/>
          <w:sz w:val="28"/>
          <w:szCs w:val="20"/>
          <w:highlight w:val="none"/>
        </w:rPr>
      </w:pPr>
      <w:r>
        <w:rPr>
          <w:rFonts w:hint="eastAsia" w:ascii="宋体" w:hAnsi="宋体" w:cs="宋体"/>
          <w:sz w:val="28"/>
          <w:szCs w:val="20"/>
          <w:highlight w:val="none"/>
        </w:rPr>
        <w:t>法定代表人（负责人、自然人）或授权代表（签字）：</w:t>
      </w:r>
    </w:p>
    <w:p>
      <w:pPr>
        <w:spacing w:line="360" w:lineRule="auto"/>
        <w:rPr>
          <w:rFonts w:ascii="宋体" w:hAnsi="宋体" w:cs="宋体"/>
          <w:sz w:val="28"/>
          <w:szCs w:val="20"/>
          <w:highlight w:val="none"/>
        </w:rPr>
      </w:pPr>
      <w:r>
        <w:rPr>
          <w:rFonts w:hint="eastAsia" w:ascii="宋体" w:hAnsi="宋体" w:cs="宋体"/>
          <w:sz w:val="28"/>
          <w:szCs w:val="20"/>
          <w:highlight w:val="none"/>
        </w:rPr>
        <w:t>投标单位法定代表人（负责人、自然人）或法人授权代表职务：</w:t>
      </w:r>
    </w:p>
    <w:p>
      <w:pPr>
        <w:spacing w:line="360" w:lineRule="auto"/>
        <w:rPr>
          <w:rFonts w:ascii="宋体" w:hAnsi="宋体" w:cs="宋体"/>
          <w:sz w:val="28"/>
          <w:szCs w:val="20"/>
          <w:highlight w:val="none"/>
        </w:rPr>
      </w:pPr>
      <w:r>
        <w:rPr>
          <w:rFonts w:hint="eastAsia" w:ascii="宋体" w:hAnsi="宋体" w:cs="宋体"/>
          <w:sz w:val="28"/>
          <w:szCs w:val="20"/>
          <w:highlight w:val="none"/>
        </w:rPr>
        <w:t>投标单位联系方式：</w:t>
      </w:r>
    </w:p>
    <w:p>
      <w:pPr>
        <w:spacing w:line="360" w:lineRule="auto"/>
        <w:rPr>
          <w:rFonts w:ascii="宋体" w:hAnsi="宋体" w:cs="宋体"/>
          <w:sz w:val="20"/>
          <w:szCs w:val="20"/>
          <w:highlight w:val="none"/>
        </w:rPr>
      </w:pPr>
    </w:p>
    <w:p>
      <w:pPr>
        <w:adjustRightInd w:val="0"/>
        <w:snapToGrid w:val="0"/>
        <w:jc w:val="center"/>
        <w:rPr>
          <w:rFonts w:ascii="宋体" w:hAnsi="宋体" w:cs="宋体"/>
          <w:b/>
          <w:sz w:val="24"/>
          <w:szCs w:val="24"/>
          <w:highlight w:val="none"/>
        </w:rPr>
      </w:pPr>
      <w:r>
        <w:rPr>
          <w:rFonts w:hint="eastAsia" w:ascii="宋体" w:hAnsi="宋体" w:cs="宋体"/>
          <w:sz w:val="28"/>
          <w:szCs w:val="28"/>
          <w:highlight w:val="none"/>
        </w:rPr>
        <w:t>年  月  日</w:t>
      </w:r>
    </w:p>
    <w:p>
      <w:pPr>
        <w:jc w:val="center"/>
        <w:rPr>
          <w:rFonts w:ascii="宋体" w:hAnsi="宋体" w:cs="宋体"/>
          <w:b/>
          <w:sz w:val="44"/>
          <w:szCs w:val="44"/>
          <w:highlight w:val="none"/>
        </w:rPr>
      </w:pPr>
      <w:r>
        <w:rPr>
          <w:rFonts w:hint="eastAsia" w:ascii="宋体" w:hAnsi="宋体" w:cs="宋体"/>
          <w:b/>
          <w:sz w:val="28"/>
          <w:szCs w:val="28"/>
          <w:highlight w:val="none"/>
        </w:rPr>
        <w:br w:type="page"/>
      </w:r>
      <w:r>
        <w:rPr>
          <w:rFonts w:hint="eastAsia" w:ascii="宋体" w:hAnsi="宋体" w:cs="宋体"/>
          <w:b/>
          <w:sz w:val="44"/>
          <w:szCs w:val="44"/>
          <w:highlight w:val="none"/>
        </w:rPr>
        <w:t xml:space="preserve">目 </w:t>
      </w:r>
      <w:r>
        <w:rPr>
          <w:rFonts w:hint="eastAsia" w:ascii="宋体" w:hAnsi="宋体" w:cs="宋体"/>
          <w:b/>
          <w:sz w:val="44"/>
          <w:szCs w:val="44"/>
          <w:highlight w:val="none"/>
        </w:rPr>
        <w:tab/>
      </w:r>
      <w:r>
        <w:rPr>
          <w:rFonts w:hint="eastAsia" w:ascii="宋体" w:hAnsi="宋体" w:cs="宋体"/>
          <w:b/>
          <w:sz w:val="44"/>
          <w:szCs w:val="44"/>
          <w:highlight w:val="none"/>
        </w:rPr>
        <w:t>录</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 xml:space="preserve">一、商务部分  </w:t>
      </w:r>
      <w:r>
        <w:rPr>
          <w:rFonts w:hint="eastAsia" w:ascii="宋体" w:hAnsi="宋体" w:cs="宋体"/>
          <w:sz w:val="24"/>
          <w:highlight w:val="none"/>
        </w:rPr>
        <w:t>…………………………………………………………（页码）</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 xml:space="preserve">1.投标声明书 </w:t>
      </w:r>
      <w:r>
        <w:rPr>
          <w:rFonts w:hint="eastAsia" w:ascii="宋体" w:hAnsi="宋体" w:cs="宋体"/>
          <w:sz w:val="24"/>
          <w:highlight w:val="none"/>
        </w:rPr>
        <w:t>……………………………………………………………（页码）</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2.法定代表人（负责人、自然人）授权书</w:t>
      </w:r>
      <w:r>
        <w:rPr>
          <w:rFonts w:hint="eastAsia" w:ascii="宋体" w:hAnsi="宋体" w:cs="宋体"/>
          <w:sz w:val="24"/>
          <w:highlight w:val="none"/>
        </w:rPr>
        <w:t>……………………………（页码）</w:t>
      </w:r>
    </w:p>
    <w:p>
      <w:pPr>
        <w:spacing w:line="360" w:lineRule="auto"/>
        <w:ind w:firstLine="480" w:firstLineChars="200"/>
        <w:rPr>
          <w:rFonts w:ascii="宋体" w:hAnsi="宋体" w:cs="宋体"/>
          <w:sz w:val="24"/>
          <w:highlight w:val="none"/>
        </w:rPr>
      </w:pPr>
      <w:r>
        <w:rPr>
          <w:rFonts w:hint="eastAsia" w:ascii="宋体" w:hAnsi="宋体" w:cs="宋体"/>
          <w:sz w:val="24"/>
          <w:szCs w:val="24"/>
          <w:highlight w:val="none"/>
        </w:rPr>
        <w:t xml:space="preserve">3.企业法人营业执照（或登记证书、身份证） </w:t>
      </w:r>
      <w:r>
        <w:rPr>
          <w:rFonts w:hint="eastAsia" w:ascii="宋体" w:hAnsi="宋体" w:cs="宋体"/>
          <w:sz w:val="24"/>
          <w:highlight w:val="none"/>
        </w:rPr>
        <w:t>………………………（页码）</w:t>
      </w:r>
    </w:p>
    <w:p>
      <w:pPr>
        <w:spacing w:line="360" w:lineRule="auto"/>
        <w:ind w:firstLine="480" w:firstLineChars="200"/>
        <w:rPr>
          <w:rFonts w:ascii="宋体" w:hAnsi="宋体" w:cs="宋体"/>
          <w:sz w:val="24"/>
          <w:highlight w:val="none"/>
        </w:rPr>
      </w:pPr>
      <w:r>
        <w:rPr>
          <w:rFonts w:hint="eastAsia" w:ascii="宋体" w:hAnsi="宋体" w:cs="宋体"/>
          <w:sz w:val="24"/>
          <w:szCs w:val="24"/>
          <w:highlight w:val="none"/>
        </w:rPr>
        <w:t xml:space="preserve">4.投标人情况介绍 </w:t>
      </w:r>
      <w:r>
        <w:rPr>
          <w:rFonts w:hint="eastAsia" w:ascii="宋体" w:hAnsi="宋体" w:cs="宋体"/>
          <w:sz w:val="24"/>
          <w:highlight w:val="none"/>
        </w:rPr>
        <w:t>……………………………………………………</w:t>
      </w:r>
      <w:r>
        <w:rPr>
          <w:rFonts w:hint="eastAsia" w:ascii="宋体" w:hAnsi="宋体" w:cs="宋体"/>
          <w:sz w:val="24"/>
          <w:szCs w:val="24"/>
          <w:highlight w:val="none"/>
        </w:rPr>
        <w:t xml:space="preserve"> </w:t>
      </w:r>
      <w:r>
        <w:rPr>
          <w:rFonts w:hint="eastAsia" w:ascii="宋体" w:hAnsi="宋体" w:cs="宋体"/>
          <w:sz w:val="24"/>
          <w:highlight w:val="none"/>
        </w:rPr>
        <w:t>（页码）</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 xml:space="preserve">5.近年财务状况 </w:t>
      </w:r>
      <w:r>
        <w:rPr>
          <w:rFonts w:hint="eastAsia" w:ascii="宋体" w:hAnsi="宋体" w:cs="宋体"/>
          <w:sz w:val="24"/>
          <w:highlight w:val="none"/>
        </w:rPr>
        <w:t>…………………………………………………………（页码）</w:t>
      </w:r>
    </w:p>
    <w:p>
      <w:pPr>
        <w:spacing w:line="360" w:lineRule="auto"/>
        <w:ind w:firstLine="480" w:firstLineChars="200"/>
        <w:rPr>
          <w:rFonts w:ascii="宋体" w:hAnsi="宋体" w:cs="宋体"/>
          <w:sz w:val="24"/>
          <w:highlight w:val="none"/>
        </w:rPr>
      </w:pPr>
      <w:r>
        <w:rPr>
          <w:rFonts w:hint="eastAsia" w:ascii="宋体" w:hAnsi="宋体" w:cs="宋体"/>
          <w:sz w:val="24"/>
          <w:szCs w:val="24"/>
          <w:highlight w:val="none"/>
        </w:rPr>
        <w:t xml:space="preserve">6.投标人须具有履行合同所必需的设备和专业技术能力证明资料 </w:t>
      </w:r>
      <w:r>
        <w:rPr>
          <w:rFonts w:hint="eastAsia" w:ascii="宋体" w:hAnsi="宋体" w:cs="宋体"/>
          <w:sz w:val="24"/>
          <w:highlight w:val="none"/>
        </w:rPr>
        <w:t>…（页码）</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7.</w:t>
      </w:r>
      <w:r>
        <w:rPr>
          <w:rFonts w:hint="eastAsia" w:ascii="宋体" w:hAnsi="宋体" w:cs="宋体"/>
          <w:sz w:val="24"/>
          <w:szCs w:val="24"/>
          <w:highlight w:val="none"/>
        </w:rPr>
        <w:t>纳税证明社保证明</w:t>
      </w:r>
      <w:r>
        <w:rPr>
          <w:rFonts w:hint="eastAsia" w:ascii="宋体" w:hAnsi="宋体" w:cs="宋体"/>
          <w:sz w:val="24"/>
          <w:highlight w:val="none"/>
        </w:rPr>
        <w:t>……………………………………………………（页码）</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 xml:space="preserve">8.前三年内在经营活动中没有重大违法记录的书面声明 </w:t>
      </w:r>
      <w:r>
        <w:rPr>
          <w:rFonts w:hint="eastAsia" w:ascii="宋体" w:hAnsi="宋体" w:cs="宋体"/>
          <w:sz w:val="24"/>
          <w:highlight w:val="none"/>
        </w:rPr>
        <w:t>……………（页码）</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 xml:space="preserve">9.信用记录 </w:t>
      </w:r>
      <w:r>
        <w:rPr>
          <w:rFonts w:hint="eastAsia" w:ascii="宋体" w:hAnsi="宋体" w:cs="宋体"/>
          <w:sz w:val="24"/>
          <w:highlight w:val="none"/>
        </w:rPr>
        <w:t>………………………………………………………………（页码）</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10.其他认证证书等</w:t>
      </w:r>
      <w:r>
        <w:rPr>
          <w:rFonts w:hint="eastAsia" w:ascii="宋体" w:hAnsi="宋体" w:cs="宋体"/>
          <w:sz w:val="24"/>
          <w:highlight w:val="none"/>
        </w:rPr>
        <w:t>………………………………………………………（页码）</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11.类似成功业绩…………………………………………………………（页码）</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12.政府采购政策扶持证明材料…………………………………………（页码）</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13.其他证明文件或</w:t>
      </w:r>
      <w:r>
        <w:rPr>
          <w:rFonts w:hint="eastAsia" w:ascii="宋体" w:hAnsi="宋体" w:cs="宋体"/>
          <w:sz w:val="24"/>
          <w:szCs w:val="24"/>
          <w:highlight w:val="none"/>
          <w:lang w:eastAsia="zh-CN"/>
        </w:rPr>
        <w:t>投标人</w:t>
      </w:r>
      <w:r>
        <w:rPr>
          <w:rFonts w:hint="eastAsia" w:ascii="宋体" w:hAnsi="宋体" w:cs="宋体"/>
          <w:sz w:val="24"/>
          <w:szCs w:val="24"/>
          <w:highlight w:val="none"/>
        </w:rPr>
        <w:t>认为应提交的商务文件……………………（页码）</w:t>
      </w:r>
    </w:p>
    <w:p>
      <w:pPr>
        <w:tabs>
          <w:tab w:val="center" w:pos="4912"/>
        </w:tabs>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 xml:space="preserve">二、技术部分  </w:t>
      </w:r>
      <w:r>
        <w:rPr>
          <w:rFonts w:hint="eastAsia" w:ascii="宋体" w:hAnsi="宋体" w:cs="宋体"/>
          <w:sz w:val="24"/>
          <w:highlight w:val="none"/>
        </w:rPr>
        <w:t>……………………………………………………………（页码）</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14.技术响应偏离表</w:t>
      </w:r>
      <w:r>
        <w:rPr>
          <w:rFonts w:hint="eastAsia" w:ascii="宋体" w:hAnsi="宋体" w:cs="宋体"/>
          <w:sz w:val="24"/>
          <w:highlight w:val="none"/>
        </w:rPr>
        <w:t>………………………………………………………（页码）</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15.产品详细技术规格书</w:t>
      </w:r>
      <w:r>
        <w:rPr>
          <w:rFonts w:hint="eastAsia" w:ascii="宋体" w:hAnsi="宋体" w:cs="宋体"/>
          <w:sz w:val="24"/>
          <w:highlight w:val="none"/>
        </w:rPr>
        <w:t>…………………………………………………（页码）</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 xml:space="preserve">16.产品检测报告 </w:t>
      </w:r>
      <w:r>
        <w:rPr>
          <w:rFonts w:hint="eastAsia" w:ascii="宋体" w:hAnsi="宋体" w:cs="宋体"/>
          <w:sz w:val="24"/>
          <w:highlight w:val="none"/>
        </w:rPr>
        <w:t>…………………………………………………………（页码）</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 xml:space="preserve">17.针对本项目的详细组织实施方案 </w:t>
      </w:r>
      <w:r>
        <w:rPr>
          <w:rFonts w:hint="eastAsia" w:ascii="宋体" w:hAnsi="宋体" w:cs="宋体"/>
          <w:sz w:val="24"/>
          <w:highlight w:val="none"/>
        </w:rPr>
        <w:t>……………………………………（页码）</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 xml:space="preserve">18.针对本项目的详细技术培训方案 </w:t>
      </w:r>
      <w:r>
        <w:rPr>
          <w:rFonts w:hint="eastAsia" w:ascii="宋体" w:hAnsi="宋体" w:cs="宋体"/>
          <w:sz w:val="24"/>
          <w:highlight w:val="none"/>
        </w:rPr>
        <w:t>……………………………………（页码）</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 xml:space="preserve">19.针对本项目的售后服务方案 </w:t>
      </w:r>
      <w:r>
        <w:rPr>
          <w:rFonts w:hint="eastAsia" w:ascii="宋体" w:hAnsi="宋体" w:cs="宋体"/>
          <w:sz w:val="24"/>
          <w:highlight w:val="none"/>
        </w:rPr>
        <w:t>…………………………………………（页码）</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20.其他优惠条件（如有）</w:t>
      </w:r>
      <w:r>
        <w:rPr>
          <w:rFonts w:hint="eastAsia" w:ascii="宋体" w:hAnsi="宋体" w:cs="宋体"/>
          <w:sz w:val="24"/>
          <w:highlight w:val="none"/>
        </w:rPr>
        <w:t>………………………………………………（页码）</w:t>
      </w:r>
    </w:p>
    <w:p>
      <w:pPr>
        <w:adjustRightInd w:val="0"/>
        <w:snapToGrid w:val="0"/>
        <w:ind w:firstLine="480" w:firstLineChars="200"/>
        <w:rPr>
          <w:rFonts w:ascii="宋体" w:hAnsi="宋体" w:cs="宋体"/>
          <w:sz w:val="24"/>
          <w:highlight w:val="none"/>
        </w:rPr>
      </w:pPr>
      <w:r>
        <w:rPr>
          <w:rFonts w:hint="eastAsia" w:ascii="宋体" w:hAnsi="宋体" w:cs="宋体"/>
          <w:sz w:val="24"/>
          <w:szCs w:val="24"/>
          <w:highlight w:val="none"/>
        </w:rPr>
        <w:t>21.</w:t>
      </w:r>
      <w:r>
        <w:rPr>
          <w:rFonts w:hint="eastAsia" w:ascii="宋体" w:hAnsi="宋体" w:cs="宋体"/>
          <w:sz w:val="24"/>
          <w:szCs w:val="24"/>
          <w:highlight w:val="none"/>
          <w:lang w:eastAsia="zh-CN"/>
        </w:rPr>
        <w:t>投标人</w:t>
      </w:r>
      <w:r>
        <w:rPr>
          <w:rFonts w:hint="eastAsia" w:ascii="宋体" w:hAnsi="宋体" w:cs="宋体"/>
          <w:sz w:val="24"/>
          <w:szCs w:val="24"/>
          <w:highlight w:val="none"/>
        </w:rPr>
        <w:t>认为需要提供的其他技术文件或资料（如有）</w:t>
      </w:r>
      <w:r>
        <w:rPr>
          <w:rFonts w:hint="eastAsia" w:ascii="宋体" w:hAnsi="宋体" w:cs="宋体"/>
          <w:sz w:val="24"/>
          <w:highlight w:val="none"/>
        </w:rPr>
        <w:t>……………（页码）</w:t>
      </w:r>
    </w:p>
    <w:p>
      <w:pPr>
        <w:spacing w:line="360" w:lineRule="auto"/>
        <w:ind w:left="719" w:leftChars="228" w:hanging="240" w:hangingChars="100"/>
        <w:rPr>
          <w:rFonts w:ascii="宋体" w:hAnsi="宋体" w:cs="宋体"/>
          <w:sz w:val="24"/>
          <w:szCs w:val="24"/>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adjustRightInd w:val="0"/>
        <w:snapToGrid w:val="0"/>
        <w:rPr>
          <w:rFonts w:ascii="宋体" w:hAnsi="宋体" w:cs="宋体"/>
          <w:b/>
          <w:sz w:val="28"/>
          <w:szCs w:val="28"/>
          <w:highlight w:val="none"/>
        </w:rPr>
      </w:pPr>
    </w:p>
    <w:tbl>
      <w:tblPr>
        <w:tblStyle w:val="38"/>
        <w:tblW w:w="87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000"/>
        <w:gridCol w:w="2783"/>
        <w:gridCol w:w="25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14" w:type="dxa"/>
            <w:gridSpan w:val="4"/>
          </w:tcPr>
          <w:p>
            <w:pPr>
              <w:adjustRightInd w:val="0"/>
              <w:snapToGrid w:val="0"/>
              <w:jc w:val="center"/>
              <w:rPr>
                <w:rFonts w:ascii="宋体" w:hAnsi="宋体" w:cs="宋体"/>
                <w:b/>
                <w:sz w:val="24"/>
                <w:szCs w:val="24"/>
                <w:highlight w:val="none"/>
              </w:rPr>
            </w:pPr>
            <w:r>
              <w:rPr>
                <w:rFonts w:hint="eastAsia" w:ascii="宋体" w:hAnsi="宋体" w:cs="宋体"/>
                <w:b/>
                <w:sz w:val="24"/>
                <w:szCs w:val="24"/>
                <w:highlight w:val="none"/>
              </w:rPr>
              <w:t>评标索引表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sz w:val="24"/>
                <w:szCs w:val="24"/>
                <w:highlight w:val="none"/>
              </w:rPr>
            </w:pPr>
            <w:r>
              <w:rPr>
                <w:rFonts w:hint="eastAsia" w:ascii="宋体" w:hAnsi="宋体" w:cs="宋体"/>
                <w:b/>
                <w:sz w:val="24"/>
                <w:szCs w:val="24"/>
                <w:highlight w:val="none"/>
              </w:rPr>
              <w:t>序号</w:t>
            </w:r>
          </w:p>
        </w:tc>
        <w:tc>
          <w:tcPr>
            <w:tcW w:w="2000" w:type="dxa"/>
          </w:tcPr>
          <w:p>
            <w:pPr>
              <w:adjustRightInd w:val="0"/>
              <w:snapToGrid w:val="0"/>
              <w:rPr>
                <w:rFonts w:ascii="宋体" w:hAnsi="宋体" w:cs="宋体"/>
                <w:b/>
                <w:sz w:val="24"/>
                <w:szCs w:val="24"/>
                <w:highlight w:val="none"/>
              </w:rPr>
            </w:pPr>
            <w:r>
              <w:rPr>
                <w:rFonts w:hint="eastAsia" w:ascii="宋体" w:hAnsi="宋体" w:cs="宋体"/>
                <w:b/>
                <w:sz w:val="24"/>
                <w:szCs w:val="24"/>
                <w:highlight w:val="none"/>
              </w:rPr>
              <w:t>评审因素</w:t>
            </w:r>
          </w:p>
        </w:tc>
        <w:tc>
          <w:tcPr>
            <w:tcW w:w="2783" w:type="dxa"/>
          </w:tcPr>
          <w:p>
            <w:pPr>
              <w:adjustRightInd w:val="0"/>
              <w:snapToGrid w:val="0"/>
              <w:rPr>
                <w:rFonts w:ascii="宋体" w:hAnsi="宋体" w:cs="宋体"/>
                <w:b/>
                <w:sz w:val="24"/>
                <w:szCs w:val="24"/>
                <w:highlight w:val="none"/>
              </w:rPr>
            </w:pPr>
            <w:r>
              <w:rPr>
                <w:rFonts w:hint="eastAsia" w:ascii="宋体" w:hAnsi="宋体" w:cs="宋体"/>
                <w:b/>
                <w:sz w:val="24"/>
                <w:szCs w:val="24"/>
                <w:highlight w:val="none"/>
              </w:rPr>
              <w:t>索引页码</w:t>
            </w:r>
          </w:p>
        </w:tc>
        <w:tc>
          <w:tcPr>
            <w:tcW w:w="2584" w:type="dxa"/>
          </w:tcPr>
          <w:p>
            <w:pPr>
              <w:adjustRightInd w:val="0"/>
              <w:snapToGrid w:val="0"/>
              <w:rPr>
                <w:rFonts w:ascii="宋体" w:hAnsi="宋体" w:cs="宋体"/>
                <w:b/>
                <w:sz w:val="24"/>
                <w:szCs w:val="24"/>
                <w:highlight w:val="none"/>
              </w:rPr>
            </w:pPr>
            <w:r>
              <w:rPr>
                <w:rFonts w:hint="eastAsia" w:ascii="宋体" w:hAnsi="宋体" w:cs="宋体"/>
                <w:b/>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sz w:val="24"/>
                <w:szCs w:val="24"/>
                <w:highlight w:val="none"/>
              </w:rPr>
            </w:pPr>
          </w:p>
        </w:tc>
        <w:tc>
          <w:tcPr>
            <w:tcW w:w="2000" w:type="dxa"/>
          </w:tcPr>
          <w:p>
            <w:pPr>
              <w:adjustRightInd w:val="0"/>
              <w:snapToGrid w:val="0"/>
              <w:rPr>
                <w:rFonts w:ascii="宋体" w:hAnsi="宋体" w:cs="宋体"/>
                <w:b/>
                <w:sz w:val="24"/>
                <w:szCs w:val="24"/>
                <w:highlight w:val="none"/>
              </w:rPr>
            </w:pPr>
          </w:p>
        </w:tc>
        <w:tc>
          <w:tcPr>
            <w:tcW w:w="2783" w:type="dxa"/>
          </w:tcPr>
          <w:p>
            <w:pPr>
              <w:adjustRightInd w:val="0"/>
              <w:snapToGrid w:val="0"/>
              <w:rPr>
                <w:rFonts w:ascii="宋体" w:hAnsi="宋体" w:cs="宋体"/>
                <w:b/>
                <w:sz w:val="24"/>
                <w:szCs w:val="24"/>
                <w:highlight w:val="none"/>
              </w:rPr>
            </w:pPr>
          </w:p>
        </w:tc>
        <w:tc>
          <w:tcPr>
            <w:tcW w:w="2584" w:type="dxa"/>
          </w:tcPr>
          <w:p>
            <w:pPr>
              <w:adjustRightInd w:val="0"/>
              <w:snapToGrid w:val="0"/>
              <w:rPr>
                <w:rFonts w:ascii="宋体" w:hAnsi="宋体" w:cs="宋体"/>
                <w:b/>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sz w:val="24"/>
                <w:szCs w:val="24"/>
                <w:highlight w:val="none"/>
              </w:rPr>
            </w:pPr>
          </w:p>
        </w:tc>
        <w:tc>
          <w:tcPr>
            <w:tcW w:w="2000" w:type="dxa"/>
          </w:tcPr>
          <w:p>
            <w:pPr>
              <w:adjustRightInd w:val="0"/>
              <w:snapToGrid w:val="0"/>
              <w:rPr>
                <w:rFonts w:ascii="宋体" w:hAnsi="宋体" w:cs="宋体"/>
                <w:b/>
                <w:sz w:val="24"/>
                <w:szCs w:val="24"/>
                <w:highlight w:val="none"/>
              </w:rPr>
            </w:pPr>
          </w:p>
        </w:tc>
        <w:tc>
          <w:tcPr>
            <w:tcW w:w="2783" w:type="dxa"/>
          </w:tcPr>
          <w:p>
            <w:pPr>
              <w:adjustRightInd w:val="0"/>
              <w:snapToGrid w:val="0"/>
              <w:rPr>
                <w:rFonts w:ascii="宋体" w:hAnsi="宋体" w:cs="宋体"/>
                <w:b/>
                <w:sz w:val="24"/>
                <w:szCs w:val="24"/>
                <w:highlight w:val="none"/>
              </w:rPr>
            </w:pPr>
          </w:p>
        </w:tc>
        <w:tc>
          <w:tcPr>
            <w:tcW w:w="2584" w:type="dxa"/>
          </w:tcPr>
          <w:p>
            <w:pPr>
              <w:adjustRightInd w:val="0"/>
              <w:snapToGrid w:val="0"/>
              <w:rPr>
                <w:rFonts w:ascii="宋体" w:hAnsi="宋体" w:cs="宋体"/>
                <w:b/>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sz w:val="24"/>
                <w:szCs w:val="24"/>
                <w:highlight w:val="none"/>
              </w:rPr>
            </w:pPr>
            <w:r>
              <w:rPr>
                <w:rFonts w:hint="eastAsia" w:ascii="宋体" w:hAnsi="宋体" w:cs="宋体"/>
                <w:b/>
                <w:sz w:val="24"/>
                <w:szCs w:val="24"/>
                <w:highlight w:val="none"/>
              </w:rPr>
              <w:t>……</w:t>
            </w:r>
          </w:p>
        </w:tc>
        <w:tc>
          <w:tcPr>
            <w:tcW w:w="2000" w:type="dxa"/>
          </w:tcPr>
          <w:p>
            <w:pPr>
              <w:adjustRightInd w:val="0"/>
              <w:snapToGrid w:val="0"/>
              <w:rPr>
                <w:rFonts w:ascii="宋体" w:hAnsi="宋体" w:cs="宋体"/>
                <w:b/>
                <w:sz w:val="24"/>
                <w:szCs w:val="24"/>
                <w:highlight w:val="none"/>
              </w:rPr>
            </w:pPr>
            <w:r>
              <w:rPr>
                <w:rFonts w:hint="eastAsia" w:ascii="宋体" w:hAnsi="宋体" w:cs="宋体"/>
                <w:b/>
                <w:sz w:val="24"/>
                <w:szCs w:val="24"/>
                <w:highlight w:val="none"/>
              </w:rPr>
              <w:t>……</w:t>
            </w:r>
          </w:p>
        </w:tc>
        <w:tc>
          <w:tcPr>
            <w:tcW w:w="2783" w:type="dxa"/>
          </w:tcPr>
          <w:p>
            <w:pPr>
              <w:adjustRightInd w:val="0"/>
              <w:snapToGrid w:val="0"/>
              <w:rPr>
                <w:rFonts w:ascii="宋体" w:hAnsi="宋体" w:cs="宋体"/>
                <w:b/>
                <w:sz w:val="24"/>
                <w:szCs w:val="24"/>
                <w:highlight w:val="none"/>
              </w:rPr>
            </w:pPr>
            <w:r>
              <w:rPr>
                <w:rFonts w:hint="eastAsia" w:ascii="宋体" w:hAnsi="宋体" w:cs="宋体"/>
                <w:b/>
                <w:sz w:val="24"/>
                <w:szCs w:val="24"/>
                <w:highlight w:val="none"/>
              </w:rPr>
              <w:t>……</w:t>
            </w:r>
          </w:p>
        </w:tc>
        <w:tc>
          <w:tcPr>
            <w:tcW w:w="2584" w:type="dxa"/>
          </w:tcPr>
          <w:p>
            <w:pPr>
              <w:adjustRightInd w:val="0"/>
              <w:snapToGrid w:val="0"/>
              <w:rPr>
                <w:rFonts w:ascii="宋体" w:hAnsi="宋体" w:cs="宋体"/>
                <w:b/>
                <w:sz w:val="24"/>
                <w:szCs w:val="24"/>
                <w:highlight w:val="none"/>
              </w:rPr>
            </w:pPr>
            <w:r>
              <w:rPr>
                <w:rFonts w:hint="eastAsia" w:ascii="宋体" w:hAnsi="宋体" w:cs="宋体"/>
                <w:b/>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sz w:val="24"/>
                <w:szCs w:val="24"/>
                <w:highlight w:val="none"/>
              </w:rPr>
            </w:pPr>
          </w:p>
        </w:tc>
        <w:tc>
          <w:tcPr>
            <w:tcW w:w="2000" w:type="dxa"/>
          </w:tcPr>
          <w:p>
            <w:pPr>
              <w:adjustRightInd w:val="0"/>
              <w:snapToGrid w:val="0"/>
              <w:rPr>
                <w:rFonts w:ascii="宋体" w:hAnsi="宋体" w:cs="宋体"/>
                <w:b/>
                <w:sz w:val="24"/>
                <w:szCs w:val="24"/>
                <w:highlight w:val="none"/>
              </w:rPr>
            </w:pPr>
          </w:p>
        </w:tc>
        <w:tc>
          <w:tcPr>
            <w:tcW w:w="2783" w:type="dxa"/>
          </w:tcPr>
          <w:p>
            <w:pPr>
              <w:adjustRightInd w:val="0"/>
              <w:snapToGrid w:val="0"/>
              <w:rPr>
                <w:rFonts w:ascii="宋体" w:hAnsi="宋体" w:cs="宋体"/>
                <w:b/>
                <w:sz w:val="24"/>
                <w:szCs w:val="24"/>
                <w:highlight w:val="none"/>
              </w:rPr>
            </w:pPr>
          </w:p>
        </w:tc>
        <w:tc>
          <w:tcPr>
            <w:tcW w:w="2584" w:type="dxa"/>
          </w:tcPr>
          <w:p>
            <w:pPr>
              <w:adjustRightInd w:val="0"/>
              <w:snapToGrid w:val="0"/>
              <w:rPr>
                <w:rFonts w:ascii="宋体" w:hAnsi="宋体" w:cs="宋体"/>
                <w:b/>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sz w:val="24"/>
                <w:szCs w:val="24"/>
                <w:highlight w:val="none"/>
              </w:rPr>
            </w:pPr>
          </w:p>
        </w:tc>
        <w:tc>
          <w:tcPr>
            <w:tcW w:w="2000" w:type="dxa"/>
          </w:tcPr>
          <w:p>
            <w:pPr>
              <w:adjustRightInd w:val="0"/>
              <w:snapToGrid w:val="0"/>
              <w:rPr>
                <w:rFonts w:ascii="宋体" w:hAnsi="宋体" w:cs="宋体"/>
                <w:b/>
                <w:sz w:val="24"/>
                <w:szCs w:val="24"/>
                <w:highlight w:val="none"/>
              </w:rPr>
            </w:pPr>
          </w:p>
        </w:tc>
        <w:tc>
          <w:tcPr>
            <w:tcW w:w="2783" w:type="dxa"/>
          </w:tcPr>
          <w:p>
            <w:pPr>
              <w:adjustRightInd w:val="0"/>
              <w:snapToGrid w:val="0"/>
              <w:rPr>
                <w:rFonts w:ascii="宋体" w:hAnsi="宋体" w:cs="宋体"/>
                <w:b/>
                <w:sz w:val="24"/>
                <w:szCs w:val="24"/>
                <w:highlight w:val="none"/>
              </w:rPr>
            </w:pPr>
          </w:p>
        </w:tc>
        <w:tc>
          <w:tcPr>
            <w:tcW w:w="2584" w:type="dxa"/>
          </w:tcPr>
          <w:p>
            <w:pPr>
              <w:adjustRightInd w:val="0"/>
              <w:snapToGrid w:val="0"/>
              <w:rPr>
                <w:rFonts w:ascii="宋体" w:hAnsi="宋体" w:cs="宋体"/>
                <w:b/>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sz w:val="24"/>
                <w:szCs w:val="24"/>
                <w:highlight w:val="none"/>
              </w:rPr>
            </w:pPr>
          </w:p>
        </w:tc>
        <w:tc>
          <w:tcPr>
            <w:tcW w:w="2000" w:type="dxa"/>
          </w:tcPr>
          <w:p>
            <w:pPr>
              <w:adjustRightInd w:val="0"/>
              <w:snapToGrid w:val="0"/>
              <w:rPr>
                <w:rFonts w:ascii="宋体" w:hAnsi="宋体" w:cs="宋体"/>
                <w:b/>
                <w:sz w:val="24"/>
                <w:szCs w:val="24"/>
                <w:highlight w:val="none"/>
              </w:rPr>
            </w:pPr>
          </w:p>
        </w:tc>
        <w:tc>
          <w:tcPr>
            <w:tcW w:w="2783" w:type="dxa"/>
          </w:tcPr>
          <w:p>
            <w:pPr>
              <w:adjustRightInd w:val="0"/>
              <w:snapToGrid w:val="0"/>
              <w:rPr>
                <w:rFonts w:ascii="宋体" w:hAnsi="宋体" w:cs="宋体"/>
                <w:b/>
                <w:sz w:val="24"/>
                <w:szCs w:val="24"/>
                <w:highlight w:val="none"/>
              </w:rPr>
            </w:pPr>
          </w:p>
        </w:tc>
        <w:tc>
          <w:tcPr>
            <w:tcW w:w="2584" w:type="dxa"/>
          </w:tcPr>
          <w:p>
            <w:pPr>
              <w:adjustRightInd w:val="0"/>
              <w:snapToGrid w:val="0"/>
              <w:rPr>
                <w:rFonts w:ascii="宋体" w:hAnsi="宋体" w:cs="宋体"/>
                <w:b/>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sz w:val="24"/>
                <w:szCs w:val="24"/>
                <w:highlight w:val="none"/>
              </w:rPr>
            </w:pPr>
          </w:p>
        </w:tc>
        <w:tc>
          <w:tcPr>
            <w:tcW w:w="2000" w:type="dxa"/>
          </w:tcPr>
          <w:p>
            <w:pPr>
              <w:adjustRightInd w:val="0"/>
              <w:snapToGrid w:val="0"/>
              <w:rPr>
                <w:rFonts w:ascii="宋体" w:hAnsi="宋体" w:cs="宋体"/>
                <w:b/>
                <w:sz w:val="24"/>
                <w:szCs w:val="24"/>
                <w:highlight w:val="none"/>
              </w:rPr>
            </w:pPr>
          </w:p>
        </w:tc>
        <w:tc>
          <w:tcPr>
            <w:tcW w:w="2783" w:type="dxa"/>
          </w:tcPr>
          <w:p>
            <w:pPr>
              <w:adjustRightInd w:val="0"/>
              <w:snapToGrid w:val="0"/>
              <w:rPr>
                <w:rFonts w:ascii="宋体" w:hAnsi="宋体" w:cs="宋体"/>
                <w:b/>
                <w:sz w:val="24"/>
                <w:szCs w:val="24"/>
                <w:highlight w:val="none"/>
              </w:rPr>
            </w:pPr>
          </w:p>
        </w:tc>
        <w:tc>
          <w:tcPr>
            <w:tcW w:w="2584" w:type="dxa"/>
          </w:tcPr>
          <w:p>
            <w:pPr>
              <w:adjustRightInd w:val="0"/>
              <w:snapToGrid w:val="0"/>
              <w:rPr>
                <w:rFonts w:ascii="宋体" w:hAnsi="宋体" w:cs="宋体"/>
                <w:b/>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sz w:val="24"/>
                <w:szCs w:val="24"/>
                <w:highlight w:val="none"/>
              </w:rPr>
            </w:pPr>
          </w:p>
        </w:tc>
        <w:tc>
          <w:tcPr>
            <w:tcW w:w="2000" w:type="dxa"/>
          </w:tcPr>
          <w:p>
            <w:pPr>
              <w:adjustRightInd w:val="0"/>
              <w:snapToGrid w:val="0"/>
              <w:rPr>
                <w:rFonts w:ascii="宋体" w:hAnsi="宋体" w:cs="宋体"/>
                <w:b/>
                <w:sz w:val="24"/>
                <w:szCs w:val="24"/>
                <w:highlight w:val="none"/>
              </w:rPr>
            </w:pPr>
          </w:p>
        </w:tc>
        <w:tc>
          <w:tcPr>
            <w:tcW w:w="2783" w:type="dxa"/>
          </w:tcPr>
          <w:p>
            <w:pPr>
              <w:adjustRightInd w:val="0"/>
              <w:snapToGrid w:val="0"/>
              <w:rPr>
                <w:rFonts w:ascii="宋体" w:hAnsi="宋体" w:cs="宋体"/>
                <w:b/>
                <w:sz w:val="24"/>
                <w:szCs w:val="24"/>
                <w:highlight w:val="none"/>
              </w:rPr>
            </w:pPr>
          </w:p>
        </w:tc>
        <w:tc>
          <w:tcPr>
            <w:tcW w:w="2584" w:type="dxa"/>
          </w:tcPr>
          <w:p>
            <w:pPr>
              <w:adjustRightInd w:val="0"/>
              <w:snapToGrid w:val="0"/>
              <w:rPr>
                <w:rFonts w:ascii="宋体" w:hAnsi="宋体" w:cs="宋体"/>
                <w:b/>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sz w:val="24"/>
                <w:szCs w:val="24"/>
                <w:highlight w:val="none"/>
              </w:rPr>
            </w:pPr>
          </w:p>
        </w:tc>
        <w:tc>
          <w:tcPr>
            <w:tcW w:w="2000" w:type="dxa"/>
          </w:tcPr>
          <w:p>
            <w:pPr>
              <w:adjustRightInd w:val="0"/>
              <w:snapToGrid w:val="0"/>
              <w:rPr>
                <w:rFonts w:ascii="宋体" w:hAnsi="宋体" w:cs="宋体"/>
                <w:b/>
                <w:sz w:val="24"/>
                <w:szCs w:val="24"/>
                <w:highlight w:val="none"/>
              </w:rPr>
            </w:pPr>
          </w:p>
        </w:tc>
        <w:tc>
          <w:tcPr>
            <w:tcW w:w="2783" w:type="dxa"/>
          </w:tcPr>
          <w:p>
            <w:pPr>
              <w:adjustRightInd w:val="0"/>
              <w:snapToGrid w:val="0"/>
              <w:rPr>
                <w:rFonts w:ascii="宋体" w:hAnsi="宋体" w:cs="宋体"/>
                <w:b/>
                <w:sz w:val="24"/>
                <w:szCs w:val="24"/>
                <w:highlight w:val="none"/>
              </w:rPr>
            </w:pPr>
          </w:p>
        </w:tc>
        <w:tc>
          <w:tcPr>
            <w:tcW w:w="2584" w:type="dxa"/>
          </w:tcPr>
          <w:p>
            <w:pPr>
              <w:adjustRightInd w:val="0"/>
              <w:snapToGrid w:val="0"/>
              <w:rPr>
                <w:rFonts w:ascii="宋体" w:hAnsi="宋体" w:cs="宋体"/>
                <w:b/>
                <w:sz w:val="24"/>
                <w:szCs w:val="24"/>
                <w:highlight w:val="none"/>
              </w:rPr>
            </w:pPr>
          </w:p>
        </w:tc>
      </w:tr>
    </w:tbl>
    <w:p>
      <w:pPr>
        <w:rPr>
          <w:rFonts w:ascii="宋体" w:hAnsi="宋体" w:cs="宋体"/>
          <w:b/>
          <w:sz w:val="28"/>
          <w:szCs w:val="28"/>
          <w:highlight w:val="none"/>
        </w:rPr>
      </w:pPr>
      <w:r>
        <w:rPr>
          <w:rFonts w:hint="eastAsia" w:ascii="宋体" w:hAnsi="宋体" w:cs="宋体"/>
          <w:b/>
          <w:sz w:val="28"/>
          <w:szCs w:val="28"/>
          <w:highlight w:val="none"/>
        </w:rPr>
        <w:br w:type="page"/>
      </w:r>
    </w:p>
    <w:p>
      <w:pPr>
        <w:adjustRightInd w:val="0"/>
        <w:snapToGrid w:val="0"/>
        <w:rPr>
          <w:rFonts w:ascii="宋体" w:hAnsi="宋体" w:cs="宋体"/>
          <w:b/>
          <w:sz w:val="24"/>
          <w:szCs w:val="24"/>
          <w:highlight w:val="none"/>
        </w:rPr>
      </w:pPr>
      <w:r>
        <w:rPr>
          <w:rFonts w:hint="eastAsia" w:ascii="宋体" w:hAnsi="宋体" w:cs="宋体"/>
          <w:b/>
          <w:sz w:val="24"/>
          <w:szCs w:val="24"/>
          <w:highlight w:val="none"/>
        </w:rPr>
        <w:t>1、投标声明书格式：</w:t>
      </w:r>
    </w:p>
    <w:p>
      <w:pPr>
        <w:adjustRightInd w:val="0"/>
        <w:snapToGrid w:val="0"/>
        <w:jc w:val="center"/>
        <w:rPr>
          <w:rFonts w:ascii="宋体" w:hAnsi="宋体" w:cs="宋体"/>
          <w:sz w:val="24"/>
          <w:szCs w:val="24"/>
          <w:highlight w:val="none"/>
        </w:rPr>
      </w:pPr>
      <w:r>
        <w:rPr>
          <w:rFonts w:hint="eastAsia" w:ascii="宋体" w:hAnsi="宋体" w:cs="宋体"/>
          <w:sz w:val="24"/>
          <w:szCs w:val="24"/>
          <w:highlight w:val="none"/>
        </w:rPr>
        <w:t>投标声明书</w:t>
      </w:r>
    </w:p>
    <w:p>
      <w:pPr>
        <w:adjustRightInd w:val="0"/>
        <w:snapToGrid w:val="0"/>
        <w:spacing w:line="400" w:lineRule="exact"/>
        <w:rPr>
          <w:rFonts w:ascii="宋体" w:hAnsi="宋体" w:cs="宋体"/>
          <w:sz w:val="24"/>
          <w:szCs w:val="24"/>
          <w:highlight w:val="none"/>
        </w:rPr>
      </w:pPr>
      <w:r>
        <w:rPr>
          <w:rFonts w:hint="eastAsia" w:ascii="宋体" w:hAnsi="宋体" w:cs="宋体"/>
          <w:sz w:val="24"/>
          <w:szCs w:val="24"/>
          <w:highlight w:val="none"/>
        </w:rPr>
        <w:t>（采购代理机构名称）：</w:t>
      </w:r>
    </w:p>
    <w:p>
      <w:pPr>
        <w:adjustRightInd w:val="0"/>
        <w:snapToGrid w:val="0"/>
        <w:spacing w:line="400" w:lineRule="exact"/>
        <w:ind w:firstLine="720" w:firstLineChars="300"/>
        <w:rPr>
          <w:rFonts w:ascii="宋体" w:hAnsi="宋体" w:cs="宋体"/>
          <w:sz w:val="24"/>
          <w:szCs w:val="24"/>
          <w:highlight w:val="none"/>
        </w:rPr>
      </w:pPr>
      <w:r>
        <w:rPr>
          <w:rFonts w:hint="eastAsia" w:ascii="宋体" w:hAnsi="宋体" w:cs="宋体"/>
          <w:sz w:val="24"/>
          <w:szCs w:val="24"/>
          <w:highlight w:val="none"/>
        </w:rPr>
        <w:t>（投标人名称）系中华人民共和国合法企业（其他组织），经营地址。</w:t>
      </w:r>
    </w:p>
    <w:p>
      <w:pPr>
        <w:adjustRightInd w:val="0"/>
        <w:snapToGrid w:val="0"/>
        <w:spacing w:line="400" w:lineRule="exact"/>
        <w:ind w:firstLine="645"/>
        <w:rPr>
          <w:rFonts w:ascii="宋体" w:hAnsi="宋体" w:cs="宋体"/>
          <w:sz w:val="24"/>
          <w:szCs w:val="24"/>
          <w:highlight w:val="none"/>
        </w:rPr>
      </w:pPr>
      <w:r>
        <w:rPr>
          <w:rFonts w:hint="eastAsia" w:ascii="宋体" w:hAnsi="宋体" w:cs="宋体"/>
          <w:sz w:val="24"/>
          <w:szCs w:val="24"/>
          <w:highlight w:val="none"/>
        </w:rPr>
        <w:t>我（姓名）系（投标人名称）的法定代表人（负责人），我方愿意参加贵方组织的项目（项目编号：）</w:t>
      </w:r>
      <w:r>
        <w:rPr>
          <w:rFonts w:hint="eastAsia" w:ascii="宋体" w:hAnsi="宋体" w:cs="宋体"/>
          <w:sz w:val="24"/>
          <w:szCs w:val="24"/>
          <w:highlight w:val="none"/>
          <w:u w:val="single"/>
        </w:rPr>
        <w:t>标包编号及内容</w:t>
      </w:r>
      <w:r>
        <w:rPr>
          <w:rFonts w:hint="eastAsia" w:ascii="宋体" w:hAnsi="宋体" w:cs="宋体"/>
          <w:sz w:val="24"/>
          <w:szCs w:val="24"/>
          <w:highlight w:val="none"/>
        </w:rPr>
        <w:t xml:space="preserve"> 的投标，为便于贵方公正、择优地确定中标人及其投标产品和服务，我方就本次投标有关事项郑重声明如下：</w:t>
      </w:r>
    </w:p>
    <w:p>
      <w:pPr>
        <w:numPr>
          <w:ilvl w:val="0"/>
          <w:numId w:val="9"/>
        </w:numPr>
        <w:adjustRightInd w:val="0"/>
        <w:snapToGrid w:val="0"/>
        <w:spacing w:line="400" w:lineRule="exact"/>
        <w:rPr>
          <w:rFonts w:ascii="宋体" w:hAnsi="宋体" w:cs="宋体"/>
          <w:sz w:val="24"/>
          <w:szCs w:val="24"/>
          <w:highlight w:val="none"/>
        </w:rPr>
      </w:pPr>
      <w:r>
        <w:rPr>
          <w:rFonts w:hint="eastAsia" w:ascii="宋体" w:hAnsi="宋体" w:cs="宋体"/>
          <w:sz w:val="24"/>
          <w:szCs w:val="24"/>
          <w:highlight w:val="none"/>
        </w:rPr>
        <w:t>投标方已详细审查全部招标文件，同意招标文件的各项要求。</w:t>
      </w:r>
    </w:p>
    <w:p>
      <w:pPr>
        <w:numPr>
          <w:ilvl w:val="0"/>
          <w:numId w:val="9"/>
        </w:numPr>
        <w:adjustRightInd w:val="0"/>
        <w:snapToGrid w:val="0"/>
        <w:spacing w:line="400" w:lineRule="exact"/>
        <w:rPr>
          <w:rFonts w:ascii="宋体" w:hAnsi="宋体" w:cs="宋体"/>
          <w:sz w:val="24"/>
          <w:szCs w:val="24"/>
          <w:highlight w:val="none"/>
        </w:rPr>
      </w:pPr>
      <w:r>
        <w:rPr>
          <w:rFonts w:hint="eastAsia" w:ascii="宋体" w:hAnsi="宋体" w:cs="宋体"/>
          <w:sz w:val="24"/>
          <w:szCs w:val="24"/>
          <w:highlight w:val="none"/>
        </w:rPr>
        <w:t>我方向贵方提交的所有投标文件、资料都是准确的和真实的。</w:t>
      </w:r>
    </w:p>
    <w:p>
      <w:pPr>
        <w:numPr>
          <w:ilvl w:val="0"/>
          <w:numId w:val="9"/>
        </w:numPr>
        <w:adjustRightInd w:val="0"/>
        <w:snapToGrid w:val="0"/>
        <w:spacing w:line="400" w:lineRule="exact"/>
        <w:rPr>
          <w:rFonts w:ascii="宋体" w:hAnsi="宋体" w:cs="宋体"/>
          <w:sz w:val="24"/>
          <w:szCs w:val="24"/>
          <w:highlight w:val="none"/>
        </w:rPr>
      </w:pPr>
      <w:r>
        <w:rPr>
          <w:rFonts w:hint="eastAsia" w:ascii="宋体" w:hAnsi="宋体" w:cs="宋体"/>
          <w:sz w:val="24"/>
          <w:szCs w:val="24"/>
          <w:highlight w:val="none"/>
        </w:rPr>
        <w:t>若中标，我方将按招标文件规定履行合同责任和义务。</w:t>
      </w:r>
    </w:p>
    <w:p>
      <w:pPr>
        <w:numPr>
          <w:ilvl w:val="0"/>
          <w:numId w:val="9"/>
        </w:numPr>
        <w:adjustRightInd w:val="0"/>
        <w:snapToGrid w:val="0"/>
        <w:spacing w:line="400" w:lineRule="exact"/>
        <w:rPr>
          <w:rFonts w:ascii="宋体" w:hAnsi="宋体" w:cs="宋体"/>
          <w:sz w:val="24"/>
          <w:szCs w:val="24"/>
          <w:highlight w:val="none"/>
        </w:rPr>
      </w:pPr>
      <w:r>
        <w:rPr>
          <w:rFonts w:hint="eastAsia" w:ascii="宋体" w:hAnsi="宋体" w:cs="宋体"/>
          <w:sz w:val="24"/>
          <w:szCs w:val="24"/>
          <w:highlight w:val="none"/>
        </w:rPr>
        <w:t>我方郑重承诺：我方所投产品及其任何一部分，免受第三方提出的侵犯其专利权、商标权、著作权或其它知识产权的起诉。我方承担由此可能产生的一切法律责任和费用。</w:t>
      </w:r>
    </w:p>
    <w:p>
      <w:pPr>
        <w:numPr>
          <w:ilvl w:val="0"/>
          <w:numId w:val="9"/>
        </w:numPr>
        <w:adjustRightInd w:val="0"/>
        <w:snapToGrid w:val="0"/>
        <w:spacing w:line="400" w:lineRule="exact"/>
        <w:rPr>
          <w:rFonts w:ascii="宋体" w:hAnsi="宋体" w:cs="宋体"/>
          <w:sz w:val="24"/>
          <w:szCs w:val="24"/>
          <w:highlight w:val="none"/>
        </w:rPr>
      </w:pPr>
      <w:r>
        <w:rPr>
          <w:rFonts w:hint="eastAsia" w:ascii="宋体" w:hAnsi="宋体" w:cs="宋体"/>
          <w:sz w:val="24"/>
          <w:szCs w:val="24"/>
          <w:highlight w:val="none"/>
        </w:rPr>
        <w:t>我方不是采购人的附属机构；在获知本项目采购信息后，与采购人聘请的为此项目提供咨询服务的公司及其附属机构没有任何联系。</w:t>
      </w:r>
    </w:p>
    <w:p>
      <w:pPr>
        <w:numPr>
          <w:ilvl w:val="0"/>
          <w:numId w:val="9"/>
        </w:numPr>
        <w:adjustRightInd w:val="0"/>
        <w:snapToGrid w:val="0"/>
        <w:spacing w:line="400" w:lineRule="exact"/>
        <w:rPr>
          <w:rFonts w:ascii="宋体" w:hAnsi="宋体" w:cs="宋体"/>
          <w:sz w:val="24"/>
          <w:szCs w:val="24"/>
          <w:highlight w:val="none"/>
        </w:rPr>
      </w:pPr>
      <w:r>
        <w:rPr>
          <w:rFonts w:hint="eastAsia" w:ascii="宋体" w:hAnsi="宋体" w:cs="宋体"/>
          <w:sz w:val="24"/>
          <w:szCs w:val="24"/>
          <w:highlight w:val="none"/>
        </w:rPr>
        <w:t>投标书自开标日起有效期为日。以上事项如有虚假或隐瞒，我方愿意承担一切后果，并不再寻求任何旨在减轻或免除法律责任的辩解。</w:t>
      </w:r>
    </w:p>
    <w:p>
      <w:pPr>
        <w:adjustRightInd w:val="0"/>
        <w:snapToGrid w:val="0"/>
        <w:spacing w:line="400" w:lineRule="exact"/>
        <w:ind w:left="-4" w:leftChars="-2" w:right="-817" w:rightChars="-389" w:firstLine="2"/>
        <w:rPr>
          <w:rFonts w:ascii="宋体" w:hAnsi="宋体" w:cs="宋体"/>
          <w:sz w:val="24"/>
          <w:szCs w:val="24"/>
          <w:highlight w:val="none"/>
        </w:rPr>
      </w:pPr>
    </w:p>
    <w:p>
      <w:pPr>
        <w:adjustRightInd w:val="0"/>
        <w:snapToGrid w:val="0"/>
        <w:spacing w:line="400" w:lineRule="exact"/>
        <w:ind w:left="-4" w:leftChars="-2" w:right="-817" w:rightChars="-389" w:firstLine="2"/>
        <w:rPr>
          <w:rFonts w:ascii="宋体" w:hAnsi="宋体" w:cs="宋体"/>
          <w:sz w:val="24"/>
          <w:szCs w:val="24"/>
          <w:highlight w:val="none"/>
        </w:rPr>
      </w:pPr>
    </w:p>
    <w:p>
      <w:pPr>
        <w:adjustRightInd w:val="0"/>
        <w:snapToGrid w:val="0"/>
        <w:spacing w:line="400" w:lineRule="exact"/>
        <w:ind w:left="-4" w:leftChars="-2" w:right="-817" w:rightChars="-389" w:firstLine="2"/>
        <w:rPr>
          <w:rFonts w:ascii="宋体" w:hAnsi="宋体" w:cs="宋体"/>
          <w:sz w:val="24"/>
          <w:szCs w:val="24"/>
          <w:highlight w:val="none"/>
        </w:rPr>
      </w:pPr>
    </w:p>
    <w:p>
      <w:pPr>
        <w:adjustRightInd w:val="0"/>
        <w:snapToGrid w:val="0"/>
        <w:spacing w:line="400" w:lineRule="exact"/>
        <w:ind w:left="-4" w:leftChars="-2" w:right="-817" w:rightChars="-389" w:firstLine="2"/>
        <w:rPr>
          <w:rFonts w:ascii="宋体" w:hAnsi="宋体" w:cs="宋体"/>
          <w:sz w:val="24"/>
          <w:szCs w:val="24"/>
          <w:highlight w:val="none"/>
        </w:rPr>
      </w:pPr>
      <w:r>
        <w:rPr>
          <w:rFonts w:hint="eastAsia" w:ascii="宋体" w:hAnsi="宋体" w:cs="宋体"/>
          <w:sz w:val="24"/>
          <w:szCs w:val="24"/>
          <w:highlight w:val="none"/>
        </w:rPr>
        <w:t>投标人名称（盖章）：</w:t>
      </w:r>
    </w:p>
    <w:p>
      <w:pPr>
        <w:adjustRightInd w:val="0"/>
        <w:snapToGrid w:val="0"/>
        <w:spacing w:line="400" w:lineRule="exact"/>
        <w:ind w:left="-4" w:leftChars="-2" w:right="-817" w:rightChars="-389" w:firstLine="2"/>
        <w:rPr>
          <w:rFonts w:ascii="宋体" w:hAnsi="宋体" w:cs="宋体"/>
          <w:sz w:val="24"/>
          <w:szCs w:val="24"/>
          <w:highlight w:val="none"/>
        </w:rPr>
      </w:pPr>
      <w:r>
        <w:rPr>
          <w:rFonts w:hint="eastAsia" w:ascii="宋体" w:hAnsi="宋体" w:cs="宋体"/>
          <w:sz w:val="24"/>
          <w:szCs w:val="24"/>
          <w:highlight w:val="none"/>
        </w:rPr>
        <w:t>法定代表人（负责人、自然人）或法人授权代表姓名（签字）：</w:t>
      </w:r>
    </w:p>
    <w:p>
      <w:pPr>
        <w:adjustRightInd w:val="0"/>
        <w:snapToGrid w:val="0"/>
        <w:spacing w:line="400" w:lineRule="exact"/>
        <w:ind w:left="-2" w:leftChars="-1" w:right="-817" w:rightChars="-389" w:firstLine="2"/>
        <w:jc w:val="left"/>
        <w:rPr>
          <w:rFonts w:ascii="宋体" w:hAnsi="宋体" w:cs="宋体"/>
          <w:sz w:val="24"/>
          <w:szCs w:val="24"/>
          <w:highlight w:val="none"/>
        </w:rPr>
      </w:pPr>
      <w:r>
        <w:rPr>
          <w:rFonts w:hint="eastAsia" w:ascii="宋体" w:hAnsi="宋体" w:cs="宋体"/>
          <w:sz w:val="24"/>
          <w:szCs w:val="24"/>
          <w:highlight w:val="none"/>
        </w:rPr>
        <w:t>日期：    年   月   日</w:t>
      </w:r>
    </w:p>
    <w:p>
      <w:pPr>
        <w:adjustRightInd w:val="0"/>
        <w:snapToGrid w:val="0"/>
        <w:spacing w:line="360" w:lineRule="auto"/>
        <w:rPr>
          <w:rFonts w:ascii="宋体" w:hAnsi="宋体" w:cs="宋体"/>
          <w:sz w:val="24"/>
          <w:szCs w:val="24"/>
          <w:highlight w:val="none"/>
        </w:rPr>
      </w:pPr>
      <w:r>
        <w:rPr>
          <w:rFonts w:hint="eastAsia" w:ascii="宋体" w:hAnsi="宋体" w:cs="宋体"/>
          <w:sz w:val="24"/>
          <w:szCs w:val="24"/>
          <w:highlight w:val="none"/>
        </w:rPr>
        <w:br w:type="page"/>
      </w:r>
      <w:r>
        <w:rPr>
          <w:rFonts w:hint="eastAsia" w:ascii="宋体" w:hAnsi="宋体" w:cs="宋体"/>
          <w:b/>
          <w:sz w:val="24"/>
          <w:szCs w:val="24"/>
          <w:highlight w:val="none"/>
        </w:rPr>
        <w:t>2、授权委托书格式：</w:t>
      </w:r>
    </w:p>
    <w:p>
      <w:pPr>
        <w:adjustRightInd w:val="0"/>
        <w:snapToGrid w:val="0"/>
        <w:spacing w:line="360" w:lineRule="auto"/>
        <w:jc w:val="center"/>
        <w:rPr>
          <w:rFonts w:ascii="宋体" w:hAnsi="宋体" w:cs="宋体"/>
          <w:sz w:val="24"/>
          <w:szCs w:val="24"/>
          <w:highlight w:val="none"/>
        </w:rPr>
      </w:pPr>
    </w:p>
    <w:p>
      <w:pPr>
        <w:adjustRightInd w:val="0"/>
        <w:snapToGrid w:val="0"/>
        <w:spacing w:line="360" w:lineRule="auto"/>
        <w:jc w:val="center"/>
        <w:rPr>
          <w:rFonts w:ascii="宋体" w:hAnsi="宋体" w:cs="宋体"/>
          <w:b/>
          <w:sz w:val="24"/>
          <w:szCs w:val="24"/>
          <w:highlight w:val="none"/>
        </w:rPr>
      </w:pPr>
      <w:r>
        <w:rPr>
          <w:rFonts w:hint="eastAsia" w:ascii="宋体" w:hAnsi="宋体" w:cs="宋体"/>
          <w:b/>
          <w:sz w:val="24"/>
          <w:szCs w:val="24"/>
          <w:highlight w:val="none"/>
        </w:rPr>
        <w:t>授权委托书</w:t>
      </w:r>
    </w:p>
    <w:p>
      <w:pPr>
        <w:adjustRightInd w:val="0"/>
        <w:snapToGrid w:val="0"/>
        <w:spacing w:line="360" w:lineRule="auto"/>
        <w:rPr>
          <w:rFonts w:ascii="宋体" w:hAnsi="宋体" w:cs="宋体"/>
          <w:b/>
          <w:bCs/>
          <w:sz w:val="24"/>
          <w:szCs w:val="24"/>
          <w:highlight w:val="none"/>
        </w:rPr>
      </w:pPr>
      <w:r>
        <w:rPr>
          <w:rFonts w:hint="eastAsia" w:ascii="宋体" w:hAnsi="宋体" w:cs="宋体"/>
          <w:sz w:val="24"/>
          <w:szCs w:val="24"/>
          <w:highlight w:val="none"/>
        </w:rPr>
        <w:t>（采购代理机构名称）：</w:t>
      </w:r>
    </w:p>
    <w:p>
      <w:pPr>
        <w:adjustRightInd w:val="0"/>
        <w:snapToGrid w:val="0"/>
        <w:spacing w:line="360" w:lineRule="auto"/>
        <w:ind w:firstLine="720" w:firstLineChars="300"/>
        <w:rPr>
          <w:rFonts w:ascii="宋体" w:hAnsi="宋体" w:cs="宋体"/>
          <w:sz w:val="24"/>
          <w:szCs w:val="24"/>
          <w:highlight w:val="none"/>
        </w:rPr>
      </w:pPr>
      <w:r>
        <w:rPr>
          <w:rFonts w:hint="eastAsia" w:ascii="宋体" w:hAnsi="宋体" w:cs="宋体"/>
          <w:sz w:val="24"/>
          <w:szCs w:val="24"/>
          <w:highlight w:val="none"/>
        </w:rPr>
        <w:t>我（姓名）系（投标人名称）的法定代表人（负责人、自然人），现授权委托（姓名）以我方的名义参加</w:t>
      </w:r>
      <w:r>
        <w:rPr>
          <w:rFonts w:hint="eastAsia" w:ascii="宋体" w:hAnsi="宋体" w:cs="宋体"/>
          <w:sz w:val="24"/>
          <w:szCs w:val="24"/>
          <w:highlight w:val="none"/>
          <w:u w:val="single"/>
        </w:rPr>
        <w:t xml:space="preserve">     项目（项目编号：        ）标包编号及内容</w:t>
      </w:r>
      <w:r>
        <w:rPr>
          <w:rFonts w:hint="eastAsia" w:ascii="宋体" w:hAnsi="宋体" w:cs="宋体"/>
          <w:sz w:val="24"/>
          <w:szCs w:val="24"/>
          <w:highlight w:val="none"/>
        </w:rPr>
        <w:t>的投标活动，并代表我方全权办理针对上述项目的投标、开标、评标、签约等具体事务和签署相关文件。</w:t>
      </w:r>
    </w:p>
    <w:p>
      <w:pPr>
        <w:adjustRightInd w:val="0"/>
        <w:snapToGrid w:val="0"/>
        <w:spacing w:line="360" w:lineRule="auto"/>
        <w:rPr>
          <w:rFonts w:ascii="宋体" w:hAnsi="宋体" w:cs="宋体"/>
          <w:sz w:val="24"/>
          <w:szCs w:val="24"/>
          <w:highlight w:val="none"/>
        </w:rPr>
      </w:pPr>
      <w:r>
        <w:rPr>
          <w:rFonts w:hint="eastAsia" w:ascii="宋体" w:hAnsi="宋体" w:cs="宋体"/>
          <w:sz w:val="24"/>
          <w:szCs w:val="24"/>
          <w:highlight w:val="none"/>
        </w:rPr>
        <w:t xml:space="preserve">    我方对被授权人的签名事项负全部责任。</w:t>
      </w:r>
    </w:p>
    <w:p>
      <w:pPr>
        <w:adjustRightInd w:val="0"/>
        <w:snapToGrid w:val="0"/>
        <w:spacing w:line="360" w:lineRule="auto"/>
        <w:ind w:firstLine="480"/>
        <w:rPr>
          <w:rFonts w:ascii="宋体" w:hAnsi="宋体" w:cs="宋体"/>
          <w:sz w:val="24"/>
          <w:szCs w:val="24"/>
          <w:highlight w:val="none"/>
        </w:rPr>
      </w:pPr>
      <w:r>
        <w:rPr>
          <w:rFonts w:hint="eastAsia" w:ascii="宋体" w:hAnsi="宋体" w:cs="宋体"/>
          <w:sz w:val="24"/>
          <w:szCs w:val="24"/>
          <w:highlight w:val="none"/>
          <w:u w:val="single"/>
        </w:rPr>
        <w:t>在撤销授权的书面通知以前，本授权书一直有效。</w:t>
      </w:r>
      <w:r>
        <w:rPr>
          <w:rFonts w:hint="eastAsia" w:ascii="宋体" w:hAnsi="宋体" w:cs="宋体"/>
          <w:sz w:val="24"/>
          <w:szCs w:val="24"/>
          <w:highlight w:val="none"/>
        </w:rPr>
        <w:t>被授权人在授权书有效期内签署的所有文件不因授权的撤销而失效。</w:t>
      </w:r>
    </w:p>
    <w:p>
      <w:pPr>
        <w:adjustRightInd w:val="0"/>
        <w:snapToGrid w:val="0"/>
        <w:spacing w:line="360" w:lineRule="auto"/>
        <w:ind w:firstLine="480"/>
        <w:rPr>
          <w:rFonts w:ascii="宋体" w:hAnsi="宋体" w:cs="宋体"/>
          <w:sz w:val="24"/>
          <w:szCs w:val="24"/>
          <w:highlight w:val="none"/>
        </w:rPr>
      </w:pPr>
      <w:r>
        <w:rPr>
          <w:rFonts w:hint="eastAsia" w:ascii="宋体" w:hAnsi="宋体" w:cs="宋体"/>
          <w:sz w:val="24"/>
          <w:szCs w:val="24"/>
          <w:highlight w:val="none"/>
        </w:rPr>
        <w:t>被授权人无转委托权，特此委托。</w:t>
      </w:r>
    </w:p>
    <w:p>
      <w:pPr>
        <w:adjustRightInd w:val="0"/>
        <w:snapToGrid w:val="0"/>
        <w:spacing w:line="360" w:lineRule="auto"/>
        <w:rPr>
          <w:rFonts w:ascii="宋体" w:hAnsi="宋体" w:cs="宋体"/>
          <w:sz w:val="24"/>
          <w:szCs w:val="24"/>
          <w:highlight w:val="none"/>
          <w:u w:val="single"/>
        </w:rPr>
      </w:pPr>
      <w:r>
        <w:rPr>
          <w:rFonts w:hint="eastAsia" w:ascii="宋体" w:hAnsi="宋体" w:cs="宋体"/>
          <w:sz w:val="24"/>
          <w:szCs w:val="24"/>
          <w:highlight w:val="none"/>
        </w:rPr>
        <w:t>授权代表签名：                      授权人签名：</w:t>
      </w:r>
    </w:p>
    <w:p>
      <w:pPr>
        <w:adjustRightInd w:val="0"/>
        <w:snapToGrid w:val="0"/>
        <w:spacing w:line="360" w:lineRule="auto"/>
        <w:ind w:firstLine="960" w:firstLineChars="400"/>
        <w:rPr>
          <w:rFonts w:ascii="宋体" w:hAnsi="宋体" w:cs="宋体"/>
          <w:sz w:val="24"/>
          <w:szCs w:val="24"/>
          <w:highlight w:val="none"/>
        </w:rPr>
      </w:pPr>
      <w:r>
        <w:rPr>
          <w:rFonts w:hint="eastAsia" w:ascii="宋体" w:hAnsi="宋体" w:cs="宋体"/>
          <w:sz w:val="24"/>
          <w:szCs w:val="24"/>
          <w:highlight w:val="none"/>
        </w:rPr>
        <w:t>职务：                      职务：</w:t>
      </w:r>
    </w:p>
    <w:p>
      <w:pPr>
        <w:adjustRightInd w:val="0"/>
        <w:snapToGrid w:val="0"/>
        <w:spacing w:line="360" w:lineRule="auto"/>
        <w:rPr>
          <w:rFonts w:ascii="宋体" w:hAnsi="宋体" w:cs="宋体"/>
          <w:sz w:val="24"/>
          <w:szCs w:val="24"/>
          <w:highlight w:val="none"/>
        </w:rPr>
      </w:pPr>
      <w:r>
        <w:rPr>
          <w:rFonts w:hint="eastAsia" w:ascii="宋体" w:hAnsi="宋体" w:cs="宋体"/>
          <w:sz w:val="24"/>
          <w:szCs w:val="24"/>
          <w:highlight w:val="none"/>
        </w:rPr>
        <w:t>授权代表身份证号码：</w:t>
      </w:r>
    </w:p>
    <w:p>
      <w:pPr>
        <w:adjustRightInd w:val="0"/>
        <w:snapToGrid w:val="0"/>
        <w:spacing w:line="360" w:lineRule="auto"/>
        <w:rPr>
          <w:rFonts w:ascii="宋体" w:hAnsi="宋体" w:cs="宋体"/>
          <w:sz w:val="24"/>
          <w:szCs w:val="24"/>
          <w:highlight w:val="none"/>
        </w:rPr>
      </w:pPr>
    </w:p>
    <w:tbl>
      <w:tblPr>
        <w:tblStyle w:val="38"/>
        <w:tblW w:w="8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10"/>
        <w:gridCol w:w="43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1" w:hRule="atLeast"/>
        </w:trPr>
        <w:tc>
          <w:tcPr>
            <w:tcW w:w="4310" w:type="dxa"/>
            <w:vAlign w:val="center"/>
          </w:tcPr>
          <w:p>
            <w:pPr>
              <w:adjustRightInd w:val="0"/>
              <w:snapToGrid w:val="0"/>
              <w:spacing w:line="360" w:lineRule="auto"/>
              <w:ind w:right="480"/>
              <w:jc w:val="center"/>
              <w:rPr>
                <w:rFonts w:ascii="宋体" w:hAnsi="宋体" w:cs="宋体"/>
                <w:sz w:val="24"/>
                <w:szCs w:val="24"/>
                <w:highlight w:val="none"/>
              </w:rPr>
            </w:pPr>
            <w:r>
              <w:rPr>
                <w:rFonts w:hint="eastAsia" w:ascii="宋体" w:hAnsi="宋体" w:cs="宋体"/>
                <w:sz w:val="24"/>
                <w:szCs w:val="24"/>
                <w:highlight w:val="none"/>
              </w:rPr>
              <w:t>授权人身份证正面</w:t>
            </w:r>
          </w:p>
        </w:tc>
        <w:tc>
          <w:tcPr>
            <w:tcW w:w="4310" w:type="dxa"/>
            <w:vAlign w:val="center"/>
          </w:tcPr>
          <w:p>
            <w:pPr>
              <w:adjustRightInd w:val="0"/>
              <w:snapToGrid w:val="0"/>
              <w:spacing w:line="360" w:lineRule="auto"/>
              <w:ind w:right="480"/>
              <w:jc w:val="center"/>
              <w:rPr>
                <w:rFonts w:ascii="宋体" w:hAnsi="宋体" w:cs="宋体"/>
                <w:sz w:val="24"/>
                <w:szCs w:val="24"/>
                <w:highlight w:val="none"/>
              </w:rPr>
            </w:pPr>
            <w:r>
              <w:rPr>
                <w:rFonts w:hint="eastAsia" w:ascii="宋体" w:hAnsi="宋体" w:cs="宋体"/>
                <w:sz w:val="24"/>
                <w:szCs w:val="24"/>
                <w:highlight w:val="none"/>
              </w:rPr>
              <w:t>被授权人身份证正面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5" w:hRule="atLeast"/>
        </w:trPr>
        <w:tc>
          <w:tcPr>
            <w:tcW w:w="4310" w:type="dxa"/>
            <w:vAlign w:val="center"/>
          </w:tcPr>
          <w:p>
            <w:pPr>
              <w:adjustRightInd w:val="0"/>
              <w:snapToGrid w:val="0"/>
              <w:spacing w:line="360" w:lineRule="auto"/>
              <w:ind w:right="480"/>
              <w:jc w:val="center"/>
              <w:rPr>
                <w:rFonts w:ascii="宋体" w:hAnsi="宋体" w:cs="宋体"/>
                <w:sz w:val="24"/>
                <w:szCs w:val="24"/>
                <w:highlight w:val="none"/>
              </w:rPr>
            </w:pPr>
            <w:r>
              <w:rPr>
                <w:rFonts w:hint="eastAsia" w:ascii="宋体" w:hAnsi="宋体" w:cs="宋体"/>
                <w:sz w:val="24"/>
                <w:szCs w:val="24"/>
                <w:highlight w:val="none"/>
              </w:rPr>
              <w:t>授权人身份证反面</w:t>
            </w:r>
          </w:p>
        </w:tc>
        <w:tc>
          <w:tcPr>
            <w:tcW w:w="4310" w:type="dxa"/>
            <w:vAlign w:val="center"/>
          </w:tcPr>
          <w:p>
            <w:pPr>
              <w:adjustRightInd w:val="0"/>
              <w:snapToGrid w:val="0"/>
              <w:spacing w:line="360" w:lineRule="auto"/>
              <w:ind w:right="480"/>
              <w:jc w:val="center"/>
              <w:rPr>
                <w:rFonts w:ascii="宋体" w:hAnsi="宋体" w:cs="宋体"/>
                <w:sz w:val="24"/>
                <w:szCs w:val="24"/>
                <w:highlight w:val="none"/>
              </w:rPr>
            </w:pPr>
            <w:r>
              <w:rPr>
                <w:rFonts w:hint="eastAsia" w:ascii="宋体" w:hAnsi="宋体" w:cs="宋体"/>
                <w:sz w:val="24"/>
                <w:szCs w:val="24"/>
                <w:highlight w:val="none"/>
              </w:rPr>
              <w:t>被授权人身份证反面</w:t>
            </w:r>
          </w:p>
        </w:tc>
      </w:tr>
    </w:tbl>
    <w:p>
      <w:pPr>
        <w:adjustRightInd w:val="0"/>
        <w:snapToGrid w:val="0"/>
        <w:spacing w:line="360" w:lineRule="auto"/>
        <w:ind w:right="480"/>
        <w:jc w:val="center"/>
        <w:rPr>
          <w:rFonts w:ascii="宋体" w:hAnsi="宋体" w:cs="宋体"/>
          <w:sz w:val="24"/>
          <w:szCs w:val="24"/>
          <w:highlight w:val="none"/>
        </w:rPr>
      </w:pPr>
    </w:p>
    <w:p>
      <w:pPr>
        <w:adjustRightInd w:val="0"/>
        <w:snapToGrid w:val="0"/>
        <w:spacing w:line="360" w:lineRule="auto"/>
        <w:ind w:right="480"/>
        <w:jc w:val="center"/>
        <w:rPr>
          <w:rFonts w:ascii="宋体" w:hAnsi="宋体" w:cs="宋体"/>
          <w:sz w:val="24"/>
          <w:szCs w:val="24"/>
          <w:highlight w:val="none"/>
        </w:rPr>
      </w:pPr>
      <w:r>
        <w:rPr>
          <w:rFonts w:hint="eastAsia" w:ascii="宋体" w:hAnsi="宋体" w:cs="宋体"/>
          <w:sz w:val="24"/>
          <w:szCs w:val="24"/>
          <w:highlight w:val="none"/>
        </w:rPr>
        <w:t xml:space="preserve">                          投标人名称（盖章）：</w:t>
      </w:r>
    </w:p>
    <w:p>
      <w:pPr>
        <w:adjustRightInd w:val="0"/>
        <w:snapToGrid w:val="0"/>
        <w:spacing w:line="360" w:lineRule="auto"/>
        <w:ind w:right="360"/>
        <w:jc w:val="right"/>
        <w:rPr>
          <w:rFonts w:ascii="宋体" w:hAnsi="宋体" w:cs="宋体"/>
          <w:sz w:val="24"/>
          <w:szCs w:val="24"/>
          <w:highlight w:val="none"/>
        </w:rPr>
      </w:pPr>
      <w:r>
        <w:rPr>
          <w:rFonts w:hint="eastAsia" w:ascii="宋体" w:hAnsi="宋体" w:cs="宋体"/>
          <w:sz w:val="24"/>
          <w:szCs w:val="24"/>
          <w:highlight w:val="none"/>
        </w:rPr>
        <w:t>日期：    年    月    日</w:t>
      </w:r>
    </w:p>
    <w:p>
      <w:pPr>
        <w:adjustRightInd w:val="0"/>
        <w:snapToGrid w:val="0"/>
        <w:spacing w:line="360" w:lineRule="auto"/>
        <w:rPr>
          <w:rFonts w:ascii="宋体" w:hAnsi="宋体" w:cs="宋体"/>
          <w:b/>
          <w:sz w:val="24"/>
          <w:szCs w:val="24"/>
          <w:highlight w:val="none"/>
        </w:rPr>
      </w:pPr>
    </w:p>
    <w:p>
      <w:pPr>
        <w:adjustRightInd w:val="0"/>
        <w:snapToGrid w:val="0"/>
        <w:spacing w:line="400" w:lineRule="exact"/>
        <w:rPr>
          <w:rFonts w:ascii="宋体" w:hAnsi="宋体" w:cs="宋体"/>
          <w:b/>
          <w:sz w:val="24"/>
          <w:szCs w:val="24"/>
          <w:highlight w:val="none"/>
        </w:rPr>
      </w:pPr>
      <w:r>
        <w:rPr>
          <w:rFonts w:hint="eastAsia" w:ascii="宋体" w:hAnsi="宋体" w:cs="宋体"/>
          <w:b/>
          <w:sz w:val="24"/>
          <w:szCs w:val="24"/>
          <w:highlight w:val="none"/>
        </w:rPr>
        <w:t>3、有效的营业执照（事业单位法人证书、民办非企业单位登记证书、社会团体法人登记证书、基金会法人登记证书、自然人身份证）副本复印件、税务登记证副本（如有）复印件</w:t>
      </w:r>
    </w:p>
    <w:p>
      <w:pPr>
        <w:adjustRightInd w:val="0"/>
        <w:snapToGrid w:val="0"/>
        <w:spacing w:line="400" w:lineRule="exact"/>
        <w:jc w:val="left"/>
        <w:rPr>
          <w:rFonts w:ascii="宋体" w:hAnsi="宋体" w:cs="宋体"/>
          <w:b/>
          <w:sz w:val="24"/>
          <w:szCs w:val="24"/>
          <w:highlight w:val="none"/>
        </w:rPr>
      </w:pPr>
    </w:p>
    <w:p>
      <w:pPr>
        <w:adjustRightInd w:val="0"/>
        <w:snapToGrid w:val="0"/>
        <w:spacing w:line="400" w:lineRule="exact"/>
        <w:jc w:val="left"/>
        <w:rPr>
          <w:rFonts w:ascii="宋体" w:hAnsi="宋体" w:cs="宋体"/>
          <w:b/>
          <w:sz w:val="24"/>
          <w:szCs w:val="24"/>
          <w:highlight w:val="none"/>
        </w:rPr>
      </w:pPr>
      <w:r>
        <w:rPr>
          <w:rFonts w:hint="eastAsia" w:ascii="宋体" w:hAnsi="宋体" w:cs="宋体"/>
          <w:b/>
          <w:sz w:val="24"/>
          <w:szCs w:val="24"/>
          <w:highlight w:val="none"/>
        </w:rPr>
        <w:t>4、投标人情况介绍格式：</w:t>
      </w:r>
    </w:p>
    <w:p>
      <w:pPr>
        <w:adjustRightInd w:val="0"/>
        <w:snapToGrid w:val="0"/>
        <w:spacing w:line="400" w:lineRule="exact"/>
        <w:jc w:val="center"/>
        <w:rPr>
          <w:rFonts w:ascii="宋体" w:hAnsi="宋体" w:cs="宋体"/>
          <w:b/>
          <w:sz w:val="24"/>
          <w:szCs w:val="24"/>
          <w:highlight w:val="none"/>
        </w:rPr>
      </w:pPr>
      <w:r>
        <w:rPr>
          <w:rFonts w:hint="eastAsia" w:ascii="宋体" w:hAnsi="宋体" w:cs="宋体"/>
          <w:b/>
          <w:sz w:val="24"/>
          <w:szCs w:val="24"/>
          <w:highlight w:val="none"/>
        </w:rPr>
        <w:t>投标人情况</w:t>
      </w:r>
    </w:p>
    <w:p>
      <w:pPr>
        <w:adjustRightInd w:val="0"/>
        <w:snapToGrid w:val="0"/>
        <w:spacing w:line="400" w:lineRule="exact"/>
        <w:jc w:val="left"/>
        <w:rPr>
          <w:rFonts w:ascii="宋体" w:hAnsi="宋体" w:cs="宋体"/>
          <w:sz w:val="24"/>
          <w:szCs w:val="24"/>
          <w:highlight w:val="none"/>
        </w:rPr>
      </w:pPr>
      <w:r>
        <w:rPr>
          <w:rFonts w:hint="eastAsia" w:ascii="宋体" w:hAnsi="宋体" w:cs="宋体"/>
          <w:sz w:val="24"/>
          <w:szCs w:val="24"/>
          <w:highlight w:val="none"/>
        </w:rPr>
        <w:t xml:space="preserve">投标人名称:                                                   </w:t>
      </w:r>
    </w:p>
    <w:tbl>
      <w:tblPr>
        <w:tblStyle w:val="38"/>
        <w:tblW w:w="86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8"/>
        <w:gridCol w:w="1053"/>
        <w:gridCol w:w="1469"/>
        <w:gridCol w:w="854"/>
        <w:gridCol w:w="1453"/>
        <w:gridCol w:w="765"/>
        <w:gridCol w:w="1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sz w:val="24"/>
                <w:szCs w:val="24"/>
                <w:highlight w:val="none"/>
              </w:rPr>
            </w:pPr>
            <w:r>
              <w:rPr>
                <w:rFonts w:hint="eastAsia" w:ascii="宋体" w:hAnsi="宋体" w:cs="宋体"/>
                <w:sz w:val="24"/>
                <w:szCs w:val="24"/>
                <w:highlight w:val="none"/>
              </w:rPr>
              <w:t>投标人名称</w:t>
            </w:r>
          </w:p>
        </w:tc>
        <w:tc>
          <w:tcPr>
            <w:tcW w:w="6994" w:type="dxa"/>
            <w:gridSpan w:val="6"/>
            <w:vAlign w:val="center"/>
          </w:tcPr>
          <w:p>
            <w:pPr>
              <w:pStyle w:val="183"/>
              <w:numPr>
                <w:ilvl w:val="0"/>
                <w:numId w:val="10"/>
              </w:numPr>
              <w:spacing w:line="400" w:lineRule="exact"/>
              <w:ind w:firstLineChars="0"/>
              <w:rPr>
                <w:rFonts w:ascii="宋体" w:hAnsi="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sz w:val="24"/>
                <w:szCs w:val="24"/>
                <w:highlight w:val="none"/>
              </w:rPr>
            </w:pPr>
            <w:r>
              <w:rPr>
                <w:rFonts w:hint="eastAsia" w:ascii="宋体" w:hAnsi="宋体" w:cs="宋体"/>
                <w:sz w:val="24"/>
                <w:szCs w:val="24"/>
                <w:highlight w:val="none"/>
              </w:rPr>
              <w:t>注册地址</w:t>
            </w:r>
          </w:p>
        </w:tc>
        <w:tc>
          <w:tcPr>
            <w:tcW w:w="3376" w:type="dxa"/>
            <w:gridSpan w:val="3"/>
            <w:vAlign w:val="center"/>
          </w:tcPr>
          <w:p>
            <w:pPr>
              <w:pStyle w:val="183"/>
              <w:numPr>
                <w:ilvl w:val="0"/>
                <w:numId w:val="10"/>
              </w:numPr>
              <w:spacing w:line="400" w:lineRule="exact"/>
              <w:ind w:firstLineChars="0"/>
              <w:rPr>
                <w:rFonts w:ascii="宋体" w:hAnsi="宋体" w:cs="宋体"/>
                <w:sz w:val="24"/>
                <w:szCs w:val="24"/>
                <w:highlight w:val="none"/>
              </w:rPr>
            </w:pPr>
          </w:p>
        </w:tc>
        <w:tc>
          <w:tcPr>
            <w:tcW w:w="1453" w:type="dxa"/>
            <w:vAlign w:val="center"/>
          </w:tcPr>
          <w:p>
            <w:pPr>
              <w:pStyle w:val="183"/>
              <w:spacing w:line="400" w:lineRule="exact"/>
              <w:ind w:firstLineChars="0"/>
              <w:jc w:val="both"/>
              <w:rPr>
                <w:rFonts w:ascii="宋体" w:hAnsi="宋体" w:cs="宋体"/>
                <w:sz w:val="24"/>
                <w:szCs w:val="24"/>
                <w:highlight w:val="none"/>
              </w:rPr>
            </w:pPr>
            <w:r>
              <w:rPr>
                <w:rFonts w:hint="eastAsia" w:ascii="宋体" w:hAnsi="宋体" w:cs="宋体"/>
                <w:sz w:val="24"/>
                <w:szCs w:val="24"/>
                <w:highlight w:val="none"/>
              </w:rPr>
              <w:t>邮政编码</w:t>
            </w:r>
          </w:p>
        </w:tc>
        <w:tc>
          <w:tcPr>
            <w:tcW w:w="2165" w:type="dxa"/>
            <w:gridSpan w:val="2"/>
            <w:vAlign w:val="center"/>
          </w:tcPr>
          <w:p>
            <w:pPr>
              <w:pStyle w:val="183"/>
              <w:numPr>
                <w:ilvl w:val="0"/>
                <w:numId w:val="10"/>
              </w:numPr>
              <w:spacing w:line="400" w:lineRule="exact"/>
              <w:ind w:firstLineChars="0"/>
              <w:rPr>
                <w:rFonts w:ascii="宋体" w:hAnsi="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Merge w:val="restart"/>
            <w:vAlign w:val="center"/>
          </w:tcPr>
          <w:p>
            <w:pPr>
              <w:pStyle w:val="183"/>
              <w:spacing w:line="400" w:lineRule="exact"/>
              <w:ind w:firstLineChars="0"/>
              <w:jc w:val="both"/>
              <w:rPr>
                <w:rFonts w:ascii="宋体" w:hAnsi="宋体" w:cs="宋体"/>
                <w:sz w:val="24"/>
                <w:szCs w:val="24"/>
                <w:highlight w:val="none"/>
              </w:rPr>
            </w:pPr>
            <w:r>
              <w:rPr>
                <w:rFonts w:hint="eastAsia" w:ascii="宋体" w:hAnsi="宋体" w:cs="宋体"/>
                <w:sz w:val="24"/>
                <w:szCs w:val="24"/>
                <w:highlight w:val="none"/>
              </w:rPr>
              <w:t>联系方式</w:t>
            </w:r>
          </w:p>
        </w:tc>
        <w:tc>
          <w:tcPr>
            <w:tcW w:w="1053" w:type="dxa"/>
            <w:vAlign w:val="center"/>
          </w:tcPr>
          <w:p>
            <w:pPr>
              <w:pStyle w:val="183"/>
              <w:spacing w:line="400" w:lineRule="exact"/>
              <w:ind w:firstLineChars="0"/>
              <w:jc w:val="both"/>
              <w:rPr>
                <w:rFonts w:ascii="宋体" w:hAnsi="宋体" w:cs="宋体"/>
                <w:sz w:val="24"/>
                <w:szCs w:val="24"/>
                <w:highlight w:val="none"/>
              </w:rPr>
            </w:pPr>
            <w:r>
              <w:rPr>
                <w:rFonts w:hint="eastAsia" w:ascii="宋体" w:hAnsi="宋体" w:cs="宋体"/>
                <w:sz w:val="24"/>
                <w:szCs w:val="24"/>
                <w:highlight w:val="none"/>
              </w:rPr>
              <w:t>联系人</w:t>
            </w:r>
          </w:p>
        </w:tc>
        <w:tc>
          <w:tcPr>
            <w:tcW w:w="2323" w:type="dxa"/>
            <w:gridSpan w:val="2"/>
            <w:vAlign w:val="center"/>
          </w:tcPr>
          <w:p>
            <w:pPr>
              <w:pStyle w:val="183"/>
              <w:numPr>
                <w:ilvl w:val="0"/>
                <w:numId w:val="10"/>
              </w:numPr>
              <w:spacing w:line="400" w:lineRule="exact"/>
              <w:ind w:firstLineChars="0"/>
              <w:rPr>
                <w:rFonts w:ascii="宋体" w:hAnsi="宋体" w:cs="宋体"/>
                <w:sz w:val="24"/>
                <w:szCs w:val="24"/>
                <w:highlight w:val="none"/>
              </w:rPr>
            </w:pPr>
          </w:p>
        </w:tc>
        <w:tc>
          <w:tcPr>
            <w:tcW w:w="1453" w:type="dxa"/>
            <w:vAlign w:val="center"/>
          </w:tcPr>
          <w:p>
            <w:pPr>
              <w:pStyle w:val="183"/>
              <w:numPr>
                <w:ilvl w:val="0"/>
                <w:numId w:val="10"/>
              </w:numPr>
              <w:spacing w:line="400" w:lineRule="exact"/>
              <w:ind w:firstLineChars="0"/>
              <w:rPr>
                <w:rFonts w:ascii="宋体" w:hAnsi="宋体" w:cs="宋体"/>
                <w:sz w:val="24"/>
                <w:szCs w:val="24"/>
                <w:highlight w:val="none"/>
              </w:rPr>
            </w:pPr>
            <w:r>
              <w:rPr>
                <w:rFonts w:hint="eastAsia" w:ascii="宋体" w:hAnsi="宋体" w:cs="宋体"/>
                <w:sz w:val="24"/>
                <w:szCs w:val="24"/>
                <w:highlight w:val="none"/>
              </w:rPr>
              <w:t>电话</w:t>
            </w:r>
          </w:p>
        </w:tc>
        <w:tc>
          <w:tcPr>
            <w:tcW w:w="2165" w:type="dxa"/>
            <w:gridSpan w:val="2"/>
            <w:vAlign w:val="center"/>
          </w:tcPr>
          <w:p>
            <w:pPr>
              <w:pStyle w:val="183"/>
              <w:numPr>
                <w:ilvl w:val="0"/>
                <w:numId w:val="10"/>
              </w:numPr>
              <w:spacing w:line="400" w:lineRule="exact"/>
              <w:ind w:firstLineChars="0"/>
              <w:rPr>
                <w:rFonts w:ascii="宋体" w:hAnsi="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Merge w:val="continue"/>
            <w:vAlign w:val="center"/>
          </w:tcPr>
          <w:p>
            <w:pPr>
              <w:pStyle w:val="183"/>
              <w:numPr>
                <w:ilvl w:val="0"/>
                <w:numId w:val="10"/>
              </w:numPr>
              <w:spacing w:line="400" w:lineRule="exact"/>
              <w:ind w:firstLineChars="0"/>
              <w:rPr>
                <w:rFonts w:ascii="宋体" w:hAnsi="宋体" w:cs="宋体"/>
                <w:sz w:val="24"/>
                <w:szCs w:val="24"/>
                <w:highlight w:val="none"/>
              </w:rPr>
            </w:pPr>
          </w:p>
        </w:tc>
        <w:tc>
          <w:tcPr>
            <w:tcW w:w="1053" w:type="dxa"/>
            <w:vAlign w:val="center"/>
          </w:tcPr>
          <w:p>
            <w:pPr>
              <w:pStyle w:val="183"/>
              <w:spacing w:line="400" w:lineRule="exact"/>
              <w:ind w:firstLineChars="0"/>
              <w:jc w:val="both"/>
              <w:rPr>
                <w:rFonts w:ascii="宋体" w:hAnsi="宋体" w:cs="宋体"/>
                <w:sz w:val="24"/>
                <w:szCs w:val="24"/>
                <w:highlight w:val="none"/>
              </w:rPr>
            </w:pPr>
            <w:r>
              <w:rPr>
                <w:rFonts w:hint="eastAsia" w:ascii="宋体" w:hAnsi="宋体" w:cs="宋体"/>
                <w:sz w:val="24"/>
                <w:szCs w:val="24"/>
                <w:highlight w:val="none"/>
              </w:rPr>
              <w:t>传 真</w:t>
            </w:r>
          </w:p>
        </w:tc>
        <w:tc>
          <w:tcPr>
            <w:tcW w:w="2323" w:type="dxa"/>
            <w:gridSpan w:val="2"/>
            <w:vAlign w:val="center"/>
          </w:tcPr>
          <w:p>
            <w:pPr>
              <w:pStyle w:val="183"/>
              <w:numPr>
                <w:ilvl w:val="0"/>
                <w:numId w:val="10"/>
              </w:numPr>
              <w:spacing w:line="400" w:lineRule="exact"/>
              <w:ind w:firstLineChars="0"/>
              <w:rPr>
                <w:rFonts w:ascii="宋体" w:hAnsi="宋体" w:cs="宋体"/>
                <w:sz w:val="24"/>
                <w:szCs w:val="24"/>
                <w:highlight w:val="none"/>
              </w:rPr>
            </w:pPr>
          </w:p>
        </w:tc>
        <w:tc>
          <w:tcPr>
            <w:tcW w:w="1453" w:type="dxa"/>
            <w:vAlign w:val="center"/>
          </w:tcPr>
          <w:p>
            <w:pPr>
              <w:pStyle w:val="183"/>
              <w:numPr>
                <w:ilvl w:val="0"/>
                <w:numId w:val="10"/>
              </w:numPr>
              <w:spacing w:line="400" w:lineRule="exact"/>
              <w:ind w:firstLineChars="0"/>
              <w:rPr>
                <w:rFonts w:ascii="宋体" w:hAnsi="宋体" w:cs="宋体"/>
                <w:sz w:val="24"/>
                <w:szCs w:val="24"/>
                <w:highlight w:val="none"/>
              </w:rPr>
            </w:pPr>
            <w:r>
              <w:rPr>
                <w:rFonts w:hint="eastAsia" w:ascii="宋体" w:hAnsi="宋体" w:cs="宋体"/>
                <w:sz w:val="24"/>
                <w:szCs w:val="24"/>
                <w:highlight w:val="none"/>
              </w:rPr>
              <w:t>网址</w:t>
            </w:r>
          </w:p>
        </w:tc>
        <w:tc>
          <w:tcPr>
            <w:tcW w:w="2165" w:type="dxa"/>
            <w:gridSpan w:val="2"/>
            <w:vAlign w:val="center"/>
          </w:tcPr>
          <w:p>
            <w:pPr>
              <w:pStyle w:val="183"/>
              <w:numPr>
                <w:ilvl w:val="0"/>
                <w:numId w:val="10"/>
              </w:numPr>
              <w:spacing w:line="400" w:lineRule="exact"/>
              <w:ind w:firstLineChars="0"/>
              <w:rPr>
                <w:rFonts w:ascii="宋体" w:hAnsi="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sz w:val="24"/>
                <w:szCs w:val="24"/>
                <w:highlight w:val="none"/>
              </w:rPr>
            </w:pPr>
            <w:r>
              <w:rPr>
                <w:rFonts w:hint="eastAsia" w:ascii="宋体" w:hAnsi="宋体" w:cs="宋体"/>
                <w:sz w:val="24"/>
                <w:szCs w:val="24"/>
                <w:highlight w:val="none"/>
              </w:rPr>
              <w:t>法定代表人</w:t>
            </w:r>
          </w:p>
        </w:tc>
        <w:tc>
          <w:tcPr>
            <w:tcW w:w="1053" w:type="dxa"/>
            <w:vAlign w:val="center"/>
          </w:tcPr>
          <w:p>
            <w:pPr>
              <w:pStyle w:val="183"/>
              <w:spacing w:line="400" w:lineRule="exact"/>
              <w:ind w:firstLineChars="0"/>
              <w:jc w:val="both"/>
              <w:rPr>
                <w:rFonts w:ascii="宋体" w:hAnsi="宋体" w:cs="宋体"/>
                <w:sz w:val="24"/>
                <w:szCs w:val="24"/>
                <w:highlight w:val="none"/>
              </w:rPr>
            </w:pPr>
            <w:r>
              <w:rPr>
                <w:rFonts w:hint="eastAsia" w:ascii="宋体" w:hAnsi="宋体" w:cs="宋体"/>
                <w:sz w:val="24"/>
                <w:szCs w:val="24"/>
                <w:highlight w:val="none"/>
              </w:rPr>
              <w:t>姓名</w:t>
            </w:r>
          </w:p>
        </w:tc>
        <w:tc>
          <w:tcPr>
            <w:tcW w:w="1469" w:type="dxa"/>
            <w:vAlign w:val="center"/>
          </w:tcPr>
          <w:p>
            <w:pPr>
              <w:pStyle w:val="183"/>
              <w:numPr>
                <w:ilvl w:val="0"/>
                <w:numId w:val="10"/>
              </w:numPr>
              <w:spacing w:line="400" w:lineRule="exact"/>
              <w:ind w:firstLineChars="0"/>
              <w:rPr>
                <w:rFonts w:ascii="宋体" w:hAnsi="宋体" w:cs="宋体"/>
                <w:sz w:val="24"/>
                <w:szCs w:val="24"/>
                <w:highlight w:val="none"/>
              </w:rPr>
            </w:pPr>
          </w:p>
        </w:tc>
        <w:tc>
          <w:tcPr>
            <w:tcW w:w="854" w:type="dxa"/>
            <w:vAlign w:val="center"/>
          </w:tcPr>
          <w:p>
            <w:pPr>
              <w:pStyle w:val="183"/>
              <w:spacing w:line="400" w:lineRule="exact"/>
              <w:ind w:firstLineChars="0"/>
              <w:jc w:val="both"/>
              <w:rPr>
                <w:rFonts w:ascii="宋体" w:hAnsi="宋体" w:cs="宋体"/>
                <w:sz w:val="24"/>
                <w:szCs w:val="24"/>
                <w:highlight w:val="none"/>
              </w:rPr>
            </w:pPr>
            <w:r>
              <w:rPr>
                <w:rFonts w:hint="eastAsia" w:ascii="宋体" w:hAnsi="宋体" w:cs="宋体"/>
                <w:sz w:val="24"/>
                <w:szCs w:val="24"/>
                <w:highlight w:val="none"/>
              </w:rPr>
              <w:t>职称</w:t>
            </w:r>
          </w:p>
        </w:tc>
        <w:tc>
          <w:tcPr>
            <w:tcW w:w="1453" w:type="dxa"/>
            <w:vAlign w:val="center"/>
          </w:tcPr>
          <w:p>
            <w:pPr>
              <w:pStyle w:val="183"/>
              <w:numPr>
                <w:ilvl w:val="0"/>
                <w:numId w:val="10"/>
              </w:numPr>
              <w:spacing w:line="400" w:lineRule="exact"/>
              <w:ind w:firstLineChars="0"/>
              <w:rPr>
                <w:rFonts w:ascii="宋体" w:hAnsi="宋体" w:cs="宋体"/>
                <w:sz w:val="24"/>
                <w:szCs w:val="24"/>
                <w:highlight w:val="none"/>
              </w:rPr>
            </w:pPr>
          </w:p>
        </w:tc>
        <w:tc>
          <w:tcPr>
            <w:tcW w:w="765" w:type="dxa"/>
            <w:vAlign w:val="center"/>
          </w:tcPr>
          <w:p>
            <w:pPr>
              <w:pStyle w:val="183"/>
              <w:spacing w:line="400" w:lineRule="exact"/>
              <w:ind w:firstLineChars="0"/>
              <w:jc w:val="both"/>
              <w:rPr>
                <w:rFonts w:ascii="宋体" w:hAnsi="宋体" w:cs="宋体"/>
                <w:sz w:val="24"/>
                <w:szCs w:val="24"/>
                <w:highlight w:val="none"/>
              </w:rPr>
            </w:pPr>
            <w:r>
              <w:rPr>
                <w:rFonts w:hint="eastAsia" w:ascii="宋体" w:hAnsi="宋体" w:cs="宋体"/>
                <w:sz w:val="24"/>
                <w:szCs w:val="24"/>
                <w:highlight w:val="none"/>
              </w:rPr>
              <w:t>电话</w:t>
            </w:r>
          </w:p>
        </w:tc>
        <w:tc>
          <w:tcPr>
            <w:tcW w:w="1400" w:type="dxa"/>
            <w:vAlign w:val="center"/>
          </w:tcPr>
          <w:p>
            <w:pPr>
              <w:pStyle w:val="183"/>
              <w:numPr>
                <w:ilvl w:val="0"/>
                <w:numId w:val="10"/>
              </w:numPr>
              <w:spacing w:line="400" w:lineRule="exact"/>
              <w:ind w:firstLineChars="0"/>
              <w:rPr>
                <w:rFonts w:ascii="宋体" w:hAnsi="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sz w:val="24"/>
                <w:szCs w:val="24"/>
                <w:highlight w:val="none"/>
              </w:rPr>
            </w:pPr>
            <w:r>
              <w:rPr>
                <w:rFonts w:hint="eastAsia" w:ascii="宋体" w:hAnsi="宋体" w:cs="宋体"/>
                <w:sz w:val="24"/>
                <w:szCs w:val="24"/>
                <w:highlight w:val="none"/>
              </w:rPr>
              <w:t>企业负责人</w:t>
            </w:r>
          </w:p>
        </w:tc>
        <w:tc>
          <w:tcPr>
            <w:tcW w:w="1053" w:type="dxa"/>
            <w:vAlign w:val="center"/>
          </w:tcPr>
          <w:p>
            <w:pPr>
              <w:pStyle w:val="183"/>
              <w:spacing w:line="400" w:lineRule="exact"/>
              <w:ind w:firstLineChars="0"/>
              <w:jc w:val="both"/>
              <w:rPr>
                <w:rFonts w:ascii="宋体" w:hAnsi="宋体" w:cs="宋体"/>
                <w:sz w:val="24"/>
                <w:szCs w:val="24"/>
                <w:highlight w:val="none"/>
              </w:rPr>
            </w:pPr>
            <w:r>
              <w:rPr>
                <w:rFonts w:hint="eastAsia" w:ascii="宋体" w:hAnsi="宋体" w:cs="宋体"/>
                <w:sz w:val="24"/>
                <w:szCs w:val="24"/>
                <w:highlight w:val="none"/>
              </w:rPr>
              <w:t>姓名</w:t>
            </w:r>
          </w:p>
        </w:tc>
        <w:tc>
          <w:tcPr>
            <w:tcW w:w="1469" w:type="dxa"/>
            <w:vAlign w:val="center"/>
          </w:tcPr>
          <w:p>
            <w:pPr>
              <w:pStyle w:val="183"/>
              <w:numPr>
                <w:ilvl w:val="0"/>
                <w:numId w:val="10"/>
              </w:numPr>
              <w:spacing w:line="400" w:lineRule="exact"/>
              <w:ind w:firstLineChars="0"/>
              <w:rPr>
                <w:rFonts w:ascii="宋体" w:hAnsi="宋体" w:cs="宋体"/>
                <w:sz w:val="24"/>
                <w:szCs w:val="24"/>
                <w:highlight w:val="none"/>
              </w:rPr>
            </w:pPr>
          </w:p>
        </w:tc>
        <w:tc>
          <w:tcPr>
            <w:tcW w:w="854" w:type="dxa"/>
            <w:vAlign w:val="center"/>
          </w:tcPr>
          <w:p>
            <w:pPr>
              <w:pStyle w:val="183"/>
              <w:spacing w:line="400" w:lineRule="exact"/>
              <w:ind w:firstLineChars="0"/>
              <w:jc w:val="both"/>
              <w:rPr>
                <w:rFonts w:ascii="宋体" w:hAnsi="宋体" w:cs="宋体"/>
                <w:sz w:val="24"/>
                <w:szCs w:val="24"/>
                <w:highlight w:val="none"/>
              </w:rPr>
            </w:pPr>
            <w:r>
              <w:rPr>
                <w:rFonts w:hint="eastAsia" w:ascii="宋体" w:hAnsi="宋体" w:cs="宋体"/>
                <w:sz w:val="24"/>
                <w:szCs w:val="24"/>
                <w:highlight w:val="none"/>
              </w:rPr>
              <w:t>职称</w:t>
            </w:r>
          </w:p>
        </w:tc>
        <w:tc>
          <w:tcPr>
            <w:tcW w:w="1453" w:type="dxa"/>
            <w:vAlign w:val="center"/>
          </w:tcPr>
          <w:p>
            <w:pPr>
              <w:pStyle w:val="183"/>
              <w:numPr>
                <w:ilvl w:val="0"/>
                <w:numId w:val="10"/>
              </w:numPr>
              <w:spacing w:line="400" w:lineRule="exact"/>
              <w:ind w:firstLineChars="0"/>
              <w:rPr>
                <w:rFonts w:ascii="宋体" w:hAnsi="宋体" w:cs="宋体"/>
                <w:sz w:val="24"/>
                <w:szCs w:val="24"/>
                <w:highlight w:val="none"/>
              </w:rPr>
            </w:pPr>
          </w:p>
        </w:tc>
        <w:tc>
          <w:tcPr>
            <w:tcW w:w="765" w:type="dxa"/>
            <w:vAlign w:val="center"/>
          </w:tcPr>
          <w:p>
            <w:pPr>
              <w:pStyle w:val="183"/>
              <w:spacing w:line="400" w:lineRule="exact"/>
              <w:ind w:firstLineChars="0"/>
              <w:jc w:val="both"/>
              <w:rPr>
                <w:rFonts w:ascii="宋体" w:hAnsi="宋体" w:cs="宋体"/>
                <w:sz w:val="24"/>
                <w:szCs w:val="24"/>
                <w:highlight w:val="none"/>
              </w:rPr>
            </w:pPr>
            <w:r>
              <w:rPr>
                <w:rFonts w:hint="eastAsia" w:ascii="宋体" w:hAnsi="宋体" w:cs="宋体"/>
                <w:sz w:val="24"/>
                <w:szCs w:val="24"/>
                <w:highlight w:val="none"/>
              </w:rPr>
              <w:t>电话</w:t>
            </w:r>
          </w:p>
        </w:tc>
        <w:tc>
          <w:tcPr>
            <w:tcW w:w="1400" w:type="dxa"/>
            <w:vAlign w:val="center"/>
          </w:tcPr>
          <w:p>
            <w:pPr>
              <w:pStyle w:val="183"/>
              <w:numPr>
                <w:ilvl w:val="0"/>
                <w:numId w:val="10"/>
              </w:numPr>
              <w:spacing w:line="400" w:lineRule="exact"/>
              <w:ind w:firstLineChars="0"/>
              <w:rPr>
                <w:rFonts w:ascii="宋体" w:hAnsi="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sz w:val="24"/>
                <w:szCs w:val="24"/>
                <w:highlight w:val="none"/>
              </w:rPr>
            </w:pPr>
            <w:r>
              <w:rPr>
                <w:rFonts w:hint="eastAsia" w:ascii="宋体" w:hAnsi="宋体" w:cs="宋体"/>
                <w:sz w:val="24"/>
                <w:szCs w:val="24"/>
                <w:highlight w:val="none"/>
              </w:rPr>
              <w:t>技术负责人</w:t>
            </w:r>
          </w:p>
        </w:tc>
        <w:tc>
          <w:tcPr>
            <w:tcW w:w="1053" w:type="dxa"/>
            <w:vAlign w:val="center"/>
          </w:tcPr>
          <w:p>
            <w:pPr>
              <w:pStyle w:val="183"/>
              <w:spacing w:line="400" w:lineRule="exact"/>
              <w:ind w:firstLineChars="0"/>
              <w:jc w:val="both"/>
              <w:rPr>
                <w:rFonts w:ascii="宋体" w:hAnsi="宋体" w:cs="宋体"/>
                <w:sz w:val="24"/>
                <w:szCs w:val="24"/>
                <w:highlight w:val="none"/>
              </w:rPr>
            </w:pPr>
            <w:r>
              <w:rPr>
                <w:rFonts w:hint="eastAsia" w:ascii="宋体" w:hAnsi="宋体" w:cs="宋体"/>
                <w:sz w:val="24"/>
                <w:szCs w:val="24"/>
                <w:highlight w:val="none"/>
              </w:rPr>
              <w:t>姓名</w:t>
            </w:r>
          </w:p>
        </w:tc>
        <w:tc>
          <w:tcPr>
            <w:tcW w:w="1469" w:type="dxa"/>
            <w:vAlign w:val="center"/>
          </w:tcPr>
          <w:p>
            <w:pPr>
              <w:pStyle w:val="183"/>
              <w:numPr>
                <w:ilvl w:val="0"/>
                <w:numId w:val="10"/>
              </w:numPr>
              <w:spacing w:line="400" w:lineRule="exact"/>
              <w:ind w:firstLineChars="0"/>
              <w:rPr>
                <w:rFonts w:ascii="宋体" w:hAnsi="宋体" w:cs="宋体"/>
                <w:sz w:val="24"/>
                <w:szCs w:val="24"/>
                <w:highlight w:val="none"/>
              </w:rPr>
            </w:pPr>
          </w:p>
        </w:tc>
        <w:tc>
          <w:tcPr>
            <w:tcW w:w="854" w:type="dxa"/>
            <w:vAlign w:val="center"/>
          </w:tcPr>
          <w:p>
            <w:pPr>
              <w:pStyle w:val="183"/>
              <w:spacing w:line="400" w:lineRule="exact"/>
              <w:ind w:firstLineChars="0"/>
              <w:jc w:val="both"/>
              <w:rPr>
                <w:rFonts w:ascii="宋体" w:hAnsi="宋体" w:cs="宋体"/>
                <w:sz w:val="24"/>
                <w:szCs w:val="24"/>
                <w:highlight w:val="none"/>
              </w:rPr>
            </w:pPr>
            <w:r>
              <w:rPr>
                <w:rFonts w:hint="eastAsia" w:ascii="宋体" w:hAnsi="宋体" w:cs="宋体"/>
                <w:sz w:val="24"/>
                <w:szCs w:val="24"/>
                <w:highlight w:val="none"/>
              </w:rPr>
              <w:t>职称</w:t>
            </w:r>
          </w:p>
        </w:tc>
        <w:tc>
          <w:tcPr>
            <w:tcW w:w="1453" w:type="dxa"/>
            <w:vAlign w:val="center"/>
          </w:tcPr>
          <w:p>
            <w:pPr>
              <w:pStyle w:val="183"/>
              <w:numPr>
                <w:ilvl w:val="0"/>
                <w:numId w:val="10"/>
              </w:numPr>
              <w:spacing w:line="400" w:lineRule="exact"/>
              <w:ind w:firstLineChars="0"/>
              <w:rPr>
                <w:rFonts w:ascii="宋体" w:hAnsi="宋体" w:cs="宋体"/>
                <w:sz w:val="24"/>
                <w:szCs w:val="24"/>
                <w:highlight w:val="none"/>
              </w:rPr>
            </w:pPr>
          </w:p>
        </w:tc>
        <w:tc>
          <w:tcPr>
            <w:tcW w:w="765" w:type="dxa"/>
            <w:vAlign w:val="center"/>
          </w:tcPr>
          <w:p>
            <w:pPr>
              <w:pStyle w:val="183"/>
              <w:spacing w:line="400" w:lineRule="exact"/>
              <w:ind w:firstLineChars="0"/>
              <w:jc w:val="both"/>
              <w:rPr>
                <w:rFonts w:ascii="宋体" w:hAnsi="宋体" w:cs="宋体"/>
                <w:sz w:val="24"/>
                <w:szCs w:val="24"/>
                <w:highlight w:val="none"/>
              </w:rPr>
            </w:pPr>
            <w:r>
              <w:rPr>
                <w:rFonts w:hint="eastAsia" w:ascii="宋体" w:hAnsi="宋体" w:cs="宋体"/>
                <w:sz w:val="24"/>
                <w:szCs w:val="24"/>
                <w:highlight w:val="none"/>
              </w:rPr>
              <w:t>电话</w:t>
            </w:r>
          </w:p>
        </w:tc>
        <w:tc>
          <w:tcPr>
            <w:tcW w:w="1400" w:type="dxa"/>
            <w:vAlign w:val="center"/>
          </w:tcPr>
          <w:p>
            <w:pPr>
              <w:pStyle w:val="183"/>
              <w:numPr>
                <w:ilvl w:val="0"/>
                <w:numId w:val="10"/>
              </w:numPr>
              <w:spacing w:line="400" w:lineRule="exact"/>
              <w:ind w:firstLineChars="0"/>
              <w:rPr>
                <w:rFonts w:ascii="宋体" w:hAnsi="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sz w:val="24"/>
                <w:szCs w:val="24"/>
                <w:highlight w:val="none"/>
              </w:rPr>
            </w:pPr>
            <w:r>
              <w:rPr>
                <w:rFonts w:hint="eastAsia" w:ascii="宋体" w:hAnsi="宋体" w:cs="宋体"/>
                <w:sz w:val="24"/>
                <w:szCs w:val="24"/>
                <w:highlight w:val="none"/>
              </w:rPr>
              <w:t>企业资质</w:t>
            </w:r>
          </w:p>
        </w:tc>
        <w:tc>
          <w:tcPr>
            <w:tcW w:w="2522" w:type="dxa"/>
            <w:gridSpan w:val="2"/>
            <w:vAlign w:val="center"/>
          </w:tcPr>
          <w:p>
            <w:pPr>
              <w:pStyle w:val="183"/>
              <w:numPr>
                <w:ilvl w:val="0"/>
                <w:numId w:val="10"/>
              </w:numPr>
              <w:spacing w:line="400" w:lineRule="exact"/>
              <w:ind w:firstLineChars="0"/>
              <w:rPr>
                <w:rFonts w:ascii="宋体" w:hAnsi="宋体" w:cs="宋体"/>
                <w:sz w:val="24"/>
                <w:szCs w:val="24"/>
                <w:highlight w:val="none"/>
              </w:rPr>
            </w:pPr>
          </w:p>
        </w:tc>
        <w:tc>
          <w:tcPr>
            <w:tcW w:w="2307" w:type="dxa"/>
            <w:gridSpan w:val="2"/>
            <w:vAlign w:val="center"/>
          </w:tcPr>
          <w:p>
            <w:pPr>
              <w:pStyle w:val="183"/>
              <w:spacing w:line="400" w:lineRule="exact"/>
              <w:ind w:left="0" w:firstLine="0" w:firstLineChars="0"/>
              <w:rPr>
                <w:rFonts w:ascii="宋体" w:hAnsi="宋体" w:cs="宋体"/>
                <w:sz w:val="24"/>
                <w:szCs w:val="24"/>
                <w:highlight w:val="none"/>
              </w:rPr>
            </w:pPr>
            <w:r>
              <w:rPr>
                <w:rFonts w:hint="eastAsia" w:ascii="宋体" w:hAnsi="宋体" w:cs="宋体"/>
                <w:sz w:val="24"/>
                <w:szCs w:val="24"/>
                <w:highlight w:val="none"/>
              </w:rPr>
              <w:t>营业执照号</w:t>
            </w:r>
          </w:p>
        </w:tc>
        <w:tc>
          <w:tcPr>
            <w:tcW w:w="2165" w:type="dxa"/>
            <w:gridSpan w:val="2"/>
            <w:vAlign w:val="center"/>
          </w:tcPr>
          <w:p>
            <w:pPr>
              <w:pStyle w:val="183"/>
              <w:numPr>
                <w:ilvl w:val="0"/>
                <w:numId w:val="10"/>
              </w:numPr>
              <w:spacing w:line="400" w:lineRule="exact"/>
              <w:ind w:firstLineChars="0"/>
              <w:rPr>
                <w:rFonts w:ascii="宋体" w:hAnsi="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7" w:hRule="atLeast"/>
          <w:jc w:val="center"/>
        </w:trPr>
        <w:tc>
          <w:tcPr>
            <w:tcW w:w="1658" w:type="dxa"/>
            <w:vAlign w:val="center"/>
          </w:tcPr>
          <w:p>
            <w:pPr>
              <w:pStyle w:val="183"/>
              <w:spacing w:line="400" w:lineRule="exact"/>
              <w:ind w:firstLineChars="0"/>
              <w:jc w:val="both"/>
              <w:rPr>
                <w:rFonts w:ascii="宋体" w:hAnsi="宋体" w:cs="宋体"/>
                <w:sz w:val="24"/>
                <w:szCs w:val="24"/>
                <w:highlight w:val="none"/>
              </w:rPr>
            </w:pPr>
            <w:r>
              <w:rPr>
                <w:rFonts w:hint="eastAsia" w:ascii="宋体" w:hAnsi="宋体" w:cs="宋体"/>
                <w:sz w:val="24"/>
                <w:szCs w:val="24"/>
                <w:highlight w:val="none"/>
              </w:rPr>
              <w:t>资信等级</w:t>
            </w:r>
          </w:p>
        </w:tc>
        <w:tc>
          <w:tcPr>
            <w:tcW w:w="6994" w:type="dxa"/>
            <w:gridSpan w:val="6"/>
            <w:vAlign w:val="center"/>
          </w:tcPr>
          <w:p>
            <w:pPr>
              <w:pStyle w:val="183"/>
              <w:numPr>
                <w:ilvl w:val="0"/>
                <w:numId w:val="10"/>
              </w:numPr>
              <w:spacing w:line="400" w:lineRule="exact"/>
              <w:ind w:firstLineChars="0"/>
              <w:rPr>
                <w:rFonts w:ascii="宋体" w:hAnsi="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1658" w:type="dxa"/>
            <w:vAlign w:val="center"/>
          </w:tcPr>
          <w:p>
            <w:pPr>
              <w:pStyle w:val="183"/>
              <w:spacing w:line="400" w:lineRule="exact"/>
              <w:ind w:firstLineChars="0"/>
              <w:jc w:val="both"/>
              <w:rPr>
                <w:rFonts w:ascii="宋体" w:hAnsi="宋体" w:cs="宋体"/>
                <w:sz w:val="24"/>
                <w:szCs w:val="24"/>
                <w:highlight w:val="none"/>
              </w:rPr>
            </w:pPr>
            <w:r>
              <w:rPr>
                <w:rFonts w:hint="eastAsia" w:ascii="宋体" w:hAnsi="宋体" w:cs="宋体"/>
                <w:sz w:val="24"/>
                <w:szCs w:val="24"/>
                <w:highlight w:val="none"/>
              </w:rPr>
              <w:t>环境管理体系认证</w:t>
            </w:r>
          </w:p>
        </w:tc>
        <w:tc>
          <w:tcPr>
            <w:tcW w:w="2522" w:type="dxa"/>
            <w:gridSpan w:val="2"/>
            <w:vAlign w:val="center"/>
          </w:tcPr>
          <w:p>
            <w:pPr>
              <w:pStyle w:val="183"/>
              <w:numPr>
                <w:ilvl w:val="0"/>
                <w:numId w:val="10"/>
              </w:numPr>
              <w:spacing w:line="400" w:lineRule="exact"/>
              <w:ind w:firstLineChars="0"/>
              <w:rPr>
                <w:rFonts w:ascii="宋体" w:hAnsi="宋体" w:cs="宋体"/>
                <w:sz w:val="24"/>
                <w:szCs w:val="24"/>
                <w:highlight w:val="none"/>
              </w:rPr>
            </w:pPr>
          </w:p>
        </w:tc>
        <w:tc>
          <w:tcPr>
            <w:tcW w:w="2307" w:type="dxa"/>
            <w:gridSpan w:val="2"/>
            <w:vAlign w:val="center"/>
          </w:tcPr>
          <w:p>
            <w:pPr>
              <w:pStyle w:val="183"/>
              <w:spacing w:line="400" w:lineRule="exact"/>
              <w:ind w:firstLineChars="0"/>
              <w:jc w:val="both"/>
              <w:rPr>
                <w:rFonts w:ascii="宋体" w:hAnsi="宋体" w:cs="宋体"/>
                <w:sz w:val="24"/>
                <w:szCs w:val="24"/>
                <w:highlight w:val="none"/>
              </w:rPr>
            </w:pPr>
            <w:r>
              <w:rPr>
                <w:rFonts w:hint="eastAsia" w:ascii="宋体" w:hAnsi="宋体" w:cs="宋体"/>
                <w:sz w:val="24"/>
                <w:szCs w:val="24"/>
                <w:highlight w:val="none"/>
              </w:rPr>
              <w:t>职业安全健康管理体系认证</w:t>
            </w:r>
          </w:p>
        </w:tc>
        <w:tc>
          <w:tcPr>
            <w:tcW w:w="2165" w:type="dxa"/>
            <w:gridSpan w:val="2"/>
            <w:vAlign w:val="center"/>
          </w:tcPr>
          <w:p>
            <w:pPr>
              <w:pStyle w:val="183"/>
              <w:numPr>
                <w:ilvl w:val="0"/>
                <w:numId w:val="10"/>
              </w:numPr>
              <w:spacing w:line="400" w:lineRule="exact"/>
              <w:ind w:firstLineChars="0"/>
              <w:rPr>
                <w:rFonts w:ascii="宋体" w:hAnsi="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658" w:type="dxa"/>
            <w:vAlign w:val="center"/>
          </w:tcPr>
          <w:p>
            <w:pPr>
              <w:pStyle w:val="183"/>
              <w:spacing w:line="400" w:lineRule="exact"/>
              <w:ind w:firstLineChars="0"/>
              <w:jc w:val="both"/>
              <w:rPr>
                <w:rFonts w:ascii="宋体" w:hAnsi="宋体" w:cs="宋体"/>
                <w:sz w:val="24"/>
                <w:szCs w:val="24"/>
                <w:highlight w:val="none"/>
              </w:rPr>
            </w:pPr>
            <w:r>
              <w:rPr>
                <w:rFonts w:hint="eastAsia" w:ascii="宋体" w:hAnsi="宋体" w:cs="宋体"/>
                <w:sz w:val="24"/>
                <w:szCs w:val="24"/>
                <w:highlight w:val="none"/>
              </w:rPr>
              <w:t>注册资金</w:t>
            </w:r>
          </w:p>
        </w:tc>
        <w:tc>
          <w:tcPr>
            <w:tcW w:w="2522" w:type="dxa"/>
            <w:gridSpan w:val="2"/>
            <w:vAlign w:val="center"/>
          </w:tcPr>
          <w:p>
            <w:pPr>
              <w:pStyle w:val="183"/>
              <w:numPr>
                <w:ilvl w:val="0"/>
                <w:numId w:val="10"/>
              </w:numPr>
              <w:spacing w:line="400" w:lineRule="exact"/>
              <w:ind w:firstLineChars="0"/>
              <w:rPr>
                <w:rFonts w:ascii="宋体" w:hAnsi="宋体" w:cs="宋体"/>
                <w:sz w:val="24"/>
                <w:szCs w:val="24"/>
                <w:highlight w:val="none"/>
              </w:rPr>
            </w:pPr>
            <w:r>
              <w:rPr>
                <w:rFonts w:hint="eastAsia" w:ascii="宋体" w:hAnsi="宋体" w:cs="宋体"/>
                <w:sz w:val="24"/>
                <w:szCs w:val="24"/>
                <w:highlight w:val="none"/>
              </w:rPr>
              <w:t>万元</w:t>
            </w:r>
          </w:p>
        </w:tc>
        <w:tc>
          <w:tcPr>
            <w:tcW w:w="2307" w:type="dxa"/>
            <w:gridSpan w:val="2"/>
            <w:vAlign w:val="center"/>
          </w:tcPr>
          <w:p>
            <w:pPr>
              <w:pStyle w:val="183"/>
              <w:spacing w:line="400" w:lineRule="exact"/>
              <w:ind w:firstLineChars="0"/>
              <w:jc w:val="both"/>
              <w:rPr>
                <w:rFonts w:ascii="宋体" w:hAnsi="宋体" w:cs="宋体"/>
                <w:sz w:val="24"/>
                <w:szCs w:val="24"/>
                <w:highlight w:val="none"/>
              </w:rPr>
            </w:pPr>
            <w:r>
              <w:rPr>
                <w:rFonts w:hint="eastAsia" w:ascii="宋体" w:hAnsi="宋体" w:cs="宋体"/>
                <w:sz w:val="24"/>
                <w:szCs w:val="24"/>
                <w:highlight w:val="none"/>
              </w:rPr>
              <w:t>固定资产净值</w:t>
            </w:r>
          </w:p>
        </w:tc>
        <w:tc>
          <w:tcPr>
            <w:tcW w:w="2165" w:type="dxa"/>
            <w:gridSpan w:val="2"/>
            <w:vAlign w:val="center"/>
          </w:tcPr>
          <w:p>
            <w:pPr>
              <w:pStyle w:val="183"/>
              <w:numPr>
                <w:ilvl w:val="0"/>
                <w:numId w:val="10"/>
              </w:numPr>
              <w:spacing w:line="400" w:lineRule="exact"/>
              <w:ind w:firstLineChars="0"/>
              <w:rPr>
                <w:rFonts w:ascii="宋体" w:hAnsi="宋体" w:cs="宋体"/>
                <w:sz w:val="24"/>
                <w:szCs w:val="24"/>
                <w:highlight w:val="none"/>
              </w:rPr>
            </w:pPr>
            <w:r>
              <w:rPr>
                <w:rFonts w:hint="eastAsia" w:ascii="宋体" w:hAnsi="宋体" w:cs="宋体"/>
                <w:sz w:val="24"/>
                <w:szCs w:val="24"/>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658" w:type="dxa"/>
            <w:vAlign w:val="center"/>
          </w:tcPr>
          <w:p>
            <w:pPr>
              <w:pStyle w:val="183"/>
              <w:spacing w:line="400" w:lineRule="exact"/>
              <w:ind w:firstLineChars="0"/>
              <w:jc w:val="both"/>
              <w:rPr>
                <w:rFonts w:ascii="宋体" w:hAnsi="宋体" w:cs="宋体"/>
                <w:sz w:val="24"/>
                <w:szCs w:val="24"/>
                <w:highlight w:val="none"/>
              </w:rPr>
            </w:pPr>
            <w:r>
              <w:rPr>
                <w:rFonts w:hint="eastAsia" w:ascii="宋体" w:hAnsi="宋体" w:cs="宋体"/>
                <w:sz w:val="24"/>
                <w:szCs w:val="24"/>
                <w:highlight w:val="none"/>
              </w:rPr>
              <w:t>流动资产</w:t>
            </w:r>
          </w:p>
        </w:tc>
        <w:tc>
          <w:tcPr>
            <w:tcW w:w="2522" w:type="dxa"/>
            <w:gridSpan w:val="2"/>
            <w:vAlign w:val="center"/>
          </w:tcPr>
          <w:p>
            <w:pPr>
              <w:pStyle w:val="183"/>
              <w:numPr>
                <w:ilvl w:val="0"/>
                <w:numId w:val="10"/>
              </w:numPr>
              <w:spacing w:line="400" w:lineRule="exact"/>
              <w:ind w:firstLineChars="0"/>
              <w:rPr>
                <w:rFonts w:ascii="宋体" w:hAnsi="宋体" w:cs="宋体"/>
                <w:sz w:val="24"/>
                <w:szCs w:val="24"/>
                <w:highlight w:val="none"/>
              </w:rPr>
            </w:pPr>
            <w:r>
              <w:rPr>
                <w:rFonts w:hint="eastAsia" w:ascii="宋体" w:hAnsi="宋体" w:cs="宋体"/>
                <w:sz w:val="24"/>
                <w:szCs w:val="24"/>
                <w:highlight w:val="none"/>
              </w:rPr>
              <w:t>万元</w:t>
            </w:r>
          </w:p>
        </w:tc>
        <w:tc>
          <w:tcPr>
            <w:tcW w:w="2307" w:type="dxa"/>
            <w:gridSpan w:val="2"/>
            <w:vAlign w:val="center"/>
          </w:tcPr>
          <w:p>
            <w:pPr>
              <w:pStyle w:val="183"/>
              <w:numPr>
                <w:ilvl w:val="0"/>
                <w:numId w:val="10"/>
              </w:numPr>
              <w:spacing w:line="400" w:lineRule="exact"/>
              <w:ind w:firstLineChars="0"/>
              <w:rPr>
                <w:rFonts w:ascii="宋体" w:hAnsi="宋体" w:cs="宋体"/>
                <w:sz w:val="24"/>
                <w:szCs w:val="24"/>
                <w:highlight w:val="none"/>
              </w:rPr>
            </w:pPr>
          </w:p>
        </w:tc>
        <w:tc>
          <w:tcPr>
            <w:tcW w:w="2165" w:type="dxa"/>
            <w:gridSpan w:val="2"/>
            <w:vAlign w:val="center"/>
          </w:tcPr>
          <w:p>
            <w:pPr>
              <w:pStyle w:val="183"/>
              <w:numPr>
                <w:ilvl w:val="0"/>
                <w:numId w:val="10"/>
              </w:numPr>
              <w:spacing w:line="400" w:lineRule="exact"/>
              <w:ind w:firstLineChars="0"/>
              <w:rPr>
                <w:rFonts w:ascii="宋体" w:hAnsi="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658" w:type="dxa"/>
            <w:vAlign w:val="center"/>
          </w:tcPr>
          <w:p>
            <w:pPr>
              <w:pStyle w:val="183"/>
              <w:spacing w:line="400" w:lineRule="exact"/>
              <w:ind w:firstLineChars="0"/>
              <w:jc w:val="both"/>
              <w:rPr>
                <w:rFonts w:ascii="宋体" w:hAnsi="宋体" w:cs="宋体"/>
                <w:sz w:val="24"/>
                <w:szCs w:val="24"/>
                <w:highlight w:val="none"/>
              </w:rPr>
            </w:pPr>
            <w:r>
              <w:rPr>
                <w:rFonts w:hint="eastAsia" w:ascii="宋体" w:hAnsi="宋体" w:cs="宋体"/>
                <w:sz w:val="24"/>
                <w:szCs w:val="24"/>
                <w:highlight w:val="none"/>
              </w:rPr>
              <w:t>开户银行</w:t>
            </w:r>
          </w:p>
        </w:tc>
        <w:tc>
          <w:tcPr>
            <w:tcW w:w="2522" w:type="dxa"/>
            <w:gridSpan w:val="2"/>
            <w:vAlign w:val="center"/>
          </w:tcPr>
          <w:p>
            <w:pPr>
              <w:pStyle w:val="183"/>
              <w:numPr>
                <w:ilvl w:val="0"/>
                <w:numId w:val="10"/>
              </w:numPr>
              <w:spacing w:line="400" w:lineRule="exact"/>
              <w:ind w:firstLineChars="0"/>
              <w:rPr>
                <w:rFonts w:ascii="宋体" w:hAnsi="宋体" w:cs="宋体"/>
                <w:sz w:val="24"/>
                <w:szCs w:val="24"/>
                <w:highlight w:val="none"/>
              </w:rPr>
            </w:pPr>
          </w:p>
        </w:tc>
        <w:tc>
          <w:tcPr>
            <w:tcW w:w="2307" w:type="dxa"/>
            <w:gridSpan w:val="2"/>
            <w:vAlign w:val="center"/>
          </w:tcPr>
          <w:p>
            <w:pPr>
              <w:pStyle w:val="183"/>
              <w:spacing w:line="400" w:lineRule="exact"/>
              <w:ind w:firstLineChars="0"/>
              <w:jc w:val="both"/>
              <w:rPr>
                <w:rFonts w:ascii="宋体" w:hAnsi="宋体" w:cs="宋体"/>
                <w:sz w:val="24"/>
                <w:szCs w:val="24"/>
                <w:highlight w:val="none"/>
              </w:rPr>
            </w:pPr>
            <w:r>
              <w:rPr>
                <w:rFonts w:hint="eastAsia" w:ascii="宋体" w:hAnsi="宋体" w:cs="宋体"/>
                <w:sz w:val="24"/>
                <w:szCs w:val="24"/>
                <w:highlight w:val="none"/>
              </w:rPr>
              <w:t>帐号</w:t>
            </w:r>
          </w:p>
        </w:tc>
        <w:tc>
          <w:tcPr>
            <w:tcW w:w="2165" w:type="dxa"/>
            <w:gridSpan w:val="2"/>
            <w:vAlign w:val="center"/>
          </w:tcPr>
          <w:p>
            <w:pPr>
              <w:pStyle w:val="183"/>
              <w:numPr>
                <w:ilvl w:val="0"/>
                <w:numId w:val="10"/>
              </w:numPr>
              <w:spacing w:line="400" w:lineRule="exact"/>
              <w:ind w:firstLineChars="0"/>
              <w:rPr>
                <w:rFonts w:ascii="宋体" w:hAnsi="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658" w:type="dxa"/>
            <w:vAlign w:val="center"/>
          </w:tcPr>
          <w:p>
            <w:pPr>
              <w:pStyle w:val="183"/>
              <w:spacing w:line="400" w:lineRule="exact"/>
              <w:ind w:firstLineChars="0"/>
              <w:jc w:val="both"/>
              <w:rPr>
                <w:rFonts w:ascii="宋体" w:hAnsi="宋体" w:cs="宋体"/>
                <w:sz w:val="24"/>
                <w:szCs w:val="24"/>
                <w:highlight w:val="none"/>
              </w:rPr>
            </w:pPr>
            <w:r>
              <w:rPr>
                <w:rFonts w:hint="eastAsia" w:ascii="宋体" w:hAnsi="宋体" w:cs="宋体"/>
                <w:sz w:val="24"/>
                <w:szCs w:val="24"/>
                <w:highlight w:val="none"/>
              </w:rPr>
              <w:t>股权关系</w:t>
            </w:r>
          </w:p>
        </w:tc>
        <w:tc>
          <w:tcPr>
            <w:tcW w:w="6994" w:type="dxa"/>
            <w:gridSpan w:val="6"/>
            <w:vAlign w:val="center"/>
          </w:tcPr>
          <w:p>
            <w:pPr>
              <w:pStyle w:val="183"/>
              <w:numPr>
                <w:ilvl w:val="0"/>
                <w:numId w:val="10"/>
              </w:numPr>
              <w:spacing w:line="400" w:lineRule="exact"/>
              <w:ind w:firstLineChars="0"/>
              <w:rPr>
                <w:rFonts w:ascii="宋体" w:hAnsi="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2" w:hRule="atLeast"/>
          <w:jc w:val="center"/>
        </w:trPr>
        <w:tc>
          <w:tcPr>
            <w:tcW w:w="8652" w:type="dxa"/>
            <w:gridSpan w:val="7"/>
            <w:vAlign w:val="center"/>
          </w:tcPr>
          <w:p>
            <w:pPr>
              <w:pStyle w:val="183"/>
              <w:spacing w:line="400" w:lineRule="exact"/>
              <w:ind w:firstLineChars="0"/>
              <w:rPr>
                <w:rFonts w:ascii="宋体" w:hAnsi="宋体" w:cs="宋体"/>
                <w:sz w:val="24"/>
                <w:szCs w:val="24"/>
                <w:highlight w:val="none"/>
              </w:rPr>
            </w:pPr>
            <w:r>
              <w:rPr>
                <w:rFonts w:hint="eastAsia" w:ascii="宋体" w:hAnsi="宋体" w:cs="宋体"/>
                <w:sz w:val="24"/>
                <w:szCs w:val="24"/>
                <w:highlight w:val="none"/>
              </w:rPr>
              <w:t>总人数人，其中：具有高级职称的人，中级职称的人。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6" w:hRule="atLeast"/>
          <w:jc w:val="center"/>
        </w:trPr>
        <w:tc>
          <w:tcPr>
            <w:tcW w:w="1658" w:type="dxa"/>
            <w:vAlign w:val="center"/>
          </w:tcPr>
          <w:p>
            <w:pPr>
              <w:pStyle w:val="183"/>
              <w:spacing w:line="400" w:lineRule="exact"/>
              <w:ind w:firstLineChars="0"/>
              <w:rPr>
                <w:rFonts w:ascii="宋体" w:hAnsi="宋体" w:cs="宋体"/>
                <w:sz w:val="24"/>
                <w:szCs w:val="24"/>
                <w:highlight w:val="none"/>
              </w:rPr>
            </w:pPr>
            <w:r>
              <w:rPr>
                <w:rFonts w:hint="eastAsia" w:ascii="宋体" w:hAnsi="宋体" w:cs="宋体"/>
                <w:sz w:val="24"/>
                <w:szCs w:val="24"/>
                <w:highlight w:val="none"/>
              </w:rPr>
              <w:t>经营范围</w:t>
            </w:r>
          </w:p>
        </w:tc>
        <w:tc>
          <w:tcPr>
            <w:tcW w:w="6994" w:type="dxa"/>
            <w:gridSpan w:val="6"/>
            <w:vAlign w:val="center"/>
          </w:tcPr>
          <w:p>
            <w:pPr>
              <w:pStyle w:val="183"/>
              <w:numPr>
                <w:ilvl w:val="0"/>
                <w:numId w:val="10"/>
              </w:numPr>
              <w:spacing w:line="400" w:lineRule="exact"/>
              <w:ind w:firstLineChars="0"/>
              <w:rPr>
                <w:rFonts w:ascii="宋体" w:hAnsi="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1658" w:type="dxa"/>
            <w:vAlign w:val="center"/>
          </w:tcPr>
          <w:p>
            <w:pPr>
              <w:pStyle w:val="183"/>
              <w:spacing w:line="400" w:lineRule="exact"/>
              <w:ind w:firstLineChars="0"/>
              <w:rPr>
                <w:rFonts w:ascii="宋体" w:hAnsi="宋体" w:cs="宋体"/>
                <w:sz w:val="24"/>
                <w:szCs w:val="24"/>
                <w:highlight w:val="none"/>
              </w:rPr>
            </w:pPr>
            <w:r>
              <w:rPr>
                <w:rFonts w:hint="eastAsia" w:ascii="宋体" w:hAnsi="宋体" w:cs="宋体"/>
                <w:sz w:val="24"/>
                <w:szCs w:val="24"/>
                <w:highlight w:val="none"/>
              </w:rPr>
              <w:t>资质范围</w:t>
            </w:r>
          </w:p>
        </w:tc>
        <w:tc>
          <w:tcPr>
            <w:tcW w:w="6994" w:type="dxa"/>
            <w:gridSpan w:val="6"/>
            <w:vAlign w:val="center"/>
          </w:tcPr>
          <w:p>
            <w:pPr>
              <w:pStyle w:val="183"/>
              <w:numPr>
                <w:ilvl w:val="0"/>
                <w:numId w:val="10"/>
              </w:numPr>
              <w:spacing w:line="400" w:lineRule="exact"/>
              <w:ind w:firstLineChars="0"/>
              <w:rPr>
                <w:rFonts w:ascii="宋体" w:hAnsi="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1658" w:type="dxa"/>
            <w:vAlign w:val="center"/>
          </w:tcPr>
          <w:p>
            <w:pPr>
              <w:pStyle w:val="183"/>
              <w:spacing w:line="400" w:lineRule="exact"/>
              <w:ind w:firstLineChars="0"/>
              <w:rPr>
                <w:rFonts w:ascii="宋体" w:hAnsi="宋体" w:cs="宋体"/>
                <w:sz w:val="24"/>
                <w:szCs w:val="24"/>
                <w:highlight w:val="none"/>
              </w:rPr>
            </w:pPr>
            <w:r>
              <w:rPr>
                <w:rFonts w:hint="eastAsia" w:ascii="宋体" w:hAnsi="宋体" w:cs="宋体"/>
                <w:sz w:val="24"/>
                <w:szCs w:val="24"/>
                <w:highlight w:val="none"/>
              </w:rPr>
              <w:t>备  注</w:t>
            </w:r>
          </w:p>
        </w:tc>
        <w:tc>
          <w:tcPr>
            <w:tcW w:w="6994" w:type="dxa"/>
            <w:gridSpan w:val="6"/>
            <w:vAlign w:val="center"/>
          </w:tcPr>
          <w:p>
            <w:pPr>
              <w:pStyle w:val="183"/>
              <w:numPr>
                <w:ilvl w:val="0"/>
                <w:numId w:val="10"/>
              </w:numPr>
              <w:spacing w:line="400" w:lineRule="exact"/>
              <w:ind w:firstLineChars="0"/>
              <w:rPr>
                <w:rFonts w:ascii="宋体" w:hAnsi="宋体" w:cs="宋体"/>
                <w:sz w:val="24"/>
                <w:szCs w:val="24"/>
                <w:highlight w:val="none"/>
              </w:rPr>
            </w:pPr>
          </w:p>
        </w:tc>
      </w:tr>
    </w:tbl>
    <w:p>
      <w:pPr>
        <w:autoSpaceDE w:val="0"/>
        <w:autoSpaceDN w:val="0"/>
        <w:adjustRightInd w:val="0"/>
        <w:snapToGrid w:val="0"/>
        <w:spacing w:line="400" w:lineRule="exact"/>
        <w:ind w:firstLine="472" w:firstLineChars="196"/>
        <w:rPr>
          <w:rFonts w:ascii="宋体" w:hAnsi="宋体" w:cs="宋体"/>
          <w:b/>
          <w:sz w:val="24"/>
          <w:szCs w:val="24"/>
          <w:highlight w:val="none"/>
        </w:rPr>
      </w:pPr>
    </w:p>
    <w:p>
      <w:pPr>
        <w:adjustRightInd w:val="0"/>
        <w:snapToGrid w:val="0"/>
        <w:spacing w:line="400" w:lineRule="exact"/>
        <w:ind w:left="-4" w:leftChars="-2" w:right="-817" w:rightChars="-389" w:firstLine="2"/>
        <w:rPr>
          <w:rFonts w:ascii="宋体" w:hAnsi="宋体" w:cs="宋体"/>
          <w:sz w:val="24"/>
          <w:szCs w:val="24"/>
          <w:highlight w:val="none"/>
        </w:rPr>
      </w:pPr>
      <w:r>
        <w:rPr>
          <w:rFonts w:hint="eastAsia" w:ascii="宋体" w:hAnsi="宋体" w:cs="宋体"/>
          <w:sz w:val="24"/>
          <w:szCs w:val="24"/>
          <w:highlight w:val="none"/>
        </w:rPr>
        <w:t>投标人名称（盖章）：</w:t>
      </w:r>
    </w:p>
    <w:p>
      <w:pPr>
        <w:adjustRightInd w:val="0"/>
        <w:snapToGrid w:val="0"/>
        <w:spacing w:line="400" w:lineRule="exact"/>
        <w:ind w:left="-4" w:leftChars="-2" w:right="-817" w:rightChars="-389" w:firstLine="2"/>
        <w:rPr>
          <w:rFonts w:ascii="宋体" w:hAnsi="宋体" w:cs="宋体"/>
          <w:sz w:val="24"/>
          <w:szCs w:val="24"/>
          <w:highlight w:val="none"/>
        </w:rPr>
      </w:pPr>
      <w:r>
        <w:rPr>
          <w:rFonts w:hint="eastAsia" w:ascii="宋体" w:hAnsi="宋体" w:cs="宋体"/>
          <w:sz w:val="24"/>
          <w:szCs w:val="24"/>
          <w:highlight w:val="none"/>
        </w:rPr>
        <w:t>法定代表人（负责人、自然人）或授权代表（签字）：</w:t>
      </w:r>
    </w:p>
    <w:p>
      <w:pPr>
        <w:adjustRightInd w:val="0"/>
        <w:snapToGrid w:val="0"/>
        <w:spacing w:line="400" w:lineRule="exact"/>
        <w:ind w:left="-2" w:leftChars="-1" w:right="-817" w:rightChars="-389" w:firstLine="2"/>
        <w:jc w:val="left"/>
        <w:rPr>
          <w:rFonts w:ascii="宋体" w:hAnsi="宋体" w:cs="宋体"/>
          <w:sz w:val="24"/>
          <w:szCs w:val="24"/>
          <w:highlight w:val="none"/>
        </w:rPr>
      </w:pPr>
      <w:r>
        <w:rPr>
          <w:rFonts w:hint="eastAsia" w:ascii="宋体" w:hAnsi="宋体" w:cs="宋体"/>
          <w:sz w:val="24"/>
          <w:szCs w:val="24"/>
          <w:highlight w:val="none"/>
        </w:rPr>
        <w:t>日期：    年   月   日</w:t>
      </w:r>
    </w:p>
    <w:p>
      <w:pPr>
        <w:adjustRightInd w:val="0"/>
        <w:snapToGrid w:val="0"/>
        <w:spacing w:line="400" w:lineRule="exact"/>
        <w:jc w:val="left"/>
        <w:rPr>
          <w:rFonts w:ascii="宋体" w:hAnsi="宋体" w:cs="宋体"/>
          <w:b/>
          <w:sz w:val="24"/>
          <w:szCs w:val="24"/>
          <w:highlight w:val="none"/>
        </w:rPr>
      </w:pPr>
      <w:r>
        <w:rPr>
          <w:rFonts w:hint="eastAsia" w:ascii="宋体" w:hAnsi="宋体" w:cs="宋体"/>
          <w:b/>
          <w:sz w:val="24"/>
          <w:szCs w:val="24"/>
          <w:highlight w:val="none"/>
        </w:rPr>
        <w:t>5、财务状况报告</w:t>
      </w:r>
    </w:p>
    <w:p>
      <w:pPr>
        <w:adjustRightInd w:val="0"/>
        <w:snapToGrid w:val="0"/>
        <w:spacing w:line="400" w:lineRule="exact"/>
        <w:rPr>
          <w:rFonts w:ascii="宋体" w:hAnsi="宋体" w:cs="宋体"/>
          <w:sz w:val="24"/>
          <w:szCs w:val="24"/>
          <w:highlight w:val="none"/>
        </w:rPr>
      </w:pPr>
      <w:r>
        <w:rPr>
          <w:rFonts w:hint="eastAsia" w:ascii="宋体" w:hAnsi="宋体" w:cs="宋体"/>
          <w:sz w:val="24"/>
          <w:szCs w:val="24"/>
          <w:highlight w:val="none"/>
        </w:rPr>
        <w:t>应提供本单位2021、2022年度经会计师事务所出具的审计报告复印件（报告中须包括资产负债表、利润表、现金流量表及财务报表附注）。如</w:t>
      </w:r>
      <w:r>
        <w:rPr>
          <w:rFonts w:hint="eastAsia" w:ascii="宋体" w:hAnsi="宋体" w:cs="宋体"/>
          <w:sz w:val="24"/>
          <w:szCs w:val="24"/>
          <w:highlight w:val="none"/>
          <w:lang w:eastAsia="zh-CN"/>
        </w:rPr>
        <w:t>投标人</w:t>
      </w:r>
      <w:r>
        <w:rPr>
          <w:rFonts w:hint="eastAsia" w:ascii="宋体" w:hAnsi="宋体" w:cs="宋体"/>
          <w:sz w:val="24"/>
          <w:szCs w:val="24"/>
          <w:highlight w:val="none"/>
        </w:rPr>
        <w:t>注册不满1年无需提供上述资料。</w:t>
      </w:r>
    </w:p>
    <w:p>
      <w:pPr>
        <w:adjustRightInd w:val="0"/>
        <w:snapToGrid w:val="0"/>
        <w:spacing w:line="400" w:lineRule="exact"/>
        <w:jc w:val="left"/>
        <w:rPr>
          <w:rFonts w:ascii="宋体" w:hAnsi="宋体" w:cs="宋体"/>
          <w:b/>
          <w:sz w:val="24"/>
          <w:szCs w:val="24"/>
          <w:highlight w:val="none"/>
        </w:rPr>
      </w:pPr>
    </w:p>
    <w:p>
      <w:pPr>
        <w:adjustRightInd w:val="0"/>
        <w:snapToGrid w:val="0"/>
        <w:spacing w:line="400" w:lineRule="exact"/>
        <w:jc w:val="left"/>
        <w:rPr>
          <w:rFonts w:ascii="宋体" w:hAnsi="宋体" w:cs="宋体"/>
          <w:b/>
          <w:sz w:val="24"/>
          <w:szCs w:val="24"/>
          <w:highlight w:val="none"/>
        </w:rPr>
      </w:pPr>
    </w:p>
    <w:p>
      <w:pPr>
        <w:adjustRightInd w:val="0"/>
        <w:snapToGrid w:val="0"/>
        <w:spacing w:line="400" w:lineRule="exact"/>
        <w:jc w:val="left"/>
        <w:rPr>
          <w:rFonts w:ascii="宋体" w:hAnsi="宋体" w:cs="宋体"/>
          <w:b/>
          <w:sz w:val="24"/>
          <w:szCs w:val="24"/>
          <w:highlight w:val="none"/>
        </w:rPr>
      </w:pPr>
      <w:r>
        <w:rPr>
          <w:rFonts w:hint="eastAsia" w:ascii="宋体" w:hAnsi="宋体" w:cs="宋体"/>
          <w:b/>
          <w:sz w:val="24"/>
          <w:szCs w:val="24"/>
          <w:highlight w:val="none"/>
        </w:rPr>
        <w:t>6、投标人须具有履行合同所必需的设备和专业技术能力，须附相关证明材料或声明：</w:t>
      </w:r>
    </w:p>
    <w:p>
      <w:pPr>
        <w:pStyle w:val="196"/>
        <w:autoSpaceDE w:val="0"/>
        <w:autoSpaceDN w:val="0"/>
        <w:adjustRightInd w:val="0"/>
        <w:snapToGrid w:val="0"/>
        <w:spacing w:line="400" w:lineRule="exact"/>
        <w:ind w:firstLine="115" w:firstLineChars="50"/>
        <w:jc w:val="left"/>
        <w:rPr>
          <w:rFonts w:ascii="宋体" w:hAnsi="宋体" w:cs="宋体"/>
          <w:kern w:val="0"/>
          <w:sz w:val="23"/>
          <w:szCs w:val="23"/>
          <w:highlight w:val="none"/>
        </w:rPr>
      </w:pPr>
      <w:r>
        <w:rPr>
          <w:rFonts w:hint="eastAsia" w:ascii="宋体" w:hAnsi="宋体" w:cs="宋体"/>
          <w:kern w:val="0"/>
          <w:sz w:val="23"/>
          <w:szCs w:val="23"/>
          <w:highlight w:val="none"/>
        </w:rPr>
        <w:t>格式：</w:t>
      </w:r>
    </w:p>
    <w:p>
      <w:pPr>
        <w:pStyle w:val="196"/>
        <w:autoSpaceDE w:val="0"/>
        <w:autoSpaceDN w:val="0"/>
        <w:adjustRightInd w:val="0"/>
        <w:snapToGrid w:val="0"/>
        <w:spacing w:line="400" w:lineRule="exact"/>
        <w:ind w:firstLine="115" w:firstLineChars="50"/>
        <w:jc w:val="center"/>
        <w:rPr>
          <w:rFonts w:ascii="宋体" w:hAnsi="宋体" w:cs="宋体"/>
          <w:kern w:val="0"/>
          <w:sz w:val="23"/>
          <w:szCs w:val="23"/>
          <w:highlight w:val="none"/>
        </w:rPr>
      </w:pPr>
      <w:r>
        <w:rPr>
          <w:rFonts w:hint="eastAsia" w:ascii="宋体" w:hAnsi="宋体" w:cs="宋体"/>
          <w:kern w:val="0"/>
          <w:sz w:val="23"/>
          <w:szCs w:val="23"/>
          <w:highlight w:val="none"/>
        </w:rPr>
        <w:t>本投标人郑重声明：</w:t>
      </w:r>
    </w:p>
    <w:p>
      <w:pPr>
        <w:pStyle w:val="196"/>
        <w:autoSpaceDE w:val="0"/>
        <w:autoSpaceDN w:val="0"/>
        <w:adjustRightInd w:val="0"/>
        <w:snapToGrid w:val="0"/>
        <w:spacing w:line="400" w:lineRule="exact"/>
        <w:ind w:firstLine="230" w:firstLineChars="100"/>
        <w:jc w:val="left"/>
        <w:rPr>
          <w:rFonts w:ascii="宋体" w:hAnsi="宋体" w:cs="宋体"/>
          <w:kern w:val="0"/>
          <w:sz w:val="23"/>
          <w:szCs w:val="23"/>
          <w:highlight w:val="none"/>
        </w:rPr>
      </w:pPr>
      <w:r>
        <w:rPr>
          <w:rFonts w:hint="eastAsia" w:ascii="宋体" w:hAnsi="宋体" w:cs="宋体"/>
          <w:kern w:val="0"/>
          <w:sz w:val="23"/>
          <w:szCs w:val="23"/>
          <w:highlight w:val="none"/>
        </w:rPr>
        <w:t xml:space="preserve">本公司（或单位）具备本项目履行合同所必需的设备和专业技术能力，特此承诺。 </w:t>
      </w:r>
    </w:p>
    <w:p>
      <w:pPr>
        <w:pStyle w:val="196"/>
        <w:autoSpaceDE w:val="0"/>
        <w:autoSpaceDN w:val="0"/>
        <w:adjustRightInd w:val="0"/>
        <w:snapToGrid w:val="0"/>
        <w:spacing w:line="400" w:lineRule="exact"/>
        <w:ind w:firstLine="115" w:firstLineChars="50"/>
        <w:jc w:val="left"/>
        <w:rPr>
          <w:rFonts w:ascii="宋体" w:hAnsi="宋体" w:cs="宋体"/>
          <w:kern w:val="0"/>
          <w:sz w:val="23"/>
          <w:szCs w:val="23"/>
          <w:highlight w:val="none"/>
        </w:rPr>
      </w:pPr>
      <w:r>
        <w:rPr>
          <w:rFonts w:hint="eastAsia" w:ascii="宋体" w:hAnsi="宋体" w:cs="宋体"/>
          <w:kern w:val="0"/>
          <w:sz w:val="23"/>
          <w:szCs w:val="23"/>
          <w:highlight w:val="none"/>
        </w:rPr>
        <w:t xml:space="preserve">被授权人签字： </w:t>
      </w:r>
    </w:p>
    <w:p>
      <w:pPr>
        <w:pStyle w:val="196"/>
        <w:autoSpaceDE w:val="0"/>
        <w:autoSpaceDN w:val="0"/>
        <w:adjustRightInd w:val="0"/>
        <w:snapToGrid w:val="0"/>
        <w:spacing w:line="400" w:lineRule="exact"/>
        <w:ind w:firstLine="115" w:firstLineChars="50"/>
        <w:jc w:val="left"/>
        <w:rPr>
          <w:rFonts w:ascii="宋体" w:hAnsi="宋体" w:cs="宋体"/>
          <w:kern w:val="0"/>
          <w:sz w:val="23"/>
          <w:szCs w:val="23"/>
          <w:highlight w:val="none"/>
        </w:rPr>
      </w:pPr>
      <w:r>
        <w:rPr>
          <w:rFonts w:hint="eastAsia" w:ascii="宋体" w:hAnsi="宋体" w:cs="宋体"/>
          <w:kern w:val="0"/>
          <w:sz w:val="23"/>
          <w:szCs w:val="23"/>
          <w:highlight w:val="none"/>
        </w:rPr>
        <w:t>投标人名称（加盖公章）：</w:t>
      </w:r>
    </w:p>
    <w:p>
      <w:pPr>
        <w:pStyle w:val="196"/>
        <w:autoSpaceDE w:val="0"/>
        <w:autoSpaceDN w:val="0"/>
        <w:adjustRightInd w:val="0"/>
        <w:snapToGrid w:val="0"/>
        <w:spacing w:line="400" w:lineRule="exact"/>
        <w:ind w:firstLine="115" w:firstLineChars="50"/>
        <w:rPr>
          <w:rFonts w:ascii="宋体" w:hAnsi="宋体" w:cs="宋体"/>
          <w:kern w:val="0"/>
          <w:sz w:val="23"/>
          <w:szCs w:val="23"/>
          <w:highlight w:val="none"/>
        </w:rPr>
      </w:pPr>
      <w:r>
        <w:rPr>
          <w:rFonts w:hint="eastAsia" w:ascii="宋体" w:hAnsi="宋体" w:cs="宋体"/>
          <w:kern w:val="0"/>
          <w:sz w:val="23"/>
          <w:szCs w:val="23"/>
          <w:highlight w:val="none"/>
        </w:rPr>
        <w:t xml:space="preserve">年 月 日 </w:t>
      </w:r>
    </w:p>
    <w:p>
      <w:pPr>
        <w:adjustRightInd w:val="0"/>
        <w:snapToGrid w:val="0"/>
        <w:spacing w:line="400" w:lineRule="exact"/>
        <w:jc w:val="left"/>
        <w:rPr>
          <w:rFonts w:ascii="宋体" w:hAnsi="宋体" w:cs="宋体"/>
          <w:b/>
          <w:sz w:val="24"/>
          <w:szCs w:val="24"/>
          <w:highlight w:val="none"/>
        </w:rPr>
      </w:pPr>
    </w:p>
    <w:p>
      <w:pPr>
        <w:adjustRightInd w:val="0"/>
        <w:snapToGrid w:val="0"/>
        <w:spacing w:line="400" w:lineRule="exact"/>
        <w:jc w:val="left"/>
        <w:rPr>
          <w:rFonts w:ascii="宋体" w:hAnsi="宋体" w:cs="宋体"/>
          <w:b/>
          <w:sz w:val="24"/>
          <w:szCs w:val="24"/>
          <w:highlight w:val="none"/>
        </w:rPr>
      </w:pPr>
      <w:r>
        <w:rPr>
          <w:rFonts w:hint="eastAsia" w:ascii="宋体" w:hAnsi="宋体" w:cs="宋体"/>
          <w:b/>
          <w:sz w:val="24"/>
          <w:szCs w:val="24"/>
          <w:highlight w:val="none"/>
        </w:rPr>
        <w:t>7、依法缴纳税收和社会保障资金的良好记录</w:t>
      </w:r>
    </w:p>
    <w:p>
      <w:pPr>
        <w:adjustRightInd w:val="0"/>
        <w:snapToGrid w:val="0"/>
        <w:spacing w:line="400" w:lineRule="exact"/>
        <w:ind w:firstLine="480" w:firstLineChars="200"/>
        <w:rPr>
          <w:rFonts w:ascii="宋体" w:hAnsi="宋体" w:cs="宋体"/>
          <w:sz w:val="24"/>
          <w:szCs w:val="24"/>
          <w:highlight w:val="none"/>
        </w:rPr>
      </w:pPr>
      <w:r>
        <w:rPr>
          <w:rFonts w:hint="eastAsia" w:ascii="宋体" w:hAnsi="宋体" w:cs="宋体"/>
          <w:sz w:val="24"/>
          <w:szCs w:val="24"/>
          <w:highlight w:val="none"/>
        </w:rPr>
        <w:t xml:space="preserve">缴纳税收的证明材料，指投标人缴纳增值税和企业所得税两种缴纳凭据；本项目开标前6个月内（至少提供1个月）缴纳税收的凭据（完税证、缴款书、印花税票、银行代扣（代缴）转账凭证等均可）； </w:t>
      </w:r>
    </w:p>
    <w:p>
      <w:pPr>
        <w:adjustRightInd w:val="0"/>
        <w:snapToGrid w:val="0"/>
        <w:spacing w:line="400" w:lineRule="exact"/>
        <w:ind w:firstLine="480" w:firstLineChars="200"/>
        <w:rPr>
          <w:rFonts w:ascii="宋体" w:hAnsi="宋体" w:cs="宋体"/>
          <w:sz w:val="24"/>
          <w:szCs w:val="24"/>
          <w:highlight w:val="none"/>
        </w:rPr>
      </w:pPr>
      <w:r>
        <w:rPr>
          <w:rFonts w:hint="eastAsia" w:ascii="宋体" w:hAnsi="宋体" w:cs="宋体"/>
          <w:sz w:val="24"/>
          <w:szCs w:val="24"/>
          <w:highlight w:val="none"/>
        </w:rPr>
        <w:t xml:space="preserve">投标人依法缴纳社会保障资金的证明材料：本项目开标前 6个月内（至少提供1个月）缴纳社会保险的凭据（专用收据或社会保险交纳清单）； </w:t>
      </w:r>
    </w:p>
    <w:p>
      <w:pPr>
        <w:adjustRightInd w:val="0"/>
        <w:snapToGrid w:val="0"/>
        <w:spacing w:line="400" w:lineRule="exact"/>
        <w:ind w:firstLine="480" w:firstLineChars="200"/>
        <w:rPr>
          <w:rFonts w:ascii="宋体" w:hAnsi="宋体" w:cs="宋体"/>
          <w:sz w:val="24"/>
          <w:szCs w:val="24"/>
          <w:highlight w:val="none"/>
        </w:rPr>
      </w:pPr>
      <w:r>
        <w:rPr>
          <w:rFonts w:hint="eastAsia" w:ascii="宋体" w:hAnsi="宋体" w:cs="宋体"/>
          <w:sz w:val="24"/>
          <w:szCs w:val="24"/>
          <w:highlight w:val="none"/>
        </w:rPr>
        <w:t>投标人为其他组织或自然人的，也需要按此项规定提供缴纳税收的凭据和交纳社会保险的凭据。如投标人的社会保险为委托第三方代缴，还需同时提供投标人与第三方服务机构签署的服务合同（合同中应明确写明第三方为投标人代缴其社会保险）。</w:t>
      </w:r>
    </w:p>
    <w:p>
      <w:pPr>
        <w:pStyle w:val="30"/>
        <w:rPr>
          <w:highlight w:val="none"/>
        </w:rPr>
      </w:pPr>
    </w:p>
    <w:p>
      <w:pPr>
        <w:rPr>
          <w:rFonts w:ascii="宋体" w:hAnsi="宋体" w:cs="宋体"/>
          <w:b/>
          <w:sz w:val="24"/>
          <w:szCs w:val="24"/>
          <w:highlight w:val="none"/>
        </w:rPr>
      </w:pPr>
      <w:r>
        <w:rPr>
          <w:rFonts w:hint="eastAsia" w:ascii="宋体" w:hAnsi="宋体" w:cs="宋体"/>
          <w:b/>
          <w:sz w:val="24"/>
          <w:szCs w:val="24"/>
          <w:highlight w:val="none"/>
        </w:rPr>
        <w:br w:type="page"/>
      </w:r>
    </w:p>
    <w:p>
      <w:pPr>
        <w:adjustRightInd w:val="0"/>
        <w:snapToGrid w:val="0"/>
        <w:spacing w:line="400" w:lineRule="exact"/>
        <w:jc w:val="left"/>
        <w:rPr>
          <w:rFonts w:ascii="宋体" w:hAnsi="宋体" w:cs="宋体"/>
          <w:b/>
          <w:sz w:val="24"/>
          <w:szCs w:val="24"/>
          <w:highlight w:val="none"/>
        </w:rPr>
      </w:pPr>
      <w:r>
        <w:rPr>
          <w:rFonts w:hint="eastAsia" w:ascii="宋体" w:hAnsi="宋体" w:cs="宋体"/>
          <w:b/>
          <w:sz w:val="24"/>
          <w:szCs w:val="24"/>
          <w:highlight w:val="none"/>
        </w:rPr>
        <w:t>8、前三年内在经营活动中没有重大违法记录的书面声明：</w:t>
      </w:r>
    </w:p>
    <w:p>
      <w:pPr>
        <w:pStyle w:val="196"/>
        <w:adjustRightInd w:val="0"/>
        <w:snapToGrid w:val="0"/>
        <w:spacing w:line="400" w:lineRule="exact"/>
        <w:rPr>
          <w:rFonts w:ascii="宋体" w:hAnsi="宋体" w:cs="宋体"/>
          <w:sz w:val="24"/>
          <w:szCs w:val="24"/>
          <w:highlight w:val="none"/>
          <w:u w:val="single"/>
        </w:rPr>
      </w:pPr>
      <w:r>
        <w:rPr>
          <w:rFonts w:hint="eastAsia" w:ascii="宋体" w:hAnsi="宋体" w:cs="宋体"/>
          <w:sz w:val="24"/>
          <w:szCs w:val="24"/>
          <w:highlight w:val="none"/>
          <w:u w:val="single"/>
        </w:rPr>
        <w:t>格式：</w:t>
      </w:r>
    </w:p>
    <w:p>
      <w:pPr>
        <w:pStyle w:val="196"/>
        <w:adjustRightInd w:val="0"/>
        <w:snapToGrid w:val="0"/>
        <w:spacing w:line="400" w:lineRule="exact"/>
        <w:rPr>
          <w:rFonts w:ascii="宋体" w:hAnsi="宋体" w:cs="宋体"/>
          <w:sz w:val="24"/>
          <w:szCs w:val="24"/>
          <w:highlight w:val="none"/>
        </w:rPr>
      </w:pPr>
      <w:r>
        <w:rPr>
          <w:rFonts w:hint="eastAsia" w:ascii="宋体" w:hAnsi="宋体" w:cs="宋体"/>
          <w:sz w:val="24"/>
          <w:szCs w:val="24"/>
          <w:highlight w:val="none"/>
          <w:u w:val="single"/>
        </w:rPr>
        <w:t xml:space="preserve">（采购人）         </w:t>
      </w:r>
      <w:r>
        <w:rPr>
          <w:rFonts w:hint="eastAsia" w:ascii="宋体" w:hAnsi="宋体" w:cs="宋体"/>
          <w:sz w:val="24"/>
          <w:szCs w:val="24"/>
          <w:highlight w:val="none"/>
        </w:rPr>
        <w:t>：</w:t>
      </w:r>
    </w:p>
    <w:p>
      <w:pPr>
        <w:pStyle w:val="196"/>
        <w:adjustRightInd w:val="0"/>
        <w:snapToGrid w:val="0"/>
        <w:spacing w:line="400" w:lineRule="exact"/>
        <w:ind w:firstLine="480" w:firstLineChars="200"/>
        <w:rPr>
          <w:rFonts w:ascii="宋体" w:hAnsi="宋体" w:cs="宋体"/>
          <w:sz w:val="24"/>
          <w:szCs w:val="24"/>
          <w:highlight w:val="none"/>
        </w:rPr>
      </w:pPr>
      <w:r>
        <w:rPr>
          <w:rFonts w:hint="eastAsia" w:ascii="宋体" w:hAnsi="宋体" w:cs="宋体"/>
          <w:sz w:val="24"/>
          <w:szCs w:val="24"/>
          <w:highlight w:val="none"/>
        </w:rPr>
        <w:t>我单位参与</w:t>
      </w:r>
      <w:r>
        <w:rPr>
          <w:rFonts w:hint="eastAsia" w:ascii="宋体" w:hAnsi="宋体" w:cs="宋体"/>
          <w:sz w:val="24"/>
          <w:szCs w:val="24"/>
          <w:highlight w:val="none"/>
          <w:u w:val="single"/>
        </w:rPr>
        <w:t xml:space="preserve">                          （</w:t>
      </w:r>
      <w:r>
        <w:rPr>
          <w:rFonts w:hint="eastAsia" w:ascii="宋体" w:hAnsi="宋体" w:cs="宋体"/>
          <w:sz w:val="24"/>
          <w:szCs w:val="24"/>
          <w:highlight w:val="none"/>
        </w:rPr>
        <w:t>项目名称、编号）投标，并郑重声明，我方参加本项目政府采购活动前三年内无重大违法记录，符合《中华人民共和国政府采购法》规定的投标人条件。若贵方在本项目采购过程中发现我方政府采购活动前三年内有重大违法记录，我方将无条件退出本项目的投标，并承担因此引起的一切后果。我方对此声明负全部法律责任。</w:t>
      </w:r>
    </w:p>
    <w:p>
      <w:pPr>
        <w:pStyle w:val="196"/>
        <w:adjustRightInd w:val="0"/>
        <w:snapToGrid w:val="0"/>
        <w:spacing w:line="400" w:lineRule="exact"/>
        <w:ind w:firstLine="480" w:firstLineChars="200"/>
        <w:rPr>
          <w:rFonts w:ascii="宋体" w:hAnsi="宋体" w:cs="宋体"/>
          <w:sz w:val="24"/>
          <w:szCs w:val="24"/>
          <w:highlight w:val="none"/>
        </w:rPr>
      </w:pPr>
      <w:r>
        <w:rPr>
          <w:rFonts w:hint="eastAsia" w:ascii="宋体" w:hAnsi="宋体" w:cs="宋体"/>
          <w:sz w:val="24"/>
          <w:szCs w:val="24"/>
          <w:highlight w:val="none"/>
        </w:rPr>
        <w:t xml:space="preserve">特此声明  </w:t>
      </w:r>
    </w:p>
    <w:p>
      <w:pPr>
        <w:pStyle w:val="196"/>
        <w:adjustRightInd w:val="0"/>
        <w:snapToGrid w:val="0"/>
        <w:spacing w:line="400" w:lineRule="exact"/>
        <w:rPr>
          <w:rFonts w:ascii="宋体" w:hAnsi="宋体" w:cs="宋体"/>
          <w:sz w:val="24"/>
          <w:szCs w:val="24"/>
          <w:highlight w:val="none"/>
        </w:rPr>
      </w:pPr>
      <w:r>
        <w:rPr>
          <w:rFonts w:hint="eastAsia" w:ascii="宋体" w:hAnsi="宋体" w:cs="宋体"/>
          <w:sz w:val="24"/>
          <w:szCs w:val="24"/>
          <w:highlight w:val="none"/>
        </w:rPr>
        <w:t>投标人（盖单位章）：</w:t>
      </w:r>
    </w:p>
    <w:p>
      <w:pPr>
        <w:pStyle w:val="196"/>
        <w:adjustRightInd w:val="0"/>
        <w:snapToGrid w:val="0"/>
        <w:spacing w:line="400" w:lineRule="exact"/>
        <w:rPr>
          <w:rFonts w:ascii="宋体" w:hAnsi="宋体" w:cs="宋体"/>
          <w:sz w:val="24"/>
          <w:szCs w:val="24"/>
          <w:highlight w:val="none"/>
        </w:rPr>
      </w:pPr>
      <w:r>
        <w:rPr>
          <w:rFonts w:hint="eastAsia" w:ascii="宋体" w:hAnsi="宋体" w:cs="宋体"/>
          <w:sz w:val="24"/>
          <w:szCs w:val="24"/>
          <w:highlight w:val="none"/>
        </w:rPr>
        <w:t>委托代理人签字：</w:t>
      </w:r>
    </w:p>
    <w:p>
      <w:pPr>
        <w:adjustRightInd w:val="0"/>
        <w:snapToGrid w:val="0"/>
        <w:spacing w:line="400" w:lineRule="exact"/>
        <w:jc w:val="left"/>
        <w:rPr>
          <w:rFonts w:ascii="宋体" w:hAnsi="宋体" w:cs="宋体"/>
          <w:b/>
          <w:sz w:val="24"/>
          <w:szCs w:val="24"/>
          <w:highlight w:val="none"/>
        </w:rPr>
      </w:pPr>
    </w:p>
    <w:p>
      <w:pPr>
        <w:adjustRightInd w:val="0"/>
        <w:snapToGrid w:val="0"/>
        <w:spacing w:line="400" w:lineRule="exact"/>
        <w:jc w:val="left"/>
        <w:rPr>
          <w:rFonts w:ascii="宋体" w:hAnsi="宋体" w:cs="宋体"/>
          <w:b/>
          <w:sz w:val="24"/>
          <w:szCs w:val="24"/>
          <w:highlight w:val="none"/>
        </w:rPr>
      </w:pPr>
      <w:r>
        <w:rPr>
          <w:rFonts w:hint="eastAsia" w:ascii="宋体" w:hAnsi="宋体" w:cs="宋体"/>
          <w:b/>
          <w:sz w:val="24"/>
          <w:szCs w:val="24"/>
          <w:highlight w:val="none"/>
        </w:rPr>
        <w:t>9、拒绝列入失信被执行人、重大税收违法案件当事人名单、政府采购严重违法失信行为记录名单及及其他不符合规定条件的投标人；投标人未被列入“信用中国”网站(www.creditchina.gov.cn)“记录失信被执行人或重大 税收违法案件当事人名单或政府采购严重违法失信行为”记录名单；未处于中国政府采购 网(www.ccgp.gov.cn)“政府采购严重违法失信行为信息记录”中的禁止参加政府采购活动期间（以采购代理机构于开标当天在“信用中国”网站（www.creditchina.gov.cn） 及中国政府采购网(www.ccgp.gov.cn)查询结果为准，如相关失信记录已失效，投标人需提供相关证明资料）。</w:t>
      </w:r>
    </w:p>
    <w:p>
      <w:pPr>
        <w:adjustRightInd w:val="0"/>
        <w:snapToGrid w:val="0"/>
        <w:spacing w:line="400" w:lineRule="exact"/>
        <w:jc w:val="left"/>
        <w:rPr>
          <w:rFonts w:ascii="宋体" w:hAnsi="宋体" w:cs="宋体"/>
          <w:b/>
          <w:sz w:val="24"/>
          <w:szCs w:val="24"/>
          <w:highlight w:val="none"/>
        </w:rPr>
      </w:pPr>
    </w:p>
    <w:p>
      <w:pPr>
        <w:adjustRightInd w:val="0"/>
        <w:snapToGrid w:val="0"/>
        <w:spacing w:line="400" w:lineRule="exact"/>
        <w:jc w:val="left"/>
        <w:rPr>
          <w:rFonts w:ascii="宋体" w:hAnsi="宋体" w:cs="宋体"/>
          <w:b/>
          <w:sz w:val="24"/>
          <w:szCs w:val="24"/>
          <w:highlight w:val="none"/>
        </w:rPr>
      </w:pPr>
      <w:r>
        <w:rPr>
          <w:rFonts w:hint="eastAsia" w:ascii="宋体" w:hAnsi="宋体" w:cs="宋体"/>
          <w:b/>
          <w:sz w:val="24"/>
          <w:szCs w:val="24"/>
          <w:highlight w:val="none"/>
        </w:rPr>
        <w:t>10、投标人已取得的各种有效认证证书、政府部门（企业）或第三方权威鉴定机构出具的信用等级证书或证明复印件 (如有)。</w:t>
      </w:r>
    </w:p>
    <w:p>
      <w:pPr>
        <w:adjustRightInd w:val="0"/>
        <w:snapToGrid w:val="0"/>
        <w:spacing w:line="400" w:lineRule="exact"/>
        <w:jc w:val="left"/>
        <w:rPr>
          <w:rFonts w:ascii="宋体" w:hAnsi="宋体" w:cs="宋体"/>
          <w:b/>
          <w:sz w:val="24"/>
          <w:szCs w:val="24"/>
          <w:highlight w:val="none"/>
        </w:rPr>
      </w:pPr>
    </w:p>
    <w:p>
      <w:pPr>
        <w:widowControl/>
        <w:snapToGrid w:val="0"/>
        <w:spacing w:line="400" w:lineRule="exact"/>
        <w:jc w:val="left"/>
        <w:rPr>
          <w:rFonts w:ascii="宋体" w:hAnsi="宋体" w:cs="宋体"/>
          <w:b/>
          <w:bCs/>
          <w:sz w:val="24"/>
          <w:szCs w:val="24"/>
          <w:highlight w:val="none"/>
        </w:rPr>
      </w:pPr>
    </w:p>
    <w:p>
      <w:pPr>
        <w:adjustRightInd w:val="0"/>
        <w:snapToGrid w:val="0"/>
        <w:spacing w:line="400" w:lineRule="exact"/>
        <w:jc w:val="left"/>
        <w:rPr>
          <w:rFonts w:ascii="宋体" w:hAnsi="宋体" w:cs="宋体"/>
          <w:b/>
          <w:sz w:val="24"/>
          <w:szCs w:val="24"/>
          <w:highlight w:val="none"/>
        </w:rPr>
      </w:pPr>
      <w:r>
        <w:rPr>
          <w:rFonts w:hint="eastAsia" w:ascii="宋体" w:hAnsi="宋体" w:cs="宋体"/>
          <w:b/>
          <w:sz w:val="24"/>
          <w:szCs w:val="24"/>
          <w:highlight w:val="none"/>
        </w:rPr>
        <w:t>11、2021年3月1日以来同类成功业绩</w:t>
      </w:r>
    </w:p>
    <w:p>
      <w:pPr>
        <w:adjustRightInd w:val="0"/>
        <w:snapToGrid w:val="0"/>
        <w:spacing w:line="400" w:lineRule="exact"/>
        <w:ind w:firstLine="470" w:firstLineChars="196"/>
        <w:jc w:val="left"/>
        <w:rPr>
          <w:rFonts w:ascii="宋体" w:hAnsi="宋体" w:cs="宋体"/>
          <w:sz w:val="24"/>
          <w:szCs w:val="24"/>
          <w:highlight w:val="none"/>
        </w:rPr>
      </w:pPr>
      <w:r>
        <w:rPr>
          <w:rFonts w:hint="eastAsia" w:ascii="宋体" w:hAnsi="宋体" w:cs="宋体"/>
          <w:sz w:val="24"/>
          <w:szCs w:val="24"/>
          <w:highlight w:val="none"/>
        </w:rPr>
        <w:t>以签订合同时间为准，需提供中标（成交）通知书和合同复印件，复印件并加盖公章，如出现与事实不符等情况，将根据有关规定以“提供虚假材料谋取中标”予以处罚。</w:t>
      </w:r>
    </w:p>
    <w:p>
      <w:pPr>
        <w:pStyle w:val="30"/>
        <w:rPr>
          <w:rFonts w:ascii="宋体" w:hAnsi="宋体" w:cs="宋体"/>
          <w:b/>
          <w:bCs/>
          <w:sz w:val="24"/>
          <w:szCs w:val="24"/>
          <w:highlight w:val="none"/>
        </w:rPr>
      </w:pPr>
    </w:p>
    <w:p>
      <w:pPr>
        <w:pStyle w:val="30"/>
        <w:rPr>
          <w:rFonts w:ascii="宋体" w:hAnsi="宋体" w:cs="宋体"/>
          <w:b/>
          <w:bCs/>
          <w:sz w:val="24"/>
          <w:szCs w:val="24"/>
          <w:highlight w:val="none"/>
        </w:rPr>
      </w:pPr>
    </w:p>
    <w:p>
      <w:pPr>
        <w:pStyle w:val="30"/>
        <w:rPr>
          <w:rFonts w:ascii="宋体" w:hAnsi="宋体" w:cs="宋体"/>
          <w:b/>
          <w:bCs/>
          <w:sz w:val="24"/>
          <w:szCs w:val="24"/>
          <w:highlight w:val="none"/>
        </w:rPr>
      </w:pPr>
    </w:p>
    <w:p>
      <w:pPr>
        <w:pStyle w:val="30"/>
        <w:rPr>
          <w:rFonts w:ascii="宋体" w:hAnsi="宋体" w:cs="宋体"/>
          <w:b/>
          <w:bCs/>
          <w:sz w:val="24"/>
          <w:szCs w:val="24"/>
          <w:highlight w:val="none"/>
        </w:rPr>
      </w:pPr>
    </w:p>
    <w:p>
      <w:pPr>
        <w:pStyle w:val="30"/>
        <w:rPr>
          <w:rFonts w:ascii="宋体" w:hAnsi="宋体" w:cs="宋体"/>
          <w:b/>
          <w:bCs/>
          <w:sz w:val="24"/>
          <w:szCs w:val="24"/>
          <w:highlight w:val="none"/>
        </w:rPr>
      </w:pPr>
    </w:p>
    <w:p>
      <w:pPr>
        <w:pStyle w:val="30"/>
        <w:rPr>
          <w:rFonts w:ascii="宋体" w:hAnsi="宋体" w:cs="宋体"/>
          <w:b/>
          <w:bCs/>
          <w:sz w:val="24"/>
          <w:szCs w:val="24"/>
          <w:highlight w:val="none"/>
        </w:rPr>
      </w:pPr>
    </w:p>
    <w:p>
      <w:pPr>
        <w:pStyle w:val="30"/>
        <w:rPr>
          <w:rFonts w:ascii="宋体" w:hAnsi="宋体" w:cs="宋体"/>
          <w:b/>
          <w:bCs/>
          <w:sz w:val="24"/>
          <w:szCs w:val="24"/>
          <w:highlight w:val="none"/>
        </w:rPr>
      </w:pPr>
    </w:p>
    <w:p>
      <w:pPr>
        <w:snapToGrid w:val="0"/>
        <w:spacing w:line="400" w:lineRule="exact"/>
        <w:rPr>
          <w:rFonts w:ascii="宋体" w:hAnsi="宋体" w:cs="宋体"/>
          <w:sz w:val="24"/>
          <w:szCs w:val="24"/>
          <w:highlight w:val="none"/>
        </w:rPr>
      </w:pPr>
      <w:r>
        <w:rPr>
          <w:rFonts w:hint="eastAsia" w:ascii="宋体" w:hAnsi="宋体" w:cs="宋体"/>
          <w:b/>
          <w:sz w:val="24"/>
          <w:szCs w:val="24"/>
          <w:highlight w:val="none"/>
        </w:rPr>
        <w:t>12、政府采购政策扶持证明材料</w:t>
      </w:r>
    </w:p>
    <w:p>
      <w:pPr>
        <w:widowControl/>
        <w:snapToGrid w:val="0"/>
        <w:spacing w:before="240" w:after="240" w:line="400" w:lineRule="exact"/>
        <w:jc w:val="center"/>
        <w:rPr>
          <w:rFonts w:ascii="宋体" w:hAnsi="宋体" w:cs="宋体"/>
          <w:b/>
          <w:kern w:val="0"/>
          <w:sz w:val="32"/>
          <w:szCs w:val="32"/>
          <w:highlight w:val="none"/>
        </w:rPr>
      </w:pPr>
      <w:r>
        <w:rPr>
          <w:rFonts w:hint="eastAsia" w:ascii="宋体" w:hAnsi="宋体" w:cs="宋体"/>
          <w:b/>
          <w:kern w:val="0"/>
          <w:sz w:val="32"/>
          <w:szCs w:val="32"/>
          <w:highlight w:val="none"/>
        </w:rPr>
        <w:t>中小企业声明函（货物）</w:t>
      </w:r>
    </w:p>
    <w:p>
      <w:pPr>
        <w:widowControl/>
        <w:snapToGrid w:val="0"/>
        <w:spacing w:before="75" w:after="75" w:line="400" w:lineRule="exact"/>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本公司（联合体）郑重声明，根据关于《政府采购促进中小企业发展管理办法》的通知（财库〔2020〕46号）的规定，本公司（联合体）参加</w:t>
      </w:r>
      <w:r>
        <w:rPr>
          <w:rFonts w:hint="eastAsia" w:ascii="宋体" w:hAnsi="宋体" w:cs="宋体"/>
          <w:kern w:val="0"/>
          <w:sz w:val="24"/>
          <w:szCs w:val="24"/>
          <w:highlight w:val="none"/>
          <w:u w:val="single"/>
        </w:rPr>
        <w:t>（单位名称）</w:t>
      </w:r>
      <w:r>
        <w:rPr>
          <w:rFonts w:hint="eastAsia" w:ascii="宋体" w:hAnsi="宋体" w:cs="宋体"/>
          <w:kern w:val="0"/>
          <w:sz w:val="24"/>
          <w:szCs w:val="24"/>
          <w:highlight w:val="none"/>
        </w:rPr>
        <w:t>的</w:t>
      </w:r>
      <w:r>
        <w:rPr>
          <w:rFonts w:hint="eastAsia" w:ascii="宋体" w:hAnsi="宋体" w:cs="宋体"/>
          <w:kern w:val="0"/>
          <w:sz w:val="24"/>
          <w:szCs w:val="24"/>
          <w:highlight w:val="none"/>
          <w:u w:val="single"/>
        </w:rPr>
        <w:t>（项目名称）</w:t>
      </w:r>
      <w:r>
        <w:rPr>
          <w:rFonts w:hint="eastAsia" w:ascii="宋体" w:hAnsi="宋体" w:cs="宋体"/>
          <w:kern w:val="0"/>
          <w:sz w:val="24"/>
          <w:szCs w:val="24"/>
          <w:highlight w:val="none"/>
        </w:rPr>
        <w:t>采购活动，提供的货物全部由符合政策要求的中小企业制造。相关企业（含联合体中的中小企业、签订分包意向协议的中小企业）的具体情况如下：</w:t>
      </w:r>
    </w:p>
    <w:p>
      <w:pPr>
        <w:widowControl/>
        <w:snapToGrid w:val="0"/>
        <w:spacing w:before="75" w:after="75" w:line="400" w:lineRule="exact"/>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1.</w:t>
      </w:r>
      <w:r>
        <w:rPr>
          <w:rFonts w:hint="eastAsia" w:ascii="宋体" w:hAnsi="宋体" w:cs="宋体"/>
          <w:kern w:val="0"/>
          <w:sz w:val="24"/>
          <w:szCs w:val="24"/>
          <w:highlight w:val="none"/>
          <w:u w:val="single"/>
        </w:rPr>
        <w:t>（标的名称）</w:t>
      </w:r>
      <w:r>
        <w:rPr>
          <w:rFonts w:hint="eastAsia" w:ascii="宋体" w:hAnsi="宋体" w:cs="宋体"/>
          <w:kern w:val="0"/>
          <w:sz w:val="24"/>
          <w:szCs w:val="24"/>
          <w:highlight w:val="none"/>
        </w:rPr>
        <w:t>，属于</w:t>
      </w:r>
      <w:r>
        <w:rPr>
          <w:rFonts w:hint="eastAsia" w:ascii="宋体" w:hAnsi="宋体" w:cs="宋体"/>
          <w:kern w:val="0"/>
          <w:sz w:val="24"/>
          <w:szCs w:val="24"/>
          <w:highlight w:val="none"/>
          <w:u w:val="single"/>
        </w:rPr>
        <w:t>（招标文件中明确的所属行业）</w:t>
      </w:r>
      <w:r>
        <w:rPr>
          <w:rFonts w:hint="eastAsia" w:ascii="宋体" w:hAnsi="宋体" w:cs="宋体"/>
          <w:kern w:val="0"/>
          <w:sz w:val="24"/>
          <w:szCs w:val="24"/>
          <w:highlight w:val="none"/>
        </w:rPr>
        <w:t>；制造商为</w:t>
      </w:r>
      <w:r>
        <w:rPr>
          <w:rFonts w:hint="eastAsia" w:ascii="宋体" w:hAnsi="宋体" w:cs="宋体"/>
          <w:kern w:val="0"/>
          <w:sz w:val="24"/>
          <w:szCs w:val="24"/>
          <w:highlight w:val="none"/>
          <w:u w:val="single"/>
        </w:rPr>
        <w:t>（企业名称）</w:t>
      </w:r>
      <w:r>
        <w:rPr>
          <w:rFonts w:hint="eastAsia" w:ascii="宋体" w:hAnsi="宋体" w:cs="宋体"/>
          <w:kern w:val="0"/>
          <w:sz w:val="24"/>
          <w:szCs w:val="24"/>
          <w:highlight w:val="none"/>
        </w:rPr>
        <w:t>，从业人员人，营业收入为万元，资产总额为万元，属于</w:t>
      </w:r>
      <w:r>
        <w:rPr>
          <w:rFonts w:hint="eastAsia" w:ascii="宋体" w:hAnsi="宋体" w:cs="宋体"/>
          <w:kern w:val="0"/>
          <w:sz w:val="24"/>
          <w:szCs w:val="24"/>
          <w:highlight w:val="none"/>
          <w:u w:val="single"/>
        </w:rPr>
        <w:t>（中型企业、小型企业、微型企业）</w:t>
      </w:r>
      <w:r>
        <w:rPr>
          <w:rFonts w:hint="eastAsia" w:ascii="宋体" w:hAnsi="宋体" w:cs="宋体"/>
          <w:kern w:val="0"/>
          <w:sz w:val="24"/>
          <w:szCs w:val="24"/>
          <w:highlight w:val="none"/>
        </w:rPr>
        <w:t>；</w:t>
      </w:r>
    </w:p>
    <w:p>
      <w:pPr>
        <w:widowControl/>
        <w:snapToGrid w:val="0"/>
        <w:spacing w:before="75" w:after="75" w:line="400" w:lineRule="exact"/>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2.</w:t>
      </w:r>
      <w:r>
        <w:rPr>
          <w:rFonts w:hint="eastAsia" w:ascii="宋体" w:hAnsi="宋体" w:cs="宋体"/>
          <w:kern w:val="0"/>
          <w:sz w:val="24"/>
          <w:szCs w:val="24"/>
          <w:highlight w:val="none"/>
          <w:u w:val="single"/>
        </w:rPr>
        <w:t>（标的名称）</w:t>
      </w:r>
      <w:r>
        <w:rPr>
          <w:rFonts w:hint="eastAsia" w:ascii="宋体" w:hAnsi="宋体" w:cs="宋体"/>
          <w:kern w:val="0"/>
          <w:sz w:val="24"/>
          <w:szCs w:val="24"/>
          <w:highlight w:val="none"/>
        </w:rPr>
        <w:t>，属于</w:t>
      </w:r>
      <w:r>
        <w:rPr>
          <w:rFonts w:hint="eastAsia" w:ascii="宋体" w:hAnsi="宋体" w:cs="宋体"/>
          <w:kern w:val="0"/>
          <w:sz w:val="24"/>
          <w:szCs w:val="24"/>
          <w:highlight w:val="none"/>
          <w:u w:val="single"/>
        </w:rPr>
        <w:t>（招标文件中明确的所属行业）</w:t>
      </w:r>
      <w:r>
        <w:rPr>
          <w:rFonts w:hint="eastAsia" w:ascii="宋体" w:hAnsi="宋体" w:cs="宋体"/>
          <w:kern w:val="0"/>
          <w:sz w:val="24"/>
          <w:szCs w:val="24"/>
          <w:highlight w:val="none"/>
        </w:rPr>
        <w:t>；制造商为</w:t>
      </w:r>
      <w:r>
        <w:rPr>
          <w:rFonts w:hint="eastAsia" w:ascii="宋体" w:hAnsi="宋体" w:cs="宋体"/>
          <w:kern w:val="0"/>
          <w:sz w:val="24"/>
          <w:szCs w:val="24"/>
          <w:highlight w:val="none"/>
          <w:u w:val="single"/>
        </w:rPr>
        <w:t>（企业名称）</w:t>
      </w:r>
      <w:r>
        <w:rPr>
          <w:rFonts w:hint="eastAsia" w:ascii="宋体" w:hAnsi="宋体" w:cs="宋体"/>
          <w:kern w:val="0"/>
          <w:sz w:val="24"/>
          <w:szCs w:val="24"/>
          <w:highlight w:val="none"/>
        </w:rPr>
        <w:t>，从业人员人，营业收入为万元，资产总额为万元，属于</w:t>
      </w:r>
      <w:r>
        <w:rPr>
          <w:rFonts w:hint="eastAsia" w:ascii="宋体" w:hAnsi="宋体" w:cs="宋体"/>
          <w:kern w:val="0"/>
          <w:sz w:val="24"/>
          <w:szCs w:val="24"/>
          <w:highlight w:val="none"/>
          <w:u w:val="single"/>
        </w:rPr>
        <w:t>（中型企业、小型企业、微型企业）</w:t>
      </w:r>
      <w:r>
        <w:rPr>
          <w:rFonts w:hint="eastAsia" w:ascii="宋体" w:hAnsi="宋体" w:cs="宋体"/>
          <w:kern w:val="0"/>
          <w:sz w:val="24"/>
          <w:szCs w:val="24"/>
          <w:highlight w:val="none"/>
        </w:rPr>
        <w:t>；</w:t>
      </w:r>
    </w:p>
    <w:p>
      <w:pPr>
        <w:widowControl/>
        <w:snapToGrid w:val="0"/>
        <w:spacing w:before="75" w:after="75" w:line="400" w:lineRule="exact"/>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w:t>
      </w:r>
    </w:p>
    <w:p>
      <w:pPr>
        <w:widowControl/>
        <w:snapToGrid w:val="0"/>
        <w:spacing w:before="75" w:after="75" w:line="400" w:lineRule="exact"/>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以上企业，不属于大企业的分支机构，不存在控股股东为大企业的情形，也不存在与大企业的负责人为同一人的情形。</w:t>
      </w:r>
    </w:p>
    <w:p>
      <w:pPr>
        <w:widowControl/>
        <w:snapToGrid w:val="0"/>
        <w:spacing w:before="75" w:after="75" w:line="400" w:lineRule="exact"/>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本企业对上述声明内容的真实性负责。如有虚假，将依法承担相应责任。</w:t>
      </w:r>
    </w:p>
    <w:p>
      <w:pPr>
        <w:widowControl/>
        <w:snapToGrid w:val="0"/>
        <w:spacing w:before="75" w:after="75" w:line="400" w:lineRule="exact"/>
        <w:ind w:firstLine="480" w:firstLineChars="200"/>
        <w:rPr>
          <w:rFonts w:ascii="宋体" w:hAnsi="宋体" w:cs="宋体"/>
          <w:kern w:val="0"/>
          <w:sz w:val="24"/>
          <w:szCs w:val="24"/>
          <w:highlight w:val="none"/>
        </w:rPr>
      </w:pPr>
    </w:p>
    <w:p>
      <w:pPr>
        <w:widowControl/>
        <w:snapToGrid w:val="0"/>
        <w:spacing w:before="75" w:after="75" w:line="400" w:lineRule="exact"/>
        <w:ind w:firstLine="480" w:firstLineChars="200"/>
        <w:rPr>
          <w:rFonts w:ascii="宋体" w:hAnsi="宋体" w:cs="宋体"/>
          <w:kern w:val="0"/>
          <w:sz w:val="24"/>
          <w:szCs w:val="24"/>
          <w:highlight w:val="none"/>
        </w:rPr>
      </w:pPr>
    </w:p>
    <w:p>
      <w:pPr>
        <w:widowControl/>
        <w:snapToGrid w:val="0"/>
        <w:spacing w:before="75" w:after="75" w:line="400" w:lineRule="exact"/>
        <w:ind w:firstLine="4677" w:firstLineChars="1949"/>
        <w:rPr>
          <w:rFonts w:ascii="宋体" w:hAnsi="宋体" w:cs="宋体"/>
          <w:kern w:val="0"/>
          <w:sz w:val="24"/>
          <w:szCs w:val="24"/>
          <w:highlight w:val="none"/>
        </w:rPr>
      </w:pPr>
      <w:r>
        <w:rPr>
          <w:rFonts w:hint="eastAsia" w:ascii="宋体" w:hAnsi="宋体" w:cs="宋体"/>
          <w:kern w:val="0"/>
          <w:sz w:val="24"/>
          <w:szCs w:val="24"/>
          <w:highlight w:val="none"/>
        </w:rPr>
        <w:t>企业名称（盖章）：</w:t>
      </w:r>
    </w:p>
    <w:p>
      <w:pPr>
        <w:pStyle w:val="22"/>
        <w:snapToGrid w:val="0"/>
        <w:spacing w:before="156" w:after="156"/>
        <w:ind w:firstLine="4305" w:firstLineChars="2050"/>
        <w:rPr>
          <w:rFonts w:hAnsi="宋体" w:cs="宋体"/>
          <w:highlight w:val="none"/>
        </w:rPr>
      </w:pPr>
      <w:r>
        <w:rPr>
          <w:rFonts w:hint="eastAsia" w:hAnsi="宋体" w:cs="宋体"/>
          <w:kern w:val="0"/>
          <w:highlight w:val="none"/>
        </w:rPr>
        <w:t>日期：</w:t>
      </w:r>
    </w:p>
    <w:p>
      <w:pPr>
        <w:snapToGrid w:val="0"/>
        <w:spacing w:line="400" w:lineRule="exact"/>
        <w:ind w:firstLine="480" w:firstLineChars="200"/>
        <w:rPr>
          <w:rFonts w:ascii="宋体" w:hAnsi="宋体" w:cs="宋体"/>
          <w:sz w:val="24"/>
          <w:highlight w:val="none"/>
        </w:rPr>
      </w:pPr>
    </w:p>
    <w:p>
      <w:pPr>
        <w:snapToGrid w:val="0"/>
        <w:spacing w:line="400" w:lineRule="exact"/>
        <w:ind w:firstLine="480" w:firstLineChars="200"/>
        <w:rPr>
          <w:rFonts w:ascii="宋体" w:hAnsi="宋体" w:cs="宋体"/>
          <w:sz w:val="24"/>
          <w:highlight w:val="none"/>
        </w:rPr>
      </w:pPr>
      <w:r>
        <w:rPr>
          <w:rFonts w:hint="eastAsia" w:ascii="宋体" w:hAnsi="宋体" w:cs="宋体"/>
          <w:sz w:val="24"/>
          <w:highlight w:val="none"/>
        </w:rPr>
        <w:t>中小企业参加政府采购活动，应当出具本办法规定的《中小企业声明函》，须提供制造商属于小微企业的声明函,否则不得享受相关中小企业扶持政策。任何单位和个人不得要求</w:t>
      </w:r>
      <w:r>
        <w:rPr>
          <w:rFonts w:hint="eastAsia" w:ascii="宋体" w:hAnsi="宋体" w:cs="宋体"/>
          <w:sz w:val="24"/>
          <w:highlight w:val="none"/>
          <w:lang w:eastAsia="zh-CN"/>
        </w:rPr>
        <w:t>投标人</w:t>
      </w:r>
      <w:r>
        <w:rPr>
          <w:rFonts w:hint="eastAsia" w:ascii="宋体" w:hAnsi="宋体" w:cs="宋体"/>
          <w:sz w:val="24"/>
          <w:highlight w:val="none"/>
        </w:rPr>
        <w:t>提供《中小企业声明函》之外的中小企业身份证明文件。</w:t>
      </w:r>
    </w:p>
    <w:p>
      <w:pPr>
        <w:tabs>
          <w:tab w:val="left" w:pos="3777"/>
          <w:tab w:val="center" w:pos="4819"/>
        </w:tabs>
        <w:snapToGrid w:val="0"/>
        <w:spacing w:line="400" w:lineRule="exact"/>
        <w:ind w:firstLine="3337" w:firstLineChars="1385"/>
        <w:rPr>
          <w:rFonts w:ascii="宋体" w:hAnsi="宋体" w:cs="宋体"/>
          <w:b/>
          <w:sz w:val="24"/>
          <w:szCs w:val="24"/>
          <w:highlight w:val="none"/>
        </w:rPr>
      </w:pPr>
    </w:p>
    <w:p>
      <w:pPr>
        <w:tabs>
          <w:tab w:val="left" w:pos="3777"/>
          <w:tab w:val="center" w:pos="4819"/>
        </w:tabs>
        <w:snapToGrid w:val="0"/>
        <w:spacing w:line="400" w:lineRule="exact"/>
        <w:ind w:firstLine="3337" w:firstLineChars="1385"/>
        <w:rPr>
          <w:rFonts w:ascii="宋体" w:hAnsi="宋体" w:cs="宋体"/>
          <w:b/>
          <w:sz w:val="24"/>
          <w:szCs w:val="24"/>
          <w:highlight w:val="none"/>
        </w:rPr>
      </w:pPr>
    </w:p>
    <w:p>
      <w:pPr>
        <w:tabs>
          <w:tab w:val="left" w:pos="3777"/>
          <w:tab w:val="center" w:pos="4819"/>
        </w:tabs>
        <w:snapToGrid w:val="0"/>
        <w:spacing w:line="400" w:lineRule="exact"/>
        <w:ind w:firstLine="3337" w:firstLineChars="1385"/>
        <w:rPr>
          <w:rFonts w:ascii="宋体" w:hAnsi="宋体" w:cs="宋体"/>
          <w:b/>
          <w:sz w:val="24"/>
          <w:szCs w:val="24"/>
          <w:highlight w:val="none"/>
        </w:rPr>
      </w:pPr>
    </w:p>
    <w:p>
      <w:pPr>
        <w:tabs>
          <w:tab w:val="left" w:pos="3777"/>
          <w:tab w:val="center" w:pos="4819"/>
        </w:tabs>
        <w:snapToGrid w:val="0"/>
        <w:spacing w:line="400" w:lineRule="exact"/>
        <w:ind w:firstLine="3337" w:firstLineChars="1385"/>
        <w:rPr>
          <w:rFonts w:ascii="宋体" w:hAnsi="宋体" w:cs="宋体"/>
          <w:b/>
          <w:sz w:val="24"/>
          <w:szCs w:val="24"/>
          <w:highlight w:val="none"/>
        </w:rPr>
      </w:pPr>
    </w:p>
    <w:p>
      <w:pPr>
        <w:tabs>
          <w:tab w:val="left" w:pos="3777"/>
          <w:tab w:val="center" w:pos="4819"/>
        </w:tabs>
        <w:snapToGrid w:val="0"/>
        <w:spacing w:line="400" w:lineRule="exact"/>
        <w:ind w:firstLine="3337" w:firstLineChars="1385"/>
        <w:rPr>
          <w:rFonts w:ascii="宋体" w:hAnsi="宋体" w:cs="宋体"/>
          <w:b/>
          <w:sz w:val="24"/>
          <w:szCs w:val="24"/>
          <w:highlight w:val="none"/>
        </w:rPr>
      </w:pPr>
    </w:p>
    <w:p>
      <w:pPr>
        <w:rPr>
          <w:rFonts w:ascii="宋体" w:hAnsi="宋体" w:cs="宋体"/>
          <w:b/>
          <w:sz w:val="24"/>
          <w:szCs w:val="24"/>
          <w:highlight w:val="none"/>
        </w:rPr>
      </w:pPr>
    </w:p>
    <w:p>
      <w:pPr>
        <w:tabs>
          <w:tab w:val="left" w:pos="3777"/>
          <w:tab w:val="center" w:pos="4819"/>
        </w:tabs>
        <w:snapToGrid w:val="0"/>
        <w:spacing w:line="400" w:lineRule="exact"/>
        <w:jc w:val="center"/>
        <w:rPr>
          <w:rFonts w:ascii="宋体" w:hAnsi="宋体" w:cs="宋体"/>
          <w:b/>
          <w:sz w:val="24"/>
          <w:szCs w:val="24"/>
          <w:highlight w:val="none"/>
        </w:rPr>
      </w:pPr>
      <w:r>
        <w:rPr>
          <w:rFonts w:hint="eastAsia" w:ascii="宋体" w:hAnsi="宋体" w:cs="宋体"/>
          <w:b/>
          <w:sz w:val="24"/>
          <w:szCs w:val="24"/>
          <w:highlight w:val="none"/>
        </w:rPr>
        <w:t>监狱企业声明函</w:t>
      </w:r>
    </w:p>
    <w:p>
      <w:pPr>
        <w:snapToGrid w:val="0"/>
        <w:spacing w:line="400" w:lineRule="exact"/>
        <w:jc w:val="center"/>
        <w:rPr>
          <w:rFonts w:ascii="宋体" w:hAnsi="宋体" w:cs="宋体"/>
          <w:sz w:val="24"/>
          <w:highlight w:val="none"/>
        </w:rPr>
      </w:pPr>
      <w:r>
        <w:rPr>
          <w:rFonts w:hint="eastAsia" w:ascii="宋体" w:hAnsi="宋体" w:cs="宋体"/>
          <w:sz w:val="24"/>
          <w:highlight w:val="none"/>
        </w:rPr>
        <w:t>（监狱企业适用）</w:t>
      </w:r>
    </w:p>
    <w:p>
      <w:pPr>
        <w:snapToGrid w:val="0"/>
        <w:spacing w:line="400" w:lineRule="exact"/>
        <w:ind w:firstLine="540" w:firstLineChars="225"/>
        <w:rPr>
          <w:rFonts w:ascii="宋体" w:hAnsi="宋体" w:cs="宋体"/>
          <w:sz w:val="24"/>
          <w:highlight w:val="none"/>
        </w:rPr>
      </w:pPr>
      <w:r>
        <w:rPr>
          <w:rFonts w:hint="eastAsia" w:ascii="宋体" w:hAnsi="宋体" w:cs="宋体"/>
          <w:sz w:val="24"/>
          <w:highlight w:val="none"/>
        </w:rPr>
        <w:t>本公司郑重声明，根据《财政部、司法部关于政府采购支持监狱企业发展有关问题的通知》（财库[2014]68号）的规定，本公司为监狱企业。</w:t>
      </w:r>
    </w:p>
    <w:p>
      <w:pPr>
        <w:snapToGrid w:val="0"/>
        <w:spacing w:line="400" w:lineRule="exact"/>
        <w:ind w:firstLine="540" w:firstLineChars="225"/>
        <w:rPr>
          <w:rFonts w:ascii="宋体" w:hAnsi="宋体" w:cs="宋体"/>
          <w:sz w:val="24"/>
          <w:highlight w:val="none"/>
        </w:rPr>
      </w:pPr>
      <w:r>
        <w:rPr>
          <w:rFonts w:hint="eastAsia" w:ascii="宋体" w:hAnsi="宋体" w:cs="宋体"/>
          <w:sz w:val="24"/>
          <w:highlight w:val="none"/>
        </w:rPr>
        <w:t>本公司参加______单位的______项目采购活动，采购活动提供本企业（填写制造的货物，由本企业承担工程、提供服务）。</w:t>
      </w:r>
    </w:p>
    <w:p>
      <w:pPr>
        <w:snapToGrid w:val="0"/>
        <w:spacing w:line="400" w:lineRule="exact"/>
        <w:ind w:firstLine="540" w:firstLineChars="225"/>
        <w:rPr>
          <w:rFonts w:ascii="宋体" w:hAnsi="宋体" w:cs="宋体"/>
          <w:sz w:val="24"/>
          <w:highlight w:val="none"/>
        </w:rPr>
      </w:pPr>
      <w:r>
        <w:rPr>
          <w:rFonts w:hint="eastAsia" w:ascii="宋体" w:hAnsi="宋体" w:cs="宋体"/>
          <w:sz w:val="24"/>
          <w:highlight w:val="none"/>
        </w:rPr>
        <w:t>本条所称货物不包括使用大型企业注册商标的货物和服务。</w:t>
      </w:r>
    </w:p>
    <w:p>
      <w:pPr>
        <w:snapToGrid w:val="0"/>
        <w:spacing w:line="400" w:lineRule="exact"/>
        <w:ind w:firstLine="540" w:firstLineChars="225"/>
        <w:rPr>
          <w:rFonts w:ascii="宋体" w:hAnsi="宋体" w:cs="宋体"/>
          <w:sz w:val="24"/>
          <w:highlight w:val="none"/>
        </w:rPr>
      </w:pPr>
      <w:r>
        <w:rPr>
          <w:rFonts w:hint="eastAsia" w:ascii="宋体" w:hAnsi="宋体" w:cs="宋体"/>
          <w:sz w:val="24"/>
          <w:highlight w:val="none"/>
        </w:rPr>
        <w:t>本公司对上述声明的真实性负责。如有虚假，将依法承担相应责任。</w:t>
      </w:r>
    </w:p>
    <w:p>
      <w:pPr>
        <w:snapToGrid w:val="0"/>
        <w:spacing w:line="400" w:lineRule="exact"/>
        <w:ind w:firstLine="4860" w:firstLineChars="2025"/>
        <w:rPr>
          <w:rFonts w:ascii="宋体" w:hAnsi="宋体" w:cs="宋体"/>
          <w:sz w:val="24"/>
          <w:highlight w:val="none"/>
        </w:rPr>
      </w:pPr>
    </w:p>
    <w:p>
      <w:pPr>
        <w:pStyle w:val="22"/>
        <w:snapToGrid w:val="0"/>
        <w:spacing w:before="156" w:after="156"/>
        <w:ind w:firstLine="480" w:firstLineChars="200"/>
        <w:rPr>
          <w:rFonts w:hAnsi="宋体" w:cs="宋体"/>
          <w:sz w:val="24"/>
          <w:szCs w:val="24"/>
          <w:highlight w:val="none"/>
        </w:rPr>
      </w:pPr>
      <w:r>
        <w:rPr>
          <w:rFonts w:hint="eastAsia" w:hAnsi="宋体" w:cs="宋体"/>
          <w:sz w:val="24"/>
          <w:szCs w:val="24"/>
          <w:highlight w:val="none"/>
          <w:lang w:eastAsia="zh-CN"/>
        </w:rPr>
        <w:t>投标人</w:t>
      </w:r>
      <w:r>
        <w:rPr>
          <w:rFonts w:hint="eastAsia" w:hAnsi="宋体" w:cs="宋体"/>
          <w:sz w:val="24"/>
          <w:szCs w:val="24"/>
          <w:highlight w:val="none"/>
        </w:rPr>
        <w:t>名称(公章)：____________</w:t>
      </w:r>
      <w:r>
        <w:rPr>
          <w:rFonts w:hint="eastAsia" w:hAnsi="宋体" w:cs="宋体"/>
          <w:sz w:val="24"/>
          <w:szCs w:val="24"/>
          <w:highlight w:val="none"/>
        </w:rPr>
        <w:tab/>
      </w:r>
      <w:r>
        <w:rPr>
          <w:rFonts w:hint="eastAsia" w:hAnsi="宋体" w:cs="宋体"/>
          <w:sz w:val="24"/>
          <w:szCs w:val="24"/>
          <w:highlight w:val="none"/>
        </w:rPr>
        <w:tab/>
      </w:r>
    </w:p>
    <w:p>
      <w:pPr>
        <w:pStyle w:val="22"/>
        <w:snapToGrid w:val="0"/>
        <w:spacing w:before="156" w:after="156"/>
        <w:ind w:firstLine="480" w:firstLineChars="200"/>
        <w:rPr>
          <w:rFonts w:hAnsi="宋体" w:cs="宋体"/>
          <w:b/>
          <w:sz w:val="24"/>
          <w:szCs w:val="24"/>
          <w:highlight w:val="none"/>
          <w:lang w:val="zh-CN"/>
        </w:rPr>
      </w:pPr>
      <w:r>
        <w:rPr>
          <w:rFonts w:hint="eastAsia" w:hAnsi="宋体" w:cs="宋体"/>
          <w:sz w:val="24"/>
          <w:szCs w:val="24"/>
          <w:highlight w:val="none"/>
        </w:rPr>
        <w:t>日期：________________________</w:t>
      </w:r>
    </w:p>
    <w:p>
      <w:pPr>
        <w:pStyle w:val="22"/>
        <w:snapToGrid w:val="0"/>
        <w:spacing w:before="156" w:after="156"/>
        <w:ind w:firstLine="562" w:firstLineChars="200"/>
        <w:jc w:val="left"/>
        <w:rPr>
          <w:rFonts w:hAnsi="宋体" w:cs="宋体"/>
          <w:b/>
          <w:sz w:val="28"/>
          <w:szCs w:val="28"/>
          <w:highlight w:val="none"/>
          <w:lang w:val="zh-CN"/>
        </w:rPr>
      </w:pPr>
    </w:p>
    <w:p>
      <w:pPr>
        <w:pStyle w:val="22"/>
        <w:snapToGrid w:val="0"/>
        <w:spacing w:before="156" w:after="156"/>
        <w:ind w:firstLine="422" w:firstLineChars="200"/>
        <w:jc w:val="left"/>
        <w:rPr>
          <w:rFonts w:hAnsi="宋体" w:cs="宋体"/>
          <w:b/>
          <w:highlight w:val="none"/>
          <w:lang w:val="zh-CN"/>
        </w:rPr>
      </w:pPr>
      <w:r>
        <w:rPr>
          <w:rFonts w:hint="eastAsia" w:hAnsi="宋体" w:cs="宋体"/>
          <w:b/>
          <w:highlight w:val="none"/>
          <w:lang w:val="zh-CN"/>
        </w:rPr>
        <w:t>注：应当提供由省级以上监狱管理局、戒毒管理局（含新疆生产建设兵团）出具的属于监狱企业的证明文件。</w:t>
      </w:r>
    </w:p>
    <w:p>
      <w:pPr>
        <w:pStyle w:val="22"/>
        <w:snapToGrid w:val="0"/>
        <w:spacing w:before="156" w:after="156"/>
        <w:ind w:firstLine="422" w:firstLineChars="200"/>
        <w:jc w:val="center"/>
        <w:rPr>
          <w:rFonts w:hAnsi="宋体" w:cs="宋体"/>
          <w:b/>
          <w:highlight w:val="none"/>
          <w:lang w:val="zh-CN"/>
        </w:rPr>
      </w:pPr>
    </w:p>
    <w:p>
      <w:pPr>
        <w:pStyle w:val="22"/>
        <w:snapToGrid w:val="0"/>
        <w:spacing w:before="156" w:after="156"/>
        <w:ind w:firstLine="562" w:firstLineChars="200"/>
        <w:jc w:val="center"/>
        <w:rPr>
          <w:rFonts w:hAnsi="宋体" w:cs="宋体"/>
          <w:b/>
          <w:sz w:val="28"/>
          <w:szCs w:val="28"/>
          <w:highlight w:val="none"/>
          <w:lang w:val="zh-CN"/>
        </w:rPr>
      </w:pPr>
    </w:p>
    <w:p>
      <w:pPr>
        <w:pStyle w:val="22"/>
        <w:snapToGrid w:val="0"/>
        <w:spacing w:before="156" w:after="156"/>
        <w:ind w:firstLine="562" w:firstLineChars="200"/>
        <w:jc w:val="center"/>
        <w:rPr>
          <w:rFonts w:hAnsi="宋体" w:cs="宋体"/>
          <w:b/>
          <w:sz w:val="28"/>
          <w:szCs w:val="28"/>
          <w:highlight w:val="none"/>
          <w:lang w:val="zh-CN"/>
        </w:rPr>
      </w:pPr>
    </w:p>
    <w:p>
      <w:pPr>
        <w:pStyle w:val="22"/>
        <w:snapToGrid w:val="0"/>
        <w:spacing w:before="156" w:after="156"/>
        <w:ind w:firstLine="562" w:firstLineChars="200"/>
        <w:jc w:val="center"/>
        <w:rPr>
          <w:rFonts w:hAnsi="宋体" w:cs="宋体"/>
          <w:b/>
          <w:sz w:val="28"/>
          <w:szCs w:val="28"/>
          <w:highlight w:val="none"/>
          <w:lang w:val="zh-CN"/>
        </w:rPr>
      </w:pPr>
    </w:p>
    <w:p>
      <w:pPr>
        <w:pStyle w:val="22"/>
        <w:snapToGrid w:val="0"/>
        <w:spacing w:before="156" w:after="156"/>
        <w:ind w:firstLine="562" w:firstLineChars="200"/>
        <w:jc w:val="center"/>
        <w:rPr>
          <w:rFonts w:hAnsi="宋体" w:cs="宋体"/>
          <w:b/>
          <w:sz w:val="28"/>
          <w:szCs w:val="28"/>
          <w:highlight w:val="none"/>
          <w:lang w:val="zh-CN"/>
        </w:rPr>
      </w:pPr>
    </w:p>
    <w:p>
      <w:pPr>
        <w:pStyle w:val="22"/>
        <w:snapToGrid w:val="0"/>
        <w:spacing w:before="156" w:after="156"/>
        <w:ind w:firstLine="562" w:firstLineChars="200"/>
        <w:jc w:val="center"/>
        <w:rPr>
          <w:rFonts w:hAnsi="宋体" w:cs="宋体"/>
          <w:b/>
          <w:sz w:val="28"/>
          <w:szCs w:val="28"/>
          <w:highlight w:val="none"/>
          <w:lang w:val="zh-CN"/>
        </w:rPr>
      </w:pPr>
    </w:p>
    <w:p>
      <w:pPr>
        <w:pStyle w:val="22"/>
        <w:snapToGrid w:val="0"/>
        <w:spacing w:before="156" w:after="156"/>
        <w:ind w:firstLine="562" w:firstLineChars="200"/>
        <w:jc w:val="center"/>
        <w:rPr>
          <w:rFonts w:hAnsi="宋体" w:cs="宋体"/>
          <w:b/>
          <w:sz w:val="28"/>
          <w:szCs w:val="28"/>
          <w:highlight w:val="none"/>
          <w:lang w:val="zh-CN"/>
        </w:rPr>
      </w:pPr>
    </w:p>
    <w:p>
      <w:pPr>
        <w:pStyle w:val="22"/>
        <w:snapToGrid w:val="0"/>
        <w:spacing w:before="156" w:after="156"/>
        <w:ind w:firstLine="562" w:firstLineChars="200"/>
        <w:jc w:val="center"/>
        <w:rPr>
          <w:rFonts w:hAnsi="宋体" w:cs="宋体"/>
          <w:b/>
          <w:sz w:val="28"/>
          <w:szCs w:val="28"/>
          <w:highlight w:val="none"/>
          <w:lang w:val="zh-CN"/>
        </w:rPr>
      </w:pPr>
    </w:p>
    <w:p>
      <w:pPr>
        <w:pStyle w:val="22"/>
        <w:snapToGrid w:val="0"/>
        <w:spacing w:before="156" w:after="156"/>
        <w:ind w:firstLine="562" w:firstLineChars="200"/>
        <w:jc w:val="center"/>
        <w:rPr>
          <w:rFonts w:hAnsi="宋体" w:cs="宋体"/>
          <w:b/>
          <w:sz w:val="28"/>
          <w:szCs w:val="28"/>
          <w:highlight w:val="none"/>
          <w:lang w:val="zh-CN"/>
        </w:rPr>
      </w:pPr>
    </w:p>
    <w:p>
      <w:pPr>
        <w:pStyle w:val="22"/>
        <w:snapToGrid w:val="0"/>
        <w:spacing w:before="156" w:after="156"/>
        <w:ind w:firstLine="562" w:firstLineChars="200"/>
        <w:jc w:val="center"/>
        <w:rPr>
          <w:rFonts w:hAnsi="宋体" w:cs="宋体"/>
          <w:b/>
          <w:sz w:val="28"/>
          <w:szCs w:val="28"/>
          <w:highlight w:val="none"/>
          <w:lang w:val="zh-CN"/>
        </w:rPr>
      </w:pPr>
    </w:p>
    <w:p>
      <w:pPr>
        <w:pStyle w:val="22"/>
        <w:snapToGrid w:val="0"/>
        <w:spacing w:before="156" w:after="156"/>
        <w:ind w:firstLine="562" w:firstLineChars="200"/>
        <w:jc w:val="left"/>
        <w:rPr>
          <w:rFonts w:hAnsi="宋体" w:cs="宋体"/>
          <w:b/>
          <w:sz w:val="28"/>
          <w:szCs w:val="28"/>
          <w:highlight w:val="none"/>
          <w:lang w:val="zh-CN"/>
        </w:rPr>
      </w:pPr>
    </w:p>
    <w:p>
      <w:pPr>
        <w:widowControl/>
        <w:snapToGrid w:val="0"/>
        <w:spacing w:line="400" w:lineRule="exact"/>
        <w:jc w:val="center"/>
        <w:rPr>
          <w:rFonts w:ascii="宋体" w:hAnsi="宋体" w:cs="宋体"/>
          <w:b/>
          <w:spacing w:val="6"/>
          <w:sz w:val="32"/>
          <w:szCs w:val="32"/>
          <w:highlight w:val="none"/>
        </w:rPr>
      </w:pPr>
      <w:r>
        <w:rPr>
          <w:rFonts w:hint="eastAsia" w:ascii="宋体" w:hAnsi="宋体" w:cs="宋体"/>
          <w:b/>
          <w:sz w:val="24"/>
          <w:szCs w:val="24"/>
          <w:highlight w:val="none"/>
        </w:rPr>
        <w:br w:type="page"/>
      </w:r>
      <w:r>
        <w:rPr>
          <w:rFonts w:hint="eastAsia" w:ascii="宋体" w:hAnsi="宋体" w:cs="宋体"/>
          <w:b/>
          <w:sz w:val="24"/>
          <w:szCs w:val="24"/>
          <w:highlight w:val="none"/>
        </w:rPr>
        <w:t>残疾人</w:t>
      </w:r>
      <w:bookmarkStart w:id="114" w:name="OLE_LINK13"/>
      <w:bookmarkStart w:id="115" w:name="OLE_LINK14"/>
      <w:r>
        <w:rPr>
          <w:rFonts w:hint="eastAsia" w:ascii="宋体" w:hAnsi="宋体" w:cs="宋体"/>
          <w:b/>
          <w:sz w:val="24"/>
          <w:szCs w:val="24"/>
          <w:highlight w:val="none"/>
        </w:rPr>
        <w:t>福利性单位声明函</w:t>
      </w:r>
    </w:p>
    <w:p>
      <w:pPr>
        <w:snapToGrid w:val="0"/>
        <w:spacing w:line="400" w:lineRule="exact"/>
        <w:ind w:firstLine="504" w:firstLineChars="200"/>
        <w:jc w:val="center"/>
        <w:rPr>
          <w:rFonts w:ascii="宋体" w:hAnsi="宋体" w:cs="宋体"/>
          <w:spacing w:val="6"/>
          <w:sz w:val="24"/>
          <w:szCs w:val="24"/>
          <w:highlight w:val="none"/>
        </w:rPr>
      </w:pPr>
      <w:r>
        <w:rPr>
          <w:rFonts w:hint="eastAsia" w:ascii="宋体" w:hAnsi="宋体" w:cs="宋体"/>
          <w:spacing w:val="6"/>
          <w:sz w:val="24"/>
          <w:szCs w:val="24"/>
          <w:highlight w:val="none"/>
        </w:rPr>
        <w:t>（</w:t>
      </w:r>
      <w:r>
        <w:rPr>
          <w:rFonts w:hint="eastAsia" w:ascii="宋体" w:hAnsi="宋体" w:cs="宋体"/>
          <w:sz w:val="24"/>
          <w:highlight w:val="none"/>
        </w:rPr>
        <w:t>残疾人福</w:t>
      </w:r>
      <w:bookmarkEnd w:id="114"/>
      <w:bookmarkEnd w:id="115"/>
      <w:r>
        <w:rPr>
          <w:rFonts w:hint="eastAsia" w:ascii="宋体" w:hAnsi="宋体" w:cs="宋体"/>
          <w:sz w:val="24"/>
          <w:highlight w:val="none"/>
        </w:rPr>
        <w:t>利性单位适用</w:t>
      </w:r>
      <w:r>
        <w:rPr>
          <w:rFonts w:hint="eastAsia" w:ascii="宋体" w:hAnsi="宋体" w:cs="宋体"/>
          <w:spacing w:val="6"/>
          <w:sz w:val="24"/>
          <w:szCs w:val="24"/>
          <w:highlight w:val="none"/>
        </w:rPr>
        <w:t>）</w:t>
      </w:r>
    </w:p>
    <w:p>
      <w:pPr>
        <w:snapToGrid w:val="0"/>
        <w:spacing w:line="400" w:lineRule="exact"/>
        <w:ind w:firstLine="504" w:firstLineChars="200"/>
        <w:rPr>
          <w:rFonts w:ascii="宋体" w:hAnsi="宋体" w:cs="宋体"/>
          <w:spacing w:val="6"/>
          <w:sz w:val="24"/>
          <w:szCs w:val="24"/>
          <w:highlight w:val="none"/>
        </w:rPr>
      </w:pPr>
      <w:r>
        <w:rPr>
          <w:rFonts w:hint="eastAsia" w:ascii="宋体" w:hAnsi="宋体" w:cs="宋体"/>
          <w:spacing w:val="6"/>
          <w:sz w:val="24"/>
          <w:szCs w:val="24"/>
          <w:highlight w:val="none"/>
        </w:rPr>
        <w:t>本单位郑重声明，根据《关于促进残疾人就业政府采购政策的通知》（财库</w:t>
      </w:r>
      <w:r>
        <w:rPr>
          <w:rFonts w:hint="eastAsia" w:ascii="宋体" w:hAnsi="宋体" w:cs="宋体"/>
          <w:sz w:val="24"/>
          <w:szCs w:val="24"/>
          <w:highlight w:val="none"/>
        </w:rPr>
        <w:t>〔2017〕 141</w:t>
      </w:r>
      <w:r>
        <w:rPr>
          <w:rFonts w:hint="eastAsia" w:ascii="宋体" w:hAnsi="宋体" w:cs="宋体"/>
          <w:spacing w:val="6"/>
          <w:sz w:val="24"/>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pStyle w:val="22"/>
        <w:snapToGrid w:val="0"/>
        <w:spacing w:before="156" w:after="156"/>
        <w:ind w:firstLine="504" w:firstLineChars="200"/>
        <w:jc w:val="center"/>
        <w:rPr>
          <w:rFonts w:hAnsi="宋体" w:cs="宋体"/>
          <w:spacing w:val="6"/>
          <w:sz w:val="24"/>
          <w:szCs w:val="24"/>
          <w:highlight w:val="none"/>
        </w:rPr>
      </w:pPr>
      <w:r>
        <w:rPr>
          <w:rFonts w:hint="eastAsia" w:hAnsi="宋体" w:cs="宋体"/>
          <w:spacing w:val="6"/>
          <w:sz w:val="24"/>
          <w:szCs w:val="24"/>
          <w:highlight w:val="none"/>
        </w:rPr>
        <w:t>本单位对上述声明的真实性负责。如有虚假，将依法承担相应责任。</w:t>
      </w:r>
    </w:p>
    <w:p>
      <w:pPr>
        <w:pStyle w:val="22"/>
        <w:snapToGrid w:val="0"/>
        <w:spacing w:before="156" w:after="156"/>
        <w:ind w:firstLine="444" w:firstLineChars="200"/>
        <w:jc w:val="center"/>
        <w:rPr>
          <w:rFonts w:hAnsi="宋体" w:cs="宋体"/>
          <w:spacing w:val="6"/>
          <w:highlight w:val="none"/>
        </w:rPr>
      </w:pPr>
    </w:p>
    <w:p>
      <w:pPr>
        <w:pStyle w:val="22"/>
        <w:snapToGrid w:val="0"/>
        <w:spacing w:before="156" w:after="156"/>
        <w:ind w:firstLine="480" w:firstLineChars="200"/>
        <w:rPr>
          <w:rFonts w:hAnsi="宋体" w:cs="宋体"/>
          <w:sz w:val="24"/>
          <w:szCs w:val="24"/>
          <w:highlight w:val="none"/>
        </w:rPr>
      </w:pPr>
      <w:r>
        <w:rPr>
          <w:rFonts w:hint="eastAsia" w:hAnsi="宋体" w:cs="宋体"/>
          <w:sz w:val="24"/>
          <w:szCs w:val="24"/>
          <w:highlight w:val="none"/>
          <w:lang w:eastAsia="zh-CN"/>
        </w:rPr>
        <w:t>投标人</w:t>
      </w:r>
      <w:r>
        <w:rPr>
          <w:rFonts w:hint="eastAsia" w:hAnsi="宋体" w:cs="宋体"/>
          <w:sz w:val="24"/>
          <w:szCs w:val="24"/>
          <w:highlight w:val="none"/>
        </w:rPr>
        <w:t>名称(公章)：____________</w:t>
      </w:r>
      <w:r>
        <w:rPr>
          <w:rFonts w:hint="eastAsia" w:hAnsi="宋体" w:cs="宋体"/>
          <w:sz w:val="24"/>
          <w:szCs w:val="24"/>
          <w:highlight w:val="none"/>
        </w:rPr>
        <w:tab/>
      </w:r>
      <w:r>
        <w:rPr>
          <w:rFonts w:hint="eastAsia" w:hAnsi="宋体" w:cs="宋体"/>
          <w:sz w:val="24"/>
          <w:szCs w:val="24"/>
          <w:highlight w:val="none"/>
        </w:rPr>
        <w:tab/>
      </w:r>
    </w:p>
    <w:p>
      <w:pPr>
        <w:pStyle w:val="22"/>
        <w:snapToGrid w:val="0"/>
        <w:spacing w:before="156" w:after="156"/>
        <w:ind w:firstLine="480" w:firstLineChars="200"/>
        <w:rPr>
          <w:rFonts w:hAnsi="宋体" w:cs="宋体"/>
          <w:sz w:val="24"/>
          <w:szCs w:val="24"/>
          <w:highlight w:val="none"/>
        </w:rPr>
      </w:pPr>
      <w:r>
        <w:rPr>
          <w:rFonts w:hint="eastAsia" w:hAnsi="宋体" w:cs="宋体"/>
          <w:sz w:val="24"/>
          <w:szCs w:val="24"/>
          <w:highlight w:val="none"/>
        </w:rPr>
        <w:t>日期：________________________</w:t>
      </w:r>
    </w:p>
    <w:p>
      <w:pPr>
        <w:pStyle w:val="198"/>
        <w:snapToGrid w:val="0"/>
        <w:spacing w:line="400" w:lineRule="exact"/>
        <w:ind w:right="17"/>
        <w:jc w:val="right"/>
        <w:rPr>
          <w:rFonts w:ascii="宋体" w:hAnsi="宋体" w:cs="宋体"/>
          <w:sz w:val="24"/>
          <w:highlight w:val="none"/>
        </w:rPr>
      </w:pPr>
      <w:r>
        <w:rPr>
          <w:rFonts w:hint="eastAsia" w:hAnsi="宋体" w:cs="宋体"/>
          <w:highlight w:val="none"/>
        </w:rPr>
        <w:br w:type="page"/>
      </w:r>
    </w:p>
    <w:p>
      <w:pPr>
        <w:adjustRightInd w:val="0"/>
        <w:snapToGrid w:val="0"/>
        <w:spacing w:line="400" w:lineRule="exact"/>
        <w:jc w:val="left"/>
        <w:rPr>
          <w:rFonts w:ascii="宋体" w:hAnsi="宋体" w:cs="宋体"/>
          <w:b/>
          <w:sz w:val="24"/>
          <w:szCs w:val="24"/>
          <w:highlight w:val="none"/>
        </w:rPr>
      </w:pPr>
      <w:r>
        <w:rPr>
          <w:rFonts w:hint="eastAsia" w:ascii="宋体" w:hAnsi="宋体" w:cs="宋体"/>
          <w:b/>
          <w:sz w:val="24"/>
          <w:szCs w:val="24"/>
          <w:highlight w:val="none"/>
        </w:rPr>
        <w:t>13、其他证明文件或</w:t>
      </w:r>
      <w:r>
        <w:rPr>
          <w:rFonts w:hint="eastAsia" w:ascii="宋体" w:hAnsi="宋体" w:cs="宋体"/>
          <w:b/>
          <w:sz w:val="24"/>
          <w:szCs w:val="24"/>
          <w:highlight w:val="none"/>
          <w:lang w:eastAsia="zh-CN"/>
        </w:rPr>
        <w:t>投标人</w:t>
      </w:r>
      <w:r>
        <w:rPr>
          <w:rFonts w:hint="eastAsia" w:ascii="宋体" w:hAnsi="宋体" w:cs="宋体"/>
          <w:b/>
          <w:sz w:val="24"/>
          <w:szCs w:val="24"/>
          <w:highlight w:val="none"/>
        </w:rPr>
        <w:t>认为应提交的商务文件</w:t>
      </w:r>
    </w:p>
    <w:p>
      <w:pPr>
        <w:adjustRightInd w:val="0"/>
        <w:snapToGrid w:val="0"/>
        <w:spacing w:line="400" w:lineRule="exact"/>
        <w:rPr>
          <w:rFonts w:ascii="宋体" w:hAnsi="宋体" w:cs="宋体"/>
          <w:sz w:val="24"/>
          <w:szCs w:val="24"/>
          <w:highlight w:val="none"/>
        </w:rPr>
      </w:pPr>
      <w:r>
        <w:rPr>
          <w:rFonts w:hint="eastAsia" w:ascii="宋体" w:hAnsi="宋体" w:cs="宋体"/>
          <w:sz w:val="24"/>
          <w:szCs w:val="24"/>
          <w:highlight w:val="none"/>
        </w:rPr>
        <w:t>（1）其他生产经营该产品所必需的证明文件、制造商授权书等（如有）；</w:t>
      </w:r>
    </w:p>
    <w:p>
      <w:pPr>
        <w:adjustRightInd w:val="0"/>
        <w:snapToGrid w:val="0"/>
        <w:spacing w:line="400" w:lineRule="exact"/>
        <w:rPr>
          <w:rFonts w:ascii="宋体" w:hAnsi="宋体" w:cs="宋体"/>
          <w:sz w:val="24"/>
          <w:szCs w:val="24"/>
          <w:highlight w:val="none"/>
        </w:rPr>
      </w:pPr>
      <w:r>
        <w:rPr>
          <w:rFonts w:hint="eastAsia" w:ascii="宋体" w:hAnsi="宋体" w:cs="宋体"/>
          <w:sz w:val="24"/>
          <w:szCs w:val="24"/>
          <w:highlight w:val="none"/>
        </w:rPr>
        <w:t>（2）其他</w:t>
      </w:r>
    </w:p>
    <w:p>
      <w:pPr>
        <w:widowControl/>
        <w:snapToGrid w:val="0"/>
        <w:spacing w:line="400" w:lineRule="exact"/>
        <w:jc w:val="left"/>
        <w:rPr>
          <w:rFonts w:ascii="宋体" w:hAnsi="宋体" w:cs="宋体"/>
          <w:b/>
          <w:bCs/>
          <w:sz w:val="24"/>
          <w:szCs w:val="24"/>
          <w:highlight w:val="none"/>
        </w:rPr>
      </w:pPr>
    </w:p>
    <w:p>
      <w:pPr>
        <w:snapToGrid w:val="0"/>
        <w:spacing w:line="400" w:lineRule="exact"/>
        <w:rPr>
          <w:rFonts w:ascii="宋体" w:hAnsi="宋体" w:cs="宋体"/>
          <w:sz w:val="24"/>
          <w:szCs w:val="24"/>
          <w:highlight w:val="none"/>
        </w:rPr>
      </w:pPr>
      <w:r>
        <w:rPr>
          <w:rFonts w:hint="eastAsia" w:ascii="宋体" w:hAnsi="宋体" w:cs="宋体"/>
          <w:b/>
          <w:sz w:val="24"/>
          <w:szCs w:val="24"/>
          <w:highlight w:val="none"/>
        </w:rPr>
        <w:t>14、技术偏离表格式：</w:t>
      </w:r>
    </w:p>
    <w:p>
      <w:pPr>
        <w:adjustRightInd w:val="0"/>
        <w:snapToGrid w:val="0"/>
        <w:spacing w:line="400" w:lineRule="exact"/>
        <w:jc w:val="center"/>
        <w:rPr>
          <w:rFonts w:ascii="宋体" w:hAnsi="宋体" w:cs="宋体"/>
          <w:sz w:val="24"/>
          <w:szCs w:val="24"/>
          <w:highlight w:val="none"/>
        </w:rPr>
      </w:pPr>
      <w:r>
        <w:rPr>
          <w:rFonts w:hint="eastAsia" w:ascii="宋体" w:hAnsi="宋体" w:cs="宋体"/>
          <w:b/>
          <w:bCs/>
          <w:sz w:val="24"/>
          <w:szCs w:val="24"/>
          <w:highlight w:val="none"/>
        </w:rPr>
        <w:t>技术偏离表</w:t>
      </w:r>
    </w:p>
    <w:p>
      <w:pPr>
        <w:adjustRightInd w:val="0"/>
        <w:snapToGrid w:val="0"/>
        <w:spacing w:line="400" w:lineRule="exact"/>
        <w:jc w:val="left"/>
        <w:rPr>
          <w:rFonts w:ascii="宋体" w:hAnsi="宋体" w:cs="宋体"/>
          <w:b/>
          <w:sz w:val="24"/>
          <w:szCs w:val="24"/>
          <w:highlight w:val="none"/>
        </w:rPr>
      </w:pPr>
      <w:r>
        <w:rPr>
          <w:rFonts w:hint="eastAsia" w:ascii="宋体" w:hAnsi="宋体" w:cs="宋体"/>
          <w:sz w:val="24"/>
          <w:szCs w:val="24"/>
          <w:highlight w:val="none"/>
        </w:rPr>
        <w:t>项目名称：</w:t>
      </w:r>
    </w:p>
    <w:p>
      <w:pPr>
        <w:adjustRightInd w:val="0"/>
        <w:snapToGrid w:val="0"/>
        <w:spacing w:line="400" w:lineRule="exact"/>
        <w:jc w:val="left"/>
        <w:rPr>
          <w:rFonts w:ascii="宋体" w:hAnsi="宋体" w:cs="宋体"/>
          <w:sz w:val="24"/>
          <w:szCs w:val="24"/>
          <w:highlight w:val="none"/>
          <w:u w:val="single"/>
        </w:rPr>
      </w:pPr>
      <w:r>
        <w:rPr>
          <w:rFonts w:hint="eastAsia" w:ascii="宋体" w:hAnsi="宋体" w:cs="宋体"/>
          <w:sz w:val="24"/>
          <w:szCs w:val="24"/>
          <w:highlight w:val="none"/>
        </w:rPr>
        <w:t>项目编号：</w:t>
      </w:r>
    </w:p>
    <w:p>
      <w:pPr>
        <w:adjustRightInd w:val="0"/>
        <w:snapToGrid w:val="0"/>
        <w:spacing w:line="400" w:lineRule="exact"/>
        <w:jc w:val="left"/>
        <w:rPr>
          <w:rFonts w:ascii="宋体" w:hAnsi="宋体" w:cs="宋体"/>
          <w:sz w:val="24"/>
          <w:szCs w:val="24"/>
          <w:highlight w:val="none"/>
        </w:rPr>
      </w:pPr>
      <w:r>
        <w:rPr>
          <w:rFonts w:hint="eastAsia" w:ascii="宋体" w:hAnsi="宋体" w:cs="宋体"/>
          <w:sz w:val="24"/>
          <w:szCs w:val="24"/>
          <w:highlight w:val="none"/>
        </w:rPr>
        <w:t xml:space="preserve">标包编号及内容： </w:t>
      </w:r>
    </w:p>
    <w:tbl>
      <w:tblPr>
        <w:tblStyle w:val="38"/>
        <w:tblW w:w="861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92"/>
        <w:gridCol w:w="1836"/>
        <w:gridCol w:w="1994"/>
        <w:gridCol w:w="2030"/>
        <w:gridCol w:w="126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09" w:hRule="atLeast"/>
          <w:jc w:val="center"/>
        </w:trPr>
        <w:tc>
          <w:tcPr>
            <w:tcW w:w="3328"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highlight w:val="none"/>
              </w:rPr>
            </w:pPr>
            <w:r>
              <w:rPr>
                <w:rFonts w:hint="eastAsia" w:ascii="宋体" w:hAnsi="宋体" w:cs="宋体"/>
                <w:sz w:val="24"/>
                <w:szCs w:val="24"/>
                <w:highlight w:val="none"/>
              </w:rPr>
              <w:t>招标文件要求</w:t>
            </w:r>
          </w:p>
        </w:tc>
        <w:tc>
          <w:tcPr>
            <w:tcW w:w="402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highlight w:val="none"/>
              </w:rPr>
            </w:pPr>
            <w:r>
              <w:rPr>
                <w:rFonts w:hint="eastAsia" w:ascii="宋体" w:hAnsi="宋体" w:cs="宋体"/>
                <w:sz w:val="24"/>
                <w:szCs w:val="24"/>
                <w:highlight w:val="none"/>
              </w:rPr>
              <w:t>投标文件响应</w:t>
            </w:r>
          </w:p>
        </w:tc>
        <w:tc>
          <w:tcPr>
            <w:tcW w:w="1264" w:type="dxa"/>
            <w:vMerge w:val="restart"/>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highlight w:val="none"/>
              </w:rPr>
            </w:pPr>
            <w:r>
              <w:rPr>
                <w:rFonts w:hint="eastAsia" w:ascii="宋体" w:hAnsi="宋体" w:cs="宋体"/>
                <w:sz w:val="24"/>
                <w:szCs w:val="24"/>
                <w:highlight w:val="none"/>
              </w:rPr>
              <w:t>偏离情况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96"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highlight w:val="none"/>
              </w:rPr>
            </w:pPr>
            <w:r>
              <w:rPr>
                <w:rFonts w:hint="eastAsia" w:ascii="宋体" w:hAnsi="宋体" w:cs="宋体"/>
                <w:sz w:val="24"/>
                <w:szCs w:val="24"/>
                <w:highlight w:val="none"/>
              </w:rPr>
              <w:t>项目</w:t>
            </w: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highlight w:val="none"/>
              </w:rPr>
            </w:pPr>
            <w:r>
              <w:rPr>
                <w:rFonts w:hint="eastAsia" w:ascii="宋体" w:hAnsi="宋体" w:cs="宋体"/>
                <w:sz w:val="24"/>
                <w:szCs w:val="24"/>
                <w:highlight w:val="none"/>
              </w:rPr>
              <w:t>要求</w:t>
            </w: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highlight w:val="none"/>
              </w:rPr>
            </w:pPr>
            <w:r>
              <w:rPr>
                <w:rFonts w:hint="eastAsia" w:ascii="宋体" w:hAnsi="宋体" w:cs="宋体"/>
                <w:sz w:val="24"/>
                <w:szCs w:val="24"/>
                <w:highlight w:val="none"/>
              </w:rPr>
              <w:t>名称</w:t>
            </w: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highlight w:val="none"/>
              </w:rPr>
            </w:pPr>
            <w:r>
              <w:rPr>
                <w:rFonts w:hint="eastAsia" w:ascii="宋体" w:hAnsi="宋体" w:cs="宋体"/>
                <w:sz w:val="24"/>
                <w:szCs w:val="24"/>
                <w:highlight w:val="none"/>
              </w:rPr>
              <w:t>性能及指标</w:t>
            </w:r>
          </w:p>
        </w:tc>
        <w:tc>
          <w:tcPr>
            <w:tcW w:w="1264" w:type="dxa"/>
            <w:vMerge w:val="continue"/>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400" w:lineRule="exact"/>
              <w:jc w:val="center"/>
              <w:rPr>
                <w:rFonts w:ascii="宋体" w:hAnsi="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highlight w:val="none"/>
              </w:rPr>
            </w:pPr>
          </w:p>
        </w:tc>
      </w:tr>
    </w:tbl>
    <w:p>
      <w:pPr>
        <w:adjustRightInd w:val="0"/>
        <w:snapToGrid w:val="0"/>
        <w:spacing w:line="400" w:lineRule="exact"/>
        <w:rPr>
          <w:rFonts w:ascii="宋体" w:hAnsi="宋体" w:cs="宋体"/>
          <w:b/>
          <w:bCs/>
          <w:sz w:val="24"/>
          <w:szCs w:val="24"/>
          <w:highlight w:val="none"/>
        </w:rPr>
      </w:pPr>
      <w:r>
        <w:rPr>
          <w:rFonts w:hint="eastAsia" w:ascii="宋体" w:hAnsi="宋体" w:cs="宋体"/>
          <w:b/>
          <w:bCs/>
          <w:sz w:val="24"/>
          <w:szCs w:val="24"/>
          <w:highlight w:val="none"/>
        </w:rPr>
        <w:t>注：1、投标人应根据投标设备的性能指标、对照招标文件要求在“偏离情况”栏注明“正偏离”、“负偏离”或“无偏离”。</w:t>
      </w:r>
    </w:p>
    <w:p>
      <w:pPr>
        <w:adjustRightInd w:val="0"/>
        <w:snapToGrid w:val="0"/>
        <w:spacing w:line="400" w:lineRule="exact"/>
        <w:rPr>
          <w:rFonts w:ascii="宋体" w:hAnsi="宋体" w:cs="宋体"/>
          <w:b/>
          <w:bCs/>
          <w:sz w:val="24"/>
          <w:szCs w:val="24"/>
          <w:highlight w:val="none"/>
        </w:rPr>
      </w:pPr>
      <w:r>
        <w:rPr>
          <w:rFonts w:hint="eastAsia" w:ascii="宋体" w:hAnsi="宋体" w:cs="宋体"/>
          <w:b/>
          <w:bCs/>
          <w:sz w:val="24"/>
          <w:szCs w:val="24"/>
          <w:highlight w:val="none"/>
        </w:rPr>
        <w:t>2、每项技术参数须针对项目需求提供相关佐证材料（包括但不限于检测报告、技术规格书等）。</w:t>
      </w:r>
    </w:p>
    <w:p>
      <w:pPr>
        <w:adjustRightInd w:val="0"/>
        <w:snapToGrid w:val="0"/>
        <w:spacing w:line="400" w:lineRule="exact"/>
        <w:rPr>
          <w:rFonts w:ascii="宋体" w:hAnsi="宋体" w:cs="宋体"/>
          <w:b/>
          <w:bCs/>
          <w:spacing w:val="20"/>
          <w:sz w:val="24"/>
          <w:szCs w:val="24"/>
          <w:highlight w:val="none"/>
        </w:rPr>
      </w:pPr>
      <w:r>
        <w:rPr>
          <w:rFonts w:hint="eastAsia" w:ascii="宋体" w:hAnsi="宋体" w:cs="宋体"/>
          <w:b/>
          <w:bCs/>
          <w:sz w:val="24"/>
          <w:szCs w:val="24"/>
          <w:highlight w:val="none"/>
        </w:rPr>
        <w:t>3、投标人提供投标设备的性能指标与实际不符的且产生偏离的，评标委员会有权认定该投标文件为无效响应。</w:t>
      </w:r>
    </w:p>
    <w:p>
      <w:pPr>
        <w:adjustRightInd w:val="0"/>
        <w:snapToGrid w:val="0"/>
        <w:spacing w:line="400" w:lineRule="exact"/>
        <w:ind w:right="-817" w:rightChars="-389"/>
        <w:rPr>
          <w:rFonts w:ascii="宋体" w:hAnsi="宋体" w:cs="宋体"/>
          <w:sz w:val="24"/>
          <w:szCs w:val="24"/>
          <w:highlight w:val="none"/>
        </w:rPr>
      </w:pPr>
    </w:p>
    <w:p>
      <w:pPr>
        <w:adjustRightInd w:val="0"/>
        <w:snapToGrid w:val="0"/>
        <w:spacing w:line="400" w:lineRule="exact"/>
        <w:ind w:left="-4" w:leftChars="-2" w:right="-817" w:rightChars="-389" w:firstLine="2"/>
        <w:rPr>
          <w:rFonts w:ascii="宋体" w:hAnsi="宋体" w:cs="宋体"/>
          <w:sz w:val="24"/>
          <w:szCs w:val="24"/>
          <w:highlight w:val="none"/>
        </w:rPr>
      </w:pPr>
      <w:r>
        <w:rPr>
          <w:rFonts w:hint="eastAsia" w:ascii="宋体" w:hAnsi="宋体" w:cs="宋体"/>
          <w:sz w:val="24"/>
          <w:szCs w:val="24"/>
          <w:highlight w:val="none"/>
        </w:rPr>
        <w:t>投标人名称（盖章）：</w:t>
      </w:r>
    </w:p>
    <w:p>
      <w:pPr>
        <w:adjustRightInd w:val="0"/>
        <w:snapToGrid w:val="0"/>
        <w:spacing w:line="400" w:lineRule="exact"/>
        <w:ind w:left="-4" w:leftChars="-2" w:right="-817" w:rightChars="-389" w:firstLine="2"/>
        <w:rPr>
          <w:rFonts w:ascii="宋体" w:hAnsi="宋体" w:cs="宋体"/>
          <w:sz w:val="24"/>
          <w:szCs w:val="24"/>
          <w:highlight w:val="none"/>
        </w:rPr>
      </w:pPr>
      <w:r>
        <w:rPr>
          <w:rFonts w:hint="eastAsia" w:ascii="宋体" w:hAnsi="宋体" w:cs="宋体"/>
          <w:sz w:val="24"/>
          <w:szCs w:val="24"/>
          <w:highlight w:val="none"/>
        </w:rPr>
        <w:t>法定代表人（负责人、自然人）或授权代表（签字）：</w:t>
      </w:r>
    </w:p>
    <w:p>
      <w:pPr>
        <w:adjustRightInd w:val="0"/>
        <w:snapToGrid w:val="0"/>
        <w:spacing w:line="400" w:lineRule="exact"/>
        <w:ind w:left="-2" w:leftChars="-1" w:right="-817" w:rightChars="-389" w:firstLine="2"/>
        <w:jc w:val="left"/>
        <w:rPr>
          <w:rFonts w:ascii="宋体" w:hAnsi="宋体" w:cs="宋体"/>
          <w:sz w:val="24"/>
          <w:szCs w:val="24"/>
          <w:highlight w:val="none"/>
        </w:rPr>
      </w:pPr>
      <w:r>
        <w:rPr>
          <w:rFonts w:hint="eastAsia" w:ascii="宋体" w:hAnsi="宋体" w:cs="宋体"/>
          <w:sz w:val="24"/>
          <w:szCs w:val="24"/>
          <w:highlight w:val="none"/>
        </w:rPr>
        <w:t>日期：    年   月   日</w:t>
      </w:r>
    </w:p>
    <w:p>
      <w:pPr>
        <w:pStyle w:val="30"/>
        <w:rPr>
          <w:highlight w:val="none"/>
        </w:rPr>
      </w:pPr>
    </w:p>
    <w:p>
      <w:pPr>
        <w:pStyle w:val="30"/>
        <w:rPr>
          <w:rFonts w:ascii="宋体" w:hAnsi="宋体" w:cs="宋体"/>
          <w:b/>
          <w:bCs/>
          <w:sz w:val="24"/>
          <w:szCs w:val="24"/>
          <w:highlight w:val="none"/>
        </w:rPr>
      </w:pPr>
    </w:p>
    <w:p>
      <w:pPr>
        <w:pStyle w:val="30"/>
        <w:rPr>
          <w:rFonts w:ascii="宋体" w:hAnsi="宋体" w:cs="宋体"/>
          <w:b/>
          <w:bCs/>
          <w:sz w:val="24"/>
          <w:szCs w:val="24"/>
          <w:highlight w:val="none"/>
        </w:rPr>
      </w:pPr>
    </w:p>
    <w:p>
      <w:pPr>
        <w:pStyle w:val="30"/>
        <w:rPr>
          <w:rFonts w:ascii="宋体" w:hAnsi="宋体" w:cs="宋体"/>
          <w:b/>
          <w:bCs/>
          <w:sz w:val="24"/>
          <w:szCs w:val="24"/>
          <w:highlight w:val="none"/>
        </w:rPr>
      </w:pPr>
    </w:p>
    <w:p>
      <w:pPr>
        <w:pStyle w:val="30"/>
        <w:rPr>
          <w:rFonts w:ascii="宋体" w:hAnsi="宋体" w:cs="宋体"/>
          <w:b/>
          <w:bCs/>
          <w:sz w:val="24"/>
          <w:szCs w:val="24"/>
          <w:highlight w:val="none"/>
        </w:rPr>
      </w:pPr>
    </w:p>
    <w:p>
      <w:pPr>
        <w:pStyle w:val="30"/>
        <w:rPr>
          <w:rFonts w:ascii="宋体" w:hAnsi="宋体" w:cs="宋体"/>
          <w:b/>
          <w:bCs/>
          <w:sz w:val="24"/>
          <w:szCs w:val="24"/>
          <w:highlight w:val="none"/>
        </w:rPr>
      </w:pPr>
    </w:p>
    <w:p>
      <w:pPr>
        <w:pStyle w:val="30"/>
        <w:rPr>
          <w:rFonts w:ascii="宋体" w:hAnsi="宋体" w:cs="宋体"/>
          <w:b/>
          <w:bCs/>
          <w:sz w:val="24"/>
          <w:szCs w:val="24"/>
          <w:highlight w:val="none"/>
        </w:rPr>
      </w:pPr>
    </w:p>
    <w:p>
      <w:pPr>
        <w:pStyle w:val="30"/>
        <w:rPr>
          <w:rFonts w:ascii="宋体" w:hAnsi="宋体" w:cs="宋体"/>
          <w:b/>
          <w:bCs/>
          <w:sz w:val="24"/>
          <w:szCs w:val="24"/>
          <w:highlight w:val="none"/>
        </w:rPr>
      </w:pPr>
    </w:p>
    <w:p>
      <w:pPr>
        <w:pStyle w:val="30"/>
        <w:rPr>
          <w:rFonts w:ascii="宋体" w:hAnsi="宋体" w:cs="宋体"/>
          <w:b/>
          <w:bCs/>
          <w:sz w:val="24"/>
          <w:szCs w:val="24"/>
          <w:highlight w:val="none"/>
        </w:rPr>
      </w:pPr>
    </w:p>
    <w:p>
      <w:pPr>
        <w:pStyle w:val="30"/>
        <w:rPr>
          <w:rFonts w:ascii="宋体" w:hAnsi="宋体" w:cs="宋体"/>
          <w:b/>
          <w:bCs/>
          <w:sz w:val="24"/>
          <w:szCs w:val="24"/>
          <w:highlight w:val="none"/>
        </w:rPr>
      </w:pPr>
    </w:p>
    <w:p>
      <w:pPr>
        <w:widowControl/>
        <w:snapToGrid w:val="0"/>
        <w:spacing w:line="400" w:lineRule="exact"/>
        <w:jc w:val="left"/>
        <w:rPr>
          <w:rFonts w:ascii="宋体" w:hAnsi="宋体" w:cs="宋体"/>
          <w:b/>
          <w:sz w:val="24"/>
          <w:szCs w:val="24"/>
          <w:highlight w:val="none"/>
        </w:rPr>
      </w:pPr>
      <w:r>
        <w:rPr>
          <w:rFonts w:hint="eastAsia" w:ascii="宋体" w:hAnsi="宋体" w:cs="宋体"/>
          <w:b/>
          <w:bCs/>
          <w:sz w:val="24"/>
          <w:szCs w:val="24"/>
          <w:highlight w:val="none"/>
        </w:rPr>
        <w:t>15、</w:t>
      </w:r>
      <w:r>
        <w:rPr>
          <w:rFonts w:hint="eastAsia" w:ascii="宋体" w:hAnsi="宋体" w:cs="宋体"/>
          <w:b/>
          <w:sz w:val="24"/>
          <w:szCs w:val="24"/>
          <w:highlight w:val="none"/>
        </w:rPr>
        <w:t>产品详细技术规格书</w:t>
      </w:r>
    </w:p>
    <w:p>
      <w:pPr>
        <w:snapToGrid w:val="0"/>
        <w:spacing w:line="400" w:lineRule="exact"/>
        <w:jc w:val="left"/>
        <w:rPr>
          <w:rFonts w:ascii="宋体" w:hAnsi="宋体" w:cs="宋体"/>
          <w:kern w:val="0"/>
          <w:sz w:val="24"/>
          <w:szCs w:val="24"/>
          <w:highlight w:val="none"/>
        </w:rPr>
      </w:pPr>
      <w:r>
        <w:rPr>
          <w:rFonts w:hint="eastAsia" w:ascii="宋体" w:hAnsi="宋体" w:cs="宋体"/>
          <w:kern w:val="0"/>
          <w:sz w:val="24"/>
          <w:szCs w:val="24"/>
          <w:highlight w:val="none"/>
        </w:rPr>
        <w:t>货物说明包括：</w:t>
      </w:r>
    </w:p>
    <w:p>
      <w:pPr>
        <w:snapToGrid w:val="0"/>
        <w:spacing w:line="400" w:lineRule="exact"/>
        <w:jc w:val="left"/>
        <w:rPr>
          <w:rFonts w:ascii="宋体" w:hAnsi="宋体" w:cs="宋体"/>
          <w:kern w:val="0"/>
          <w:sz w:val="24"/>
          <w:szCs w:val="24"/>
          <w:highlight w:val="none"/>
        </w:rPr>
      </w:pPr>
      <w:r>
        <w:rPr>
          <w:rFonts w:hint="eastAsia" w:ascii="宋体" w:hAnsi="宋体" w:cs="宋体"/>
          <w:kern w:val="0"/>
          <w:sz w:val="24"/>
          <w:szCs w:val="24"/>
          <w:highlight w:val="none"/>
        </w:rPr>
        <w:t>(1)产品技术参数（指标）、功能等性能描述；（产品技术参数（指标）、功能等性能描述内容必须为可编辑Word版本）</w:t>
      </w:r>
    </w:p>
    <w:p>
      <w:pPr>
        <w:snapToGrid w:val="0"/>
        <w:spacing w:line="400" w:lineRule="exact"/>
        <w:jc w:val="left"/>
        <w:rPr>
          <w:rFonts w:ascii="宋体" w:hAnsi="宋体" w:cs="宋体"/>
          <w:kern w:val="0"/>
          <w:sz w:val="24"/>
          <w:szCs w:val="24"/>
          <w:highlight w:val="none"/>
        </w:rPr>
      </w:pPr>
      <w:r>
        <w:rPr>
          <w:rFonts w:hint="eastAsia" w:ascii="宋体" w:hAnsi="宋体" w:cs="宋体"/>
          <w:kern w:val="0"/>
          <w:sz w:val="24"/>
          <w:szCs w:val="24"/>
          <w:highlight w:val="none"/>
        </w:rPr>
        <w:t>(2)产品的规范资料、外观彩图及尺寸等描述（要求提供复印件）；</w:t>
      </w:r>
    </w:p>
    <w:p>
      <w:pPr>
        <w:snapToGrid w:val="0"/>
        <w:spacing w:line="400" w:lineRule="exact"/>
        <w:jc w:val="left"/>
        <w:rPr>
          <w:rFonts w:ascii="宋体" w:hAnsi="宋体" w:cs="宋体"/>
          <w:kern w:val="0"/>
          <w:sz w:val="24"/>
          <w:szCs w:val="24"/>
          <w:highlight w:val="none"/>
        </w:rPr>
      </w:pPr>
      <w:r>
        <w:rPr>
          <w:rFonts w:hint="eastAsia" w:ascii="宋体" w:hAnsi="宋体" w:cs="宋体"/>
          <w:kern w:val="0"/>
          <w:sz w:val="24"/>
          <w:szCs w:val="24"/>
          <w:highlight w:val="none"/>
        </w:rPr>
        <w:t>(3)配置先进合理，技术成熟，安全可靠；</w:t>
      </w:r>
    </w:p>
    <w:p>
      <w:pPr>
        <w:snapToGrid w:val="0"/>
        <w:spacing w:line="400" w:lineRule="exact"/>
        <w:jc w:val="left"/>
        <w:rPr>
          <w:rFonts w:ascii="宋体" w:hAnsi="宋体" w:cs="宋体"/>
          <w:kern w:val="0"/>
          <w:sz w:val="24"/>
          <w:szCs w:val="24"/>
          <w:highlight w:val="none"/>
        </w:rPr>
      </w:pPr>
      <w:r>
        <w:rPr>
          <w:rFonts w:hint="eastAsia" w:ascii="宋体" w:hAnsi="宋体" w:cs="宋体"/>
          <w:kern w:val="0"/>
          <w:sz w:val="24"/>
          <w:szCs w:val="24"/>
          <w:highlight w:val="none"/>
        </w:rPr>
        <w:t>(4)货物优势介绍；</w:t>
      </w:r>
    </w:p>
    <w:p>
      <w:pPr>
        <w:snapToGrid w:val="0"/>
        <w:spacing w:line="400" w:lineRule="exact"/>
        <w:jc w:val="left"/>
        <w:rPr>
          <w:rFonts w:ascii="宋体" w:hAnsi="宋体" w:cs="宋体"/>
          <w:kern w:val="0"/>
          <w:sz w:val="24"/>
          <w:szCs w:val="24"/>
          <w:highlight w:val="none"/>
        </w:rPr>
      </w:pPr>
      <w:r>
        <w:rPr>
          <w:rFonts w:hint="eastAsia" w:ascii="宋体" w:hAnsi="宋体" w:cs="宋体"/>
          <w:kern w:val="0"/>
          <w:sz w:val="24"/>
          <w:szCs w:val="24"/>
          <w:highlight w:val="none"/>
        </w:rPr>
        <w:t>(5)产品耐用性及使用功能安全性、采用新技术、新工艺或选用新材料情况；</w:t>
      </w:r>
    </w:p>
    <w:p>
      <w:pPr>
        <w:snapToGrid w:val="0"/>
        <w:spacing w:line="400" w:lineRule="exact"/>
        <w:jc w:val="left"/>
        <w:rPr>
          <w:rFonts w:ascii="宋体" w:hAnsi="宋体" w:cs="宋体"/>
          <w:kern w:val="0"/>
          <w:sz w:val="24"/>
          <w:szCs w:val="24"/>
          <w:highlight w:val="none"/>
        </w:rPr>
      </w:pPr>
      <w:r>
        <w:rPr>
          <w:rFonts w:hint="eastAsia" w:ascii="宋体" w:hAnsi="宋体" w:cs="宋体"/>
          <w:kern w:val="0"/>
          <w:sz w:val="24"/>
          <w:szCs w:val="24"/>
          <w:highlight w:val="none"/>
        </w:rPr>
        <w:t>(6)投标人认为有必要提供的其他说明材料。</w:t>
      </w:r>
    </w:p>
    <w:p>
      <w:pPr>
        <w:pStyle w:val="30"/>
        <w:rPr>
          <w:rFonts w:ascii="宋体" w:hAnsi="宋体" w:cs="宋体"/>
          <w:b/>
          <w:bCs/>
          <w:sz w:val="24"/>
          <w:szCs w:val="24"/>
          <w:highlight w:val="none"/>
        </w:rPr>
      </w:pPr>
    </w:p>
    <w:p>
      <w:pPr>
        <w:widowControl/>
        <w:snapToGrid w:val="0"/>
        <w:spacing w:line="400" w:lineRule="exact"/>
        <w:jc w:val="left"/>
        <w:rPr>
          <w:rFonts w:ascii="宋体" w:hAnsi="宋体" w:cs="宋体"/>
          <w:b/>
          <w:sz w:val="24"/>
          <w:szCs w:val="24"/>
          <w:highlight w:val="none"/>
        </w:rPr>
      </w:pPr>
      <w:r>
        <w:rPr>
          <w:rFonts w:hint="eastAsia" w:ascii="宋体" w:hAnsi="宋体" w:cs="宋体"/>
          <w:b/>
          <w:sz w:val="24"/>
          <w:szCs w:val="24"/>
          <w:highlight w:val="none"/>
        </w:rPr>
        <w:t>16、与产品相关的由国家认可的检测机构出具的检测报告（如有）。</w:t>
      </w:r>
    </w:p>
    <w:p>
      <w:pPr>
        <w:pStyle w:val="30"/>
        <w:rPr>
          <w:rFonts w:ascii="宋体" w:hAnsi="宋体" w:cs="宋体"/>
          <w:b/>
          <w:bCs/>
          <w:sz w:val="24"/>
          <w:szCs w:val="24"/>
          <w:highlight w:val="none"/>
        </w:rPr>
      </w:pPr>
    </w:p>
    <w:p>
      <w:pPr>
        <w:pStyle w:val="30"/>
        <w:rPr>
          <w:rFonts w:ascii="宋体" w:hAnsi="宋体" w:cs="宋体"/>
          <w:b/>
          <w:bCs/>
          <w:sz w:val="24"/>
          <w:szCs w:val="24"/>
          <w:highlight w:val="none"/>
        </w:rPr>
      </w:pPr>
    </w:p>
    <w:p>
      <w:pPr>
        <w:widowControl/>
        <w:snapToGrid w:val="0"/>
        <w:spacing w:line="400" w:lineRule="exact"/>
        <w:jc w:val="left"/>
        <w:rPr>
          <w:rFonts w:ascii="宋体" w:hAnsi="宋体" w:cs="宋体"/>
          <w:b/>
          <w:sz w:val="24"/>
          <w:szCs w:val="24"/>
          <w:highlight w:val="none"/>
        </w:rPr>
      </w:pPr>
      <w:r>
        <w:rPr>
          <w:rFonts w:hint="eastAsia" w:ascii="宋体" w:hAnsi="宋体" w:cs="宋体"/>
          <w:b/>
          <w:sz w:val="24"/>
          <w:szCs w:val="24"/>
          <w:highlight w:val="none"/>
        </w:rPr>
        <w:t>17、针对项目的详细组织实施方案：包括（但不限于）项目人员安排、项目供货方案、质量管控方案、测试（调试）方案等内容（格式自拟）；</w:t>
      </w:r>
    </w:p>
    <w:p>
      <w:pPr>
        <w:adjustRightInd w:val="0"/>
        <w:snapToGrid w:val="0"/>
        <w:spacing w:line="500" w:lineRule="exact"/>
        <w:ind w:firstLine="470" w:firstLineChars="196"/>
        <w:jc w:val="left"/>
        <w:rPr>
          <w:rFonts w:ascii="宋体" w:hAnsi="宋体" w:eastAsia="宋体" w:cs="宋体"/>
          <w:sz w:val="24"/>
          <w:szCs w:val="24"/>
          <w:highlight w:val="none"/>
        </w:rPr>
      </w:pPr>
    </w:p>
    <w:p>
      <w:pPr>
        <w:widowControl/>
        <w:snapToGrid w:val="0"/>
        <w:spacing w:line="400" w:lineRule="exact"/>
        <w:jc w:val="left"/>
        <w:rPr>
          <w:rFonts w:ascii="宋体" w:hAnsi="宋体" w:cs="宋体"/>
          <w:b/>
          <w:sz w:val="24"/>
          <w:szCs w:val="24"/>
          <w:highlight w:val="none"/>
        </w:rPr>
      </w:pPr>
      <w:r>
        <w:rPr>
          <w:rFonts w:hint="eastAsia" w:ascii="宋体" w:hAnsi="宋体" w:cs="宋体"/>
          <w:b/>
          <w:sz w:val="24"/>
          <w:szCs w:val="24"/>
          <w:highlight w:val="none"/>
        </w:rPr>
        <w:t>18、针对本项目的详细技术培训方案：包括（但不限于）</w:t>
      </w:r>
      <w:r>
        <w:rPr>
          <w:rFonts w:ascii="宋体" w:hAnsi="宋体" w:cs="宋体"/>
          <w:b/>
          <w:sz w:val="24"/>
          <w:szCs w:val="24"/>
          <w:highlight w:val="none"/>
        </w:rPr>
        <w:t>培训内容</w:t>
      </w:r>
      <w:r>
        <w:rPr>
          <w:rFonts w:hint="eastAsia" w:ascii="宋体" w:hAnsi="宋体" w:cs="宋体"/>
          <w:b/>
          <w:sz w:val="24"/>
          <w:szCs w:val="24"/>
          <w:highlight w:val="none"/>
        </w:rPr>
        <w:t>、</w:t>
      </w:r>
      <w:r>
        <w:rPr>
          <w:rFonts w:ascii="宋体" w:hAnsi="宋体" w:cs="宋体"/>
          <w:b/>
          <w:sz w:val="24"/>
          <w:szCs w:val="24"/>
          <w:highlight w:val="none"/>
        </w:rPr>
        <w:t>培训方式</w:t>
      </w:r>
      <w:r>
        <w:rPr>
          <w:rFonts w:hint="eastAsia" w:ascii="宋体" w:hAnsi="宋体" w:cs="宋体"/>
          <w:b/>
          <w:sz w:val="24"/>
          <w:szCs w:val="24"/>
          <w:highlight w:val="none"/>
        </w:rPr>
        <w:t>、</w:t>
      </w:r>
      <w:r>
        <w:rPr>
          <w:rFonts w:ascii="宋体" w:hAnsi="宋体" w:cs="宋体"/>
          <w:b/>
          <w:sz w:val="24"/>
          <w:szCs w:val="24"/>
          <w:highlight w:val="none"/>
        </w:rPr>
        <w:t>培训计划</w:t>
      </w:r>
      <w:r>
        <w:rPr>
          <w:rFonts w:hint="eastAsia" w:ascii="宋体" w:hAnsi="宋体" w:cs="宋体"/>
          <w:b/>
          <w:sz w:val="24"/>
          <w:szCs w:val="24"/>
          <w:highlight w:val="none"/>
        </w:rPr>
        <w:t>、</w:t>
      </w:r>
      <w:r>
        <w:rPr>
          <w:rFonts w:ascii="宋体" w:hAnsi="宋体" w:cs="宋体"/>
          <w:b/>
          <w:sz w:val="24"/>
          <w:szCs w:val="24"/>
          <w:highlight w:val="none"/>
        </w:rPr>
        <w:t>培训团队人员配置等</w:t>
      </w:r>
      <w:r>
        <w:rPr>
          <w:rFonts w:hint="eastAsia" w:ascii="宋体" w:hAnsi="宋体" w:cs="宋体"/>
          <w:b/>
          <w:sz w:val="24"/>
          <w:szCs w:val="24"/>
          <w:highlight w:val="none"/>
        </w:rPr>
        <w:t>内容。</w:t>
      </w:r>
    </w:p>
    <w:p>
      <w:pPr>
        <w:widowControl/>
        <w:snapToGrid w:val="0"/>
        <w:spacing w:line="400" w:lineRule="exact"/>
        <w:jc w:val="left"/>
        <w:rPr>
          <w:rFonts w:ascii="宋体" w:hAnsi="宋体" w:cs="宋体"/>
          <w:b/>
          <w:sz w:val="24"/>
          <w:szCs w:val="24"/>
          <w:highlight w:val="none"/>
        </w:rPr>
      </w:pPr>
    </w:p>
    <w:p>
      <w:pPr>
        <w:widowControl/>
        <w:snapToGrid w:val="0"/>
        <w:spacing w:line="400" w:lineRule="exact"/>
        <w:jc w:val="left"/>
        <w:rPr>
          <w:rFonts w:ascii="宋体" w:hAnsi="宋体" w:cs="宋体"/>
          <w:b/>
          <w:sz w:val="24"/>
          <w:szCs w:val="24"/>
          <w:highlight w:val="none"/>
        </w:rPr>
      </w:pPr>
    </w:p>
    <w:p>
      <w:pPr>
        <w:widowControl/>
        <w:snapToGrid w:val="0"/>
        <w:spacing w:line="400" w:lineRule="exact"/>
        <w:jc w:val="left"/>
        <w:rPr>
          <w:rFonts w:ascii="宋体" w:hAnsi="宋体" w:cs="宋体"/>
          <w:b/>
          <w:sz w:val="24"/>
          <w:szCs w:val="24"/>
          <w:highlight w:val="none"/>
        </w:rPr>
      </w:pPr>
    </w:p>
    <w:p>
      <w:pPr>
        <w:widowControl/>
        <w:snapToGrid w:val="0"/>
        <w:spacing w:line="400" w:lineRule="exact"/>
        <w:jc w:val="left"/>
        <w:rPr>
          <w:rFonts w:ascii="宋体" w:hAnsi="宋体" w:cs="宋体"/>
          <w:b/>
          <w:sz w:val="24"/>
          <w:szCs w:val="24"/>
          <w:highlight w:val="none"/>
        </w:rPr>
      </w:pPr>
    </w:p>
    <w:p>
      <w:pPr>
        <w:widowControl/>
        <w:snapToGrid w:val="0"/>
        <w:spacing w:line="400" w:lineRule="exact"/>
        <w:jc w:val="left"/>
        <w:rPr>
          <w:rFonts w:ascii="宋体" w:hAnsi="宋体" w:cs="宋体"/>
          <w:b/>
          <w:sz w:val="24"/>
          <w:szCs w:val="24"/>
          <w:highlight w:val="none"/>
        </w:rPr>
      </w:pPr>
    </w:p>
    <w:p>
      <w:pPr>
        <w:widowControl/>
        <w:snapToGrid w:val="0"/>
        <w:spacing w:line="400" w:lineRule="exact"/>
        <w:jc w:val="left"/>
        <w:rPr>
          <w:rFonts w:ascii="宋体" w:hAnsi="宋体" w:cs="宋体"/>
          <w:b/>
          <w:sz w:val="24"/>
          <w:szCs w:val="24"/>
          <w:highlight w:val="none"/>
        </w:rPr>
      </w:pPr>
    </w:p>
    <w:p>
      <w:pPr>
        <w:widowControl/>
        <w:snapToGrid w:val="0"/>
        <w:spacing w:line="400" w:lineRule="exact"/>
        <w:jc w:val="left"/>
        <w:rPr>
          <w:rFonts w:ascii="宋体" w:hAnsi="宋体" w:cs="宋体"/>
          <w:b/>
          <w:sz w:val="24"/>
          <w:szCs w:val="24"/>
          <w:highlight w:val="none"/>
        </w:rPr>
      </w:pPr>
    </w:p>
    <w:p>
      <w:pPr>
        <w:widowControl/>
        <w:snapToGrid w:val="0"/>
        <w:spacing w:line="400" w:lineRule="exact"/>
        <w:jc w:val="left"/>
        <w:rPr>
          <w:rFonts w:ascii="宋体" w:hAnsi="宋体" w:cs="宋体"/>
          <w:b/>
          <w:sz w:val="24"/>
          <w:szCs w:val="24"/>
          <w:highlight w:val="none"/>
        </w:rPr>
      </w:pPr>
    </w:p>
    <w:p>
      <w:pPr>
        <w:widowControl/>
        <w:snapToGrid w:val="0"/>
        <w:spacing w:line="400" w:lineRule="exact"/>
        <w:jc w:val="left"/>
        <w:rPr>
          <w:rFonts w:ascii="宋体" w:hAnsi="宋体" w:cs="宋体"/>
          <w:b/>
          <w:sz w:val="24"/>
          <w:szCs w:val="24"/>
          <w:highlight w:val="none"/>
        </w:rPr>
      </w:pPr>
    </w:p>
    <w:p>
      <w:pPr>
        <w:widowControl/>
        <w:snapToGrid w:val="0"/>
        <w:spacing w:line="400" w:lineRule="exact"/>
        <w:jc w:val="left"/>
        <w:rPr>
          <w:rFonts w:ascii="宋体" w:hAnsi="宋体" w:cs="宋体"/>
          <w:b/>
          <w:sz w:val="24"/>
          <w:szCs w:val="24"/>
          <w:highlight w:val="none"/>
        </w:rPr>
      </w:pPr>
    </w:p>
    <w:p>
      <w:pPr>
        <w:widowControl/>
        <w:snapToGrid w:val="0"/>
        <w:spacing w:line="400" w:lineRule="exact"/>
        <w:jc w:val="left"/>
        <w:rPr>
          <w:rFonts w:ascii="宋体" w:hAnsi="宋体" w:cs="宋体"/>
          <w:b/>
          <w:sz w:val="24"/>
          <w:szCs w:val="24"/>
          <w:highlight w:val="none"/>
        </w:rPr>
      </w:pPr>
    </w:p>
    <w:p>
      <w:pPr>
        <w:widowControl/>
        <w:snapToGrid w:val="0"/>
        <w:spacing w:line="400" w:lineRule="exact"/>
        <w:jc w:val="left"/>
        <w:rPr>
          <w:rFonts w:ascii="宋体" w:hAnsi="宋体" w:cs="宋体"/>
          <w:b/>
          <w:sz w:val="24"/>
          <w:szCs w:val="24"/>
          <w:highlight w:val="none"/>
        </w:rPr>
      </w:pPr>
    </w:p>
    <w:p>
      <w:pPr>
        <w:widowControl/>
        <w:snapToGrid w:val="0"/>
        <w:spacing w:line="400" w:lineRule="exact"/>
        <w:jc w:val="left"/>
        <w:rPr>
          <w:rFonts w:ascii="宋体" w:hAnsi="宋体" w:cs="宋体"/>
          <w:b/>
          <w:sz w:val="24"/>
          <w:szCs w:val="24"/>
          <w:highlight w:val="none"/>
        </w:rPr>
      </w:pPr>
    </w:p>
    <w:p>
      <w:pPr>
        <w:widowControl/>
        <w:snapToGrid w:val="0"/>
        <w:spacing w:line="400" w:lineRule="exact"/>
        <w:jc w:val="left"/>
        <w:rPr>
          <w:rFonts w:ascii="宋体" w:hAnsi="宋体" w:cs="宋体"/>
          <w:b/>
          <w:sz w:val="24"/>
          <w:szCs w:val="24"/>
          <w:highlight w:val="none"/>
        </w:rPr>
      </w:pPr>
    </w:p>
    <w:p>
      <w:pPr>
        <w:widowControl/>
        <w:snapToGrid w:val="0"/>
        <w:spacing w:line="400" w:lineRule="exact"/>
        <w:jc w:val="left"/>
        <w:rPr>
          <w:rFonts w:ascii="宋体" w:hAnsi="宋体" w:cs="宋体"/>
          <w:b/>
          <w:sz w:val="24"/>
          <w:szCs w:val="24"/>
          <w:highlight w:val="none"/>
        </w:rPr>
      </w:pPr>
    </w:p>
    <w:p>
      <w:pPr>
        <w:widowControl/>
        <w:snapToGrid w:val="0"/>
        <w:spacing w:line="400" w:lineRule="exact"/>
        <w:jc w:val="left"/>
        <w:rPr>
          <w:rFonts w:ascii="宋体" w:hAnsi="宋体" w:cs="宋体"/>
          <w:b/>
          <w:sz w:val="24"/>
          <w:szCs w:val="24"/>
          <w:highlight w:val="none"/>
        </w:rPr>
      </w:pPr>
      <w:r>
        <w:rPr>
          <w:rFonts w:hint="eastAsia" w:ascii="宋体" w:hAnsi="宋体" w:cs="宋体"/>
          <w:b/>
          <w:sz w:val="24"/>
          <w:szCs w:val="24"/>
          <w:highlight w:val="none"/>
        </w:rPr>
        <w:t>19、针对本项目的售后服务方案：包括（但不限于）售后</w:t>
      </w:r>
      <w:r>
        <w:rPr>
          <w:rFonts w:ascii="宋体" w:hAnsi="宋体" w:cs="宋体"/>
          <w:b/>
          <w:sz w:val="24"/>
          <w:szCs w:val="24"/>
          <w:highlight w:val="none"/>
        </w:rPr>
        <w:t>服务承诺</w:t>
      </w:r>
      <w:r>
        <w:rPr>
          <w:rFonts w:hint="eastAsia" w:ascii="宋体" w:hAnsi="宋体" w:cs="宋体"/>
          <w:b/>
          <w:sz w:val="24"/>
          <w:szCs w:val="24"/>
          <w:highlight w:val="none"/>
        </w:rPr>
        <w:t>、</w:t>
      </w:r>
      <w:r>
        <w:rPr>
          <w:rFonts w:ascii="宋体" w:hAnsi="宋体" w:cs="宋体"/>
          <w:b/>
          <w:sz w:val="24"/>
          <w:szCs w:val="24"/>
          <w:highlight w:val="none"/>
        </w:rPr>
        <w:t>服务响应方案</w:t>
      </w:r>
      <w:r>
        <w:rPr>
          <w:rFonts w:hint="eastAsia" w:ascii="宋体" w:hAnsi="宋体" w:cs="宋体"/>
          <w:b/>
          <w:sz w:val="24"/>
          <w:szCs w:val="24"/>
          <w:highlight w:val="none"/>
        </w:rPr>
        <w:t>、</w:t>
      </w:r>
      <w:r>
        <w:rPr>
          <w:rFonts w:ascii="宋体" w:hAnsi="宋体" w:cs="宋体"/>
          <w:b/>
          <w:sz w:val="24"/>
          <w:szCs w:val="24"/>
          <w:highlight w:val="none"/>
        </w:rPr>
        <w:t>备件（易耗品）供应方案</w:t>
      </w:r>
      <w:r>
        <w:rPr>
          <w:rFonts w:hint="eastAsia" w:ascii="宋体" w:hAnsi="宋体" w:cs="宋体"/>
          <w:b/>
          <w:sz w:val="24"/>
          <w:szCs w:val="24"/>
          <w:highlight w:val="none"/>
        </w:rPr>
        <w:t>（含备件价格）、</w:t>
      </w:r>
      <w:r>
        <w:rPr>
          <w:rFonts w:ascii="宋体" w:hAnsi="宋体" w:cs="宋体"/>
          <w:b/>
          <w:sz w:val="24"/>
          <w:szCs w:val="24"/>
          <w:highlight w:val="none"/>
        </w:rPr>
        <w:t>服务人员配备</w:t>
      </w:r>
      <w:r>
        <w:rPr>
          <w:rFonts w:hint="eastAsia" w:ascii="宋体" w:hAnsi="宋体" w:cs="宋体"/>
          <w:b/>
          <w:sz w:val="24"/>
          <w:szCs w:val="24"/>
          <w:highlight w:val="none"/>
        </w:rPr>
        <w:t>、</w:t>
      </w:r>
      <w:r>
        <w:rPr>
          <w:rFonts w:ascii="宋体" w:hAnsi="宋体" w:cs="宋体"/>
          <w:b/>
          <w:sz w:val="24"/>
          <w:szCs w:val="24"/>
          <w:highlight w:val="none"/>
        </w:rPr>
        <w:t>故障响应</w:t>
      </w:r>
      <w:r>
        <w:rPr>
          <w:rFonts w:hint="eastAsia" w:ascii="宋体" w:hAnsi="宋体" w:cs="宋体"/>
          <w:b/>
          <w:sz w:val="24"/>
          <w:szCs w:val="24"/>
          <w:highlight w:val="none"/>
        </w:rPr>
        <w:t>措施、</w:t>
      </w:r>
      <w:r>
        <w:rPr>
          <w:rFonts w:ascii="宋体" w:hAnsi="宋体" w:cs="宋体"/>
          <w:b/>
          <w:sz w:val="24"/>
          <w:szCs w:val="24"/>
          <w:highlight w:val="none"/>
        </w:rPr>
        <w:t>质保外服务措施等</w:t>
      </w:r>
      <w:r>
        <w:rPr>
          <w:rFonts w:hint="eastAsia" w:ascii="宋体" w:hAnsi="宋体" w:cs="宋体"/>
          <w:b/>
          <w:sz w:val="24"/>
          <w:szCs w:val="24"/>
          <w:highlight w:val="none"/>
        </w:rPr>
        <w:t>内容。</w:t>
      </w:r>
    </w:p>
    <w:p>
      <w:pPr>
        <w:widowControl/>
        <w:snapToGrid w:val="0"/>
        <w:spacing w:line="400" w:lineRule="exact"/>
        <w:jc w:val="center"/>
        <w:rPr>
          <w:rFonts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售后服务附表</w:t>
      </w:r>
    </w:p>
    <w:p>
      <w:pPr>
        <w:snapToGrid w:val="0"/>
        <w:spacing w:line="400" w:lineRule="exact"/>
        <w:jc w:val="left"/>
        <w:rPr>
          <w:rFonts w:ascii="宋体" w:hAnsi="宋体" w:eastAsia="宋体" w:cs="宋体"/>
          <w:spacing w:val="1"/>
          <w:kern w:val="0"/>
          <w:sz w:val="24"/>
          <w:szCs w:val="24"/>
          <w:highlight w:val="none"/>
          <w:u w:val="single"/>
        </w:rPr>
      </w:pPr>
      <w:r>
        <w:rPr>
          <w:rFonts w:hint="eastAsia" w:ascii="宋体" w:hAnsi="宋体" w:eastAsia="宋体" w:cs="宋体"/>
          <w:spacing w:val="1"/>
          <w:kern w:val="0"/>
          <w:sz w:val="24"/>
          <w:szCs w:val="24"/>
          <w:highlight w:val="none"/>
        </w:rPr>
        <w:t>项目名称：</w:t>
      </w:r>
    </w:p>
    <w:p>
      <w:pPr>
        <w:snapToGrid w:val="0"/>
        <w:spacing w:line="400" w:lineRule="exact"/>
        <w:jc w:val="left"/>
        <w:rPr>
          <w:rFonts w:ascii="宋体" w:hAnsi="宋体" w:eastAsia="宋体" w:cs="宋体"/>
          <w:spacing w:val="1"/>
          <w:kern w:val="0"/>
          <w:sz w:val="24"/>
          <w:szCs w:val="24"/>
          <w:highlight w:val="none"/>
          <w:u w:val="single"/>
        </w:rPr>
      </w:pPr>
      <w:r>
        <w:rPr>
          <w:rFonts w:hint="eastAsia" w:ascii="宋体" w:hAnsi="宋体" w:eastAsia="宋体" w:cs="宋体"/>
          <w:spacing w:val="1"/>
          <w:kern w:val="0"/>
          <w:sz w:val="24"/>
          <w:szCs w:val="24"/>
          <w:highlight w:val="none"/>
        </w:rPr>
        <w:t>标包编号：</w:t>
      </w:r>
    </w:p>
    <w:p>
      <w:pPr>
        <w:snapToGrid w:val="0"/>
        <w:spacing w:line="400" w:lineRule="exact"/>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标包编号及内容： </w:t>
      </w:r>
    </w:p>
    <w:tbl>
      <w:tblPr>
        <w:tblStyle w:val="38"/>
        <w:tblW w:w="8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8"/>
        <w:gridCol w:w="1046"/>
        <w:gridCol w:w="2151"/>
        <w:gridCol w:w="1253"/>
        <w:gridCol w:w="22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服务网点名称</w:t>
            </w:r>
          </w:p>
        </w:tc>
        <w:tc>
          <w:tcPr>
            <w:tcW w:w="4450" w:type="dxa"/>
            <w:gridSpan w:val="3"/>
            <w:vAlign w:val="center"/>
          </w:tcPr>
          <w:p>
            <w:pPr>
              <w:snapToGrid w:val="0"/>
              <w:spacing w:line="400" w:lineRule="exact"/>
              <w:jc w:val="center"/>
              <w:rPr>
                <w:rFonts w:ascii="宋体" w:hAnsi="宋体" w:eastAsia="宋体" w:cs="宋体"/>
                <w:kern w:val="0"/>
                <w:sz w:val="24"/>
                <w:szCs w:val="24"/>
                <w:highlight w:val="none"/>
              </w:rPr>
            </w:pPr>
          </w:p>
        </w:tc>
        <w:tc>
          <w:tcPr>
            <w:tcW w:w="2242" w:type="dxa"/>
            <w:vMerge w:val="restart"/>
            <w:vAlign w:val="center"/>
          </w:tcPr>
          <w:p>
            <w:pPr>
              <w:snapToGrid w:val="0"/>
              <w:spacing w:line="400" w:lineRule="exact"/>
              <w:jc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地址</w:t>
            </w:r>
          </w:p>
        </w:tc>
        <w:tc>
          <w:tcPr>
            <w:tcW w:w="4450" w:type="dxa"/>
            <w:gridSpan w:val="3"/>
            <w:vAlign w:val="center"/>
          </w:tcPr>
          <w:p>
            <w:pPr>
              <w:snapToGrid w:val="0"/>
              <w:spacing w:line="400" w:lineRule="exact"/>
              <w:jc w:val="center"/>
              <w:rPr>
                <w:rFonts w:ascii="宋体" w:hAnsi="宋体" w:eastAsia="宋体" w:cs="宋体"/>
                <w:kern w:val="0"/>
                <w:sz w:val="24"/>
                <w:szCs w:val="24"/>
                <w:highlight w:val="none"/>
              </w:rPr>
            </w:pPr>
          </w:p>
        </w:tc>
        <w:tc>
          <w:tcPr>
            <w:tcW w:w="2242" w:type="dxa"/>
            <w:vMerge w:val="continue"/>
            <w:vAlign w:val="center"/>
          </w:tcPr>
          <w:p>
            <w:pPr>
              <w:snapToGrid w:val="0"/>
              <w:spacing w:line="400" w:lineRule="exact"/>
              <w:jc w:val="center"/>
              <w:rPr>
                <w:rFonts w:ascii="宋体" w:hAnsi="宋体" w:eastAsia="宋体" w:cs="宋体"/>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1658" w:type="dxa"/>
            <w:vAlign w:val="center"/>
          </w:tcPr>
          <w:p>
            <w:pPr>
              <w:snapToGrid w:val="0"/>
              <w:spacing w:line="400" w:lineRule="exact"/>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注册资本金</w:t>
            </w:r>
          </w:p>
        </w:tc>
        <w:tc>
          <w:tcPr>
            <w:tcW w:w="1046" w:type="dxa"/>
            <w:vAlign w:val="center"/>
          </w:tcPr>
          <w:p>
            <w:pPr>
              <w:snapToGrid w:val="0"/>
              <w:spacing w:line="400" w:lineRule="exact"/>
              <w:jc w:val="center"/>
              <w:rPr>
                <w:rFonts w:ascii="宋体" w:hAnsi="宋体" w:eastAsia="宋体" w:cs="宋体"/>
                <w:kern w:val="0"/>
                <w:sz w:val="24"/>
                <w:szCs w:val="24"/>
                <w:highlight w:val="none"/>
              </w:rPr>
            </w:pPr>
          </w:p>
        </w:tc>
        <w:tc>
          <w:tcPr>
            <w:tcW w:w="2151" w:type="dxa"/>
            <w:vAlign w:val="center"/>
          </w:tcPr>
          <w:p>
            <w:pPr>
              <w:snapToGrid w:val="0"/>
              <w:spacing w:line="400" w:lineRule="exact"/>
              <w:jc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其中：投标人出资比例</w:t>
            </w:r>
          </w:p>
        </w:tc>
        <w:tc>
          <w:tcPr>
            <w:tcW w:w="1253" w:type="dxa"/>
            <w:vAlign w:val="center"/>
          </w:tcPr>
          <w:p>
            <w:pPr>
              <w:snapToGrid w:val="0"/>
              <w:spacing w:line="400" w:lineRule="exact"/>
              <w:jc w:val="center"/>
              <w:rPr>
                <w:rFonts w:ascii="宋体" w:hAnsi="宋体" w:eastAsia="宋体" w:cs="宋体"/>
                <w:kern w:val="0"/>
                <w:sz w:val="24"/>
                <w:szCs w:val="24"/>
                <w:highlight w:val="none"/>
              </w:rPr>
            </w:pPr>
          </w:p>
        </w:tc>
        <w:tc>
          <w:tcPr>
            <w:tcW w:w="2242" w:type="dxa"/>
            <w:vMerge w:val="restart"/>
            <w:vAlign w:val="center"/>
          </w:tcPr>
          <w:p>
            <w:pPr>
              <w:snapToGrid w:val="0"/>
              <w:spacing w:line="400" w:lineRule="exact"/>
              <w:jc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提供相关证明材料（如：营业执照或租房合同等）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员工总人数</w:t>
            </w:r>
          </w:p>
        </w:tc>
        <w:tc>
          <w:tcPr>
            <w:tcW w:w="1046" w:type="dxa"/>
            <w:vAlign w:val="center"/>
          </w:tcPr>
          <w:p>
            <w:pPr>
              <w:snapToGrid w:val="0"/>
              <w:spacing w:line="400" w:lineRule="exact"/>
              <w:jc w:val="center"/>
              <w:rPr>
                <w:rFonts w:ascii="宋体" w:hAnsi="宋体" w:eastAsia="宋体" w:cs="宋体"/>
                <w:kern w:val="0"/>
                <w:sz w:val="24"/>
                <w:szCs w:val="24"/>
                <w:highlight w:val="none"/>
              </w:rPr>
            </w:pPr>
          </w:p>
        </w:tc>
        <w:tc>
          <w:tcPr>
            <w:tcW w:w="2151" w:type="dxa"/>
            <w:vAlign w:val="center"/>
          </w:tcPr>
          <w:p>
            <w:pPr>
              <w:snapToGrid w:val="0"/>
              <w:spacing w:line="400" w:lineRule="exact"/>
              <w:jc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其中：技术人员数</w:t>
            </w:r>
          </w:p>
        </w:tc>
        <w:tc>
          <w:tcPr>
            <w:tcW w:w="1253" w:type="dxa"/>
            <w:vAlign w:val="center"/>
          </w:tcPr>
          <w:p>
            <w:pPr>
              <w:snapToGrid w:val="0"/>
              <w:spacing w:line="400" w:lineRule="exact"/>
              <w:jc w:val="center"/>
              <w:rPr>
                <w:rFonts w:ascii="宋体" w:hAnsi="宋体" w:eastAsia="宋体" w:cs="宋体"/>
                <w:kern w:val="0"/>
                <w:sz w:val="24"/>
                <w:szCs w:val="24"/>
                <w:highlight w:val="none"/>
              </w:rPr>
            </w:pPr>
          </w:p>
        </w:tc>
        <w:tc>
          <w:tcPr>
            <w:tcW w:w="2242" w:type="dxa"/>
            <w:vMerge w:val="continue"/>
            <w:vAlign w:val="center"/>
          </w:tcPr>
          <w:p>
            <w:pPr>
              <w:snapToGrid w:val="0"/>
              <w:spacing w:line="400" w:lineRule="exact"/>
              <w:jc w:val="center"/>
              <w:rPr>
                <w:rFonts w:ascii="宋体" w:hAnsi="宋体" w:eastAsia="宋体" w:cs="宋体"/>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经营期限</w:t>
            </w:r>
          </w:p>
        </w:tc>
        <w:tc>
          <w:tcPr>
            <w:tcW w:w="4450" w:type="dxa"/>
            <w:gridSpan w:val="3"/>
            <w:vAlign w:val="center"/>
          </w:tcPr>
          <w:p>
            <w:pPr>
              <w:snapToGrid w:val="0"/>
              <w:spacing w:line="400" w:lineRule="exact"/>
              <w:jc w:val="center"/>
              <w:rPr>
                <w:rFonts w:ascii="宋体" w:hAnsi="宋体" w:eastAsia="宋体" w:cs="宋体"/>
                <w:kern w:val="0"/>
                <w:sz w:val="24"/>
                <w:szCs w:val="24"/>
                <w:highlight w:val="none"/>
              </w:rPr>
            </w:pPr>
          </w:p>
        </w:tc>
        <w:tc>
          <w:tcPr>
            <w:tcW w:w="2242" w:type="dxa"/>
            <w:vMerge w:val="continue"/>
            <w:vAlign w:val="center"/>
          </w:tcPr>
          <w:p>
            <w:pPr>
              <w:snapToGrid w:val="0"/>
              <w:spacing w:line="400" w:lineRule="exact"/>
              <w:jc w:val="center"/>
              <w:rPr>
                <w:rFonts w:ascii="宋体" w:hAnsi="宋体" w:eastAsia="宋体" w:cs="宋体"/>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1658" w:type="dxa"/>
            <w:vAlign w:val="center"/>
          </w:tcPr>
          <w:p>
            <w:pPr>
              <w:snapToGrid w:val="0"/>
              <w:spacing w:line="400" w:lineRule="exact"/>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售后服务协议</w:t>
            </w:r>
          </w:p>
        </w:tc>
        <w:tc>
          <w:tcPr>
            <w:tcW w:w="4450" w:type="dxa"/>
            <w:gridSpan w:val="3"/>
            <w:vAlign w:val="center"/>
          </w:tcPr>
          <w:p>
            <w:pPr>
              <w:snapToGrid w:val="0"/>
              <w:spacing w:line="400" w:lineRule="exact"/>
              <w:jc w:val="center"/>
              <w:rPr>
                <w:rFonts w:ascii="宋体" w:hAnsi="宋体" w:eastAsia="宋体" w:cs="宋体"/>
                <w:kern w:val="0"/>
                <w:sz w:val="24"/>
                <w:szCs w:val="24"/>
                <w:highlight w:val="none"/>
              </w:rPr>
            </w:pPr>
          </w:p>
        </w:tc>
        <w:tc>
          <w:tcPr>
            <w:tcW w:w="2242" w:type="dxa"/>
            <w:vAlign w:val="center"/>
          </w:tcPr>
          <w:p>
            <w:pPr>
              <w:snapToGrid w:val="0"/>
              <w:spacing w:line="400" w:lineRule="exact"/>
              <w:jc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提供相关</w:t>
            </w:r>
          </w:p>
          <w:p>
            <w:pPr>
              <w:snapToGrid w:val="0"/>
              <w:spacing w:line="400" w:lineRule="exact"/>
              <w:jc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售后服务内容</w:t>
            </w:r>
          </w:p>
        </w:tc>
        <w:tc>
          <w:tcPr>
            <w:tcW w:w="4450" w:type="dxa"/>
            <w:gridSpan w:val="3"/>
            <w:vAlign w:val="center"/>
          </w:tcPr>
          <w:p>
            <w:pPr>
              <w:snapToGrid w:val="0"/>
              <w:spacing w:line="400" w:lineRule="exact"/>
              <w:jc w:val="center"/>
              <w:rPr>
                <w:rFonts w:ascii="宋体" w:hAnsi="宋体" w:eastAsia="宋体" w:cs="宋体"/>
                <w:kern w:val="0"/>
                <w:sz w:val="24"/>
                <w:szCs w:val="24"/>
                <w:highlight w:val="none"/>
              </w:rPr>
            </w:pPr>
          </w:p>
        </w:tc>
        <w:tc>
          <w:tcPr>
            <w:tcW w:w="2242" w:type="dxa"/>
            <w:vMerge w:val="restart"/>
            <w:vAlign w:val="center"/>
          </w:tcPr>
          <w:p>
            <w:pPr>
              <w:snapToGrid w:val="0"/>
              <w:spacing w:line="400" w:lineRule="exact"/>
              <w:jc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此部分内容做附件进行详细说明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服务承诺</w:t>
            </w:r>
          </w:p>
        </w:tc>
        <w:tc>
          <w:tcPr>
            <w:tcW w:w="4450" w:type="dxa"/>
            <w:gridSpan w:val="3"/>
            <w:vAlign w:val="center"/>
          </w:tcPr>
          <w:p>
            <w:pPr>
              <w:snapToGrid w:val="0"/>
              <w:spacing w:line="400" w:lineRule="exact"/>
              <w:jc w:val="center"/>
              <w:rPr>
                <w:rFonts w:ascii="宋体" w:hAnsi="宋体" w:eastAsia="宋体" w:cs="宋体"/>
                <w:kern w:val="0"/>
                <w:sz w:val="24"/>
                <w:szCs w:val="24"/>
                <w:highlight w:val="none"/>
              </w:rPr>
            </w:pPr>
          </w:p>
        </w:tc>
        <w:tc>
          <w:tcPr>
            <w:tcW w:w="2242" w:type="dxa"/>
            <w:vMerge w:val="continue"/>
            <w:vAlign w:val="center"/>
          </w:tcPr>
          <w:p>
            <w:pPr>
              <w:snapToGrid w:val="0"/>
              <w:spacing w:line="400" w:lineRule="exact"/>
              <w:jc w:val="center"/>
              <w:rPr>
                <w:rFonts w:ascii="宋体" w:hAnsi="宋体" w:eastAsia="宋体" w:cs="宋体"/>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业务咨询电话</w:t>
            </w:r>
          </w:p>
        </w:tc>
        <w:tc>
          <w:tcPr>
            <w:tcW w:w="1046" w:type="dxa"/>
            <w:vAlign w:val="center"/>
          </w:tcPr>
          <w:p>
            <w:pPr>
              <w:snapToGrid w:val="0"/>
              <w:spacing w:line="400" w:lineRule="exact"/>
              <w:jc w:val="center"/>
              <w:rPr>
                <w:rFonts w:ascii="宋体" w:hAnsi="宋体" w:eastAsia="宋体" w:cs="宋体"/>
                <w:kern w:val="0"/>
                <w:sz w:val="24"/>
                <w:szCs w:val="24"/>
                <w:highlight w:val="none"/>
              </w:rPr>
            </w:pPr>
          </w:p>
        </w:tc>
        <w:tc>
          <w:tcPr>
            <w:tcW w:w="2151" w:type="dxa"/>
            <w:vAlign w:val="center"/>
          </w:tcPr>
          <w:p>
            <w:pPr>
              <w:snapToGrid w:val="0"/>
              <w:spacing w:line="400" w:lineRule="exact"/>
              <w:jc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传真</w:t>
            </w:r>
          </w:p>
        </w:tc>
        <w:tc>
          <w:tcPr>
            <w:tcW w:w="1253" w:type="dxa"/>
            <w:vAlign w:val="center"/>
          </w:tcPr>
          <w:p>
            <w:pPr>
              <w:snapToGrid w:val="0"/>
              <w:spacing w:line="400" w:lineRule="exact"/>
              <w:jc w:val="center"/>
              <w:rPr>
                <w:rFonts w:ascii="宋体" w:hAnsi="宋体" w:eastAsia="宋体" w:cs="宋体"/>
                <w:kern w:val="0"/>
                <w:sz w:val="24"/>
                <w:szCs w:val="24"/>
                <w:highlight w:val="none"/>
              </w:rPr>
            </w:pPr>
          </w:p>
        </w:tc>
        <w:tc>
          <w:tcPr>
            <w:tcW w:w="2242" w:type="dxa"/>
            <w:vMerge w:val="restart"/>
            <w:vAlign w:val="center"/>
          </w:tcPr>
          <w:p>
            <w:pPr>
              <w:snapToGrid w:val="0"/>
              <w:spacing w:line="400" w:lineRule="exact"/>
              <w:jc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附人员身份证等相关证件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1658" w:type="dxa"/>
            <w:vAlign w:val="center"/>
          </w:tcPr>
          <w:p>
            <w:pPr>
              <w:snapToGrid w:val="0"/>
              <w:spacing w:line="400" w:lineRule="exact"/>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负责人</w:t>
            </w:r>
          </w:p>
        </w:tc>
        <w:tc>
          <w:tcPr>
            <w:tcW w:w="1046" w:type="dxa"/>
            <w:vAlign w:val="center"/>
          </w:tcPr>
          <w:p>
            <w:pPr>
              <w:snapToGrid w:val="0"/>
              <w:spacing w:line="400" w:lineRule="exact"/>
              <w:jc w:val="center"/>
              <w:rPr>
                <w:rFonts w:ascii="宋体" w:hAnsi="宋体" w:eastAsia="宋体" w:cs="宋体"/>
                <w:kern w:val="0"/>
                <w:sz w:val="24"/>
                <w:szCs w:val="24"/>
                <w:highlight w:val="none"/>
              </w:rPr>
            </w:pPr>
          </w:p>
        </w:tc>
        <w:tc>
          <w:tcPr>
            <w:tcW w:w="2151" w:type="dxa"/>
            <w:vAlign w:val="center"/>
          </w:tcPr>
          <w:p>
            <w:pPr>
              <w:snapToGrid w:val="0"/>
              <w:spacing w:line="400" w:lineRule="exact"/>
              <w:jc w:val="center"/>
              <w:rPr>
                <w:rFonts w:ascii="宋体" w:hAnsi="宋体" w:eastAsia="宋体" w:cs="宋体"/>
                <w:kern w:val="0"/>
                <w:sz w:val="24"/>
                <w:szCs w:val="24"/>
                <w:highlight w:val="none"/>
              </w:rPr>
            </w:pPr>
            <w:r>
              <w:rPr>
                <w:rFonts w:hint="eastAsia" w:ascii="宋体" w:hAnsi="宋体" w:eastAsia="宋体" w:cs="宋体"/>
                <w:kern w:val="0"/>
                <w:sz w:val="24"/>
                <w:szCs w:val="24"/>
                <w:highlight w:val="none"/>
              </w:rPr>
              <w:t>联系电话</w:t>
            </w:r>
          </w:p>
        </w:tc>
        <w:tc>
          <w:tcPr>
            <w:tcW w:w="1253" w:type="dxa"/>
            <w:vAlign w:val="center"/>
          </w:tcPr>
          <w:p>
            <w:pPr>
              <w:snapToGrid w:val="0"/>
              <w:spacing w:line="400" w:lineRule="exact"/>
              <w:jc w:val="center"/>
              <w:rPr>
                <w:rFonts w:ascii="宋体" w:hAnsi="宋体" w:eastAsia="宋体" w:cs="宋体"/>
                <w:kern w:val="0"/>
                <w:sz w:val="24"/>
                <w:szCs w:val="24"/>
                <w:highlight w:val="none"/>
              </w:rPr>
            </w:pPr>
          </w:p>
        </w:tc>
        <w:tc>
          <w:tcPr>
            <w:tcW w:w="2242" w:type="dxa"/>
            <w:vMerge w:val="continue"/>
            <w:vAlign w:val="center"/>
          </w:tcPr>
          <w:p>
            <w:pPr>
              <w:snapToGrid w:val="0"/>
              <w:spacing w:line="400" w:lineRule="exact"/>
              <w:jc w:val="center"/>
              <w:rPr>
                <w:rFonts w:ascii="宋体" w:hAnsi="宋体" w:eastAsia="宋体" w:cs="宋体"/>
                <w:kern w:val="0"/>
                <w:sz w:val="24"/>
                <w:szCs w:val="24"/>
                <w:highlight w:val="none"/>
              </w:rPr>
            </w:pPr>
          </w:p>
        </w:tc>
      </w:tr>
    </w:tbl>
    <w:p>
      <w:pPr>
        <w:snapToGrid w:val="0"/>
        <w:spacing w:line="400" w:lineRule="exact"/>
        <w:jc w:val="left"/>
        <w:rPr>
          <w:rFonts w:ascii="宋体" w:hAnsi="宋体" w:eastAsia="宋体" w:cs="宋体"/>
          <w:kern w:val="0"/>
          <w:sz w:val="24"/>
          <w:szCs w:val="24"/>
          <w:highlight w:val="none"/>
        </w:rPr>
      </w:pPr>
    </w:p>
    <w:p>
      <w:pPr>
        <w:pStyle w:val="196"/>
        <w:adjustRightInd w:val="0"/>
        <w:snapToGrid w:val="0"/>
        <w:spacing w:line="400" w:lineRule="exact"/>
        <w:ind w:left="1747" w:firstLine="470"/>
        <w:rPr>
          <w:rFonts w:ascii="宋体" w:hAnsi="宋体" w:cs="宋体"/>
          <w:sz w:val="24"/>
          <w:szCs w:val="24"/>
          <w:highlight w:val="none"/>
        </w:rPr>
      </w:pPr>
      <w:r>
        <w:rPr>
          <w:rFonts w:hint="eastAsia" w:ascii="宋体" w:hAnsi="宋体" w:cs="宋体"/>
          <w:sz w:val="24"/>
          <w:szCs w:val="24"/>
          <w:highlight w:val="none"/>
        </w:rPr>
        <w:t>投标人（盖单位章）：</w:t>
      </w:r>
    </w:p>
    <w:p>
      <w:pPr>
        <w:adjustRightInd w:val="0"/>
        <w:snapToGrid w:val="0"/>
        <w:spacing w:line="400" w:lineRule="exact"/>
        <w:jc w:val="left"/>
        <w:rPr>
          <w:rFonts w:ascii="宋体" w:hAnsi="宋体" w:cs="宋体"/>
          <w:sz w:val="24"/>
          <w:szCs w:val="24"/>
          <w:highlight w:val="none"/>
        </w:rPr>
      </w:pPr>
      <w:r>
        <w:rPr>
          <w:rFonts w:hint="eastAsia" w:ascii="宋体" w:hAnsi="宋体" w:cs="宋体"/>
          <w:sz w:val="24"/>
          <w:szCs w:val="24"/>
          <w:highlight w:val="none"/>
        </w:rPr>
        <w:t>法定代表人（负责人、自然人）或授权代表（签字）：</w:t>
      </w:r>
    </w:p>
    <w:p>
      <w:pPr>
        <w:snapToGrid w:val="0"/>
        <w:spacing w:line="400" w:lineRule="exact"/>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   日期：        年    月    日</w:t>
      </w:r>
    </w:p>
    <w:p>
      <w:pPr>
        <w:widowControl/>
        <w:snapToGrid w:val="0"/>
        <w:spacing w:line="400" w:lineRule="exact"/>
        <w:jc w:val="left"/>
        <w:rPr>
          <w:rFonts w:ascii="宋体" w:hAnsi="宋体" w:cs="宋体"/>
          <w:b/>
          <w:sz w:val="24"/>
          <w:szCs w:val="24"/>
          <w:highlight w:val="none"/>
        </w:rPr>
      </w:pPr>
    </w:p>
    <w:p>
      <w:pPr>
        <w:pStyle w:val="30"/>
        <w:rPr>
          <w:rFonts w:ascii="宋体" w:hAnsi="宋体" w:cs="宋体"/>
          <w:b/>
          <w:sz w:val="24"/>
          <w:szCs w:val="24"/>
          <w:highlight w:val="none"/>
        </w:rPr>
      </w:pPr>
    </w:p>
    <w:p>
      <w:pPr>
        <w:pStyle w:val="30"/>
        <w:rPr>
          <w:rFonts w:ascii="宋体" w:hAnsi="宋体" w:cs="宋体"/>
          <w:b/>
          <w:sz w:val="24"/>
          <w:szCs w:val="24"/>
          <w:highlight w:val="none"/>
        </w:rPr>
      </w:pPr>
    </w:p>
    <w:p>
      <w:pPr>
        <w:widowControl/>
        <w:snapToGrid w:val="0"/>
        <w:spacing w:line="400" w:lineRule="exact"/>
        <w:jc w:val="left"/>
        <w:rPr>
          <w:rFonts w:ascii="宋体" w:hAnsi="宋体" w:cs="宋体"/>
          <w:b/>
          <w:sz w:val="24"/>
          <w:szCs w:val="24"/>
          <w:highlight w:val="none"/>
        </w:rPr>
      </w:pPr>
      <w:r>
        <w:rPr>
          <w:rFonts w:hint="eastAsia" w:ascii="宋体" w:hAnsi="宋体" w:cs="宋体"/>
          <w:b/>
          <w:sz w:val="24"/>
          <w:szCs w:val="24"/>
          <w:highlight w:val="none"/>
        </w:rPr>
        <w:t>20、其他优惠条件（如有）：投标人承诺给予采购人的各种优惠条件，包括备品备件、专用耗材等；</w:t>
      </w:r>
    </w:p>
    <w:p>
      <w:pPr>
        <w:widowControl/>
        <w:snapToGrid w:val="0"/>
        <w:spacing w:line="400" w:lineRule="exact"/>
        <w:jc w:val="left"/>
        <w:rPr>
          <w:rFonts w:ascii="宋体" w:hAnsi="宋体" w:cs="宋体"/>
          <w:b/>
          <w:sz w:val="24"/>
          <w:szCs w:val="24"/>
          <w:highlight w:val="none"/>
        </w:rPr>
      </w:pPr>
    </w:p>
    <w:p>
      <w:pPr>
        <w:widowControl/>
        <w:snapToGrid w:val="0"/>
        <w:spacing w:line="400" w:lineRule="exact"/>
        <w:jc w:val="left"/>
        <w:rPr>
          <w:rFonts w:ascii="宋体" w:hAnsi="宋体" w:cs="宋体"/>
          <w:b/>
          <w:sz w:val="24"/>
          <w:szCs w:val="24"/>
          <w:highlight w:val="none"/>
        </w:rPr>
      </w:pPr>
      <w:r>
        <w:rPr>
          <w:rFonts w:hint="eastAsia" w:ascii="宋体" w:hAnsi="宋体" w:cs="宋体"/>
          <w:b/>
          <w:sz w:val="24"/>
          <w:szCs w:val="24"/>
          <w:highlight w:val="none"/>
        </w:rPr>
        <w:t>21、投标人需要提供的其他文件或资料（如有）。</w:t>
      </w:r>
    </w:p>
    <w:p>
      <w:pPr>
        <w:pStyle w:val="30"/>
        <w:rPr>
          <w:rFonts w:ascii="宋体" w:hAnsi="宋体" w:cs="宋体"/>
          <w:b/>
          <w:bCs/>
          <w:sz w:val="24"/>
          <w:szCs w:val="24"/>
          <w:highlight w:val="none"/>
        </w:rPr>
      </w:pPr>
    </w:p>
    <w:p>
      <w:pPr>
        <w:pStyle w:val="30"/>
        <w:rPr>
          <w:rFonts w:ascii="宋体" w:hAnsi="宋体" w:cs="宋体"/>
          <w:b/>
          <w:bCs/>
          <w:sz w:val="24"/>
          <w:szCs w:val="24"/>
          <w:highlight w:val="none"/>
        </w:rPr>
      </w:pPr>
    </w:p>
    <w:p>
      <w:pPr>
        <w:pStyle w:val="30"/>
        <w:rPr>
          <w:rFonts w:ascii="宋体" w:hAnsi="宋体" w:cs="宋体"/>
          <w:b/>
          <w:bCs/>
          <w:sz w:val="24"/>
          <w:szCs w:val="24"/>
          <w:highlight w:val="none"/>
        </w:rPr>
      </w:pPr>
    </w:p>
    <w:p>
      <w:pPr>
        <w:pStyle w:val="30"/>
        <w:rPr>
          <w:rFonts w:ascii="宋体" w:hAnsi="宋体" w:cs="宋体"/>
          <w:b/>
          <w:bCs/>
          <w:sz w:val="24"/>
          <w:szCs w:val="24"/>
          <w:highlight w:val="none"/>
        </w:rPr>
      </w:pPr>
    </w:p>
    <w:p>
      <w:pPr>
        <w:pStyle w:val="30"/>
        <w:rPr>
          <w:rFonts w:ascii="宋体" w:hAnsi="宋体" w:cs="宋体"/>
          <w:b/>
          <w:bCs/>
          <w:sz w:val="24"/>
          <w:szCs w:val="24"/>
          <w:highlight w:val="none"/>
        </w:rPr>
      </w:pPr>
    </w:p>
    <w:p>
      <w:pPr>
        <w:pStyle w:val="30"/>
        <w:rPr>
          <w:rFonts w:ascii="宋体" w:hAnsi="宋体" w:cs="宋体"/>
          <w:b/>
          <w:bCs/>
          <w:sz w:val="24"/>
          <w:szCs w:val="24"/>
          <w:highlight w:val="none"/>
        </w:rPr>
      </w:pPr>
    </w:p>
    <w:p>
      <w:pPr>
        <w:pStyle w:val="30"/>
        <w:rPr>
          <w:rFonts w:ascii="宋体" w:hAnsi="宋体" w:cs="宋体"/>
          <w:b/>
          <w:bCs/>
          <w:sz w:val="24"/>
          <w:szCs w:val="24"/>
          <w:highlight w:val="none"/>
        </w:rPr>
      </w:pPr>
    </w:p>
    <w:p>
      <w:pPr>
        <w:pStyle w:val="30"/>
        <w:rPr>
          <w:rFonts w:ascii="宋体" w:hAnsi="宋体" w:cs="宋体"/>
          <w:b/>
          <w:bCs/>
          <w:sz w:val="24"/>
          <w:szCs w:val="24"/>
          <w:highlight w:val="none"/>
        </w:rPr>
      </w:pPr>
    </w:p>
    <w:p>
      <w:pPr>
        <w:pStyle w:val="30"/>
        <w:rPr>
          <w:rFonts w:ascii="宋体" w:hAnsi="宋体" w:cs="宋体"/>
          <w:b/>
          <w:bCs/>
          <w:sz w:val="24"/>
          <w:szCs w:val="24"/>
          <w:highlight w:val="none"/>
        </w:rPr>
      </w:pPr>
    </w:p>
    <w:p>
      <w:pPr>
        <w:pStyle w:val="30"/>
        <w:rPr>
          <w:rFonts w:ascii="宋体" w:hAnsi="宋体" w:cs="宋体"/>
          <w:b/>
          <w:bCs/>
          <w:sz w:val="24"/>
          <w:szCs w:val="24"/>
          <w:highlight w:val="none"/>
        </w:rPr>
      </w:pPr>
    </w:p>
    <w:p>
      <w:pPr>
        <w:pStyle w:val="30"/>
        <w:rPr>
          <w:rFonts w:ascii="宋体" w:hAnsi="宋体" w:cs="宋体"/>
          <w:b/>
          <w:bCs/>
          <w:sz w:val="24"/>
          <w:szCs w:val="24"/>
          <w:highlight w:val="none"/>
        </w:rPr>
      </w:pPr>
    </w:p>
    <w:p>
      <w:pPr>
        <w:pStyle w:val="30"/>
        <w:rPr>
          <w:rFonts w:ascii="宋体" w:hAnsi="宋体" w:cs="宋体"/>
          <w:b/>
          <w:bCs/>
          <w:sz w:val="24"/>
          <w:szCs w:val="24"/>
          <w:highlight w:val="none"/>
        </w:rPr>
      </w:pPr>
    </w:p>
    <w:p>
      <w:pPr>
        <w:pStyle w:val="30"/>
        <w:rPr>
          <w:rFonts w:ascii="宋体" w:hAnsi="宋体" w:cs="宋体"/>
          <w:b/>
          <w:bCs/>
          <w:sz w:val="24"/>
          <w:szCs w:val="24"/>
          <w:highlight w:val="none"/>
        </w:rPr>
      </w:pPr>
    </w:p>
    <w:p>
      <w:pPr>
        <w:pStyle w:val="30"/>
        <w:rPr>
          <w:rFonts w:ascii="宋体" w:hAnsi="宋体" w:cs="宋体"/>
          <w:b/>
          <w:bCs/>
          <w:sz w:val="24"/>
          <w:szCs w:val="24"/>
          <w:highlight w:val="none"/>
        </w:rPr>
      </w:pPr>
    </w:p>
    <w:p>
      <w:pPr>
        <w:pStyle w:val="30"/>
        <w:rPr>
          <w:rFonts w:ascii="宋体" w:hAnsi="宋体" w:cs="宋体"/>
          <w:b/>
          <w:bCs/>
          <w:sz w:val="24"/>
          <w:szCs w:val="24"/>
          <w:highlight w:val="none"/>
        </w:rPr>
      </w:pPr>
    </w:p>
    <w:p>
      <w:pPr>
        <w:pStyle w:val="30"/>
        <w:rPr>
          <w:rFonts w:ascii="宋体" w:hAnsi="宋体" w:cs="宋体"/>
          <w:b/>
          <w:bCs/>
          <w:sz w:val="24"/>
          <w:szCs w:val="24"/>
          <w:highlight w:val="none"/>
        </w:rPr>
      </w:pPr>
    </w:p>
    <w:p>
      <w:pPr>
        <w:pStyle w:val="30"/>
        <w:rPr>
          <w:rFonts w:ascii="宋体" w:hAnsi="宋体" w:cs="宋体"/>
          <w:b/>
          <w:bCs/>
          <w:sz w:val="24"/>
          <w:szCs w:val="24"/>
          <w:highlight w:val="none"/>
        </w:rPr>
      </w:pPr>
    </w:p>
    <w:p>
      <w:pPr>
        <w:pStyle w:val="30"/>
        <w:rPr>
          <w:rFonts w:ascii="宋体" w:hAnsi="宋体" w:cs="宋体"/>
          <w:b/>
          <w:bCs/>
          <w:sz w:val="24"/>
          <w:szCs w:val="24"/>
          <w:highlight w:val="none"/>
        </w:rPr>
      </w:pPr>
    </w:p>
    <w:p>
      <w:pPr>
        <w:pStyle w:val="30"/>
        <w:rPr>
          <w:rFonts w:ascii="宋体" w:hAnsi="宋体" w:cs="宋体"/>
          <w:b/>
          <w:bCs/>
          <w:sz w:val="24"/>
          <w:szCs w:val="24"/>
          <w:highlight w:val="none"/>
        </w:rPr>
      </w:pPr>
    </w:p>
    <w:p>
      <w:pPr>
        <w:pStyle w:val="30"/>
        <w:rPr>
          <w:rFonts w:ascii="宋体" w:hAnsi="宋体" w:cs="宋体"/>
          <w:b/>
          <w:bCs/>
          <w:sz w:val="24"/>
          <w:szCs w:val="24"/>
          <w:highlight w:val="none"/>
        </w:rPr>
      </w:pPr>
    </w:p>
    <w:p>
      <w:pPr>
        <w:pStyle w:val="30"/>
        <w:rPr>
          <w:rFonts w:ascii="宋体" w:hAnsi="宋体" w:cs="宋体"/>
          <w:b/>
          <w:bCs/>
          <w:sz w:val="24"/>
          <w:szCs w:val="24"/>
          <w:highlight w:val="none"/>
        </w:rPr>
      </w:pPr>
    </w:p>
    <w:p>
      <w:pPr>
        <w:pStyle w:val="30"/>
        <w:rPr>
          <w:rFonts w:ascii="宋体" w:hAnsi="宋体" w:cs="宋体"/>
          <w:b/>
          <w:bCs/>
          <w:sz w:val="24"/>
          <w:szCs w:val="24"/>
          <w:highlight w:val="none"/>
        </w:rPr>
      </w:pPr>
    </w:p>
    <w:p>
      <w:pPr>
        <w:pStyle w:val="30"/>
        <w:rPr>
          <w:rFonts w:ascii="宋体" w:hAnsi="宋体" w:cs="宋体"/>
          <w:b/>
          <w:bCs/>
          <w:sz w:val="24"/>
          <w:szCs w:val="24"/>
          <w:highlight w:val="none"/>
        </w:rPr>
      </w:pPr>
    </w:p>
    <w:p>
      <w:pPr>
        <w:pStyle w:val="30"/>
        <w:rPr>
          <w:rFonts w:ascii="宋体" w:hAnsi="宋体" w:cs="宋体"/>
          <w:b/>
          <w:bCs/>
          <w:sz w:val="24"/>
          <w:szCs w:val="24"/>
          <w:highlight w:val="none"/>
        </w:rPr>
      </w:pPr>
    </w:p>
    <w:p>
      <w:pPr>
        <w:pStyle w:val="30"/>
        <w:rPr>
          <w:rFonts w:ascii="宋体" w:hAnsi="宋体" w:cs="宋体"/>
          <w:b/>
          <w:bCs/>
          <w:sz w:val="24"/>
          <w:szCs w:val="24"/>
          <w:highlight w:val="none"/>
        </w:rPr>
      </w:pPr>
    </w:p>
    <w:p>
      <w:pPr>
        <w:pStyle w:val="30"/>
        <w:rPr>
          <w:rFonts w:ascii="宋体" w:hAnsi="宋体" w:cs="宋体"/>
          <w:b/>
          <w:bCs/>
          <w:sz w:val="24"/>
          <w:szCs w:val="24"/>
          <w:highlight w:val="none"/>
        </w:rPr>
      </w:pPr>
    </w:p>
    <w:p>
      <w:pPr>
        <w:pStyle w:val="30"/>
        <w:rPr>
          <w:rFonts w:ascii="宋体" w:hAnsi="宋体" w:cs="宋体"/>
          <w:b/>
          <w:bCs/>
          <w:sz w:val="24"/>
          <w:szCs w:val="24"/>
          <w:highlight w:val="none"/>
        </w:rPr>
      </w:pPr>
    </w:p>
    <w:p>
      <w:pPr>
        <w:widowControl/>
        <w:snapToGrid w:val="0"/>
        <w:spacing w:line="400" w:lineRule="exact"/>
        <w:jc w:val="left"/>
        <w:rPr>
          <w:rFonts w:ascii="宋体" w:hAnsi="宋体" w:cs="宋体"/>
          <w:b/>
          <w:bCs/>
          <w:sz w:val="24"/>
          <w:szCs w:val="24"/>
          <w:highlight w:val="none"/>
        </w:rPr>
      </w:pPr>
    </w:p>
    <w:p>
      <w:pPr>
        <w:adjustRightInd w:val="0"/>
        <w:snapToGrid w:val="0"/>
        <w:spacing w:line="400" w:lineRule="exact"/>
        <w:jc w:val="left"/>
        <w:rPr>
          <w:rFonts w:ascii="宋体" w:hAnsi="宋体" w:cs="宋体"/>
          <w:b/>
          <w:sz w:val="24"/>
          <w:szCs w:val="24"/>
          <w:highlight w:val="none"/>
        </w:rPr>
      </w:pPr>
    </w:p>
    <w:p>
      <w:pPr>
        <w:pStyle w:val="2"/>
        <w:spacing w:line="480" w:lineRule="exact"/>
        <w:rPr>
          <w:rFonts w:ascii="仿宋" w:hAnsi="仿宋" w:eastAsia="仿宋" w:cs="仿宋"/>
          <w:b/>
          <w:bCs/>
          <w:kern w:val="0"/>
          <w:sz w:val="24"/>
          <w:szCs w:val="24"/>
          <w:highlight w:val="none"/>
        </w:rPr>
      </w:pPr>
    </w:p>
    <w:p>
      <w:pPr>
        <w:pStyle w:val="2"/>
        <w:spacing w:line="480" w:lineRule="exact"/>
        <w:jc w:val="center"/>
        <w:rPr>
          <w:rFonts w:ascii="仿宋" w:hAnsi="仿宋" w:eastAsia="仿宋" w:cs="仿宋"/>
          <w:b/>
          <w:bCs/>
          <w:kern w:val="0"/>
          <w:sz w:val="24"/>
          <w:szCs w:val="24"/>
          <w:highlight w:val="none"/>
        </w:rPr>
      </w:pPr>
    </w:p>
    <w:p>
      <w:pPr>
        <w:pStyle w:val="37"/>
        <w:ind w:firstLine="0" w:firstLineChars="0"/>
        <w:rPr>
          <w:sz w:val="24"/>
          <w:szCs w:val="22"/>
          <w:highlight w:val="none"/>
        </w:rPr>
      </w:pPr>
    </w:p>
    <w:p>
      <w:pPr>
        <w:pStyle w:val="37"/>
        <w:ind w:firstLine="0" w:firstLineChars="0"/>
        <w:rPr>
          <w:sz w:val="24"/>
          <w:szCs w:val="22"/>
          <w:highlight w:val="none"/>
        </w:rPr>
      </w:pPr>
    </w:p>
    <w:p>
      <w:pPr>
        <w:pStyle w:val="37"/>
        <w:ind w:firstLine="0" w:firstLineChars="0"/>
        <w:rPr>
          <w:sz w:val="24"/>
          <w:szCs w:val="22"/>
          <w:highlight w:val="none"/>
        </w:rPr>
      </w:pPr>
    </w:p>
    <w:p>
      <w:pPr>
        <w:pStyle w:val="37"/>
        <w:ind w:firstLine="0" w:firstLineChars="0"/>
        <w:rPr>
          <w:sz w:val="24"/>
          <w:szCs w:val="22"/>
          <w:highlight w:val="none"/>
        </w:rPr>
      </w:pPr>
    </w:p>
    <w:p>
      <w:pPr>
        <w:pStyle w:val="37"/>
        <w:ind w:firstLine="0" w:firstLineChars="0"/>
        <w:rPr>
          <w:sz w:val="24"/>
          <w:szCs w:val="22"/>
          <w:highlight w:val="none"/>
        </w:rPr>
      </w:pPr>
      <w:r>
        <w:rPr>
          <w:rFonts w:hint="eastAsia"/>
          <w:sz w:val="24"/>
          <w:szCs w:val="22"/>
          <w:highlight w:val="none"/>
        </w:rPr>
        <w:t>附：</w:t>
      </w:r>
    </w:p>
    <w:p>
      <w:pPr>
        <w:pStyle w:val="37"/>
        <w:ind w:firstLine="0" w:firstLineChars="0"/>
        <w:jc w:val="center"/>
        <w:rPr>
          <w:sz w:val="24"/>
          <w:szCs w:val="22"/>
          <w:highlight w:val="none"/>
        </w:rPr>
      </w:pPr>
      <w:r>
        <w:rPr>
          <w:rFonts w:hint="eastAsia"/>
          <w:sz w:val="24"/>
          <w:szCs w:val="22"/>
          <w:highlight w:val="none"/>
        </w:rPr>
        <w:t>质疑函范本</w:t>
      </w:r>
    </w:p>
    <w:p>
      <w:pPr>
        <w:pStyle w:val="37"/>
        <w:ind w:firstLine="480"/>
        <w:rPr>
          <w:sz w:val="24"/>
          <w:szCs w:val="22"/>
          <w:highlight w:val="none"/>
        </w:rPr>
      </w:pPr>
      <w:r>
        <w:rPr>
          <w:rFonts w:hint="eastAsia"/>
          <w:sz w:val="24"/>
          <w:szCs w:val="22"/>
          <w:highlight w:val="none"/>
        </w:rPr>
        <w:t>一、质疑</w:t>
      </w:r>
      <w:r>
        <w:rPr>
          <w:rFonts w:hint="eastAsia"/>
          <w:sz w:val="24"/>
          <w:szCs w:val="22"/>
          <w:highlight w:val="none"/>
          <w:lang w:eastAsia="zh-CN"/>
        </w:rPr>
        <w:t>投标人</w:t>
      </w:r>
      <w:r>
        <w:rPr>
          <w:rFonts w:hint="eastAsia"/>
          <w:sz w:val="24"/>
          <w:szCs w:val="22"/>
          <w:highlight w:val="none"/>
        </w:rPr>
        <w:t>基本信息</w:t>
      </w:r>
    </w:p>
    <w:p>
      <w:pPr>
        <w:pStyle w:val="37"/>
        <w:ind w:firstLine="480"/>
        <w:rPr>
          <w:sz w:val="24"/>
          <w:szCs w:val="22"/>
          <w:highlight w:val="none"/>
          <w:u w:val="single"/>
        </w:rPr>
      </w:pPr>
      <w:r>
        <w:rPr>
          <w:rFonts w:hint="eastAsia"/>
          <w:sz w:val="24"/>
          <w:szCs w:val="22"/>
          <w:highlight w:val="none"/>
        </w:rPr>
        <w:t>质疑</w:t>
      </w:r>
      <w:r>
        <w:rPr>
          <w:rFonts w:hint="eastAsia"/>
          <w:sz w:val="24"/>
          <w:szCs w:val="22"/>
          <w:highlight w:val="none"/>
          <w:lang w:eastAsia="zh-CN"/>
        </w:rPr>
        <w:t>投标人</w:t>
      </w:r>
      <w:r>
        <w:rPr>
          <w:rFonts w:hint="eastAsia"/>
          <w:sz w:val="24"/>
          <w:szCs w:val="22"/>
          <w:highlight w:val="none"/>
        </w:rPr>
        <w:t xml:space="preserve">：  </w:t>
      </w:r>
    </w:p>
    <w:p>
      <w:pPr>
        <w:pStyle w:val="37"/>
        <w:ind w:firstLine="480"/>
        <w:rPr>
          <w:sz w:val="24"/>
          <w:szCs w:val="22"/>
          <w:highlight w:val="none"/>
        </w:rPr>
      </w:pPr>
      <w:r>
        <w:rPr>
          <w:rFonts w:hint="eastAsia"/>
          <w:sz w:val="24"/>
          <w:szCs w:val="22"/>
          <w:highlight w:val="none"/>
        </w:rPr>
        <w:t xml:space="preserve">地址：                          邮编：                  </w:t>
      </w:r>
    </w:p>
    <w:p>
      <w:pPr>
        <w:pStyle w:val="37"/>
        <w:ind w:firstLine="480"/>
        <w:rPr>
          <w:sz w:val="24"/>
          <w:szCs w:val="22"/>
          <w:highlight w:val="none"/>
        </w:rPr>
      </w:pPr>
      <w:r>
        <w:rPr>
          <w:rFonts w:hint="eastAsia"/>
          <w:sz w:val="24"/>
          <w:szCs w:val="22"/>
          <w:highlight w:val="none"/>
        </w:rPr>
        <w:t xml:space="preserve">联系人：                      联系电话：                 </w:t>
      </w:r>
    </w:p>
    <w:p>
      <w:pPr>
        <w:pStyle w:val="37"/>
        <w:ind w:firstLine="480"/>
        <w:rPr>
          <w:sz w:val="24"/>
          <w:szCs w:val="22"/>
          <w:highlight w:val="none"/>
        </w:rPr>
      </w:pPr>
      <w:r>
        <w:rPr>
          <w:rFonts w:hint="eastAsia"/>
          <w:sz w:val="24"/>
          <w:szCs w:val="22"/>
          <w:highlight w:val="none"/>
        </w:rPr>
        <w:t xml:space="preserve">授权代表：                                          </w:t>
      </w:r>
    </w:p>
    <w:p>
      <w:pPr>
        <w:pStyle w:val="37"/>
        <w:ind w:firstLine="480"/>
        <w:rPr>
          <w:sz w:val="24"/>
          <w:szCs w:val="22"/>
          <w:highlight w:val="none"/>
        </w:rPr>
      </w:pPr>
      <w:r>
        <w:rPr>
          <w:rFonts w:hint="eastAsia"/>
          <w:sz w:val="24"/>
          <w:szCs w:val="22"/>
          <w:highlight w:val="none"/>
        </w:rPr>
        <w:t xml:space="preserve">联系电话：                                            </w:t>
      </w:r>
    </w:p>
    <w:p>
      <w:pPr>
        <w:pStyle w:val="37"/>
        <w:ind w:firstLine="480"/>
        <w:rPr>
          <w:sz w:val="24"/>
          <w:szCs w:val="22"/>
          <w:highlight w:val="none"/>
        </w:rPr>
      </w:pPr>
      <w:r>
        <w:rPr>
          <w:rFonts w:hint="eastAsia"/>
          <w:sz w:val="24"/>
          <w:szCs w:val="22"/>
          <w:highlight w:val="none"/>
        </w:rPr>
        <w:t xml:space="preserve">地址：                         邮编：                    </w:t>
      </w:r>
    </w:p>
    <w:p>
      <w:pPr>
        <w:pStyle w:val="37"/>
        <w:ind w:firstLine="480"/>
        <w:rPr>
          <w:sz w:val="24"/>
          <w:szCs w:val="22"/>
          <w:highlight w:val="none"/>
        </w:rPr>
      </w:pPr>
      <w:r>
        <w:rPr>
          <w:rFonts w:hint="eastAsia"/>
          <w:sz w:val="24"/>
          <w:szCs w:val="22"/>
          <w:highlight w:val="none"/>
        </w:rPr>
        <w:t>二、质疑项目基本情况</w:t>
      </w:r>
    </w:p>
    <w:p>
      <w:pPr>
        <w:pStyle w:val="37"/>
        <w:ind w:firstLine="480"/>
        <w:rPr>
          <w:sz w:val="24"/>
          <w:szCs w:val="22"/>
          <w:highlight w:val="none"/>
        </w:rPr>
      </w:pPr>
      <w:r>
        <w:rPr>
          <w:rFonts w:hint="eastAsia"/>
          <w:sz w:val="24"/>
          <w:szCs w:val="22"/>
          <w:highlight w:val="none"/>
        </w:rPr>
        <w:t xml:space="preserve">质疑项目的名称：                                      </w:t>
      </w:r>
    </w:p>
    <w:p>
      <w:pPr>
        <w:pStyle w:val="37"/>
        <w:ind w:firstLine="480"/>
        <w:rPr>
          <w:sz w:val="24"/>
          <w:szCs w:val="22"/>
          <w:highlight w:val="none"/>
        </w:rPr>
      </w:pPr>
      <w:r>
        <w:rPr>
          <w:rFonts w:hint="eastAsia"/>
          <w:sz w:val="24"/>
          <w:szCs w:val="22"/>
          <w:highlight w:val="none"/>
        </w:rPr>
        <w:t xml:space="preserve">质疑项目的编号：               包号：                 </w:t>
      </w:r>
    </w:p>
    <w:p>
      <w:pPr>
        <w:pStyle w:val="37"/>
        <w:ind w:firstLine="480"/>
        <w:rPr>
          <w:sz w:val="24"/>
          <w:szCs w:val="22"/>
          <w:highlight w:val="none"/>
        </w:rPr>
      </w:pPr>
      <w:r>
        <w:rPr>
          <w:rFonts w:hint="eastAsia"/>
          <w:sz w:val="24"/>
          <w:szCs w:val="22"/>
          <w:highlight w:val="none"/>
        </w:rPr>
        <w:t xml:space="preserve">采购人名称：                                         </w:t>
      </w:r>
    </w:p>
    <w:p>
      <w:pPr>
        <w:pStyle w:val="37"/>
        <w:ind w:firstLine="480"/>
        <w:rPr>
          <w:sz w:val="24"/>
          <w:szCs w:val="22"/>
          <w:highlight w:val="none"/>
        </w:rPr>
      </w:pPr>
      <w:r>
        <w:rPr>
          <w:rFonts w:hint="eastAsia"/>
          <w:sz w:val="24"/>
          <w:szCs w:val="22"/>
          <w:highlight w:val="none"/>
        </w:rPr>
        <w:t xml:space="preserve">招标文件获取日期：                                           </w:t>
      </w:r>
    </w:p>
    <w:p>
      <w:pPr>
        <w:pStyle w:val="37"/>
        <w:ind w:firstLine="480"/>
        <w:rPr>
          <w:sz w:val="24"/>
          <w:szCs w:val="22"/>
          <w:highlight w:val="none"/>
        </w:rPr>
      </w:pPr>
      <w:r>
        <w:rPr>
          <w:rFonts w:hint="eastAsia"/>
          <w:sz w:val="24"/>
          <w:szCs w:val="22"/>
          <w:highlight w:val="none"/>
        </w:rPr>
        <w:t>三、质疑事项具体内容</w:t>
      </w:r>
    </w:p>
    <w:p>
      <w:pPr>
        <w:pStyle w:val="37"/>
        <w:ind w:firstLine="480"/>
        <w:rPr>
          <w:sz w:val="24"/>
          <w:szCs w:val="22"/>
          <w:highlight w:val="none"/>
        </w:rPr>
      </w:pPr>
      <w:r>
        <w:rPr>
          <w:rFonts w:hint="eastAsia"/>
          <w:sz w:val="24"/>
          <w:szCs w:val="22"/>
          <w:highlight w:val="none"/>
        </w:rPr>
        <w:t xml:space="preserve">质疑事项1：                                         </w:t>
      </w:r>
    </w:p>
    <w:p>
      <w:pPr>
        <w:pStyle w:val="37"/>
        <w:ind w:firstLine="480"/>
        <w:rPr>
          <w:sz w:val="24"/>
          <w:szCs w:val="22"/>
          <w:highlight w:val="none"/>
        </w:rPr>
      </w:pPr>
      <w:r>
        <w:rPr>
          <w:rFonts w:hint="eastAsia"/>
          <w:sz w:val="24"/>
          <w:szCs w:val="22"/>
          <w:highlight w:val="none"/>
        </w:rPr>
        <w:t xml:space="preserve">事实依据：                                          </w:t>
      </w:r>
    </w:p>
    <w:p>
      <w:pPr>
        <w:pStyle w:val="37"/>
        <w:ind w:firstLine="480"/>
        <w:rPr>
          <w:sz w:val="24"/>
          <w:szCs w:val="22"/>
          <w:highlight w:val="none"/>
        </w:rPr>
      </w:pPr>
    </w:p>
    <w:p>
      <w:pPr>
        <w:pStyle w:val="37"/>
        <w:ind w:firstLine="480"/>
        <w:rPr>
          <w:sz w:val="24"/>
          <w:szCs w:val="22"/>
          <w:highlight w:val="none"/>
        </w:rPr>
      </w:pPr>
      <w:r>
        <w:rPr>
          <w:rFonts w:hint="eastAsia"/>
          <w:sz w:val="24"/>
          <w:szCs w:val="22"/>
          <w:highlight w:val="none"/>
        </w:rPr>
        <w:t xml:space="preserve">法律依据：                                          </w:t>
      </w:r>
    </w:p>
    <w:p>
      <w:pPr>
        <w:pStyle w:val="37"/>
        <w:ind w:firstLine="480"/>
        <w:rPr>
          <w:sz w:val="24"/>
          <w:szCs w:val="22"/>
          <w:highlight w:val="none"/>
        </w:rPr>
      </w:pPr>
    </w:p>
    <w:p>
      <w:pPr>
        <w:pStyle w:val="37"/>
        <w:ind w:firstLine="480"/>
        <w:rPr>
          <w:sz w:val="24"/>
          <w:szCs w:val="22"/>
          <w:highlight w:val="none"/>
        </w:rPr>
      </w:pPr>
      <w:r>
        <w:rPr>
          <w:rFonts w:hint="eastAsia"/>
          <w:sz w:val="24"/>
          <w:szCs w:val="22"/>
          <w:highlight w:val="none"/>
        </w:rPr>
        <w:t>质疑事项2</w:t>
      </w:r>
    </w:p>
    <w:p>
      <w:pPr>
        <w:pStyle w:val="37"/>
        <w:ind w:firstLine="480"/>
        <w:rPr>
          <w:sz w:val="24"/>
          <w:szCs w:val="22"/>
          <w:highlight w:val="none"/>
        </w:rPr>
      </w:pPr>
      <w:r>
        <w:rPr>
          <w:rFonts w:hint="eastAsia"/>
          <w:sz w:val="24"/>
          <w:szCs w:val="22"/>
          <w:highlight w:val="none"/>
        </w:rPr>
        <w:t>……</w:t>
      </w:r>
    </w:p>
    <w:p>
      <w:pPr>
        <w:pStyle w:val="37"/>
        <w:ind w:firstLine="480"/>
        <w:rPr>
          <w:sz w:val="24"/>
          <w:szCs w:val="22"/>
          <w:highlight w:val="none"/>
        </w:rPr>
      </w:pPr>
      <w:r>
        <w:rPr>
          <w:rFonts w:hint="eastAsia"/>
          <w:sz w:val="24"/>
          <w:szCs w:val="22"/>
          <w:highlight w:val="none"/>
        </w:rPr>
        <w:t>四、与质疑事项相关的质疑请求</w:t>
      </w:r>
    </w:p>
    <w:p>
      <w:pPr>
        <w:pStyle w:val="37"/>
        <w:ind w:firstLine="480"/>
        <w:rPr>
          <w:sz w:val="24"/>
          <w:szCs w:val="22"/>
          <w:highlight w:val="none"/>
        </w:rPr>
      </w:pPr>
      <w:r>
        <w:rPr>
          <w:rFonts w:hint="eastAsia"/>
          <w:sz w:val="24"/>
          <w:szCs w:val="22"/>
          <w:highlight w:val="none"/>
        </w:rPr>
        <w:t xml:space="preserve">请求：                                               </w:t>
      </w:r>
    </w:p>
    <w:p>
      <w:pPr>
        <w:pStyle w:val="37"/>
        <w:ind w:firstLine="480"/>
        <w:rPr>
          <w:sz w:val="24"/>
          <w:szCs w:val="22"/>
          <w:highlight w:val="none"/>
        </w:rPr>
      </w:pPr>
      <w:r>
        <w:rPr>
          <w:rFonts w:hint="eastAsia"/>
          <w:sz w:val="24"/>
          <w:szCs w:val="22"/>
          <w:highlight w:val="none"/>
        </w:rPr>
        <w:t xml:space="preserve">签字(签章)：                   公章：                      </w:t>
      </w:r>
    </w:p>
    <w:p>
      <w:pPr>
        <w:pStyle w:val="37"/>
        <w:ind w:firstLine="480"/>
        <w:rPr>
          <w:sz w:val="24"/>
          <w:szCs w:val="22"/>
          <w:highlight w:val="none"/>
        </w:rPr>
      </w:pPr>
      <w:r>
        <w:rPr>
          <w:rFonts w:hint="eastAsia"/>
          <w:sz w:val="24"/>
          <w:szCs w:val="22"/>
          <w:highlight w:val="none"/>
        </w:rPr>
        <w:t xml:space="preserve">日期：    </w:t>
      </w:r>
    </w:p>
    <w:p>
      <w:pPr>
        <w:rPr>
          <w:sz w:val="24"/>
          <w:szCs w:val="22"/>
          <w:highlight w:val="none"/>
        </w:rPr>
      </w:pPr>
      <w:r>
        <w:rPr>
          <w:rFonts w:hint="eastAsia"/>
          <w:sz w:val="24"/>
          <w:szCs w:val="22"/>
          <w:highlight w:val="none"/>
        </w:rPr>
        <w:br w:type="page"/>
      </w:r>
    </w:p>
    <w:p>
      <w:pPr>
        <w:pStyle w:val="37"/>
        <w:ind w:firstLine="480"/>
        <w:rPr>
          <w:sz w:val="24"/>
          <w:szCs w:val="22"/>
          <w:highlight w:val="none"/>
        </w:rPr>
      </w:pPr>
      <w:r>
        <w:rPr>
          <w:rFonts w:hint="eastAsia"/>
          <w:sz w:val="24"/>
          <w:szCs w:val="22"/>
          <w:highlight w:val="none"/>
        </w:rPr>
        <w:t>质疑函制作说明：</w:t>
      </w:r>
    </w:p>
    <w:p>
      <w:pPr>
        <w:pStyle w:val="37"/>
        <w:ind w:firstLine="480"/>
        <w:rPr>
          <w:sz w:val="24"/>
          <w:szCs w:val="22"/>
          <w:highlight w:val="none"/>
        </w:rPr>
      </w:pPr>
      <w:r>
        <w:rPr>
          <w:rFonts w:hint="eastAsia"/>
          <w:sz w:val="24"/>
          <w:szCs w:val="22"/>
          <w:highlight w:val="none"/>
        </w:rPr>
        <w:t>1.</w:t>
      </w:r>
      <w:r>
        <w:rPr>
          <w:rFonts w:hint="eastAsia"/>
          <w:sz w:val="24"/>
          <w:szCs w:val="22"/>
          <w:highlight w:val="none"/>
          <w:lang w:eastAsia="zh-CN"/>
        </w:rPr>
        <w:t>投标人</w:t>
      </w:r>
      <w:r>
        <w:rPr>
          <w:rFonts w:hint="eastAsia"/>
          <w:sz w:val="24"/>
          <w:szCs w:val="22"/>
          <w:highlight w:val="none"/>
        </w:rPr>
        <w:t>提出质疑时，应提交质疑函和必要的证明材料。</w:t>
      </w:r>
    </w:p>
    <w:p>
      <w:pPr>
        <w:pStyle w:val="37"/>
        <w:ind w:firstLine="480"/>
        <w:rPr>
          <w:sz w:val="24"/>
          <w:szCs w:val="22"/>
          <w:highlight w:val="none"/>
        </w:rPr>
      </w:pPr>
      <w:r>
        <w:rPr>
          <w:rFonts w:hint="eastAsia"/>
          <w:sz w:val="24"/>
          <w:szCs w:val="22"/>
          <w:highlight w:val="none"/>
        </w:rPr>
        <w:t>2.质疑</w:t>
      </w:r>
      <w:r>
        <w:rPr>
          <w:rFonts w:hint="eastAsia"/>
          <w:sz w:val="24"/>
          <w:szCs w:val="22"/>
          <w:highlight w:val="none"/>
          <w:lang w:eastAsia="zh-CN"/>
        </w:rPr>
        <w:t>投标人</w:t>
      </w:r>
      <w:r>
        <w:rPr>
          <w:rFonts w:hint="eastAsia"/>
          <w:sz w:val="24"/>
          <w:szCs w:val="22"/>
          <w:highlight w:val="none"/>
        </w:rPr>
        <w:t>若委托代理人进行质疑的，质疑函应按要求列明“授权代表”的有关内容，并在附件中提交由质疑</w:t>
      </w:r>
      <w:r>
        <w:rPr>
          <w:rFonts w:hint="eastAsia"/>
          <w:sz w:val="24"/>
          <w:szCs w:val="22"/>
          <w:highlight w:val="none"/>
          <w:lang w:eastAsia="zh-CN"/>
        </w:rPr>
        <w:t>投标人</w:t>
      </w:r>
      <w:r>
        <w:rPr>
          <w:rFonts w:hint="eastAsia"/>
          <w:sz w:val="24"/>
          <w:szCs w:val="22"/>
          <w:highlight w:val="none"/>
        </w:rPr>
        <w:t>签署的授权委托书。授权委托书应载明代理人的姓名或者名称、代理事项、具体权限、期限和相关事项。</w:t>
      </w:r>
    </w:p>
    <w:p>
      <w:pPr>
        <w:pStyle w:val="37"/>
        <w:ind w:firstLine="480"/>
        <w:rPr>
          <w:sz w:val="24"/>
          <w:szCs w:val="22"/>
          <w:highlight w:val="none"/>
        </w:rPr>
      </w:pPr>
      <w:r>
        <w:rPr>
          <w:rFonts w:hint="eastAsia"/>
          <w:sz w:val="24"/>
          <w:szCs w:val="22"/>
          <w:highlight w:val="none"/>
        </w:rPr>
        <w:t>3.质疑</w:t>
      </w:r>
      <w:r>
        <w:rPr>
          <w:rFonts w:hint="eastAsia"/>
          <w:sz w:val="24"/>
          <w:szCs w:val="22"/>
          <w:highlight w:val="none"/>
          <w:lang w:eastAsia="zh-CN"/>
        </w:rPr>
        <w:t>投标人</w:t>
      </w:r>
      <w:r>
        <w:rPr>
          <w:rFonts w:hint="eastAsia"/>
          <w:sz w:val="24"/>
          <w:szCs w:val="22"/>
          <w:highlight w:val="none"/>
        </w:rPr>
        <w:t>若对项目的某一分包进行质疑，质疑函中应列明具体分包号。</w:t>
      </w:r>
    </w:p>
    <w:p>
      <w:pPr>
        <w:pStyle w:val="37"/>
        <w:ind w:firstLine="480"/>
        <w:rPr>
          <w:sz w:val="24"/>
          <w:szCs w:val="22"/>
          <w:highlight w:val="none"/>
        </w:rPr>
      </w:pPr>
      <w:r>
        <w:rPr>
          <w:rFonts w:hint="eastAsia"/>
          <w:sz w:val="24"/>
          <w:szCs w:val="22"/>
          <w:highlight w:val="none"/>
        </w:rPr>
        <w:t>4.质疑函的质疑事项应具体、明确，并有必要的事实依据和法律依据。</w:t>
      </w:r>
    </w:p>
    <w:p>
      <w:pPr>
        <w:pStyle w:val="37"/>
        <w:ind w:firstLine="480"/>
        <w:rPr>
          <w:sz w:val="24"/>
          <w:szCs w:val="22"/>
          <w:highlight w:val="none"/>
        </w:rPr>
      </w:pPr>
      <w:r>
        <w:rPr>
          <w:rFonts w:hint="eastAsia"/>
          <w:sz w:val="24"/>
          <w:szCs w:val="22"/>
          <w:highlight w:val="none"/>
        </w:rPr>
        <w:t>5.质疑函的质疑请求应与质疑事项相关。</w:t>
      </w:r>
    </w:p>
    <w:p>
      <w:pPr>
        <w:pStyle w:val="37"/>
        <w:ind w:firstLine="480"/>
        <w:rPr>
          <w:sz w:val="24"/>
          <w:szCs w:val="22"/>
          <w:highlight w:val="none"/>
        </w:rPr>
      </w:pPr>
      <w:r>
        <w:rPr>
          <w:rFonts w:hint="eastAsia"/>
          <w:sz w:val="24"/>
          <w:szCs w:val="22"/>
          <w:highlight w:val="none"/>
        </w:rPr>
        <w:t>6.质疑</w:t>
      </w:r>
      <w:r>
        <w:rPr>
          <w:rFonts w:hint="eastAsia"/>
          <w:sz w:val="24"/>
          <w:szCs w:val="22"/>
          <w:highlight w:val="none"/>
          <w:lang w:eastAsia="zh-CN"/>
        </w:rPr>
        <w:t>投标人</w:t>
      </w:r>
      <w:r>
        <w:rPr>
          <w:rFonts w:hint="eastAsia"/>
          <w:sz w:val="24"/>
          <w:szCs w:val="22"/>
          <w:highlight w:val="none"/>
        </w:rPr>
        <w:t>为自然人的，质疑函应由本人签字；质疑</w:t>
      </w:r>
      <w:r>
        <w:rPr>
          <w:rFonts w:hint="eastAsia"/>
          <w:sz w:val="24"/>
          <w:szCs w:val="22"/>
          <w:highlight w:val="none"/>
          <w:lang w:eastAsia="zh-CN"/>
        </w:rPr>
        <w:t>投标人</w:t>
      </w:r>
      <w:r>
        <w:rPr>
          <w:rFonts w:hint="eastAsia"/>
          <w:sz w:val="24"/>
          <w:szCs w:val="22"/>
          <w:highlight w:val="none"/>
        </w:rPr>
        <w:t>为法人或者其他组织的，质疑函应由法定代表人、主要负责人，或者其授权代表签字或者盖章，并加盖公章。</w:t>
      </w:r>
    </w:p>
    <w:p>
      <w:pPr>
        <w:rPr>
          <w:highlight w:val="none"/>
        </w:rPr>
        <w:sectPr>
          <w:headerReference r:id="rId8" w:type="default"/>
          <w:footerReference r:id="rId9" w:type="default"/>
          <w:pgSz w:w="11906" w:h="16838"/>
          <w:pgMar w:top="1440" w:right="1800" w:bottom="1440" w:left="1800" w:header="851" w:footer="992" w:gutter="0"/>
          <w:pgNumType w:start="1"/>
          <w:cols w:space="720" w:num="1"/>
          <w:docGrid w:type="lines" w:linePitch="312" w:charSpace="0"/>
        </w:sectPr>
      </w:pPr>
      <w:bookmarkStart w:id="116" w:name="_Toc30959"/>
      <w:bookmarkStart w:id="117" w:name="_Toc105522757"/>
      <w:bookmarkStart w:id="118" w:name="_Toc99731325"/>
      <w:bookmarkStart w:id="119" w:name="_Toc95234398"/>
      <w:bookmarkStart w:id="120" w:name="_Toc99731210"/>
      <w:bookmarkStart w:id="121" w:name="_Toc24870"/>
      <w:bookmarkStart w:id="122" w:name="_Toc6920"/>
    </w:p>
    <w:bookmarkEnd w:id="116"/>
    <w:bookmarkEnd w:id="117"/>
    <w:bookmarkEnd w:id="118"/>
    <w:bookmarkEnd w:id="119"/>
    <w:bookmarkEnd w:id="120"/>
    <w:bookmarkEnd w:id="121"/>
    <w:bookmarkEnd w:id="122"/>
    <w:p>
      <w:pPr>
        <w:pStyle w:val="3"/>
        <w:rPr>
          <w:highlight w:val="none"/>
        </w:rPr>
      </w:pPr>
      <w:r>
        <w:rPr>
          <w:rFonts w:hint="eastAsia"/>
          <w:highlight w:val="none"/>
        </w:rPr>
        <w:t>第六章 项目需求</w:t>
      </w:r>
    </w:p>
    <w:p>
      <w:pPr>
        <w:pStyle w:val="5"/>
        <w:rPr>
          <w:rFonts w:ascii="宋体" w:hAnsi="宋体" w:cs="宋体"/>
          <w:sz w:val="24"/>
          <w:szCs w:val="24"/>
          <w:highlight w:val="none"/>
        </w:rPr>
      </w:pPr>
      <w:r>
        <w:rPr>
          <w:rFonts w:hint="eastAsia"/>
          <w:highlight w:val="none"/>
        </w:rPr>
        <w:t>一、项目基本情况</w:t>
      </w:r>
    </w:p>
    <w:tbl>
      <w:tblPr>
        <w:tblStyle w:val="3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04"/>
        <w:gridCol w:w="62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04" w:type="dxa"/>
          </w:tcPr>
          <w:p>
            <w:pPr>
              <w:spacing w:line="460" w:lineRule="exact"/>
              <w:jc w:val="left"/>
              <w:rPr>
                <w:rFonts w:ascii="宋体" w:hAnsi="宋体" w:cs="宋体"/>
                <w:sz w:val="24"/>
                <w:szCs w:val="24"/>
                <w:highlight w:val="none"/>
              </w:rPr>
            </w:pPr>
            <w:r>
              <w:rPr>
                <w:rFonts w:hint="eastAsia" w:ascii="宋体" w:hAnsi="宋体" w:cs="宋体"/>
                <w:sz w:val="24"/>
                <w:szCs w:val="24"/>
                <w:highlight w:val="none"/>
              </w:rPr>
              <w:t>项目编号</w:t>
            </w:r>
          </w:p>
        </w:tc>
        <w:tc>
          <w:tcPr>
            <w:tcW w:w="6218" w:type="dxa"/>
          </w:tcPr>
          <w:p>
            <w:pPr>
              <w:spacing w:line="460" w:lineRule="exact"/>
              <w:jc w:val="left"/>
              <w:rPr>
                <w:rFonts w:ascii="宋体" w:hAnsi="宋体" w:cs="宋体"/>
                <w:sz w:val="24"/>
                <w:szCs w:val="24"/>
                <w:highlight w:val="none"/>
              </w:rPr>
            </w:pPr>
            <w:r>
              <w:rPr>
                <w:rFonts w:ascii="宋体" w:hAnsi="宋体" w:cs="宋体"/>
                <w:sz w:val="24"/>
                <w:szCs w:val="24"/>
                <w:highlight w:val="none"/>
              </w:rPr>
              <w:t>XZJ246-027-KW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04" w:type="dxa"/>
          </w:tcPr>
          <w:p>
            <w:pPr>
              <w:spacing w:line="460" w:lineRule="exact"/>
              <w:jc w:val="left"/>
              <w:rPr>
                <w:rFonts w:ascii="宋体" w:hAnsi="宋体" w:cs="宋体"/>
                <w:sz w:val="24"/>
                <w:szCs w:val="24"/>
                <w:highlight w:val="none"/>
              </w:rPr>
            </w:pPr>
            <w:r>
              <w:rPr>
                <w:rFonts w:hint="eastAsia" w:ascii="宋体" w:hAnsi="宋体" w:cs="宋体"/>
                <w:sz w:val="24"/>
                <w:szCs w:val="24"/>
                <w:highlight w:val="none"/>
              </w:rPr>
              <w:t>项目名称</w:t>
            </w:r>
          </w:p>
        </w:tc>
        <w:tc>
          <w:tcPr>
            <w:tcW w:w="6218" w:type="dxa"/>
          </w:tcPr>
          <w:p>
            <w:pPr>
              <w:spacing w:line="340" w:lineRule="exact"/>
              <w:jc w:val="left"/>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新疆消防救援总队昌吉支队“自然灾害应急能力提升工程”装备配备项目（二）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04" w:type="dxa"/>
          </w:tcPr>
          <w:p>
            <w:pPr>
              <w:spacing w:line="460" w:lineRule="exact"/>
              <w:jc w:val="left"/>
              <w:rPr>
                <w:rFonts w:ascii="宋体" w:hAnsi="宋体" w:cs="宋体"/>
                <w:sz w:val="24"/>
                <w:szCs w:val="24"/>
                <w:highlight w:val="none"/>
              </w:rPr>
            </w:pPr>
            <w:r>
              <w:rPr>
                <w:rFonts w:hint="eastAsia" w:ascii="宋体" w:hAnsi="宋体" w:cs="宋体"/>
                <w:sz w:val="24"/>
                <w:szCs w:val="24"/>
                <w:highlight w:val="none"/>
              </w:rPr>
              <w:t>采购方式</w:t>
            </w:r>
          </w:p>
        </w:tc>
        <w:tc>
          <w:tcPr>
            <w:tcW w:w="6218" w:type="dxa"/>
          </w:tcPr>
          <w:p>
            <w:pPr>
              <w:spacing w:line="460" w:lineRule="exact"/>
              <w:jc w:val="left"/>
              <w:rPr>
                <w:rFonts w:ascii="宋体" w:hAnsi="宋体" w:cs="宋体"/>
                <w:sz w:val="24"/>
                <w:szCs w:val="24"/>
                <w:highlight w:val="none"/>
              </w:rPr>
            </w:pPr>
            <w:r>
              <w:rPr>
                <w:rFonts w:hint="eastAsia" w:ascii="宋体" w:hAnsi="宋体" w:cs="宋体"/>
                <w:sz w:val="24"/>
                <w:szCs w:val="24"/>
                <w:highlight w:val="none"/>
              </w:rPr>
              <w:t>公开招标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04" w:type="dxa"/>
          </w:tcPr>
          <w:p>
            <w:pPr>
              <w:spacing w:line="460" w:lineRule="exact"/>
              <w:jc w:val="left"/>
              <w:rPr>
                <w:rFonts w:ascii="宋体" w:hAnsi="宋体" w:cs="宋体"/>
                <w:sz w:val="24"/>
                <w:szCs w:val="24"/>
                <w:highlight w:val="none"/>
              </w:rPr>
            </w:pPr>
            <w:r>
              <w:rPr>
                <w:rFonts w:hint="eastAsia" w:ascii="宋体" w:hAnsi="宋体" w:cs="宋体"/>
                <w:sz w:val="24"/>
                <w:szCs w:val="24"/>
                <w:highlight w:val="none"/>
              </w:rPr>
              <w:t>预算金额</w:t>
            </w:r>
          </w:p>
        </w:tc>
        <w:tc>
          <w:tcPr>
            <w:tcW w:w="6218" w:type="dxa"/>
          </w:tcPr>
          <w:p>
            <w:pPr>
              <w:spacing w:line="460" w:lineRule="exact"/>
              <w:jc w:val="left"/>
              <w:rPr>
                <w:rFonts w:ascii="宋体" w:hAnsi="宋体" w:cs="宋体"/>
                <w:sz w:val="24"/>
                <w:szCs w:val="24"/>
                <w:highlight w:val="none"/>
              </w:rPr>
            </w:pPr>
            <w:r>
              <w:rPr>
                <w:rFonts w:hint="eastAsia" w:ascii="宋体" w:hAnsi="宋体" w:cs="宋体"/>
                <w:sz w:val="24"/>
                <w:szCs w:val="24"/>
                <w:highlight w:val="none"/>
                <w:lang w:val="en-US" w:eastAsia="zh-CN"/>
              </w:rPr>
              <w:t>1466.0520</w:t>
            </w:r>
            <w:r>
              <w:rPr>
                <w:rFonts w:ascii="宋体" w:hAnsi="宋体" w:cs="宋体"/>
                <w:sz w:val="24"/>
                <w:szCs w:val="24"/>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04" w:type="dxa"/>
          </w:tcPr>
          <w:p>
            <w:pPr>
              <w:spacing w:line="460" w:lineRule="exact"/>
              <w:jc w:val="left"/>
              <w:rPr>
                <w:rFonts w:ascii="宋体" w:hAnsi="宋体" w:cs="宋体"/>
                <w:sz w:val="24"/>
                <w:szCs w:val="24"/>
                <w:highlight w:val="none"/>
              </w:rPr>
            </w:pPr>
            <w:r>
              <w:rPr>
                <w:rFonts w:hint="eastAsia" w:ascii="宋体" w:hAnsi="宋体" w:cs="宋体"/>
                <w:sz w:val="24"/>
                <w:szCs w:val="24"/>
                <w:highlight w:val="none"/>
              </w:rPr>
              <w:t>最高限价</w:t>
            </w:r>
          </w:p>
        </w:tc>
        <w:tc>
          <w:tcPr>
            <w:tcW w:w="6218" w:type="dxa"/>
          </w:tcPr>
          <w:p>
            <w:pPr>
              <w:spacing w:line="460" w:lineRule="exact"/>
              <w:jc w:val="both"/>
              <w:rPr>
                <w:rFonts w:ascii="宋体" w:hAnsi="宋体" w:cs="宋体"/>
                <w:sz w:val="24"/>
                <w:szCs w:val="24"/>
                <w:highlight w:val="none"/>
              </w:rPr>
            </w:pPr>
            <w:r>
              <w:rPr>
                <w:rFonts w:hint="eastAsia" w:ascii="宋体" w:hAnsi="宋体" w:cs="宋体"/>
                <w:sz w:val="24"/>
                <w:szCs w:val="24"/>
                <w:highlight w:val="none"/>
                <w:lang w:val="en-US" w:eastAsia="zh-CN"/>
              </w:rPr>
              <w:t>1466.0520万元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04" w:type="dxa"/>
          </w:tcPr>
          <w:p>
            <w:pPr>
              <w:spacing w:line="460" w:lineRule="exact"/>
              <w:jc w:val="left"/>
              <w:rPr>
                <w:rFonts w:ascii="宋体" w:hAnsi="宋体" w:cs="宋体"/>
                <w:sz w:val="24"/>
                <w:szCs w:val="24"/>
                <w:highlight w:val="none"/>
              </w:rPr>
            </w:pPr>
            <w:r>
              <w:rPr>
                <w:rFonts w:hint="eastAsia" w:cs="宋体"/>
                <w:sz w:val="24"/>
                <w:szCs w:val="24"/>
                <w:highlight w:val="none"/>
              </w:rPr>
              <w:t>资金来源</w:t>
            </w:r>
          </w:p>
        </w:tc>
        <w:tc>
          <w:tcPr>
            <w:tcW w:w="6218" w:type="dxa"/>
          </w:tcPr>
          <w:p>
            <w:pPr>
              <w:pStyle w:val="37"/>
              <w:spacing w:line="460" w:lineRule="exact"/>
              <w:ind w:firstLine="0" w:firstLineChars="0"/>
              <w:jc w:val="left"/>
              <w:rPr>
                <w:rFonts w:cs="宋体"/>
                <w:sz w:val="24"/>
                <w:szCs w:val="24"/>
                <w:highlight w:val="none"/>
              </w:rPr>
            </w:pPr>
            <w:r>
              <w:rPr>
                <w:rFonts w:hint="eastAsia" w:cs="宋体"/>
                <w:sz w:val="24"/>
                <w:szCs w:val="24"/>
                <w:highlight w:val="none"/>
              </w:rPr>
              <w:t>财政资金</w:t>
            </w:r>
          </w:p>
        </w:tc>
      </w:tr>
    </w:tbl>
    <w:p>
      <w:pPr>
        <w:spacing w:line="460" w:lineRule="exact"/>
        <w:jc w:val="left"/>
        <w:rPr>
          <w:rFonts w:hint="eastAsia" w:ascii="宋体" w:hAnsi="宋体" w:cs="宋体"/>
          <w:b/>
          <w:bCs/>
          <w:sz w:val="24"/>
          <w:szCs w:val="24"/>
          <w:highlight w:val="none"/>
        </w:rPr>
      </w:pPr>
      <w:r>
        <w:rPr>
          <w:rFonts w:hint="eastAsia" w:ascii="宋体" w:hAnsi="宋体" w:cs="宋体"/>
          <w:b/>
          <w:bCs/>
          <w:sz w:val="24"/>
          <w:szCs w:val="24"/>
          <w:highlight w:val="none"/>
        </w:rPr>
        <w:t>采购需求：</w:t>
      </w:r>
    </w:p>
    <w:tbl>
      <w:tblPr>
        <w:tblStyle w:val="38"/>
        <w:tblpPr w:leftFromText="180" w:rightFromText="180" w:vertAnchor="text" w:horzAnchor="page" w:tblpX="1243" w:tblpY="218"/>
        <w:tblOverlap w:val="never"/>
        <w:tblW w:w="92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1353"/>
        <w:gridCol w:w="735"/>
        <w:gridCol w:w="734"/>
        <w:gridCol w:w="1086"/>
        <w:gridCol w:w="1125"/>
        <w:gridCol w:w="1555"/>
        <w:gridCol w:w="912"/>
        <w:gridCol w:w="9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867" w:type="dxa"/>
            <w:shd w:val="clear" w:color="auto" w:fill="auto"/>
            <w:noWrap/>
            <w:vAlign w:val="center"/>
          </w:tcPr>
          <w:p>
            <w:pPr>
              <w:widowControl/>
              <w:jc w:val="center"/>
              <w:rPr>
                <w:rFonts w:ascii="宋体" w:hAnsi="宋体" w:eastAsia="宋体" w:cs="宋体"/>
                <w:kern w:val="0"/>
                <w:highlight w:val="none"/>
              </w:rPr>
            </w:pPr>
            <w:r>
              <w:rPr>
                <w:rFonts w:hint="eastAsia" w:ascii="宋体" w:hAnsi="宋体" w:eastAsia="宋体" w:cs="宋体"/>
                <w:b/>
                <w:bCs/>
                <w:kern w:val="0"/>
                <w:highlight w:val="none"/>
              </w:rPr>
              <w:t>包号</w:t>
            </w:r>
          </w:p>
        </w:tc>
        <w:tc>
          <w:tcPr>
            <w:tcW w:w="1353" w:type="dxa"/>
            <w:shd w:val="clear" w:color="auto" w:fill="auto"/>
            <w:vAlign w:val="center"/>
          </w:tcPr>
          <w:p>
            <w:pPr>
              <w:widowControl/>
              <w:jc w:val="center"/>
              <w:rPr>
                <w:rFonts w:ascii="宋体" w:hAnsi="宋体" w:eastAsia="宋体" w:cs="宋体"/>
                <w:b/>
                <w:bCs/>
                <w:kern w:val="0"/>
                <w:highlight w:val="none"/>
              </w:rPr>
            </w:pPr>
            <w:r>
              <w:rPr>
                <w:rFonts w:hint="eastAsia" w:ascii="宋体" w:hAnsi="宋体" w:eastAsia="宋体" w:cs="宋体"/>
                <w:b/>
                <w:bCs/>
                <w:kern w:val="0"/>
                <w:highlight w:val="none"/>
              </w:rPr>
              <w:t>装备名称</w:t>
            </w:r>
          </w:p>
        </w:tc>
        <w:tc>
          <w:tcPr>
            <w:tcW w:w="735" w:type="dxa"/>
            <w:shd w:val="clear" w:color="000000" w:fill="FFFFFF"/>
            <w:vAlign w:val="center"/>
          </w:tcPr>
          <w:p>
            <w:pPr>
              <w:spacing w:line="240" w:lineRule="auto"/>
              <w:jc w:val="center"/>
              <w:rPr>
                <w:rFonts w:hint="eastAsia" w:ascii="宋体" w:hAnsi="宋体" w:eastAsia="宋体" w:cs="宋体"/>
                <w:b/>
                <w:bCs/>
                <w:kern w:val="0"/>
                <w:highlight w:val="none"/>
              </w:rPr>
            </w:pPr>
            <w:r>
              <w:rPr>
                <w:rFonts w:hint="eastAsia" w:ascii="宋体" w:hAnsi="宋体" w:cs="宋体"/>
                <w:b/>
                <w:bCs/>
                <w:sz w:val="24"/>
                <w:szCs w:val="24"/>
                <w:highlight w:val="none"/>
                <w:lang w:val="zh-CN" w:eastAsia="zh-CN"/>
              </w:rPr>
              <w:t>单位</w:t>
            </w:r>
          </w:p>
        </w:tc>
        <w:tc>
          <w:tcPr>
            <w:tcW w:w="734" w:type="dxa"/>
            <w:shd w:val="clear" w:color="000000" w:fill="FFFFFF"/>
            <w:vAlign w:val="center"/>
          </w:tcPr>
          <w:p>
            <w:pPr>
              <w:spacing w:line="240" w:lineRule="auto"/>
              <w:jc w:val="center"/>
              <w:rPr>
                <w:rFonts w:hint="eastAsia" w:ascii="宋体" w:hAnsi="宋体" w:eastAsia="宋体" w:cs="宋体"/>
                <w:b/>
                <w:bCs/>
                <w:kern w:val="0"/>
                <w:highlight w:val="none"/>
              </w:rPr>
            </w:pPr>
            <w:r>
              <w:rPr>
                <w:rFonts w:hint="eastAsia" w:ascii="宋体" w:hAnsi="宋体" w:cs="宋体"/>
                <w:b/>
                <w:bCs/>
                <w:sz w:val="24"/>
                <w:szCs w:val="24"/>
                <w:highlight w:val="none"/>
                <w:lang w:val="zh-CN" w:eastAsia="zh-CN"/>
              </w:rPr>
              <w:t>数量</w:t>
            </w:r>
          </w:p>
        </w:tc>
        <w:tc>
          <w:tcPr>
            <w:tcW w:w="1086" w:type="dxa"/>
            <w:shd w:val="clear" w:color="000000" w:fill="FFFFFF"/>
            <w:vAlign w:val="center"/>
          </w:tcPr>
          <w:p>
            <w:pPr>
              <w:spacing w:line="240" w:lineRule="auto"/>
              <w:jc w:val="center"/>
              <w:rPr>
                <w:rFonts w:hint="eastAsia" w:ascii="宋体" w:hAnsi="宋体" w:cs="宋体"/>
                <w:b/>
                <w:bCs/>
                <w:sz w:val="24"/>
                <w:szCs w:val="24"/>
                <w:highlight w:val="none"/>
                <w:lang w:val="zh-CN"/>
              </w:rPr>
            </w:pPr>
            <w:r>
              <w:rPr>
                <w:rFonts w:hint="eastAsia" w:ascii="宋体" w:hAnsi="宋体" w:cs="宋体"/>
                <w:b/>
                <w:bCs/>
                <w:sz w:val="24"/>
                <w:szCs w:val="24"/>
                <w:highlight w:val="none"/>
                <w:lang w:val="zh-CN"/>
              </w:rPr>
              <w:t>单价</w:t>
            </w:r>
          </w:p>
          <w:p>
            <w:pPr>
              <w:spacing w:line="240" w:lineRule="auto"/>
              <w:jc w:val="center"/>
              <w:rPr>
                <w:rFonts w:hint="eastAsia" w:ascii="宋体" w:hAnsi="宋体" w:eastAsia="宋体" w:cs="宋体"/>
                <w:b/>
                <w:bCs/>
                <w:kern w:val="0"/>
                <w:highlight w:val="none"/>
              </w:rPr>
            </w:pPr>
            <w:r>
              <w:rPr>
                <w:rFonts w:hint="eastAsia" w:ascii="宋体" w:hAnsi="宋体" w:cs="宋体"/>
                <w:b/>
                <w:bCs/>
                <w:sz w:val="24"/>
                <w:szCs w:val="24"/>
                <w:highlight w:val="none"/>
                <w:lang w:val="zh-CN"/>
              </w:rPr>
              <w:t>（万元）</w:t>
            </w:r>
          </w:p>
        </w:tc>
        <w:tc>
          <w:tcPr>
            <w:tcW w:w="1125" w:type="dxa"/>
            <w:shd w:val="clear" w:color="000000" w:fill="FFFFFF"/>
            <w:vAlign w:val="center"/>
          </w:tcPr>
          <w:p>
            <w:pPr>
              <w:widowControl/>
              <w:jc w:val="center"/>
              <w:rPr>
                <w:rFonts w:hint="eastAsia" w:ascii="宋体" w:hAnsi="宋体" w:eastAsia="宋体" w:cs="宋体"/>
                <w:b/>
                <w:bCs/>
                <w:kern w:val="0"/>
                <w:highlight w:val="none"/>
              </w:rPr>
            </w:pPr>
            <w:r>
              <w:rPr>
                <w:rFonts w:hint="eastAsia" w:ascii="宋体" w:hAnsi="宋体" w:eastAsia="宋体" w:cs="宋体"/>
                <w:b/>
                <w:bCs/>
                <w:kern w:val="0"/>
                <w:highlight w:val="none"/>
              </w:rPr>
              <w:t>合计</w:t>
            </w:r>
          </w:p>
          <w:p>
            <w:pPr>
              <w:widowControl/>
              <w:jc w:val="center"/>
              <w:rPr>
                <w:rFonts w:ascii="宋体" w:hAnsi="宋体" w:eastAsia="宋体" w:cs="宋体"/>
                <w:b/>
                <w:bCs/>
                <w:kern w:val="0"/>
                <w:highlight w:val="none"/>
              </w:rPr>
            </w:pPr>
            <w:r>
              <w:rPr>
                <w:rFonts w:hint="eastAsia" w:ascii="宋体" w:hAnsi="宋体" w:eastAsia="宋体" w:cs="宋体"/>
                <w:b/>
                <w:bCs/>
                <w:kern w:val="0"/>
                <w:highlight w:val="none"/>
              </w:rPr>
              <w:t>（万元）</w:t>
            </w:r>
          </w:p>
        </w:tc>
        <w:tc>
          <w:tcPr>
            <w:tcW w:w="1555" w:type="dxa"/>
            <w:shd w:val="clear" w:color="000000" w:fill="FFFFFF"/>
            <w:vAlign w:val="center"/>
          </w:tcPr>
          <w:p>
            <w:pPr>
              <w:widowControl/>
              <w:jc w:val="center"/>
              <w:rPr>
                <w:rFonts w:ascii="宋体" w:hAnsi="宋体" w:eastAsia="宋体" w:cs="宋体"/>
                <w:b/>
                <w:bCs/>
                <w:kern w:val="0"/>
                <w:highlight w:val="none"/>
              </w:rPr>
            </w:pPr>
            <w:r>
              <w:rPr>
                <w:rFonts w:hint="eastAsia" w:ascii="宋体" w:hAnsi="宋体" w:eastAsia="宋体" w:cs="宋体"/>
                <w:b/>
                <w:bCs/>
                <w:kern w:val="0"/>
                <w:highlight w:val="none"/>
              </w:rPr>
              <w:t>是否专门面向中小企业采购</w:t>
            </w:r>
          </w:p>
        </w:tc>
        <w:tc>
          <w:tcPr>
            <w:tcW w:w="912" w:type="dxa"/>
            <w:shd w:val="clear" w:color="000000" w:fill="FFFFFF"/>
            <w:vAlign w:val="center"/>
          </w:tcPr>
          <w:p>
            <w:pPr>
              <w:widowControl/>
              <w:jc w:val="center"/>
              <w:rPr>
                <w:rFonts w:ascii="宋体" w:hAnsi="宋体" w:eastAsia="宋体" w:cs="宋体"/>
                <w:b/>
                <w:bCs/>
                <w:kern w:val="0"/>
                <w:highlight w:val="none"/>
              </w:rPr>
            </w:pPr>
            <w:r>
              <w:rPr>
                <w:rFonts w:hint="eastAsia" w:ascii="宋体" w:hAnsi="宋体" w:eastAsia="宋体" w:cs="宋体"/>
                <w:b/>
                <w:bCs/>
                <w:kern w:val="0"/>
                <w:highlight w:val="none"/>
              </w:rPr>
              <w:t>是否提供样品</w:t>
            </w:r>
          </w:p>
        </w:tc>
        <w:tc>
          <w:tcPr>
            <w:tcW w:w="906" w:type="dxa"/>
            <w:shd w:val="clear" w:color="000000" w:fill="FFFFFF"/>
            <w:vAlign w:val="center"/>
          </w:tcPr>
          <w:p>
            <w:pPr>
              <w:widowControl/>
              <w:jc w:val="center"/>
              <w:rPr>
                <w:rFonts w:ascii="宋体" w:hAnsi="宋体" w:eastAsia="宋体" w:cs="宋体"/>
                <w:b/>
                <w:bCs/>
                <w:kern w:val="0"/>
                <w:highlight w:val="none"/>
              </w:rPr>
            </w:pPr>
            <w:r>
              <w:rPr>
                <w:rFonts w:hint="eastAsia" w:ascii="宋体" w:hAnsi="宋体" w:eastAsia="宋体" w:cs="宋体"/>
                <w:b/>
                <w:bCs/>
                <w:kern w:val="0"/>
                <w:highlight w:val="none"/>
              </w:rPr>
              <w:t>是否提供视频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867" w:type="dxa"/>
            <w:vMerge w:val="restart"/>
            <w:shd w:val="clear" w:color="auto" w:fill="auto"/>
            <w:noWrap/>
            <w:vAlign w:val="center"/>
          </w:tcPr>
          <w:p>
            <w:pPr>
              <w:widowControl/>
              <w:jc w:val="center"/>
              <w:rPr>
                <w:rFonts w:ascii="宋体" w:hAnsi="宋体" w:eastAsia="宋体"/>
                <w:highlight w:val="none"/>
              </w:rPr>
            </w:pPr>
            <w:r>
              <w:rPr>
                <w:rFonts w:hint="eastAsia" w:ascii="宋体" w:hAnsi="宋体" w:eastAsia="宋体"/>
                <w:highlight w:val="none"/>
              </w:rPr>
              <w:t>第</w:t>
            </w:r>
            <w:r>
              <w:rPr>
                <w:rFonts w:hint="eastAsia" w:ascii="宋体" w:hAnsi="宋体" w:eastAsia="宋体"/>
                <w:highlight w:val="none"/>
                <w:lang w:val="en-US" w:eastAsia="zh-CN"/>
              </w:rPr>
              <w:t>十</w:t>
            </w:r>
            <w:r>
              <w:rPr>
                <w:rFonts w:hint="eastAsia" w:ascii="宋体" w:hAnsi="宋体" w:eastAsia="宋体"/>
                <w:highlight w:val="none"/>
              </w:rPr>
              <w:t>包</w:t>
            </w:r>
          </w:p>
        </w:tc>
        <w:tc>
          <w:tcPr>
            <w:tcW w:w="1353" w:type="dxa"/>
            <w:shd w:val="clear" w:color="auto" w:fill="auto"/>
            <w:noWrap/>
            <w:vAlign w:val="center"/>
          </w:tcPr>
          <w:p>
            <w:pPr>
              <w:keepNext w:val="0"/>
              <w:keepLines w:val="0"/>
              <w:widowControl/>
              <w:suppressLineNumbers w:val="0"/>
              <w:jc w:val="center"/>
              <w:textAlignment w:val="center"/>
              <w:rPr>
                <w:rFonts w:ascii="宋体" w:hAnsi="宋体" w:eastAsia="宋体"/>
                <w:highlight w:val="none"/>
              </w:rPr>
            </w:pPr>
            <w:r>
              <w:rPr>
                <w:rFonts w:hint="eastAsia" w:ascii="宋体" w:hAnsi="宋体" w:eastAsia="宋体" w:cs="宋体"/>
                <w:i w:val="0"/>
                <w:iCs w:val="0"/>
                <w:color w:val="000000"/>
                <w:kern w:val="0"/>
                <w:sz w:val="22"/>
                <w:szCs w:val="22"/>
                <w:highlight w:val="none"/>
                <w:u w:val="none"/>
                <w:lang w:val="en-US" w:eastAsia="zh-CN"/>
              </w:rPr>
              <w:t>空气呼吸器</w:t>
            </w:r>
          </w:p>
        </w:tc>
        <w:tc>
          <w:tcPr>
            <w:tcW w:w="735"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具</w:t>
            </w:r>
          </w:p>
        </w:tc>
        <w:tc>
          <w:tcPr>
            <w:tcW w:w="734"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default" w:ascii="宋体" w:hAnsi="宋体" w:eastAsia="宋体" w:cs="宋体"/>
                <w:i w:val="0"/>
                <w:iCs w:val="0"/>
                <w:color w:val="000000"/>
                <w:kern w:val="0"/>
                <w:sz w:val="22"/>
                <w:szCs w:val="22"/>
                <w:highlight w:val="none"/>
                <w:u w:val="none"/>
                <w:lang w:val="en-US" w:eastAsia="zh-CN"/>
              </w:rPr>
              <w:t xml:space="preserve">570 </w:t>
            </w:r>
          </w:p>
        </w:tc>
        <w:tc>
          <w:tcPr>
            <w:tcW w:w="1086"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Times New Roman" w:hAnsi="Times New Roman" w:eastAsia="宋体" w:cs="Times New Roman"/>
                <w:i w:val="0"/>
                <w:iCs w:val="0"/>
                <w:color w:val="000000"/>
                <w:kern w:val="0"/>
                <w:sz w:val="22"/>
                <w:szCs w:val="22"/>
                <w:highlight w:val="none"/>
                <w:u w:val="none"/>
                <w:lang w:val="zh-CN" w:eastAsia="zh-CN"/>
              </w:rPr>
              <w:t>0.8</w:t>
            </w:r>
            <w:r>
              <w:rPr>
                <w:rFonts w:hint="eastAsia" w:ascii="Times New Roman" w:hAnsi="Times New Roman" w:eastAsia="宋体" w:cs="Times New Roman"/>
                <w:i w:val="0"/>
                <w:iCs w:val="0"/>
                <w:color w:val="000000"/>
                <w:kern w:val="0"/>
                <w:sz w:val="22"/>
                <w:szCs w:val="22"/>
                <w:highlight w:val="none"/>
                <w:u w:val="none"/>
                <w:lang w:val="en-US" w:eastAsia="zh-CN"/>
              </w:rPr>
              <w:t>000</w:t>
            </w:r>
          </w:p>
        </w:tc>
        <w:tc>
          <w:tcPr>
            <w:tcW w:w="1125" w:type="dxa"/>
            <w:vMerge w:val="restart"/>
            <w:shd w:val="clear" w:color="000000" w:fill="FFFFFF"/>
            <w:vAlign w:val="center"/>
          </w:tcPr>
          <w:p>
            <w:pPr>
              <w:widowControl/>
              <w:jc w:val="center"/>
              <w:rPr>
                <w:rFonts w:hint="default" w:ascii="宋体" w:hAnsi="宋体" w:eastAsia="宋体"/>
                <w:highlight w:val="none"/>
                <w:lang w:val="en-US" w:eastAsia="zh-CN"/>
              </w:rPr>
            </w:pPr>
            <w:r>
              <w:rPr>
                <w:rFonts w:hint="eastAsia" w:ascii="宋体" w:hAnsi="宋体"/>
                <w:highlight w:val="none"/>
                <w:lang w:val="en-US" w:eastAsia="zh-CN"/>
              </w:rPr>
              <w:t>641.8120</w:t>
            </w:r>
          </w:p>
        </w:tc>
        <w:tc>
          <w:tcPr>
            <w:tcW w:w="1555" w:type="dxa"/>
            <w:shd w:val="clear" w:color="000000" w:fill="FFFFFF"/>
            <w:vAlign w:val="center"/>
          </w:tcPr>
          <w:p>
            <w:pPr>
              <w:widowControl/>
              <w:jc w:val="center"/>
              <w:textAlignment w:val="center"/>
              <w:rPr>
                <w:rFonts w:hint="eastAsia" w:ascii="宋体" w:hAnsi="宋体" w:eastAsia="宋体"/>
                <w:highlight w:val="none"/>
                <w:lang w:eastAsia="zh-CN"/>
              </w:rPr>
            </w:pPr>
            <w:r>
              <w:rPr>
                <w:rFonts w:hint="eastAsia" w:ascii="宋体" w:hAnsi="宋体" w:eastAsia="宋体" w:cs="宋体"/>
                <w:color w:val="000000"/>
                <w:kern w:val="0"/>
                <w:sz w:val="24"/>
                <w:szCs w:val="24"/>
                <w:highlight w:val="none"/>
                <w:lang w:val="en-US" w:eastAsia="zh-CN"/>
              </w:rPr>
              <w:t>否</w:t>
            </w:r>
          </w:p>
        </w:tc>
        <w:tc>
          <w:tcPr>
            <w:tcW w:w="912" w:type="dxa"/>
            <w:shd w:val="clear" w:color="000000" w:fill="FFFFFF"/>
            <w:vAlign w:val="center"/>
          </w:tcPr>
          <w:p>
            <w:pPr>
              <w:widowControl/>
              <w:jc w:val="center"/>
              <w:rPr>
                <w:rFonts w:ascii="宋体" w:hAnsi="宋体" w:eastAsia="宋体"/>
                <w:highlight w:val="none"/>
              </w:rPr>
            </w:pPr>
            <w:r>
              <w:rPr>
                <w:rFonts w:hint="eastAsia" w:ascii="宋体" w:hAnsi="宋体" w:cs="宋体"/>
                <w:sz w:val="24"/>
                <w:szCs w:val="24"/>
                <w:highlight w:val="none"/>
              </w:rPr>
              <w:t>○</w:t>
            </w:r>
          </w:p>
        </w:tc>
        <w:tc>
          <w:tcPr>
            <w:tcW w:w="906" w:type="dxa"/>
            <w:shd w:val="clear" w:color="000000" w:fill="FFFFFF"/>
            <w:vAlign w:val="center"/>
          </w:tcPr>
          <w:p>
            <w:pPr>
              <w:widowControl/>
              <w:jc w:val="center"/>
              <w:rPr>
                <w:rFonts w:ascii="宋体" w:hAnsi="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867" w:type="dxa"/>
            <w:vMerge w:val="continue"/>
            <w:shd w:val="clear" w:color="auto" w:fill="auto"/>
            <w:noWrap/>
            <w:vAlign w:val="center"/>
          </w:tcPr>
          <w:p>
            <w:pPr>
              <w:widowControl/>
              <w:jc w:val="center"/>
              <w:rPr>
                <w:rFonts w:hint="eastAsia" w:ascii="宋体" w:hAnsi="宋体" w:eastAsia="宋体"/>
                <w:highlight w:val="none"/>
              </w:rPr>
            </w:pPr>
          </w:p>
        </w:tc>
        <w:tc>
          <w:tcPr>
            <w:tcW w:w="1353" w:type="dxa"/>
            <w:shd w:val="clear" w:color="auto" w:fill="auto"/>
            <w:noWrap/>
            <w:vAlign w:val="center"/>
          </w:tcPr>
          <w:p>
            <w:pPr>
              <w:keepNext w:val="0"/>
              <w:keepLines w:val="0"/>
              <w:widowControl/>
              <w:suppressLineNumbers w:val="0"/>
              <w:jc w:val="center"/>
              <w:textAlignment w:val="center"/>
              <w:rPr>
                <w:rFonts w:hint="eastAsia" w:ascii="宋体" w:hAnsi="宋体" w:eastAsia="宋体"/>
                <w:highlight w:val="none"/>
              </w:rPr>
            </w:pPr>
            <w:r>
              <w:rPr>
                <w:rFonts w:hint="eastAsia" w:ascii="宋体" w:hAnsi="宋体" w:eastAsia="宋体" w:cs="宋体"/>
                <w:i w:val="0"/>
                <w:iCs w:val="0"/>
                <w:color w:val="000000"/>
                <w:kern w:val="0"/>
                <w:sz w:val="22"/>
                <w:szCs w:val="22"/>
                <w:highlight w:val="none"/>
                <w:u w:val="none"/>
                <w:lang w:val="en-US" w:eastAsia="zh-CN"/>
              </w:rPr>
              <w:t>高压气瓶</w:t>
            </w:r>
          </w:p>
        </w:tc>
        <w:tc>
          <w:tcPr>
            <w:tcW w:w="735"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个</w:t>
            </w:r>
          </w:p>
        </w:tc>
        <w:tc>
          <w:tcPr>
            <w:tcW w:w="734"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default" w:ascii="宋体" w:hAnsi="宋体" w:eastAsia="宋体" w:cs="宋体"/>
                <w:i w:val="0"/>
                <w:iCs w:val="0"/>
                <w:color w:val="000000"/>
                <w:kern w:val="0"/>
                <w:sz w:val="22"/>
                <w:szCs w:val="22"/>
                <w:highlight w:val="none"/>
                <w:u w:val="none"/>
                <w:lang w:val="en-US" w:eastAsia="zh-CN"/>
              </w:rPr>
              <w:t xml:space="preserve">10 </w:t>
            </w:r>
          </w:p>
        </w:tc>
        <w:tc>
          <w:tcPr>
            <w:tcW w:w="1086"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Times New Roman" w:hAnsi="Times New Roman" w:eastAsia="宋体" w:cs="Times New Roman"/>
                <w:i w:val="0"/>
                <w:iCs w:val="0"/>
                <w:color w:val="000000"/>
                <w:kern w:val="0"/>
                <w:sz w:val="22"/>
                <w:szCs w:val="22"/>
                <w:highlight w:val="none"/>
                <w:u w:val="none"/>
                <w:lang w:val="zh-CN" w:eastAsia="zh-CN"/>
              </w:rPr>
              <w:t>0.7</w:t>
            </w:r>
            <w:r>
              <w:rPr>
                <w:rFonts w:hint="eastAsia" w:ascii="Times New Roman" w:hAnsi="Times New Roman" w:eastAsia="宋体" w:cs="Times New Roman"/>
                <w:i w:val="0"/>
                <w:iCs w:val="0"/>
                <w:color w:val="000000"/>
                <w:kern w:val="0"/>
                <w:sz w:val="22"/>
                <w:szCs w:val="22"/>
                <w:highlight w:val="none"/>
                <w:u w:val="none"/>
                <w:lang w:val="en-US" w:eastAsia="zh-CN"/>
              </w:rPr>
              <w:t>000</w:t>
            </w:r>
          </w:p>
        </w:tc>
        <w:tc>
          <w:tcPr>
            <w:tcW w:w="1125" w:type="dxa"/>
            <w:vMerge w:val="continue"/>
            <w:shd w:val="clear" w:color="000000" w:fill="FFFFFF"/>
            <w:vAlign w:val="center"/>
          </w:tcPr>
          <w:p>
            <w:pPr>
              <w:widowControl/>
              <w:jc w:val="center"/>
              <w:rPr>
                <w:rFonts w:hint="eastAsia" w:ascii="宋体" w:hAnsi="宋体" w:eastAsia="宋体"/>
                <w:highlight w:val="none"/>
              </w:rPr>
            </w:pPr>
          </w:p>
        </w:tc>
        <w:tc>
          <w:tcPr>
            <w:tcW w:w="1555" w:type="dxa"/>
            <w:shd w:val="clear" w:color="000000" w:fill="FFFFFF"/>
            <w:vAlign w:val="center"/>
          </w:tcPr>
          <w:p>
            <w:pPr>
              <w:keepNext w:val="0"/>
              <w:keepLines w:val="0"/>
              <w:widowControl/>
              <w:suppressLineNumbers w:val="0"/>
              <w:jc w:val="center"/>
              <w:textAlignment w:val="center"/>
              <w:rPr>
                <w:rFonts w:hint="eastAsia" w:ascii="宋体" w:hAnsi="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否</w:t>
            </w:r>
          </w:p>
        </w:tc>
        <w:tc>
          <w:tcPr>
            <w:tcW w:w="912" w:type="dxa"/>
            <w:shd w:val="clear" w:color="000000" w:fill="FFFFFF"/>
            <w:vAlign w:val="center"/>
          </w:tcPr>
          <w:p>
            <w:pPr>
              <w:widowControl/>
              <w:jc w:val="center"/>
              <w:rPr>
                <w:rFonts w:hint="eastAsia" w:ascii="宋体" w:hAnsi="宋体" w:cs="宋体"/>
                <w:sz w:val="24"/>
                <w:szCs w:val="24"/>
                <w:highlight w:val="none"/>
              </w:rPr>
            </w:pPr>
          </w:p>
        </w:tc>
        <w:tc>
          <w:tcPr>
            <w:tcW w:w="906" w:type="dxa"/>
            <w:shd w:val="clear" w:color="000000" w:fill="FFFFFF"/>
            <w:vAlign w:val="center"/>
          </w:tcPr>
          <w:p>
            <w:pPr>
              <w:widowControl/>
              <w:jc w:val="center"/>
              <w:rPr>
                <w:rFonts w:ascii="宋体" w:hAnsi="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867" w:type="dxa"/>
            <w:vMerge w:val="continue"/>
            <w:shd w:val="clear" w:color="auto" w:fill="auto"/>
            <w:noWrap/>
            <w:vAlign w:val="center"/>
          </w:tcPr>
          <w:p>
            <w:pPr>
              <w:widowControl/>
              <w:jc w:val="center"/>
              <w:rPr>
                <w:rFonts w:hint="eastAsia" w:ascii="宋体" w:hAnsi="宋体" w:eastAsia="宋体"/>
                <w:highlight w:val="none"/>
              </w:rPr>
            </w:pPr>
          </w:p>
        </w:tc>
        <w:tc>
          <w:tcPr>
            <w:tcW w:w="1353" w:type="dxa"/>
            <w:shd w:val="clear" w:color="auto" w:fill="auto"/>
            <w:noWrap/>
            <w:vAlign w:val="center"/>
          </w:tcPr>
          <w:p>
            <w:pPr>
              <w:keepNext w:val="0"/>
              <w:keepLines w:val="0"/>
              <w:widowControl/>
              <w:suppressLineNumbers w:val="0"/>
              <w:jc w:val="center"/>
              <w:textAlignment w:val="center"/>
              <w:rPr>
                <w:rFonts w:hint="eastAsia" w:ascii="宋体" w:hAnsi="宋体" w:eastAsia="宋体"/>
                <w:highlight w:val="none"/>
              </w:rPr>
            </w:pPr>
            <w:r>
              <w:rPr>
                <w:rFonts w:hint="eastAsia" w:ascii="宋体" w:hAnsi="宋体" w:eastAsia="宋体" w:cs="宋体"/>
                <w:i w:val="0"/>
                <w:iCs w:val="0"/>
                <w:color w:val="000000"/>
                <w:kern w:val="0"/>
                <w:sz w:val="22"/>
                <w:szCs w:val="22"/>
                <w:highlight w:val="none"/>
                <w:u w:val="none"/>
                <w:lang w:val="en-US" w:eastAsia="zh-CN"/>
              </w:rPr>
              <w:t>移动供气源</w:t>
            </w:r>
          </w:p>
        </w:tc>
        <w:tc>
          <w:tcPr>
            <w:tcW w:w="735"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套</w:t>
            </w:r>
          </w:p>
        </w:tc>
        <w:tc>
          <w:tcPr>
            <w:tcW w:w="734"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default" w:ascii="宋体" w:hAnsi="宋体" w:eastAsia="宋体" w:cs="宋体"/>
                <w:i w:val="0"/>
                <w:iCs w:val="0"/>
                <w:color w:val="000000"/>
                <w:kern w:val="0"/>
                <w:sz w:val="22"/>
                <w:szCs w:val="22"/>
                <w:highlight w:val="none"/>
                <w:u w:val="none"/>
                <w:lang w:val="en-US" w:eastAsia="zh-CN"/>
              </w:rPr>
              <w:t xml:space="preserve">18 </w:t>
            </w:r>
          </w:p>
        </w:tc>
        <w:tc>
          <w:tcPr>
            <w:tcW w:w="1086"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Times New Roman" w:hAnsi="Times New Roman" w:eastAsia="宋体" w:cs="Times New Roman"/>
                <w:i w:val="0"/>
                <w:iCs w:val="0"/>
                <w:color w:val="000000"/>
                <w:kern w:val="0"/>
                <w:sz w:val="22"/>
                <w:szCs w:val="22"/>
                <w:highlight w:val="none"/>
                <w:u w:val="none"/>
                <w:lang w:val="zh-CN" w:eastAsia="zh-CN"/>
              </w:rPr>
              <w:t>2.</w:t>
            </w:r>
            <w:r>
              <w:rPr>
                <w:rFonts w:hint="eastAsia" w:cs="Times New Roman"/>
                <w:i w:val="0"/>
                <w:iCs w:val="0"/>
                <w:color w:val="000000"/>
                <w:kern w:val="0"/>
                <w:sz w:val="22"/>
                <w:szCs w:val="22"/>
                <w:highlight w:val="none"/>
                <w:u w:val="none"/>
                <w:lang w:val="en-US" w:eastAsia="zh-CN"/>
              </w:rPr>
              <w:t>1</w:t>
            </w:r>
            <w:r>
              <w:rPr>
                <w:rFonts w:hint="eastAsia" w:ascii="Times New Roman" w:hAnsi="Times New Roman" w:eastAsia="宋体" w:cs="Times New Roman"/>
                <w:i w:val="0"/>
                <w:iCs w:val="0"/>
                <w:color w:val="000000"/>
                <w:kern w:val="0"/>
                <w:sz w:val="22"/>
                <w:szCs w:val="22"/>
                <w:highlight w:val="none"/>
                <w:u w:val="none"/>
                <w:lang w:val="en-US" w:eastAsia="zh-CN"/>
              </w:rPr>
              <w:t>000</w:t>
            </w:r>
          </w:p>
        </w:tc>
        <w:tc>
          <w:tcPr>
            <w:tcW w:w="1125" w:type="dxa"/>
            <w:vMerge w:val="continue"/>
            <w:shd w:val="clear" w:color="000000" w:fill="FFFFFF"/>
            <w:vAlign w:val="center"/>
          </w:tcPr>
          <w:p>
            <w:pPr>
              <w:widowControl/>
              <w:jc w:val="center"/>
              <w:rPr>
                <w:rFonts w:hint="eastAsia" w:ascii="宋体" w:hAnsi="宋体" w:eastAsia="宋体"/>
                <w:highlight w:val="none"/>
              </w:rPr>
            </w:pPr>
          </w:p>
        </w:tc>
        <w:tc>
          <w:tcPr>
            <w:tcW w:w="1555" w:type="dxa"/>
            <w:shd w:val="clear" w:color="000000" w:fill="FFFFFF"/>
            <w:vAlign w:val="center"/>
          </w:tcPr>
          <w:p>
            <w:pPr>
              <w:keepNext w:val="0"/>
              <w:keepLines w:val="0"/>
              <w:widowControl/>
              <w:suppressLineNumbers w:val="0"/>
              <w:jc w:val="center"/>
              <w:textAlignment w:val="center"/>
              <w:rPr>
                <w:rFonts w:hint="eastAsia" w:ascii="宋体" w:hAnsi="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否</w:t>
            </w:r>
          </w:p>
        </w:tc>
        <w:tc>
          <w:tcPr>
            <w:tcW w:w="912" w:type="dxa"/>
            <w:shd w:val="clear" w:color="000000" w:fill="FFFFFF"/>
            <w:vAlign w:val="center"/>
          </w:tcPr>
          <w:p>
            <w:pPr>
              <w:widowControl/>
              <w:jc w:val="center"/>
              <w:rPr>
                <w:rFonts w:hint="eastAsia" w:ascii="宋体" w:hAnsi="宋体" w:cs="宋体"/>
                <w:sz w:val="24"/>
                <w:szCs w:val="24"/>
                <w:highlight w:val="none"/>
              </w:rPr>
            </w:pPr>
          </w:p>
        </w:tc>
        <w:tc>
          <w:tcPr>
            <w:tcW w:w="906" w:type="dxa"/>
            <w:shd w:val="clear" w:color="000000" w:fill="FFFFFF"/>
            <w:vAlign w:val="center"/>
          </w:tcPr>
          <w:p>
            <w:pPr>
              <w:widowControl/>
              <w:jc w:val="center"/>
              <w:rPr>
                <w:rFonts w:ascii="宋体" w:hAnsi="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867" w:type="dxa"/>
            <w:vMerge w:val="continue"/>
            <w:shd w:val="clear" w:color="auto" w:fill="auto"/>
            <w:noWrap/>
            <w:vAlign w:val="center"/>
          </w:tcPr>
          <w:p>
            <w:pPr>
              <w:widowControl/>
              <w:jc w:val="center"/>
              <w:rPr>
                <w:rFonts w:hint="eastAsia" w:ascii="宋体" w:hAnsi="宋体" w:eastAsia="宋体"/>
                <w:highlight w:val="none"/>
              </w:rPr>
            </w:pPr>
          </w:p>
        </w:tc>
        <w:tc>
          <w:tcPr>
            <w:tcW w:w="1353" w:type="dxa"/>
            <w:shd w:val="clear" w:color="auto" w:fill="auto"/>
            <w:noWrap/>
            <w:vAlign w:val="center"/>
          </w:tcPr>
          <w:p>
            <w:pPr>
              <w:keepNext w:val="0"/>
              <w:keepLines w:val="0"/>
              <w:widowControl/>
              <w:suppressLineNumbers w:val="0"/>
              <w:jc w:val="center"/>
              <w:textAlignment w:val="center"/>
              <w:rPr>
                <w:rFonts w:hint="eastAsia" w:ascii="宋体" w:hAnsi="宋体" w:eastAsia="宋体"/>
                <w:highlight w:val="none"/>
              </w:rPr>
            </w:pPr>
            <w:r>
              <w:rPr>
                <w:rFonts w:hint="eastAsia" w:ascii="宋体" w:hAnsi="宋体" w:eastAsia="宋体" w:cs="宋体"/>
                <w:i w:val="0"/>
                <w:iCs w:val="0"/>
                <w:color w:val="000000"/>
                <w:kern w:val="0"/>
                <w:sz w:val="22"/>
                <w:szCs w:val="22"/>
                <w:highlight w:val="none"/>
                <w:u w:val="none"/>
                <w:lang w:val="en-US" w:eastAsia="zh-CN"/>
              </w:rPr>
              <w:t>空呼气瓶</w:t>
            </w:r>
          </w:p>
        </w:tc>
        <w:tc>
          <w:tcPr>
            <w:tcW w:w="735"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个</w:t>
            </w:r>
          </w:p>
        </w:tc>
        <w:tc>
          <w:tcPr>
            <w:tcW w:w="734"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default" w:ascii="宋体" w:hAnsi="宋体" w:eastAsia="宋体" w:cs="宋体"/>
                <w:i w:val="0"/>
                <w:iCs w:val="0"/>
                <w:color w:val="000000"/>
                <w:kern w:val="0"/>
                <w:sz w:val="22"/>
                <w:szCs w:val="22"/>
                <w:highlight w:val="none"/>
                <w:u w:val="none"/>
                <w:lang w:val="en-US" w:eastAsia="zh-CN"/>
              </w:rPr>
              <w:t xml:space="preserve">520 </w:t>
            </w:r>
          </w:p>
        </w:tc>
        <w:tc>
          <w:tcPr>
            <w:tcW w:w="1086"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Times New Roman" w:hAnsi="Times New Roman" w:eastAsia="宋体" w:cs="Times New Roman"/>
                <w:i w:val="0"/>
                <w:iCs w:val="0"/>
                <w:color w:val="000000"/>
                <w:kern w:val="0"/>
                <w:sz w:val="22"/>
                <w:szCs w:val="22"/>
                <w:highlight w:val="none"/>
                <w:u w:val="none"/>
                <w:lang w:val="zh-CN" w:eastAsia="zh-CN"/>
              </w:rPr>
              <w:t>0.</w:t>
            </w:r>
            <w:r>
              <w:rPr>
                <w:rFonts w:hint="eastAsia" w:cs="Times New Roman"/>
                <w:i w:val="0"/>
                <w:iCs w:val="0"/>
                <w:color w:val="000000"/>
                <w:kern w:val="0"/>
                <w:sz w:val="22"/>
                <w:szCs w:val="22"/>
                <w:highlight w:val="none"/>
                <w:u w:val="none"/>
                <w:lang w:val="en-US" w:eastAsia="zh-CN"/>
              </w:rPr>
              <w:t>18</w:t>
            </w:r>
            <w:r>
              <w:rPr>
                <w:rFonts w:hint="eastAsia" w:ascii="Times New Roman" w:hAnsi="Times New Roman" w:eastAsia="宋体" w:cs="Times New Roman"/>
                <w:i w:val="0"/>
                <w:iCs w:val="0"/>
                <w:color w:val="000000"/>
                <w:kern w:val="0"/>
                <w:sz w:val="22"/>
                <w:szCs w:val="22"/>
                <w:highlight w:val="none"/>
                <w:u w:val="none"/>
                <w:lang w:val="en-US" w:eastAsia="zh-CN"/>
              </w:rPr>
              <w:t>00</w:t>
            </w:r>
          </w:p>
        </w:tc>
        <w:tc>
          <w:tcPr>
            <w:tcW w:w="1125" w:type="dxa"/>
            <w:vMerge w:val="continue"/>
            <w:shd w:val="clear" w:color="000000" w:fill="FFFFFF"/>
            <w:vAlign w:val="center"/>
          </w:tcPr>
          <w:p>
            <w:pPr>
              <w:widowControl/>
              <w:jc w:val="center"/>
              <w:rPr>
                <w:rFonts w:hint="eastAsia" w:ascii="宋体" w:hAnsi="宋体" w:eastAsia="宋体"/>
                <w:highlight w:val="none"/>
              </w:rPr>
            </w:pPr>
          </w:p>
        </w:tc>
        <w:tc>
          <w:tcPr>
            <w:tcW w:w="1555" w:type="dxa"/>
            <w:shd w:val="clear" w:color="000000" w:fill="FFFFFF"/>
            <w:vAlign w:val="center"/>
          </w:tcPr>
          <w:p>
            <w:pPr>
              <w:widowControl/>
              <w:jc w:val="center"/>
              <w:textAlignment w:val="center"/>
              <w:rPr>
                <w:rFonts w:hint="eastAsia" w:ascii="宋体" w:hAnsi="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否</w:t>
            </w:r>
          </w:p>
        </w:tc>
        <w:tc>
          <w:tcPr>
            <w:tcW w:w="912" w:type="dxa"/>
            <w:shd w:val="clear" w:color="000000" w:fill="FFFFFF"/>
            <w:vAlign w:val="center"/>
          </w:tcPr>
          <w:p>
            <w:pPr>
              <w:widowControl/>
              <w:jc w:val="center"/>
              <w:rPr>
                <w:rFonts w:hint="eastAsia" w:ascii="宋体" w:hAnsi="宋体" w:cs="宋体"/>
                <w:sz w:val="24"/>
                <w:szCs w:val="24"/>
                <w:highlight w:val="none"/>
              </w:rPr>
            </w:pPr>
          </w:p>
        </w:tc>
        <w:tc>
          <w:tcPr>
            <w:tcW w:w="906" w:type="dxa"/>
            <w:shd w:val="clear" w:color="000000" w:fill="FFFFFF"/>
            <w:vAlign w:val="center"/>
          </w:tcPr>
          <w:p>
            <w:pPr>
              <w:widowControl/>
              <w:jc w:val="center"/>
              <w:rPr>
                <w:rFonts w:ascii="宋体" w:hAnsi="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867" w:type="dxa"/>
            <w:vMerge w:val="continue"/>
            <w:shd w:val="clear" w:color="auto" w:fill="auto"/>
            <w:noWrap/>
            <w:vAlign w:val="center"/>
          </w:tcPr>
          <w:p>
            <w:pPr>
              <w:widowControl/>
              <w:jc w:val="center"/>
              <w:rPr>
                <w:rFonts w:hint="eastAsia" w:ascii="宋体" w:hAnsi="宋体" w:eastAsia="宋体"/>
                <w:highlight w:val="none"/>
              </w:rPr>
            </w:pPr>
          </w:p>
        </w:tc>
        <w:tc>
          <w:tcPr>
            <w:tcW w:w="1353" w:type="dxa"/>
            <w:shd w:val="clear" w:color="auto" w:fill="auto"/>
            <w:noWrap/>
            <w:vAlign w:val="center"/>
          </w:tcPr>
          <w:p>
            <w:pPr>
              <w:keepNext w:val="0"/>
              <w:keepLines w:val="0"/>
              <w:widowControl/>
              <w:suppressLineNumbers w:val="0"/>
              <w:jc w:val="center"/>
              <w:textAlignment w:val="center"/>
              <w:rPr>
                <w:rFonts w:hint="eastAsia" w:ascii="宋体" w:hAnsi="宋体" w:eastAsia="宋体"/>
                <w:highlight w:val="none"/>
              </w:rPr>
            </w:pPr>
            <w:r>
              <w:rPr>
                <w:rFonts w:hint="eastAsia" w:ascii="宋体" w:hAnsi="宋体" w:eastAsia="宋体" w:cs="宋体"/>
                <w:i w:val="0"/>
                <w:iCs w:val="0"/>
                <w:color w:val="000000"/>
                <w:kern w:val="0"/>
                <w:sz w:val="22"/>
                <w:szCs w:val="22"/>
                <w:highlight w:val="none"/>
                <w:u w:val="none"/>
                <w:lang w:val="en-US" w:eastAsia="zh-CN"/>
              </w:rPr>
              <w:t>化学氧自救呼吸器</w:t>
            </w:r>
          </w:p>
        </w:tc>
        <w:tc>
          <w:tcPr>
            <w:tcW w:w="735"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具</w:t>
            </w:r>
          </w:p>
        </w:tc>
        <w:tc>
          <w:tcPr>
            <w:tcW w:w="734"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default" w:ascii="宋体" w:hAnsi="宋体" w:eastAsia="宋体" w:cs="宋体"/>
                <w:i w:val="0"/>
                <w:iCs w:val="0"/>
                <w:color w:val="000000"/>
                <w:kern w:val="0"/>
                <w:sz w:val="22"/>
                <w:szCs w:val="22"/>
                <w:highlight w:val="none"/>
                <w:u w:val="none"/>
                <w:lang w:val="en-US" w:eastAsia="zh-CN"/>
              </w:rPr>
              <w:t xml:space="preserve">72 </w:t>
            </w:r>
          </w:p>
        </w:tc>
        <w:tc>
          <w:tcPr>
            <w:tcW w:w="1086"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Times New Roman" w:hAnsi="Times New Roman" w:eastAsia="宋体" w:cs="Times New Roman"/>
                <w:i w:val="0"/>
                <w:iCs w:val="0"/>
                <w:color w:val="000000"/>
                <w:kern w:val="0"/>
                <w:sz w:val="22"/>
                <w:szCs w:val="22"/>
                <w:highlight w:val="none"/>
                <w:u w:val="none"/>
                <w:lang w:val="zh-CN" w:eastAsia="zh-CN"/>
              </w:rPr>
              <w:t>0.3</w:t>
            </w:r>
            <w:r>
              <w:rPr>
                <w:rFonts w:hint="eastAsia" w:ascii="Times New Roman" w:hAnsi="Times New Roman" w:eastAsia="宋体" w:cs="Times New Roman"/>
                <w:i w:val="0"/>
                <w:iCs w:val="0"/>
                <w:color w:val="000000"/>
                <w:kern w:val="0"/>
                <w:sz w:val="22"/>
                <w:szCs w:val="22"/>
                <w:highlight w:val="none"/>
                <w:u w:val="none"/>
                <w:lang w:val="en-US" w:eastAsia="zh-CN"/>
              </w:rPr>
              <w:t>460</w:t>
            </w:r>
          </w:p>
        </w:tc>
        <w:tc>
          <w:tcPr>
            <w:tcW w:w="1125" w:type="dxa"/>
            <w:vMerge w:val="continue"/>
            <w:shd w:val="clear" w:color="000000" w:fill="FFFFFF"/>
            <w:vAlign w:val="center"/>
          </w:tcPr>
          <w:p>
            <w:pPr>
              <w:widowControl/>
              <w:jc w:val="center"/>
              <w:rPr>
                <w:rFonts w:hint="eastAsia" w:ascii="宋体" w:hAnsi="宋体" w:eastAsia="宋体"/>
                <w:highlight w:val="none"/>
              </w:rPr>
            </w:pPr>
          </w:p>
        </w:tc>
        <w:tc>
          <w:tcPr>
            <w:tcW w:w="1555" w:type="dxa"/>
            <w:shd w:val="clear" w:color="000000" w:fill="FFFFFF"/>
            <w:vAlign w:val="center"/>
          </w:tcPr>
          <w:p>
            <w:pPr>
              <w:keepNext w:val="0"/>
              <w:keepLines w:val="0"/>
              <w:widowControl/>
              <w:suppressLineNumbers w:val="0"/>
              <w:jc w:val="center"/>
              <w:textAlignment w:val="center"/>
              <w:rPr>
                <w:rFonts w:hint="eastAsia" w:ascii="宋体" w:hAnsi="宋体" w:cs="宋体"/>
                <w:color w:val="000000"/>
                <w:kern w:val="0"/>
                <w:sz w:val="24"/>
                <w:szCs w:val="24"/>
                <w:highlight w:val="none"/>
              </w:rPr>
            </w:pPr>
            <w:r>
              <w:rPr>
                <w:rFonts w:hint="eastAsia" w:ascii="宋体" w:hAnsi="宋体" w:cs="宋体"/>
                <w:color w:val="000000"/>
                <w:kern w:val="0"/>
                <w:sz w:val="24"/>
                <w:szCs w:val="24"/>
                <w:highlight w:val="none"/>
                <w:lang w:val="en-US" w:eastAsia="zh-CN"/>
              </w:rPr>
              <w:t>否</w:t>
            </w:r>
          </w:p>
        </w:tc>
        <w:tc>
          <w:tcPr>
            <w:tcW w:w="912" w:type="dxa"/>
            <w:shd w:val="clear" w:color="000000" w:fill="FFFFFF"/>
            <w:vAlign w:val="center"/>
          </w:tcPr>
          <w:p>
            <w:pPr>
              <w:widowControl/>
              <w:jc w:val="center"/>
              <w:rPr>
                <w:rFonts w:hint="eastAsia" w:ascii="宋体" w:hAnsi="宋体" w:cs="宋体"/>
                <w:sz w:val="24"/>
                <w:szCs w:val="24"/>
                <w:highlight w:val="none"/>
              </w:rPr>
            </w:pPr>
          </w:p>
        </w:tc>
        <w:tc>
          <w:tcPr>
            <w:tcW w:w="906" w:type="dxa"/>
            <w:shd w:val="clear" w:color="000000" w:fill="FFFFFF"/>
            <w:vAlign w:val="center"/>
          </w:tcPr>
          <w:p>
            <w:pPr>
              <w:widowControl/>
              <w:jc w:val="center"/>
              <w:rPr>
                <w:rFonts w:ascii="宋体" w:hAnsi="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867" w:type="dxa"/>
            <w:vMerge w:val="continue"/>
            <w:shd w:val="clear" w:color="auto" w:fill="auto"/>
            <w:noWrap/>
            <w:vAlign w:val="center"/>
          </w:tcPr>
          <w:p>
            <w:pPr>
              <w:widowControl/>
              <w:jc w:val="center"/>
              <w:rPr>
                <w:rFonts w:hint="eastAsia" w:ascii="宋体" w:hAnsi="宋体" w:eastAsia="宋体"/>
                <w:highlight w:val="none"/>
              </w:rPr>
            </w:pPr>
          </w:p>
        </w:tc>
        <w:tc>
          <w:tcPr>
            <w:tcW w:w="1353" w:type="dxa"/>
            <w:shd w:val="clear" w:color="auto" w:fill="auto"/>
            <w:noWrap/>
            <w:vAlign w:val="center"/>
          </w:tcPr>
          <w:p>
            <w:pPr>
              <w:keepNext w:val="0"/>
              <w:keepLines w:val="0"/>
              <w:widowControl/>
              <w:suppressLineNumbers w:val="0"/>
              <w:jc w:val="center"/>
              <w:textAlignment w:val="center"/>
              <w:rPr>
                <w:rFonts w:hint="eastAsia" w:ascii="宋体" w:hAnsi="宋体" w:eastAsia="宋体"/>
                <w:highlight w:val="none"/>
              </w:rPr>
            </w:pPr>
            <w:r>
              <w:rPr>
                <w:rFonts w:hint="eastAsia" w:ascii="宋体" w:hAnsi="宋体" w:eastAsia="宋体" w:cs="宋体"/>
                <w:i w:val="0"/>
                <w:iCs w:val="0"/>
                <w:color w:val="000000"/>
                <w:kern w:val="0"/>
                <w:sz w:val="22"/>
                <w:szCs w:val="22"/>
                <w:highlight w:val="none"/>
                <w:u w:val="none"/>
                <w:lang w:val="en-US" w:eastAsia="zh-CN"/>
              </w:rPr>
              <w:t>冰域呼吸器组件</w:t>
            </w:r>
          </w:p>
        </w:tc>
        <w:tc>
          <w:tcPr>
            <w:tcW w:w="735"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套</w:t>
            </w:r>
          </w:p>
        </w:tc>
        <w:tc>
          <w:tcPr>
            <w:tcW w:w="734"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default" w:ascii="宋体" w:hAnsi="宋体" w:eastAsia="宋体" w:cs="宋体"/>
                <w:i w:val="0"/>
                <w:iCs w:val="0"/>
                <w:color w:val="000000"/>
                <w:kern w:val="0"/>
                <w:sz w:val="22"/>
                <w:szCs w:val="22"/>
                <w:highlight w:val="none"/>
                <w:u w:val="none"/>
                <w:lang w:val="en-US" w:eastAsia="zh-CN"/>
              </w:rPr>
              <w:t xml:space="preserve">15 </w:t>
            </w:r>
          </w:p>
        </w:tc>
        <w:tc>
          <w:tcPr>
            <w:tcW w:w="1086"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Times New Roman" w:hAnsi="Times New Roman" w:eastAsia="宋体" w:cs="Times New Roman"/>
                <w:i w:val="0"/>
                <w:iCs w:val="0"/>
                <w:color w:val="000000"/>
                <w:kern w:val="0"/>
                <w:sz w:val="22"/>
                <w:szCs w:val="22"/>
                <w:highlight w:val="none"/>
                <w:u w:val="none"/>
                <w:lang w:val="zh-CN" w:eastAsia="zh-CN"/>
              </w:rPr>
              <w:t>1.5</w:t>
            </w:r>
            <w:r>
              <w:rPr>
                <w:rFonts w:hint="eastAsia" w:ascii="Times New Roman" w:hAnsi="Times New Roman" w:eastAsia="宋体" w:cs="Times New Roman"/>
                <w:i w:val="0"/>
                <w:iCs w:val="0"/>
                <w:color w:val="000000"/>
                <w:kern w:val="0"/>
                <w:sz w:val="22"/>
                <w:szCs w:val="22"/>
                <w:highlight w:val="none"/>
                <w:u w:val="none"/>
                <w:lang w:val="en-US" w:eastAsia="zh-CN"/>
              </w:rPr>
              <w:t>000</w:t>
            </w:r>
          </w:p>
        </w:tc>
        <w:tc>
          <w:tcPr>
            <w:tcW w:w="1125" w:type="dxa"/>
            <w:vMerge w:val="continue"/>
            <w:shd w:val="clear" w:color="000000" w:fill="FFFFFF"/>
            <w:vAlign w:val="center"/>
          </w:tcPr>
          <w:p>
            <w:pPr>
              <w:widowControl/>
              <w:jc w:val="center"/>
              <w:rPr>
                <w:rFonts w:hint="eastAsia" w:ascii="宋体" w:hAnsi="宋体" w:eastAsia="宋体"/>
                <w:highlight w:val="none"/>
              </w:rPr>
            </w:pPr>
          </w:p>
        </w:tc>
        <w:tc>
          <w:tcPr>
            <w:tcW w:w="1555" w:type="dxa"/>
            <w:shd w:val="clear" w:color="000000" w:fill="FFFFFF"/>
            <w:vAlign w:val="center"/>
          </w:tcPr>
          <w:p>
            <w:pPr>
              <w:keepNext w:val="0"/>
              <w:keepLines w:val="0"/>
              <w:widowControl/>
              <w:suppressLineNumbers w:val="0"/>
              <w:jc w:val="center"/>
              <w:textAlignment w:val="center"/>
              <w:rPr>
                <w:rFonts w:hint="eastAsia" w:ascii="宋体" w:hAnsi="宋体" w:cs="宋体"/>
                <w:color w:val="000000"/>
                <w:kern w:val="0"/>
                <w:sz w:val="24"/>
                <w:szCs w:val="24"/>
                <w:highlight w:val="none"/>
              </w:rPr>
            </w:pPr>
            <w:r>
              <w:rPr>
                <w:rFonts w:hint="eastAsia" w:ascii="宋体" w:hAnsi="宋体" w:cs="宋体"/>
                <w:color w:val="000000"/>
                <w:kern w:val="0"/>
                <w:sz w:val="24"/>
                <w:szCs w:val="24"/>
                <w:highlight w:val="none"/>
                <w:lang w:val="en-US" w:eastAsia="zh-CN"/>
              </w:rPr>
              <w:t>否</w:t>
            </w:r>
          </w:p>
        </w:tc>
        <w:tc>
          <w:tcPr>
            <w:tcW w:w="912" w:type="dxa"/>
            <w:shd w:val="clear" w:color="000000" w:fill="FFFFFF"/>
            <w:vAlign w:val="center"/>
          </w:tcPr>
          <w:p>
            <w:pPr>
              <w:widowControl/>
              <w:jc w:val="center"/>
              <w:rPr>
                <w:rFonts w:hint="eastAsia" w:ascii="宋体" w:hAnsi="宋体" w:cs="宋体"/>
                <w:sz w:val="24"/>
                <w:szCs w:val="24"/>
                <w:highlight w:val="none"/>
              </w:rPr>
            </w:pPr>
          </w:p>
        </w:tc>
        <w:tc>
          <w:tcPr>
            <w:tcW w:w="906" w:type="dxa"/>
            <w:shd w:val="clear" w:color="000000" w:fill="FFFFFF"/>
            <w:vAlign w:val="center"/>
          </w:tcPr>
          <w:p>
            <w:pPr>
              <w:widowControl/>
              <w:jc w:val="center"/>
              <w:rPr>
                <w:rFonts w:ascii="宋体" w:hAnsi="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867" w:type="dxa"/>
            <w:vMerge w:val="restart"/>
            <w:vAlign w:val="center"/>
          </w:tcPr>
          <w:p>
            <w:pPr>
              <w:widowControl/>
              <w:jc w:val="center"/>
              <w:rPr>
                <w:rFonts w:ascii="宋体" w:hAnsi="宋体" w:eastAsia="宋体"/>
                <w:highlight w:val="none"/>
              </w:rPr>
            </w:pPr>
            <w:r>
              <w:rPr>
                <w:rFonts w:hint="eastAsia" w:ascii="宋体" w:hAnsi="宋体" w:eastAsia="宋体"/>
                <w:highlight w:val="none"/>
              </w:rPr>
              <w:t>第</w:t>
            </w:r>
            <w:r>
              <w:rPr>
                <w:rFonts w:hint="eastAsia" w:ascii="宋体" w:hAnsi="宋体" w:eastAsia="宋体"/>
                <w:highlight w:val="none"/>
                <w:lang w:val="en-US" w:eastAsia="zh-CN"/>
              </w:rPr>
              <w:t>十一</w:t>
            </w:r>
            <w:r>
              <w:rPr>
                <w:rFonts w:hint="eastAsia" w:ascii="宋体" w:hAnsi="宋体" w:eastAsia="宋体"/>
                <w:highlight w:val="none"/>
              </w:rPr>
              <w:t>包</w:t>
            </w:r>
          </w:p>
        </w:tc>
        <w:tc>
          <w:tcPr>
            <w:tcW w:w="1353" w:type="dxa"/>
            <w:shd w:val="clear" w:color="auto" w:fill="auto"/>
            <w:noWrap/>
            <w:vAlign w:val="center"/>
          </w:tcPr>
          <w:p>
            <w:pPr>
              <w:keepNext w:val="0"/>
              <w:keepLines w:val="0"/>
              <w:widowControl/>
              <w:suppressLineNumbers w:val="0"/>
              <w:jc w:val="center"/>
              <w:textAlignment w:val="center"/>
              <w:rPr>
                <w:rFonts w:ascii="宋体" w:hAnsi="宋体" w:eastAsia="宋体"/>
                <w:highlight w:val="none"/>
              </w:rPr>
            </w:pPr>
            <w:r>
              <w:rPr>
                <w:rFonts w:hint="eastAsia" w:ascii="宋体" w:hAnsi="宋体" w:eastAsia="宋体" w:cs="宋体"/>
                <w:i w:val="0"/>
                <w:iCs w:val="0"/>
                <w:color w:val="000000"/>
                <w:kern w:val="0"/>
                <w:sz w:val="22"/>
                <w:szCs w:val="22"/>
                <w:highlight w:val="none"/>
                <w:u w:val="none"/>
                <w:lang w:val="en-US" w:eastAsia="zh-CN"/>
              </w:rPr>
              <w:t>水上救生机器人</w:t>
            </w:r>
          </w:p>
        </w:tc>
        <w:tc>
          <w:tcPr>
            <w:tcW w:w="735"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台</w:t>
            </w:r>
          </w:p>
        </w:tc>
        <w:tc>
          <w:tcPr>
            <w:tcW w:w="734"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default" w:ascii="宋体" w:hAnsi="宋体" w:eastAsia="宋体" w:cs="宋体"/>
                <w:i w:val="0"/>
                <w:iCs w:val="0"/>
                <w:color w:val="000000"/>
                <w:kern w:val="0"/>
                <w:sz w:val="22"/>
                <w:szCs w:val="22"/>
                <w:highlight w:val="none"/>
                <w:u w:val="none"/>
                <w:lang w:val="en-US" w:eastAsia="zh-CN"/>
              </w:rPr>
              <w:t xml:space="preserve">2 </w:t>
            </w:r>
          </w:p>
        </w:tc>
        <w:tc>
          <w:tcPr>
            <w:tcW w:w="1086"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cs="Times New Roman"/>
                <w:i w:val="0"/>
                <w:iCs w:val="0"/>
                <w:color w:val="000000"/>
                <w:kern w:val="0"/>
                <w:sz w:val="22"/>
                <w:szCs w:val="22"/>
                <w:highlight w:val="none"/>
                <w:u w:val="none"/>
                <w:lang w:val="en-US" w:eastAsia="zh-CN"/>
              </w:rPr>
              <w:t>25</w:t>
            </w:r>
            <w:r>
              <w:rPr>
                <w:rFonts w:hint="eastAsia" w:ascii="Times New Roman" w:hAnsi="Times New Roman" w:eastAsia="宋体" w:cs="Times New Roman"/>
                <w:i w:val="0"/>
                <w:iCs w:val="0"/>
                <w:color w:val="000000"/>
                <w:kern w:val="0"/>
                <w:sz w:val="22"/>
                <w:szCs w:val="22"/>
                <w:highlight w:val="none"/>
                <w:u w:val="none"/>
                <w:lang w:val="zh-CN" w:eastAsia="zh-CN"/>
              </w:rPr>
              <w:t>.0</w:t>
            </w:r>
            <w:r>
              <w:rPr>
                <w:rFonts w:hint="eastAsia" w:ascii="Times New Roman" w:hAnsi="Times New Roman" w:eastAsia="宋体" w:cs="Times New Roman"/>
                <w:i w:val="0"/>
                <w:iCs w:val="0"/>
                <w:color w:val="000000"/>
                <w:kern w:val="0"/>
                <w:sz w:val="22"/>
                <w:szCs w:val="22"/>
                <w:highlight w:val="none"/>
                <w:u w:val="none"/>
                <w:lang w:val="en-US" w:eastAsia="zh-CN"/>
              </w:rPr>
              <w:t>000</w:t>
            </w:r>
          </w:p>
        </w:tc>
        <w:tc>
          <w:tcPr>
            <w:tcW w:w="1125" w:type="dxa"/>
            <w:vMerge w:val="restart"/>
            <w:shd w:val="clear" w:color="000000" w:fill="FFFFFF"/>
            <w:vAlign w:val="center"/>
          </w:tcPr>
          <w:p>
            <w:pPr>
              <w:widowControl/>
              <w:jc w:val="center"/>
              <w:rPr>
                <w:rFonts w:hint="default" w:ascii="宋体" w:hAnsi="宋体" w:eastAsia="宋体"/>
                <w:highlight w:val="none"/>
                <w:lang w:val="en-US" w:eastAsia="zh-CN"/>
              </w:rPr>
            </w:pPr>
            <w:r>
              <w:rPr>
                <w:rFonts w:hint="eastAsia" w:ascii="宋体" w:hAnsi="宋体" w:eastAsia="宋体"/>
                <w:highlight w:val="none"/>
                <w:lang w:val="en-US" w:eastAsia="zh-CN"/>
              </w:rPr>
              <w:t>21</w:t>
            </w:r>
            <w:r>
              <w:rPr>
                <w:rFonts w:hint="eastAsia" w:ascii="宋体" w:hAnsi="宋体"/>
                <w:highlight w:val="none"/>
                <w:lang w:val="en-US" w:eastAsia="zh-CN"/>
              </w:rPr>
              <w:t>2</w:t>
            </w:r>
            <w:r>
              <w:rPr>
                <w:rFonts w:hint="eastAsia" w:ascii="宋体" w:hAnsi="宋体" w:eastAsia="宋体"/>
                <w:highlight w:val="none"/>
                <w:lang w:val="en-US" w:eastAsia="zh-CN"/>
              </w:rPr>
              <w:t>.0000</w:t>
            </w:r>
          </w:p>
        </w:tc>
        <w:tc>
          <w:tcPr>
            <w:tcW w:w="1555" w:type="dxa"/>
            <w:shd w:val="clear" w:color="000000" w:fill="FFFFFF"/>
            <w:vAlign w:val="center"/>
          </w:tcPr>
          <w:p>
            <w:pPr>
              <w:widowControl/>
              <w:jc w:val="center"/>
              <w:textAlignment w:val="center"/>
              <w:rPr>
                <w:rFonts w:ascii="宋体" w:hAnsi="宋体" w:eastAsia="宋体"/>
                <w:highlight w:val="none"/>
              </w:rPr>
            </w:pPr>
            <w:r>
              <w:rPr>
                <w:rFonts w:hint="eastAsia" w:ascii="宋体" w:hAnsi="宋体" w:cs="宋体"/>
                <w:color w:val="000000"/>
                <w:kern w:val="0"/>
                <w:sz w:val="24"/>
                <w:szCs w:val="24"/>
                <w:highlight w:val="none"/>
              </w:rPr>
              <w:t>是</w:t>
            </w:r>
          </w:p>
        </w:tc>
        <w:tc>
          <w:tcPr>
            <w:tcW w:w="912" w:type="dxa"/>
            <w:shd w:val="clear" w:color="000000" w:fill="FFFFFF"/>
            <w:vAlign w:val="center"/>
          </w:tcPr>
          <w:p>
            <w:pPr>
              <w:widowControl/>
              <w:jc w:val="center"/>
              <w:rPr>
                <w:rFonts w:ascii="宋体" w:hAnsi="宋体" w:eastAsia="宋体"/>
                <w:highlight w:val="none"/>
              </w:rPr>
            </w:pPr>
          </w:p>
        </w:tc>
        <w:tc>
          <w:tcPr>
            <w:tcW w:w="906" w:type="dxa"/>
            <w:shd w:val="clear" w:color="000000" w:fill="FFFFFF"/>
            <w:vAlign w:val="center"/>
          </w:tcPr>
          <w:p>
            <w:pPr>
              <w:widowControl/>
              <w:jc w:val="center"/>
              <w:rPr>
                <w:rFonts w:ascii="宋体" w:hAnsi="宋体" w:eastAsia="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867" w:type="dxa"/>
            <w:vMerge w:val="continue"/>
            <w:vAlign w:val="center"/>
          </w:tcPr>
          <w:p>
            <w:pPr>
              <w:widowControl/>
              <w:jc w:val="left"/>
              <w:rPr>
                <w:rFonts w:ascii="宋体" w:hAnsi="宋体" w:eastAsia="宋体"/>
                <w:highlight w:val="none"/>
              </w:rPr>
            </w:pPr>
          </w:p>
        </w:tc>
        <w:tc>
          <w:tcPr>
            <w:tcW w:w="1353" w:type="dxa"/>
            <w:shd w:val="clear" w:color="auto" w:fill="auto"/>
            <w:noWrap/>
            <w:vAlign w:val="center"/>
          </w:tcPr>
          <w:p>
            <w:pPr>
              <w:keepNext w:val="0"/>
              <w:keepLines w:val="0"/>
              <w:widowControl/>
              <w:suppressLineNumbers w:val="0"/>
              <w:jc w:val="center"/>
              <w:textAlignment w:val="center"/>
              <w:rPr>
                <w:rFonts w:ascii="宋体" w:hAnsi="宋体" w:eastAsia="宋体"/>
                <w:highlight w:val="none"/>
              </w:rPr>
            </w:pPr>
            <w:r>
              <w:rPr>
                <w:rFonts w:hint="eastAsia" w:ascii="宋体" w:hAnsi="宋体" w:eastAsia="宋体" w:cs="宋体"/>
                <w:i w:val="0"/>
                <w:iCs w:val="0"/>
                <w:color w:val="000000"/>
                <w:kern w:val="0"/>
                <w:sz w:val="22"/>
                <w:szCs w:val="22"/>
                <w:highlight w:val="none"/>
                <w:u w:val="none"/>
                <w:lang w:val="en-US" w:eastAsia="zh-CN"/>
              </w:rPr>
              <w:t>水下机器人</w:t>
            </w:r>
          </w:p>
        </w:tc>
        <w:tc>
          <w:tcPr>
            <w:tcW w:w="735"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台</w:t>
            </w:r>
          </w:p>
        </w:tc>
        <w:tc>
          <w:tcPr>
            <w:tcW w:w="734"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default" w:ascii="宋体" w:hAnsi="宋体" w:eastAsia="宋体" w:cs="宋体"/>
                <w:i w:val="0"/>
                <w:iCs w:val="0"/>
                <w:color w:val="000000"/>
                <w:kern w:val="0"/>
                <w:sz w:val="22"/>
                <w:szCs w:val="22"/>
                <w:highlight w:val="none"/>
                <w:u w:val="none"/>
                <w:lang w:val="en-US" w:eastAsia="zh-CN"/>
              </w:rPr>
              <w:t xml:space="preserve">2 </w:t>
            </w:r>
          </w:p>
        </w:tc>
        <w:tc>
          <w:tcPr>
            <w:tcW w:w="1086"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Times New Roman" w:hAnsi="Times New Roman" w:eastAsia="宋体" w:cs="Times New Roman"/>
                <w:i w:val="0"/>
                <w:iCs w:val="0"/>
                <w:color w:val="000000"/>
                <w:kern w:val="0"/>
                <w:sz w:val="22"/>
                <w:szCs w:val="22"/>
                <w:highlight w:val="none"/>
                <w:u w:val="none"/>
                <w:lang w:val="zh-CN" w:eastAsia="zh-CN"/>
              </w:rPr>
              <w:t>81.0</w:t>
            </w:r>
            <w:r>
              <w:rPr>
                <w:rFonts w:hint="eastAsia" w:ascii="Times New Roman" w:hAnsi="Times New Roman" w:eastAsia="宋体" w:cs="Times New Roman"/>
                <w:i w:val="0"/>
                <w:iCs w:val="0"/>
                <w:color w:val="000000"/>
                <w:kern w:val="0"/>
                <w:sz w:val="22"/>
                <w:szCs w:val="22"/>
                <w:highlight w:val="none"/>
                <w:u w:val="none"/>
                <w:lang w:val="en-US" w:eastAsia="zh-CN"/>
              </w:rPr>
              <w:t>000</w:t>
            </w:r>
          </w:p>
        </w:tc>
        <w:tc>
          <w:tcPr>
            <w:tcW w:w="1125" w:type="dxa"/>
            <w:vMerge w:val="continue"/>
            <w:shd w:val="clear" w:color="000000" w:fill="FFFFFF"/>
            <w:vAlign w:val="center"/>
          </w:tcPr>
          <w:p>
            <w:pPr>
              <w:widowControl/>
              <w:jc w:val="center"/>
              <w:rPr>
                <w:rFonts w:ascii="宋体" w:hAnsi="宋体" w:eastAsia="宋体"/>
                <w:highlight w:val="none"/>
              </w:rPr>
            </w:pPr>
          </w:p>
        </w:tc>
        <w:tc>
          <w:tcPr>
            <w:tcW w:w="1555" w:type="dxa"/>
            <w:shd w:val="clear" w:color="000000" w:fill="FFFFFF"/>
            <w:vAlign w:val="center"/>
          </w:tcPr>
          <w:p>
            <w:pPr>
              <w:widowControl/>
              <w:jc w:val="center"/>
              <w:textAlignment w:val="center"/>
              <w:rPr>
                <w:rFonts w:ascii="宋体" w:hAnsi="宋体" w:eastAsia="宋体"/>
                <w:highlight w:val="none"/>
              </w:rPr>
            </w:pPr>
            <w:r>
              <w:rPr>
                <w:rFonts w:hint="eastAsia" w:ascii="宋体" w:hAnsi="宋体" w:cs="宋体"/>
                <w:color w:val="000000"/>
                <w:kern w:val="0"/>
                <w:sz w:val="24"/>
                <w:szCs w:val="24"/>
                <w:highlight w:val="none"/>
              </w:rPr>
              <w:t>是</w:t>
            </w:r>
          </w:p>
        </w:tc>
        <w:tc>
          <w:tcPr>
            <w:tcW w:w="912" w:type="dxa"/>
            <w:shd w:val="clear" w:color="000000" w:fill="FFFFFF"/>
            <w:vAlign w:val="center"/>
          </w:tcPr>
          <w:p>
            <w:pPr>
              <w:widowControl/>
              <w:jc w:val="center"/>
              <w:rPr>
                <w:rFonts w:ascii="宋体" w:hAnsi="宋体" w:eastAsia="宋体"/>
                <w:highlight w:val="none"/>
              </w:rPr>
            </w:pPr>
          </w:p>
        </w:tc>
        <w:tc>
          <w:tcPr>
            <w:tcW w:w="906" w:type="dxa"/>
            <w:shd w:val="clear" w:color="000000" w:fill="FFFFFF"/>
            <w:vAlign w:val="center"/>
          </w:tcPr>
          <w:p>
            <w:pPr>
              <w:widowControl/>
              <w:jc w:val="center"/>
              <w:rPr>
                <w:rFonts w:ascii="宋体" w:hAnsi="宋体" w:eastAsia="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867" w:type="dxa"/>
            <w:vAlign w:val="center"/>
          </w:tcPr>
          <w:p>
            <w:pPr>
              <w:widowControl/>
              <w:jc w:val="center"/>
              <w:rPr>
                <w:rFonts w:ascii="宋体" w:hAnsi="宋体" w:eastAsia="宋体"/>
                <w:highlight w:val="none"/>
              </w:rPr>
            </w:pPr>
            <w:r>
              <w:rPr>
                <w:rFonts w:hint="eastAsia" w:ascii="宋体" w:hAnsi="宋体" w:eastAsia="宋体"/>
                <w:highlight w:val="none"/>
              </w:rPr>
              <w:t>第</w:t>
            </w:r>
            <w:r>
              <w:rPr>
                <w:rFonts w:hint="eastAsia" w:ascii="宋体" w:hAnsi="宋体" w:eastAsia="宋体"/>
                <w:highlight w:val="none"/>
                <w:lang w:val="en-US" w:eastAsia="zh-CN"/>
              </w:rPr>
              <w:t>十二</w:t>
            </w:r>
            <w:r>
              <w:rPr>
                <w:rFonts w:hint="eastAsia" w:ascii="宋体" w:hAnsi="宋体" w:eastAsia="宋体"/>
                <w:highlight w:val="none"/>
              </w:rPr>
              <w:t>包</w:t>
            </w:r>
          </w:p>
        </w:tc>
        <w:tc>
          <w:tcPr>
            <w:tcW w:w="1353" w:type="dxa"/>
            <w:shd w:val="clear" w:color="auto" w:fill="auto"/>
            <w:noWrap/>
            <w:vAlign w:val="center"/>
          </w:tcPr>
          <w:p>
            <w:pPr>
              <w:keepNext w:val="0"/>
              <w:keepLines w:val="0"/>
              <w:widowControl/>
              <w:suppressLineNumbers w:val="0"/>
              <w:jc w:val="center"/>
              <w:textAlignment w:val="center"/>
              <w:rPr>
                <w:rFonts w:ascii="宋体" w:hAnsi="宋体" w:eastAsia="宋体"/>
                <w:highlight w:val="none"/>
              </w:rPr>
            </w:pPr>
            <w:r>
              <w:rPr>
                <w:rFonts w:hint="eastAsia" w:ascii="宋体" w:hAnsi="宋体" w:eastAsia="宋体" w:cs="宋体"/>
                <w:i w:val="0"/>
                <w:iCs w:val="0"/>
                <w:color w:val="000000"/>
                <w:kern w:val="0"/>
                <w:sz w:val="22"/>
                <w:szCs w:val="22"/>
                <w:highlight w:val="none"/>
                <w:u w:val="none"/>
                <w:lang w:val="en-US" w:eastAsia="zh-CN"/>
              </w:rPr>
              <w:t>排水机器人</w:t>
            </w:r>
          </w:p>
        </w:tc>
        <w:tc>
          <w:tcPr>
            <w:tcW w:w="735"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台</w:t>
            </w:r>
          </w:p>
        </w:tc>
        <w:tc>
          <w:tcPr>
            <w:tcW w:w="734"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default" w:ascii="宋体" w:hAnsi="宋体" w:eastAsia="宋体" w:cs="宋体"/>
                <w:i w:val="0"/>
                <w:iCs w:val="0"/>
                <w:color w:val="000000"/>
                <w:kern w:val="0"/>
                <w:sz w:val="22"/>
                <w:szCs w:val="22"/>
                <w:highlight w:val="none"/>
                <w:u w:val="none"/>
                <w:lang w:val="en-US" w:eastAsia="zh-CN"/>
              </w:rPr>
              <w:t xml:space="preserve">1 </w:t>
            </w:r>
          </w:p>
        </w:tc>
        <w:tc>
          <w:tcPr>
            <w:tcW w:w="1086"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Times New Roman" w:hAnsi="Times New Roman" w:eastAsia="宋体" w:cs="Times New Roman"/>
                <w:i w:val="0"/>
                <w:iCs w:val="0"/>
                <w:color w:val="000000"/>
                <w:kern w:val="0"/>
                <w:sz w:val="22"/>
                <w:szCs w:val="22"/>
                <w:highlight w:val="none"/>
                <w:u w:val="none"/>
                <w:lang w:val="zh-CN" w:eastAsia="zh-CN"/>
              </w:rPr>
              <w:t>96.0</w:t>
            </w:r>
            <w:r>
              <w:rPr>
                <w:rFonts w:hint="eastAsia" w:ascii="Times New Roman" w:hAnsi="Times New Roman" w:eastAsia="宋体" w:cs="Times New Roman"/>
                <w:i w:val="0"/>
                <w:iCs w:val="0"/>
                <w:color w:val="000000"/>
                <w:kern w:val="0"/>
                <w:sz w:val="22"/>
                <w:szCs w:val="22"/>
                <w:highlight w:val="none"/>
                <w:u w:val="none"/>
                <w:lang w:val="en-US" w:eastAsia="zh-CN"/>
              </w:rPr>
              <w:t>000</w:t>
            </w:r>
          </w:p>
        </w:tc>
        <w:tc>
          <w:tcPr>
            <w:tcW w:w="1125" w:type="dxa"/>
            <w:shd w:val="clear" w:color="000000" w:fill="FFFFFF"/>
            <w:vAlign w:val="center"/>
          </w:tcPr>
          <w:p>
            <w:pPr>
              <w:widowControl/>
              <w:jc w:val="center"/>
              <w:rPr>
                <w:rFonts w:hint="default" w:ascii="宋体" w:hAnsi="宋体" w:eastAsia="宋体"/>
                <w:highlight w:val="none"/>
                <w:lang w:val="en-US" w:eastAsia="zh-CN"/>
              </w:rPr>
            </w:pPr>
            <w:r>
              <w:rPr>
                <w:rFonts w:hint="eastAsia" w:ascii="宋体" w:hAnsi="宋体" w:eastAsia="宋体"/>
                <w:highlight w:val="none"/>
                <w:lang w:val="en-US" w:eastAsia="zh-CN"/>
              </w:rPr>
              <w:t>96.0000</w:t>
            </w:r>
          </w:p>
        </w:tc>
        <w:tc>
          <w:tcPr>
            <w:tcW w:w="1555" w:type="dxa"/>
            <w:shd w:val="clear" w:color="000000" w:fill="FFFFFF"/>
            <w:vAlign w:val="center"/>
          </w:tcPr>
          <w:p>
            <w:pPr>
              <w:widowControl/>
              <w:jc w:val="center"/>
              <w:textAlignment w:val="center"/>
              <w:rPr>
                <w:rFonts w:ascii="宋体" w:hAnsi="宋体" w:eastAsia="宋体"/>
                <w:highlight w:val="none"/>
              </w:rPr>
            </w:pPr>
            <w:r>
              <w:rPr>
                <w:rFonts w:hint="eastAsia" w:ascii="宋体" w:hAnsi="宋体" w:cs="宋体"/>
                <w:color w:val="000000"/>
                <w:kern w:val="0"/>
                <w:sz w:val="24"/>
                <w:szCs w:val="24"/>
                <w:highlight w:val="none"/>
              </w:rPr>
              <w:t>是</w:t>
            </w:r>
          </w:p>
        </w:tc>
        <w:tc>
          <w:tcPr>
            <w:tcW w:w="912" w:type="dxa"/>
            <w:shd w:val="clear" w:color="000000" w:fill="FFFFFF"/>
            <w:vAlign w:val="center"/>
          </w:tcPr>
          <w:p>
            <w:pPr>
              <w:widowControl/>
              <w:jc w:val="center"/>
              <w:rPr>
                <w:rFonts w:ascii="宋体" w:hAnsi="宋体" w:eastAsia="宋体"/>
                <w:highlight w:val="none"/>
              </w:rPr>
            </w:pPr>
          </w:p>
        </w:tc>
        <w:tc>
          <w:tcPr>
            <w:tcW w:w="906" w:type="dxa"/>
            <w:shd w:val="clear" w:color="000000" w:fill="FFFFFF"/>
            <w:vAlign w:val="center"/>
          </w:tcPr>
          <w:p>
            <w:pPr>
              <w:widowControl/>
              <w:jc w:val="center"/>
              <w:rPr>
                <w:rFonts w:ascii="宋体" w:hAnsi="宋体" w:eastAsia="宋体"/>
                <w:highlight w:val="none"/>
              </w:rPr>
            </w:pP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867" w:type="dxa"/>
            <w:vAlign w:val="center"/>
          </w:tcPr>
          <w:p>
            <w:pPr>
              <w:widowControl/>
              <w:jc w:val="center"/>
              <w:rPr>
                <w:rFonts w:ascii="宋体" w:hAnsi="宋体" w:eastAsia="宋体"/>
                <w:highlight w:val="none"/>
              </w:rPr>
            </w:pPr>
            <w:r>
              <w:rPr>
                <w:rFonts w:hint="eastAsia" w:ascii="宋体" w:hAnsi="宋体" w:eastAsia="宋体"/>
                <w:highlight w:val="none"/>
              </w:rPr>
              <w:t>第</w:t>
            </w:r>
            <w:r>
              <w:rPr>
                <w:rFonts w:hint="eastAsia" w:ascii="宋体" w:hAnsi="宋体" w:eastAsia="宋体"/>
                <w:highlight w:val="none"/>
                <w:lang w:val="en-US" w:eastAsia="zh-CN"/>
              </w:rPr>
              <w:t>十三</w:t>
            </w:r>
            <w:r>
              <w:rPr>
                <w:rFonts w:hint="eastAsia" w:ascii="宋体" w:hAnsi="宋体" w:eastAsia="宋体"/>
                <w:highlight w:val="none"/>
              </w:rPr>
              <w:t>包</w:t>
            </w:r>
          </w:p>
        </w:tc>
        <w:tc>
          <w:tcPr>
            <w:tcW w:w="1353" w:type="dxa"/>
            <w:shd w:val="clear" w:color="auto" w:fill="auto"/>
            <w:noWrap/>
            <w:vAlign w:val="center"/>
          </w:tcPr>
          <w:p>
            <w:pPr>
              <w:keepNext w:val="0"/>
              <w:keepLines w:val="0"/>
              <w:widowControl/>
              <w:suppressLineNumbers w:val="0"/>
              <w:jc w:val="center"/>
              <w:textAlignment w:val="center"/>
              <w:rPr>
                <w:rFonts w:ascii="宋体" w:hAnsi="宋体" w:eastAsia="宋体"/>
                <w:highlight w:val="none"/>
              </w:rPr>
            </w:pPr>
            <w:r>
              <w:rPr>
                <w:rFonts w:hint="eastAsia" w:ascii="宋体" w:hAnsi="宋体" w:eastAsia="宋体" w:cs="宋体"/>
                <w:i w:val="0"/>
                <w:iCs w:val="0"/>
                <w:color w:val="000000"/>
                <w:kern w:val="0"/>
                <w:sz w:val="22"/>
                <w:szCs w:val="22"/>
                <w:highlight w:val="none"/>
                <w:u w:val="none"/>
                <w:lang w:val="en-US" w:eastAsia="zh-CN"/>
              </w:rPr>
              <w:t>破拆机器人</w:t>
            </w:r>
          </w:p>
        </w:tc>
        <w:tc>
          <w:tcPr>
            <w:tcW w:w="735"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台</w:t>
            </w:r>
          </w:p>
        </w:tc>
        <w:tc>
          <w:tcPr>
            <w:tcW w:w="734"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default" w:ascii="宋体" w:hAnsi="宋体" w:eastAsia="宋体" w:cs="宋体"/>
                <w:i w:val="0"/>
                <w:iCs w:val="0"/>
                <w:color w:val="000000"/>
                <w:kern w:val="0"/>
                <w:sz w:val="22"/>
                <w:szCs w:val="22"/>
                <w:highlight w:val="none"/>
                <w:u w:val="none"/>
                <w:lang w:val="en-US" w:eastAsia="zh-CN"/>
              </w:rPr>
              <w:t xml:space="preserve">1 </w:t>
            </w:r>
          </w:p>
        </w:tc>
        <w:tc>
          <w:tcPr>
            <w:tcW w:w="1086"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Times New Roman" w:hAnsi="Times New Roman" w:eastAsia="宋体" w:cs="Times New Roman"/>
                <w:i w:val="0"/>
                <w:iCs w:val="0"/>
                <w:color w:val="000000"/>
                <w:kern w:val="0"/>
                <w:sz w:val="22"/>
                <w:szCs w:val="22"/>
                <w:highlight w:val="none"/>
                <w:u w:val="none"/>
                <w:lang w:val="zh-CN" w:eastAsia="zh-CN"/>
              </w:rPr>
              <w:t>1</w:t>
            </w:r>
            <w:r>
              <w:rPr>
                <w:rFonts w:hint="eastAsia" w:cs="Times New Roman"/>
                <w:i w:val="0"/>
                <w:iCs w:val="0"/>
                <w:color w:val="000000"/>
                <w:kern w:val="0"/>
                <w:sz w:val="22"/>
                <w:szCs w:val="22"/>
                <w:highlight w:val="none"/>
                <w:u w:val="none"/>
                <w:lang w:val="en-US" w:eastAsia="zh-CN"/>
              </w:rPr>
              <w:t>48</w:t>
            </w:r>
            <w:r>
              <w:rPr>
                <w:rFonts w:hint="eastAsia" w:ascii="Times New Roman" w:hAnsi="Times New Roman" w:eastAsia="宋体" w:cs="Times New Roman"/>
                <w:i w:val="0"/>
                <w:iCs w:val="0"/>
                <w:color w:val="000000"/>
                <w:kern w:val="0"/>
                <w:sz w:val="22"/>
                <w:szCs w:val="22"/>
                <w:highlight w:val="none"/>
                <w:u w:val="none"/>
                <w:lang w:val="zh-CN" w:eastAsia="zh-CN"/>
              </w:rPr>
              <w:t>.0</w:t>
            </w:r>
            <w:r>
              <w:rPr>
                <w:rFonts w:hint="eastAsia" w:ascii="Times New Roman" w:hAnsi="Times New Roman" w:eastAsia="宋体" w:cs="Times New Roman"/>
                <w:i w:val="0"/>
                <w:iCs w:val="0"/>
                <w:color w:val="000000"/>
                <w:kern w:val="0"/>
                <w:sz w:val="22"/>
                <w:szCs w:val="22"/>
                <w:highlight w:val="none"/>
                <w:u w:val="none"/>
                <w:lang w:val="en-US" w:eastAsia="zh-CN"/>
              </w:rPr>
              <w:t>000</w:t>
            </w:r>
          </w:p>
        </w:tc>
        <w:tc>
          <w:tcPr>
            <w:tcW w:w="1125" w:type="dxa"/>
            <w:shd w:val="clear" w:color="000000" w:fill="FFFFFF"/>
            <w:vAlign w:val="center"/>
          </w:tcPr>
          <w:p>
            <w:pPr>
              <w:widowControl/>
              <w:jc w:val="center"/>
              <w:rPr>
                <w:rFonts w:hint="default" w:ascii="宋体" w:hAnsi="宋体" w:eastAsia="宋体"/>
                <w:highlight w:val="none"/>
                <w:lang w:val="en-US" w:eastAsia="zh-CN"/>
              </w:rPr>
            </w:pPr>
            <w:r>
              <w:rPr>
                <w:rFonts w:hint="eastAsia" w:ascii="宋体" w:hAnsi="宋体" w:eastAsia="宋体"/>
                <w:highlight w:val="none"/>
                <w:lang w:val="en-US" w:eastAsia="zh-CN"/>
              </w:rPr>
              <w:t>1</w:t>
            </w:r>
            <w:r>
              <w:rPr>
                <w:rFonts w:hint="eastAsia" w:ascii="宋体" w:hAnsi="宋体"/>
                <w:highlight w:val="none"/>
                <w:lang w:val="en-US" w:eastAsia="zh-CN"/>
              </w:rPr>
              <w:t>48</w:t>
            </w:r>
            <w:r>
              <w:rPr>
                <w:rFonts w:hint="eastAsia" w:ascii="宋体" w:hAnsi="宋体" w:eastAsia="宋体"/>
                <w:highlight w:val="none"/>
                <w:lang w:val="en-US" w:eastAsia="zh-CN"/>
              </w:rPr>
              <w:t>.0000</w:t>
            </w:r>
          </w:p>
        </w:tc>
        <w:tc>
          <w:tcPr>
            <w:tcW w:w="1555" w:type="dxa"/>
            <w:shd w:val="clear" w:color="000000" w:fill="FFFFFF"/>
            <w:vAlign w:val="center"/>
          </w:tcPr>
          <w:p>
            <w:pPr>
              <w:widowControl/>
              <w:jc w:val="center"/>
              <w:textAlignment w:val="center"/>
              <w:rPr>
                <w:rFonts w:ascii="宋体" w:hAnsi="宋体" w:eastAsia="宋体"/>
                <w:highlight w:val="none"/>
              </w:rPr>
            </w:pPr>
            <w:r>
              <w:rPr>
                <w:rFonts w:hint="eastAsia" w:ascii="宋体" w:hAnsi="宋体" w:cs="宋体"/>
                <w:color w:val="000000"/>
                <w:kern w:val="0"/>
                <w:sz w:val="24"/>
                <w:szCs w:val="24"/>
                <w:highlight w:val="none"/>
              </w:rPr>
              <w:t>是</w:t>
            </w:r>
          </w:p>
        </w:tc>
        <w:tc>
          <w:tcPr>
            <w:tcW w:w="912" w:type="dxa"/>
            <w:shd w:val="clear" w:color="000000" w:fill="FFFFFF"/>
            <w:vAlign w:val="center"/>
          </w:tcPr>
          <w:p>
            <w:pPr>
              <w:widowControl/>
              <w:jc w:val="center"/>
              <w:rPr>
                <w:rFonts w:ascii="宋体" w:hAnsi="宋体" w:eastAsia="宋体"/>
                <w:highlight w:val="none"/>
              </w:rPr>
            </w:pPr>
          </w:p>
        </w:tc>
        <w:tc>
          <w:tcPr>
            <w:tcW w:w="906" w:type="dxa"/>
            <w:shd w:val="clear" w:color="000000" w:fill="FFFFFF"/>
            <w:vAlign w:val="center"/>
          </w:tcPr>
          <w:p>
            <w:pPr>
              <w:widowControl/>
              <w:jc w:val="center"/>
              <w:rPr>
                <w:rFonts w:ascii="宋体" w:hAnsi="宋体" w:eastAsia="宋体"/>
                <w:highlight w:val="none"/>
              </w:rPr>
            </w:pP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867" w:type="dxa"/>
            <w:vAlign w:val="center"/>
          </w:tcPr>
          <w:p>
            <w:pPr>
              <w:widowControl/>
              <w:jc w:val="center"/>
              <w:rPr>
                <w:rFonts w:hint="eastAsia" w:ascii="宋体" w:hAnsi="宋体" w:eastAsia="宋体"/>
                <w:highlight w:val="none"/>
              </w:rPr>
            </w:pPr>
            <w:r>
              <w:rPr>
                <w:rFonts w:hint="eastAsia" w:ascii="宋体" w:hAnsi="宋体" w:eastAsia="宋体"/>
                <w:highlight w:val="none"/>
              </w:rPr>
              <w:t>第</w:t>
            </w:r>
            <w:r>
              <w:rPr>
                <w:rFonts w:hint="eastAsia" w:ascii="宋体" w:hAnsi="宋体" w:eastAsia="宋体"/>
                <w:highlight w:val="none"/>
                <w:lang w:val="en-US" w:eastAsia="zh-CN"/>
              </w:rPr>
              <w:t>十四</w:t>
            </w:r>
            <w:r>
              <w:rPr>
                <w:rFonts w:hint="eastAsia" w:ascii="宋体" w:hAnsi="宋体" w:eastAsia="宋体"/>
                <w:highlight w:val="none"/>
              </w:rPr>
              <w:t>包</w:t>
            </w:r>
          </w:p>
        </w:tc>
        <w:tc>
          <w:tcPr>
            <w:tcW w:w="1353" w:type="dxa"/>
            <w:shd w:val="clear" w:color="auto" w:fill="auto"/>
            <w:noWrap/>
            <w:vAlign w:val="center"/>
          </w:tcPr>
          <w:p>
            <w:pPr>
              <w:keepNext w:val="0"/>
              <w:keepLines w:val="0"/>
              <w:widowControl/>
              <w:suppressLineNumbers w:val="0"/>
              <w:jc w:val="center"/>
              <w:textAlignment w:val="center"/>
              <w:rPr>
                <w:rFonts w:hint="eastAsia" w:ascii="宋体" w:hAnsi="宋体" w:eastAsia="宋体"/>
                <w:highlight w:val="none"/>
              </w:rPr>
            </w:pPr>
            <w:r>
              <w:rPr>
                <w:rFonts w:hint="eastAsia" w:ascii="宋体" w:hAnsi="宋体" w:eastAsia="宋体" w:cs="宋体"/>
                <w:i w:val="0"/>
                <w:iCs w:val="0"/>
                <w:color w:val="000000"/>
                <w:kern w:val="0"/>
                <w:sz w:val="22"/>
                <w:szCs w:val="22"/>
                <w:highlight w:val="none"/>
                <w:u w:val="none"/>
                <w:lang w:val="en-US" w:eastAsia="zh-CN"/>
              </w:rPr>
              <w:t>灭火机器人</w:t>
            </w:r>
          </w:p>
        </w:tc>
        <w:tc>
          <w:tcPr>
            <w:tcW w:w="735"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台</w:t>
            </w:r>
          </w:p>
        </w:tc>
        <w:tc>
          <w:tcPr>
            <w:tcW w:w="734"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default" w:ascii="宋体" w:hAnsi="宋体" w:eastAsia="宋体" w:cs="宋体"/>
                <w:i w:val="0"/>
                <w:iCs w:val="0"/>
                <w:color w:val="000000"/>
                <w:kern w:val="0"/>
                <w:sz w:val="22"/>
                <w:szCs w:val="22"/>
                <w:highlight w:val="none"/>
                <w:u w:val="none"/>
                <w:lang w:val="en-US" w:eastAsia="zh-CN"/>
              </w:rPr>
              <w:t xml:space="preserve">1 </w:t>
            </w:r>
          </w:p>
        </w:tc>
        <w:tc>
          <w:tcPr>
            <w:tcW w:w="1086"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cs="Times New Roman"/>
                <w:i w:val="0"/>
                <w:iCs w:val="0"/>
                <w:color w:val="000000"/>
                <w:kern w:val="0"/>
                <w:sz w:val="22"/>
                <w:szCs w:val="22"/>
                <w:highlight w:val="none"/>
                <w:u w:val="none"/>
                <w:lang w:val="en-US" w:eastAsia="zh-CN"/>
              </w:rPr>
              <w:t>100</w:t>
            </w:r>
            <w:r>
              <w:rPr>
                <w:rFonts w:hint="eastAsia" w:ascii="Times New Roman" w:hAnsi="Times New Roman" w:eastAsia="宋体" w:cs="Times New Roman"/>
                <w:i w:val="0"/>
                <w:iCs w:val="0"/>
                <w:color w:val="000000"/>
                <w:kern w:val="0"/>
                <w:sz w:val="22"/>
                <w:szCs w:val="22"/>
                <w:highlight w:val="none"/>
                <w:u w:val="none"/>
                <w:lang w:val="zh-CN" w:eastAsia="zh-CN"/>
              </w:rPr>
              <w:t>.0</w:t>
            </w:r>
            <w:r>
              <w:rPr>
                <w:rFonts w:hint="eastAsia" w:ascii="Times New Roman" w:hAnsi="Times New Roman" w:eastAsia="宋体" w:cs="Times New Roman"/>
                <w:i w:val="0"/>
                <w:iCs w:val="0"/>
                <w:color w:val="000000"/>
                <w:kern w:val="0"/>
                <w:sz w:val="22"/>
                <w:szCs w:val="22"/>
                <w:highlight w:val="none"/>
                <w:u w:val="none"/>
                <w:lang w:val="en-US" w:eastAsia="zh-CN"/>
              </w:rPr>
              <w:t>000</w:t>
            </w:r>
          </w:p>
        </w:tc>
        <w:tc>
          <w:tcPr>
            <w:tcW w:w="1125" w:type="dxa"/>
            <w:shd w:val="clear" w:color="000000" w:fill="FFFFFF"/>
            <w:vAlign w:val="center"/>
          </w:tcPr>
          <w:p>
            <w:pPr>
              <w:widowControl/>
              <w:jc w:val="center"/>
              <w:rPr>
                <w:rFonts w:hint="default" w:ascii="宋体" w:hAnsi="宋体" w:eastAsia="宋体"/>
                <w:highlight w:val="none"/>
                <w:lang w:val="en-US" w:eastAsia="zh-CN"/>
              </w:rPr>
            </w:pPr>
            <w:r>
              <w:rPr>
                <w:rFonts w:hint="eastAsia" w:ascii="宋体" w:hAnsi="宋体"/>
                <w:highlight w:val="none"/>
                <w:lang w:val="en-US" w:eastAsia="zh-CN"/>
              </w:rPr>
              <w:t>10</w:t>
            </w:r>
            <w:r>
              <w:rPr>
                <w:rFonts w:hint="eastAsia" w:ascii="宋体" w:hAnsi="宋体" w:eastAsia="宋体"/>
                <w:highlight w:val="none"/>
                <w:lang w:val="en-US" w:eastAsia="zh-CN"/>
              </w:rPr>
              <w:t>0.0000</w:t>
            </w:r>
          </w:p>
        </w:tc>
        <w:tc>
          <w:tcPr>
            <w:tcW w:w="1555" w:type="dxa"/>
            <w:shd w:val="clear" w:color="000000" w:fill="FFFFFF"/>
            <w:vAlign w:val="center"/>
          </w:tcPr>
          <w:p>
            <w:pPr>
              <w:widowControl/>
              <w:jc w:val="center"/>
              <w:textAlignment w:val="center"/>
              <w:rPr>
                <w:rFonts w:hint="eastAsia" w:ascii="宋体" w:hAnsi="宋体" w:eastAsia="宋体" w:cs="宋体"/>
                <w:color w:val="000000"/>
                <w:kern w:val="0"/>
                <w:sz w:val="24"/>
                <w:szCs w:val="24"/>
                <w:highlight w:val="none"/>
                <w:lang w:val="en-US" w:eastAsia="zh-CN"/>
              </w:rPr>
            </w:pPr>
            <w:r>
              <w:rPr>
                <w:rFonts w:hint="eastAsia" w:ascii="宋体" w:hAnsi="宋体" w:cs="宋体"/>
                <w:color w:val="000000"/>
                <w:kern w:val="0"/>
                <w:sz w:val="24"/>
                <w:szCs w:val="24"/>
                <w:highlight w:val="none"/>
                <w:lang w:val="en-US" w:eastAsia="zh-CN"/>
              </w:rPr>
              <w:t>否</w:t>
            </w:r>
          </w:p>
        </w:tc>
        <w:tc>
          <w:tcPr>
            <w:tcW w:w="912" w:type="dxa"/>
            <w:shd w:val="clear" w:color="000000" w:fill="FFFFFF"/>
            <w:vAlign w:val="center"/>
          </w:tcPr>
          <w:p>
            <w:pPr>
              <w:widowControl/>
              <w:jc w:val="center"/>
              <w:rPr>
                <w:rFonts w:ascii="宋体" w:hAnsi="宋体" w:eastAsia="宋体"/>
                <w:highlight w:val="none"/>
              </w:rPr>
            </w:pPr>
          </w:p>
        </w:tc>
        <w:tc>
          <w:tcPr>
            <w:tcW w:w="906" w:type="dxa"/>
            <w:shd w:val="clear" w:color="000000" w:fill="FFFFFF"/>
            <w:vAlign w:val="center"/>
          </w:tcPr>
          <w:p>
            <w:pPr>
              <w:widowControl/>
              <w:jc w:val="center"/>
              <w:rPr>
                <w:rFonts w:ascii="宋体" w:hAnsi="宋体" w:eastAsia="宋体"/>
                <w:highlight w:val="none"/>
              </w:rPr>
            </w:pP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867" w:type="dxa"/>
            <w:vMerge w:val="restart"/>
            <w:vAlign w:val="center"/>
          </w:tcPr>
          <w:p>
            <w:pPr>
              <w:widowControl/>
              <w:jc w:val="center"/>
              <w:rPr>
                <w:rFonts w:hint="eastAsia" w:ascii="宋体" w:hAnsi="宋体" w:eastAsia="宋体"/>
                <w:highlight w:val="none"/>
              </w:rPr>
            </w:pPr>
            <w:r>
              <w:rPr>
                <w:rFonts w:hint="eastAsia" w:ascii="宋体" w:hAnsi="宋体" w:eastAsia="宋体"/>
                <w:highlight w:val="none"/>
              </w:rPr>
              <w:t>第</w:t>
            </w:r>
            <w:r>
              <w:rPr>
                <w:rFonts w:hint="eastAsia" w:ascii="宋体" w:hAnsi="宋体" w:eastAsia="宋体"/>
                <w:highlight w:val="none"/>
                <w:lang w:val="en-US" w:eastAsia="zh-CN"/>
              </w:rPr>
              <w:t>十五</w:t>
            </w:r>
            <w:r>
              <w:rPr>
                <w:rFonts w:hint="eastAsia" w:ascii="宋体" w:hAnsi="宋体" w:eastAsia="宋体"/>
                <w:highlight w:val="none"/>
              </w:rPr>
              <w:t>包</w:t>
            </w:r>
          </w:p>
        </w:tc>
        <w:tc>
          <w:tcPr>
            <w:tcW w:w="1353"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轮式装载机</w:t>
            </w:r>
          </w:p>
        </w:tc>
        <w:tc>
          <w:tcPr>
            <w:tcW w:w="735"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台</w:t>
            </w:r>
          </w:p>
        </w:tc>
        <w:tc>
          <w:tcPr>
            <w:tcW w:w="734"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1</w:t>
            </w:r>
          </w:p>
        </w:tc>
        <w:tc>
          <w:tcPr>
            <w:tcW w:w="1086"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Times New Roman" w:hAnsi="Times New Roman" w:eastAsia="宋体" w:cs="Times New Roman"/>
                <w:i w:val="0"/>
                <w:iCs w:val="0"/>
                <w:color w:val="000000"/>
                <w:kern w:val="0"/>
                <w:sz w:val="22"/>
                <w:szCs w:val="22"/>
                <w:highlight w:val="none"/>
                <w:u w:val="none"/>
                <w:lang w:val="en-US" w:eastAsia="zh-CN"/>
              </w:rPr>
              <w:t>31.0000</w:t>
            </w:r>
          </w:p>
        </w:tc>
        <w:tc>
          <w:tcPr>
            <w:tcW w:w="1125" w:type="dxa"/>
            <w:vMerge w:val="restart"/>
            <w:shd w:val="clear" w:color="000000" w:fill="FFFFFF"/>
            <w:vAlign w:val="center"/>
          </w:tcPr>
          <w:p>
            <w:pPr>
              <w:widowControl/>
              <w:jc w:val="center"/>
              <w:rPr>
                <w:rFonts w:hint="default" w:ascii="宋体" w:hAnsi="宋体" w:eastAsia="宋体"/>
                <w:highlight w:val="none"/>
                <w:lang w:val="en-US" w:eastAsia="zh-CN"/>
              </w:rPr>
            </w:pPr>
            <w:r>
              <w:rPr>
                <w:rFonts w:hint="eastAsia" w:ascii="宋体" w:hAnsi="宋体" w:eastAsia="宋体"/>
                <w:highlight w:val="none"/>
                <w:lang w:val="en-US" w:eastAsia="zh-CN"/>
              </w:rPr>
              <w:t>105.9000</w:t>
            </w:r>
          </w:p>
        </w:tc>
        <w:tc>
          <w:tcPr>
            <w:tcW w:w="1555" w:type="dxa"/>
            <w:shd w:val="clear" w:color="000000" w:fill="FFFFFF"/>
            <w:vAlign w:val="center"/>
          </w:tcPr>
          <w:p>
            <w:pPr>
              <w:widowControl/>
              <w:jc w:val="center"/>
              <w:textAlignment w:val="center"/>
              <w:rPr>
                <w:rFonts w:hint="eastAsia" w:ascii="宋体" w:hAnsi="宋体" w:cs="宋体"/>
                <w:color w:val="000000"/>
                <w:kern w:val="0"/>
                <w:sz w:val="24"/>
                <w:szCs w:val="24"/>
                <w:highlight w:val="none"/>
                <w:lang w:val="en-US" w:eastAsia="zh-CN"/>
              </w:rPr>
            </w:pPr>
            <w:r>
              <w:rPr>
                <w:rFonts w:hint="eastAsia" w:ascii="宋体" w:hAnsi="宋体" w:cs="宋体"/>
                <w:color w:val="000000"/>
                <w:kern w:val="0"/>
                <w:sz w:val="24"/>
                <w:szCs w:val="24"/>
                <w:highlight w:val="none"/>
              </w:rPr>
              <w:t>是</w:t>
            </w:r>
          </w:p>
        </w:tc>
        <w:tc>
          <w:tcPr>
            <w:tcW w:w="912" w:type="dxa"/>
            <w:shd w:val="clear" w:color="000000" w:fill="FFFFFF"/>
            <w:vAlign w:val="center"/>
          </w:tcPr>
          <w:p>
            <w:pPr>
              <w:widowControl/>
              <w:jc w:val="center"/>
              <w:rPr>
                <w:rFonts w:ascii="宋体" w:hAnsi="宋体" w:eastAsia="宋体"/>
                <w:highlight w:val="none"/>
              </w:rPr>
            </w:pPr>
          </w:p>
        </w:tc>
        <w:tc>
          <w:tcPr>
            <w:tcW w:w="906" w:type="dxa"/>
            <w:shd w:val="clear" w:color="000000" w:fill="FFFFFF"/>
            <w:vAlign w:val="center"/>
          </w:tcPr>
          <w:p>
            <w:pPr>
              <w:widowControl/>
              <w:jc w:val="center"/>
              <w:rPr>
                <w:rFonts w:hint="eastAsia" w:ascii="宋体" w:hAnsi="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867" w:type="dxa"/>
            <w:vMerge w:val="continue"/>
            <w:vAlign w:val="center"/>
          </w:tcPr>
          <w:p>
            <w:pPr>
              <w:widowControl/>
              <w:jc w:val="center"/>
              <w:rPr>
                <w:rFonts w:hint="eastAsia" w:ascii="宋体" w:hAnsi="宋体" w:eastAsia="宋体"/>
                <w:highlight w:val="none"/>
              </w:rPr>
            </w:pPr>
          </w:p>
        </w:tc>
        <w:tc>
          <w:tcPr>
            <w:tcW w:w="1353"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履带式挖掘机</w:t>
            </w:r>
          </w:p>
        </w:tc>
        <w:tc>
          <w:tcPr>
            <w:tcW w:w="735"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台</w:t>
            </w:r>
          </w:p>
        </w:tc>
        <w:tc>
          <w:tcPr>
            <w:tcW w:w="734"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1</w:t>
            </w:r>
          </w:p>
        </w:tc>
        <w:tc>
          <w:tcPr>
            <w:tcW w:w="1086"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Times New Roman" w:hAnsi="Times New Roman" w:eastAsia="宋体" w:cs="Times New Roman"/>
                <w:i w:val="0"/>
                <w:iCs w:val="0"/>
                <w:color w:val="000000"/>
                <w:kern w:val="0"/>
                <w:sz w:val="22"/>
                <w:szCs w:val="22"/>
                <w:highlight w:val="none"/>
                <w:u w:val="none"/>
                <w:lang w:val="en-US" w:eastAsia="zh-CN"/>
              </w:rPr>
              <w:t>74.9000</w:t>
            </w:r>
          </w:p>
        </w:tc>
        <w:tc>
          <w:tcPr>
            <w:tcW w:w="1125" w:type="dxa"/>
            <w:vMerge w:val="continue"/>
            <w:shd w:val="clear" w:color="000000" w:fill="FFFFFF"/>
            <w:vAlign w:val="center"/>
          </w:tcPr>
          <w:p>
            <w:pPr>
              <w:widowControl/>
              <w:jc w:val="center"/>
              <w:rPr>
                <w:rFonts w:hint="eastAsia" w:ascii="宋体" w:hAnsi="宋体" w:eastAsia="宋体"/>
                <w:highlight w:val="none"/>
                <w:lang w:val="en-US" w:eastAsia="zh-CN"/>
              </w:rPr>
            </w:pPr>
          </w:p>
        </w:tc>
        <w:tc>
          <w:tcPr>
            <w:tcW w:w="1555" w:type="dxa"/>
            <w:shd w:val="clear" w:color="000000" w:fill="FFFFFF"/>
            <w:vAlign w:val="center"/>
          </w:tcPr>
          <w:p>
            <w:pPr>
              <w:widowControl/>
              <w:jc w:val="center"/>
              <w:textAlignment w:val="center"/>
              <w:rPr>
                <w:rFonts w:hint="eastAsia" w:ascii="宋体" w:hAnsi="宋体" w:cs="宋体"/>
                <w:color w:val="000000"/>
                <w:kern w:val="0"/>
                <w:sz w:val="24"/>
                <w:szCs w:val="24"/>
                <w:highlight w:val="none"/>
                <w:lang w:val="en-US" w:eastAsia="zh-CN"/>
              </w:rPr>
            </w:pPr>
            <w:r>
              <w:rPr>
                <w:rFonts w:hint="eastAsia" w:ascii="宋体" w:hAnsi="宋体" w:cs="宋体"/>
                <w:color w:val="000000"/>
                <w:kern w:val="0"/>
                <w:sz w:val="24"/>
                <w:szCs w:val="24"/>
                <w:highlight w:val="none"/>
              </w:rPr>
              <w:t>是</w:t>
            </w:r>
          </w:p>
        </w:tc>
        <w:tc>
          <w:tcPr>
            <w:tcW w:w="912" w:type="dxa"/>
            <w:shd w:val="clear" w:color="000000" w:fill="FFFFFF"/>
            <w:vAlign w:val="center"/>
          </w:tcPr>
          <w:p>
            <w:pPr>
              <w:widowControl/>
              <w:jc w:val="center"/>
              <w:rPr>
                <w:rFonts w:ascii="宋体" w:hAnsi="宋体" w:eastAsia="宋体"/>
                <w:highlight w:val="none"/>
              </w:rPr>
            </w:pPr>
          </w:p>
        </w:tc>
        <w:tc>
          <w:tcPr>
            <w:tcW w:w="906" w:type="dxa"/>
            <w:shd w:val="clear" w:color="000000" w:fill="FFFFFF"/>
            <w:vAlign w:val="center"/>
          </w:tcPr>
          <w:p>
            <w:pPr>
              <w:widowControl/>
              <w:jc w:val="center"/>
              <w:rPr>
                <w:rFonts w:hint="eastAsia" w:ascii="宋体" w:hAnsi="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867" w:type="dxa"/>
            <w:vMerge w:val="restart"/>
            <w:shd w:val="clear" w:color="auto" w:fill="auto"/>
            <w:noWrap/>
            <w:vAlign w:val="center"/>
          </w:tcPr>
          <w:p>
            <w:pPr>
              <w:widowControl/>
              <w:jc w:val="center"/>
              <w:rPr>
                <w:rFonts w:ascii="宋体" w:hAnsi="宋体" w:eastAsia="宋体"/>
                <w:highlight w:val="none"/>
              </w:rPr>
            </w:pPr>
            <w:r>
              <w:rPr>
                <w:rFonts w:hint="eastAsia" w:ascii="宋体" w:hAnsi="宋体" w:eastAsia="宋体"/>
                <w:highlight w:val="none"/>
              </w:rPr>
              <w:t>第</w:t>
            </w:r>
            <w:r>
              <w:rPr>
                <w:rFonts w:hint="eastAsia" w:ascii="宋体" w:hAnsi="宋体" w:eastAsia="宋体"/>
                <w:highlight w:val="none"/>
                <w:lang w:val="en-US" w:eastAsia="zh-CN"/>
              </w:rPr>
              <w:t>十六</w:t>
            </w:r>
            <w:r>
              <w:rPr>
                <w:rFonts w:hint="eastAsia" w:ascii="宋体" w:hAnsi="宋体" w:eastAsia="宋体"/>
                <w:highlight w:val="none"/>
              </w:rPr>
              <w:t>包</w:t>
            </w:r>
          </w:p>
          <w:p>
            <w:pPr>
              <w:pStyle w:val="4"/>
              <w:ind w:left="0" w:leftChars="0" w:firstLine="0" w:firstLineChars="0"/>
              <w:jc w:val="both"/>
              <w:rPr>
                <w:rFonts w:ascii="宋体" w:hAnsi="宋体" w:eastAsia="宋体"/>
                <w:highlight w:val="none"/>
              </w:rPr>
            </w:pPr>
          </w:p>
        </w:tc>
        <w:tc>
          <w:tcPr>
            <w:tcW w:w="1353" w:type="dxa"/>
            <w:shd w:val="clear" w:color="auto" w:fill="auto"/>
            <w:noWrap/>
            <w:vAlign w:val="center"/>
          </w:tcPr>
          <w:p>
            <w:pPr>
              <w:keepNext w:val="0"/>
              <w:keepLines w:val="0"/>
              <w:widowControl/>
              <w:suppressLineNumbers w:val="0"/>
              <w:jc w:val="center"/>
              <w:textAlignment w:val="center"/>
              <w:rPr>
                <w:rFonts w:ascii="宋体" w:hAnsi="宋体" w:eastAsia="宋体"/>
                <w:highlight w:val="none"/>
              </w:rPr>
            </w:pPr>
            <w:r>
              <w:rPr>
                <w:rFonts w:hint="eastAsia" w:ascii="宋体" w:hAnsi="宋体" w:eastAsia="宋体" w:cs="宋体"/>
                <w:i w:val="0"/>
                <w:iCs w:val="0"/>
                <w:color w:val="000000"/>
                <w:kern w:val="0"/>
                <w:sz w:val="22"/>
                <w:szCs w:val="22"/>
                <w:highlight w:val="none"/>
                <w:u w:val="none"/>
                <w:lang w:val="en-US" w:eastAsia="zh-CN"/>
              </w:rPr>
              <w:t>水下推进器</w:t>
            </w:r>
          </w:p>
        </w:tc>
        <w:tc>
          <w:tcPr>
            <w:tcW w:w="735"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台</w:t>
            </w:r>
          </w:p>
        </w:tc>
        <w:tc>
          <w:tcPr>
            <w:tcW w:w="734"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default" w:ascii="宋体" w:hAnsi="宋体" w:eastAsia="宋体" w:cs="宋体"/>
                <w:i w:val="0"/>
                <w:iCs w:val="0"/>
                <w:color w:val="000000"/>
                <w:kern w:val="0"/>
                <w:sz w:val="22"/>
                <w:szCs w:val="22"/>
                <w:highlight w:val="none"/>
                <w:u w:val="none"/>
                <w:lang w:val="en-US" w:eastAsia="zh-CN"/>
              </w:rPr>
              <w:t xml:space="preserve">2 </w:t>
            </w:r>
          </w:p>
        </w:tc>
        <w:tc>
          <w:tcPr>
            <w:tcW w:w="1086"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cs="Times New Roman"/>
                <w:i w:val="0"/>
                <w:iCs w:val="0"/>
                <w:color w:val="000000"/>
                <w:kern w:val="0"/>
                <w:sz w:val="22"/>
                <w:szCs w:val="22"/>
                <w:highlight w:val="none"/>
                <w:u w:val="none"/>
                <w:lang w:val="en-US" w:eastAsia="zh-CN"/>
              </w:rPr>
              <w:t>2</w:t>
            </w:r>
            <w:r>
              <w:rPr>
                <w:rFonts w:hint="eastAsia" w:ascii="Times New Roman" w:hAnsi="Times New Roman" w:eastAsia="宋体" w:cs="Times New Roman"/>
                <w:i w:val="0"/>
                <w:iCs w:val="0"/>
                <w:color w:val="000000"/>
                <w:kern w:val="0"/>
                <w:sz w:val="22"/>
                <w:szCs w:val="22"/>
                <w:highlight w:val="none"/>
                <w:u w:val="none"/>
                <w:lang w:val="zh-CN" w:eastAsia="zh-CN"/>
              </w:rPr>
              <w:t>.</w:t>
            </w:r>
            <w:r>
              <w:rPr>
                <w:rFonts w:hint="eastAsia" w:cs="Times New Roman"/>
                <w:i w:val="0"/>
                <w:iCs w:val="0"/>
                <w:color w:val="000000"/>
                <w:kern w:val="0"/>
                <w:sz w:val="22"/>
                <w:szCs w:val="22"/>
                <w:highlight w:val="none"/>
                <w:u w:val="none"/>
                <w:lang w:val="en-US" w:eastAsia="zh-CN"/>
              </w:rPr>
              <w:t>8</w:t>
            </w:r>
            <w:r>
              <w:rPr>
                <w:rFonts w:hint="eastAsia" w:ascii="Times New Roman" w:hAnsi="Times New Roman" w:eastAsia="宋体" w:cs="Times New Roman"/>
                <w:i w:val="0"/>
                <w:iCs w:val="0"/>
                <w:color w:val="000000"/>
                <w:kern w:val="0"/>
                <w:sz w:val="22"/>
                <w:szCs w:val="22"/>
                <w:highlight w:val="none"/>
                <w:u w:val="none"/>
                <w:lang w:val="en-US" w:eastAsia="zh-CN"/>
              </w:rPr>
              <w:t>000</w:t>
            </w:r>
          </w:p>
        </w:tc>
        <w:tc>
          <w:tcPr>
            <w:tcW w:w="1125" w:type="dxa"/>
            <w:vMerge w:val="restart"/>
            <w:shd w:val="clear" w:color="000000" w:fill="FFFFFF"/>
            <w:vAlign w:val="center"/>
          </w:tcPr>
          <w:p>
            <w:pPr>
              <w:widowControl/>
              <w:jc w:val="center"/>
              <w:rPr>
                <w:rFonts w:hint="default" w:ascii="宋体" w:hAnsi="宋体" w:eastAsia="宋体"/>
                <w:highlight w:val="none"/>
                <w:lang w:val="en-US" w:eastAsia="zh-CN"/>
              </w:rPr>
            </w:pPr>
            <w:r>
              <w:rPr>
                <w:rFonts w:hint="eastAsia" w:ascii="宋体" w:hAnsi="宋体" w:eastAsia="宋体"/>
                <w:highlight w:val="none"/>
                <w:lang w:val="en-US" w:eastAsia="zh-CN"/>
              </w:rPr>
              <w:t>16</w:t>
            </w:r>
            <w:r>
              <w:rPr>
                <w:rFonts w:hint="eastAsia" w:ascii="宋体" w:hAnsi="宋体"/>
                <w:highlight w:val="none"/>
                <w:lang w:val="en-US" w:eastAsia="zh-CN"/>
              </w:rPr>
              <w:t>2</w:t>
            </w:r>
            <w:r>
              <w:rPr>
                <w:rFonts w:hint="eastAsia" w:ascii="宋体" w:hAnsi="宋体" w:eastAsia="宋体"/>
                <w:highlight w:val="none"/>
                <w:lang w:val="en-US" w:eastAsia="zh-CN"/>
              </w:rPr>
              <w:t>.</w:t>
            </w:r>
            <w:r>
              <w:rPr>
                <w:rFonts w:hint="eastAsia" w:ascii="宋体" w:hAnsi="宋体"/>
                <w:highlight w:val="none"/>
                <w:lang w:val="en-US" w:eastAsia="zh-CN"/>
              </w:rPr>
              <w:t>3</w:t>
            </w:r>
            <w:r>
              <w:rPr>
                <w:rFonts w:hint="eastAsia" w:ascii="宋体" w:hAnsi="宋体" w:eastAsia="宋体"/>
                <w:highlight w:val="none"/>
                <w:lang w:val="en-US" w:eastAsia="zh-CN"/>
              </w:rPr>
              <w:t>400</w:t>
            </w:r>
          </w:p>
        </w:tc>
        <w:tc>
          <w:tcPr>
            <w:tcW w:w="1555" w:type="dxa"/>
            <w:shd w:val="clear" w:color="000000" w:fill="FFFFFF"/>
            <w:vAlign w:val="center"/>
          </w:tcPr>
          <w:p>
            <w:pPr>
              <w:widowControl/>
              <w:jc w:val="center"/>
              <w:textAlignment w:val="center"/>
              <w:rPr>
                <w:rFonts w:ascii="宋体" w:hAnsi="宋体" w:eastAsia="宋体"/>
                <w:highlight w:val="none"/>
              </w:rPr>
            </w:pPr>
            <w:r>
              <w:rPr>
                <w:rFonts w:hint="eastAsia" w:ascii="宋体" w:hAnsi="宋体" w:cs="宋体"/>
                <w:color w:val="000000"/>
                <w:kern w:val="0"/>
                <w:sz w:val="24"/>
                <w:szCs w:val="24"/>
                <w:highlight w:val="none"/>
              </w:rPr>
              <w:t>是</w:t>
            </w:r>
          </w:p>
        </w:tc>
        <w:tc>
          <w:tcPr>
            <w:tcW w:w="912" w:type="dxa"/>
            <w:shd w:val="clear" w:color="000000" w:fill="FFFFFF"/>
            <w:vAlign w:val="center"/>
          </w:tcPr>
          <w:p>
            <w:pPr>
              <w:widowControl/>
              <w:jc w:val="center"/>
              <w:rPr>
                <w:rFonts w:ascii="宋体" w:hAnsi="宋体" w:eastAsia="宋体"/>
                <w:highlight w:val="none"/>
              </w:rPr>
            </w:pPr>
          </w:p>
        </w:tc>
        <w:tc>
          <w:tcPr>
            <w:tcW w:w="906" w:type="dxa"/>
            <w:shd w:val="clear" w:color="000000" w:fill="FFFFFF"/>
            <w:vAlign w:val="center"/>
          </w:tcPr>
          <w:p>
            <w:pPr>
              <w:widowControl/>
              <w:jc w:val="center"/>
              <w:rPr>
                <w:rFonts w:ascii="宋体" w:hAnsi="宋体" w:eastAsia="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867" w:type="dxa"/>
            <w:vMerge w:val="continue"/>
            <w:vAlign w:val="center"/>
          </w:tcPr>
          <w:p>
            <w:pPr>
              <w:widowControl/>
              <w:jc w:val="left"/>
              <w:rPr>
                <w:rFonts w:ascii="宋体" w:hAnsi="宋体" w:eastAsia="宋体"/>
                <w:highlight w:val="none"/>
              </w:rPr>
            </w:pPr>
          </w:p>
        </w:tc>
        <w:tc>
          <w:tcPr>
            <w:tcW w:w="1353" w:type="dxa"/>
            <w:shd w:val="clear" w:color="auto" w:fill="auto"/>
            <w:noWrap/>
            <w:vAlign w:val="center"/>
          </w:tcPr>
          <w:p>
            <w:pPr>
              <w:keepNext w:val="0"/>
              <w:keepLines w:val="0"/>
              <w:widowControl/>
              <w:suppressLineNumbers w:val="0"/>
              <w:jc w:val="center"/>
              <w:textAlignment w:val="center"/>
              <w:rPr>
                <w:rFonts w:ascii="宋体" w:hAnsi="宋体" w:eastAsia="宋体"/>
                <w:highlight w:val="none"/>
              </w:rPr>
            </w:pPr>
            <w:r>
              <w:rPr>
                <w:rFonts w:hint="eastAsia" w:ascii="宋体" w:hAnsi="宋体" w:eastAsia="宋体" w:cs="宋体"/>
                <w:i w:val="0"/>
                <w:iCs w:val="0"/>
                <w:color w:val="000000"/>
                <w:kern w:val="0"/>
                <w:sz w:val="22"/>
                <w:szCs w:val="22"/>
                <w:highlight w:val="none"/>
                <w:u w:val="none"/>
                <w:lang w:val="en-US" w:eastAsia="zh-CN"/>
              </w:rPr>
              <w:t>水下摄像机</w:t>
            </w:r>
          </w:p>
        </w:tc>
        <w:tc>
          <w:tcPr>
            <w:tcW w:w="735"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台</w:t>
            </w:r>
          </w:p>
        </w:tc>
        <w:tc>
          <w:tcPr>
            <w:tcW w:w="734"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default" w:ascii="宋体" w:hAnsi="宋体" w:eastAsia="宋体" w:cs="宋体"/>
                <w:i w:val="0"/>
                <w:iCs w:val="0"/>
                <w:color w:val="000000"/>
                <w:kern w:val="0"/>
                <w:sz w:val="22"/>
                <w:szCs w:val="22"/>
                <w:highlight w:val="none"/>
                <w:u w:val="none"/>
                <w:lang w:val="en-US" w:eastAsia="zh-CN"/>
              </w:rPr>
              <w:t xml:space="preserve">2 </w:t>
            </w:r>
          </w:p>
        </w:tc>
        <w:tc>
          <w:tcPr>
            <w:tcW w:w="1086"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Times New Roman" w:hAnsi="Times New Roman" w:eastAsia="宋体" w:cs="Times New Roman"/>
                <w:i w:val="0"/>
                <w:iCs w:val="0"/>
                <w:color w:val="000000"/>
                <w:kern w:val="0"/>
                <w:sz w:val="22"/>
                <w:szCs w:val="22"/>
                <w:highlight w:val="none"/>
                <w:u w:val="none"/>
                <w:lang w:val="zh-CN" w:eastAsia="zh-CN"/>
              </w:rPr>
              <w:t>0.</w:t>
            </w:r>
            <w:r>
              <w:rPr>
                <w:rFonts w:hint="eastAsia" w:ascii="Times New Roman" w:hAnsi="Times New Roman" w:eastAsia="宋体" w:cs="Times New Roman"/>
                <w:i w:val="0"/>
                <w:iCs w:val="0"/>
                <w:color w:val="000000"/>
                <w:kern w:val="0"/>
                <w:sz w:val="22"/>
                <w:szCs w:val="22"/>
                <w:highlight w:val="none"/>
                <w:u w:val="none"/>
                <w:lang w:val="en-US" w:eastAsia="zh-CN"/>
              </w:rPr>
              <w:t>7500</w:t>
            </w:r>
          </w:p>
        </w:tc>
        <w:tc>
          <w:tcPr>
            <w:tcW w:w="1125" w:type="dxa"/>
            <w:vMerge w:val="continue"/>
            <w:shd w:val="clear" w:color="000000" w:fill="FFFFFF"/>
            <w:vAlign w:val="center"/>
          </w:tcPr>
          <w:p>
            <w:pPr>
              <w:widowControl/>
              <w:jc w:val="center"/>
              <w:rPr>
                <w:rFonts w:ascii="宋体" w:hAnsi="宋体" w:eastAsia="宋体"/>
                <w:highlight w:val="none"/>
              </w:rPr>
            </w:pPr>
          </w:p>
        </w:tc>
        <w:tc>
          <w:tcPr>
            <w:tcW w:w="1555" w:type="dxa"/>
            <w:shd w:val="clear" w:color="000000" w:fill="FFFFFF"/>
            <w:vAlign w:val="center"/>
          </w:tcPr>
          <w:p>
            <w:pPr>
              <w:widowControl/>
              <w:jc w:val="center"/>
              <w:textAlignment w:val="center"/>
              <w:rPr>
                <w:rFonts w:ascii="宋体" w:hAnsi="宋体" w:eastAsia="宋体"/>
                <w:highlight w:val="none"/>
              </w:rPr>
            </w:pPr>
            <w:r>
              <w:rPr>
                <w:rFonts w:hint="eastAsia" w:ascii="宋体" w:hAnsi="宋体" w:cs="宋体"/>
                <w:color w:val="000000"/>
                <w:kern w:val="0"/>
                <w:sz w:val="24"/>
                <w:szCs w:val="24"/>
                <w:highlight w:val="none"/>
              </w:rPr>
              <w:t>是</w:t>
            </w:r>
          </w:p>
        </w:tc>
        <w:tc>
          <w:tcPr>
            <w:tcW w:w="912" w:type="dxa"/>
            <w:shd w:val="clear" w:color="000000" w:fill="FFFFFF"/>
            <w:vAlign w:val="center"/>
          </w:tcPr>
          <w:p>
            <w:pPr>
              <w:widowControl/>
              <w:jc w:val="center"/>
              <w:rPr>
                <w:rFonts w:ascii="宋体" w:hAnsi="宋体" w:eastAsia="宋体"/>
                <w:highlight w:val="none"/>
              </w:rPr>
            </w:pPr>
          </w:p>
        </w:tc>
        <w:tc>
          <w:tcPr>
            <w:tcW w:w="906" w:type="dxa"/>
            <w:shd w:val="clear" w:color="000000" w:fill="FFFFFF"/>
            <w:vAlign w:val="center"/>
          </w:tcPr>
          <w:p>
            <w:pPr>
              <w:widowControl/>
              <w:jc w:val="center"/>
              <w:rPr>
                <w:rFonts w:ascii="宋体" w:hAnsi="宋体" w:eastAsia="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867" w:type="dxa"/>
            <w:vMerge w:val="continue"/>
            <w:vAlign w:val="center"/>
          </w:tcPr>
          <w:p>
            <w:pPr>
              <w:widowControl/>
              <w:jc w:val="left"/>
              <w:rPr>
                <w:rFonts w:ascii="宋体" w:hAnsi="宋体" w:eastAsia="宋体"/>
                <w:highlight w:val="none"/>
              </w:rPr>
            </w:pPr>
          </w:p>
        </w:tc>
        <w:tc>
          <w:tcPr>
            <w:tcW w:w="1353" w:type="dxa"/>
            <w:shd w:val="clear" w:color="auto" w:fill="auto"/>
            <w:noWrap/>
            <w:vAlign w:val="center"/>
          </w:tcPr>
          <w:p>
            <w:pPr>
              <w:keepNext w:val="0"/>
              <w:keepLines w:val="0"/>
              <w:widowControl/>
              <w:suppressLineNumbers w:val="0"/>
              <w:jc w:val="center"/>
              <w:textAlignment w:val="center"/>
              <w:rPr>
                <w:rFonts w:ascii="宋体" w:hAnsi="宋体" w:eastAsia="宋体"/>
                <w:highlight w:val="none"/>
              </w:rPr>
            </w:pPr>
            <w:r>
              <w:rPr>
                <w:rFonts w:hint="eastAsia" w:ascii="宋体" w:hAnsi="宋体" w:eastAsia="宋体" w:cs="宋体"/>
                <w:i w:val="0"/>
                <w:iCs w:val="0"/>
                <w:color w:val="000000"/>
                <w:kern w:val="0"/>
                <w:sz w:val="22"/>
                <w:szCs w:val="22"/>
                <w:highlight w:val="none"/>
                <w:u w:val="none"/>
                <w:lang w:val="en-US" w:eastAsia="zh-CN"/>
              </w:rPr>
              <w:t>潜水浮力装置</w:t>
            </w:r>
          </w:p>
        </w:tc>
        <w:tc>
          <w:tcPr>
            <w:tcW w:w="735"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套</w:t>
            </w:r>
          </w:p>
        </w:tc>
        <w:tc>
          <w:tcPr>
            <w:tcW w:w="734"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default" w:ascii="宋体" w:hAnsi="宋体" w:eastAsia="宋体" w:cs="宋体"/>
                <w:i w:val="0"/>
                <w:iCs w:val="0"/>
                <w:color w:val="000000"/>
                <w:kern w:val="0"/>
                <w:sz w:val="22"/>
                <w:szCs w:val="22"/>
                <w:highlight w:val="none"/>
                <w:u w:val="none"/>
                <w:lang w:val="en-US" w:eastAsia="zh-CN"/>
              </w:rPr>
              <w:t xml:space="preserve">12 </w:t>
            </w:r>
          </w:p>
        </w:tc>
        <w:tc>
          <w:tcPr>
            <w:tcW w:w="1086"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Times New Roman" w:hAnsi="Times New Roman" w:eastAsia="宋体" w:cs="Times New Roman"/>
                <w:i w:val="0"/>
                <w:iCs w:val="0"/>
                <w:color w:val="000000"/>
                <w:kern w:val="0"/>
                <w:sz w:val="22"/>
                <w:szCs w:val="22"/>
                <w:highlight w:val="none"/>
                <w:u w:val="none"/>
                <w:lang w:val="zh-CN" w:eastAsia="zh-CN"/>
              </w:rPr>
              <w:t>0.4</w:t>
            </w:r>
            <w:r>
              <w:rPr>
                <w:rFonts w:hint="eastAsia" w:ascii="Times New Roman" w:hAnsi="Times New Roman" w:eastAsia="宋体" w:cs="Times New Roman"/>
                <w:i w:val="0"/>
                <w:iCs w:val="0"/>
                <w:color w:val="000000"/>
                <w:kern w:val="0"/>
                <w:sz w:val="22"/>
                <w:szCs w:val="22"/>
                <w:highlight w:val="none"/>
                <w:u w:val="none"/>
                <w:lang w:val="en-US" w:eastAsia="zh-CN"/>
              </w:rPr>
              <w:t>000</w:t>
            </w:r>
          </w:p>
        </w:tc>
        <w:tc>
          <w:tcPr>
            <w:tcW w:w="1125" w:type="dxa"/>
            <w:vMerge w:val="continue"/>
            <w:shd w:val="clear" w:color="000000" w:fill="FFFFFF"/>
            <w:vAlign w:val="center"/>
          </w:tcPr>
          <w:p>
            <w:pPr>
              <w:widowControl/>
              <w:jc w:val="center"/>
              <w:rPr>
                <w:rFonts w:ascii="宋体" w:hAnsi="宋体" w:eastAsia="宋体"/>
                <w:highlight w:val="none"/>
              </w:rPr>
            </w:pPr>
          </w:p>
        </w:tc>
        <w:tc>
          <w:tcPr>
            <w:tcW w:w="1555" w:type="dxa"/>
            <w:shd w:val="clear" w:color="000000" w:fill="FFFFFF"/>
            <w:vAlign w:val="center"/>
          </w:tcPr>
          <w:p>
            <w:pPr>
              <w:widowControl/>
              <w:jc w:val="center"/>
              <w:textAlignment w:val="center"/>
              <w:rPr>
                <w:rFonts w:ascii="宋体" w:hAnsi="宋体" w:eastAsia="宋体"/>
                <w:highlight w:val="none"/>
              </w:rPr>
            </w:pPr>
            <w:r>
              <w:rPr>
                <w:rFonts w:hint="eastAsia" w:ascii="宋体" w:hAnsi="宋体" w:cs="宋体"/>
                <w:color w:val="000000"/>
                <w:kern w:val="0"/>
                <w:sz w:val="24"/>
                <w:szCs w:val="24"/>
                <w:highlight w:val="none"/>
              </w:rPr>
              <w:t>是</w:t>
            </w:r>
          </w:p>
        </w:tc>
        <w:tc>
          <w:tcPr>
            <w:tcW w:w="912" w:type="dxa"/>
            <w:shd w:val="clear" w:color="000000" w:fill="FFFFFF"/>
            <w:vAlign w:val="center"/>
          </w:tcPr>
          <w:p>
            <w:pPr>
              <w:widowControl/>
              <w:jc w:val="center"/>
              <w:rPr>
                <w:rFonts w:ascii="宋体" w:hAnsi="宋体" w:eastAsia="宋体"/>
                <w:highlight w:val="none"/>
              </w:rPr>
            </w:pPr>
          </w:p>
        </w:tc>
        <w:tc>
          <w:tcPr>
            <w:tcW w:w="906" w:type="dxa"/>
            <w:shd w:val="clear" w:color="000000" w:fill="FFFFFF"/>
            <w:vAlign w:val="center"/>
          </w:tcPr>
          <w:p>
            <w:pPr>
              <w:widowControl/>
              <w:jc w:val="center"/>
              <w:rPr>
                <w:rFonts w:ascii="宋体" w:hAnsi="宋体" w:eastAsia="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867" w:type="dxa"/>
            <w:vMerge w:val="continue"/>
            <w:vAlign w:val="center"/>
          </w:tcPr>
          <w:p>
            <w:pPr>
              <w:widowControl/>
              <w:jc w:val="left"/>
              <w:rPr>
                <w:rFonts w:ascii="宋体" w:hAnsi="宋体" w:eastAsia="宋体"/>
                <w:highlight w:val="none"/>
              </w:rPr>
            </w:pPr>
          </w:p>
        </w:tc>
        <w:tc>
          <w:tcPr>
            <w:tcW w:w="1353" w:type="dxa"/>
            <w:shd w:val="clear" w:color="auto" w:fill="auto"/>
            <w:noWrap/>
            <w:vAlign w:val="center"/>
          </w:tcPr>
          <w:p>
            <w:pPr>
              <w:keepNext w:val="0"/>
              <w:keepLines w:val="0"/>
              <w:widowControl/>
              <w:suppressLineNumbers w:val="0"/>
              <w:jc w:val="center"/>
              <w:textAlignment w:val="center"/>
              <w:rPr>
                <w:rFonts w:ascii="宋体" w:hAnsi="宋体" w:eastAsia="宋体"/>
                <w:highlight w:val="none"/>
              </w:rPr>
            </w:pPr>
            <w:r>
              <w:rPr>
                <w:rFonts w:hint="eastAsia" w:ascii="宋体" w:hAnsi="宋体" w:eastAsia="宋体" w:cs="宋体"/>
                <w:i w:val="0"/>
                <w:iCs w:val="0"/>
                <w:color w:val="000000"/>
                <w:kern w:val="0"/>
                <w:sz w:val="22"/>
                <w:szCs w:val="22"/>
                <w:highlight w:val="none"/>
                <w:u w:val="none"/>
                <w:lang w:val="en-US" w:eastAsia="zh-CN"/>
              </w:rPr>
              <w:t>潜水气瓶</w:t>
            </w:r>
          </w:p>
        </w:tc>
        <w:tc>
          <w:tcPr>
            <w:tcW w:w="735"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个</w:t>
            </w:r>
          </w:p>
        </w:tc>
        <w:tc>
          <w:tcPr>
            <w:tcW w:w="734"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default" w:ascii="宋体" w:hAnsi="宋体" w:eastAsia="宋体" w:cs="宋体"/>
                <w:i w:val="0"/>
                <w:iCs w:val="0"/>
                <w:color w:val="000000"/>
                <w:kern w:val="0"/>
                <w:sz w:val="22"/>
                <w:szCs w:val="22"/>
                <w:highlight w:val="none"/>
                <w:u w:val="none"/>
                <w:lang w:val="en-US" w:eastAsia="zh-CN"/>
              </w:rPr>
              <w:t xml:space="preserve">20 </w:t>
            </w:r>
          </w:p>
        </w:tc>
        <w:tc>
          <w:tcPr>
            <w:tcW w:w="1086"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Times New Roman" w:hAnsi="Times New Roman" w:eastAsia="宋体" w:cs="Times New Roman"/>
                <w:i w:val="0"/>
                <w:iCs w:val="0"/>
                <w:color w:val="000000"/>
                <w:kern w:val="0"/>
                <w:sz w:val="22"/>
                <w:szCs w:val="22"/>
                <w:highlight w:val="none"/>
                <w:u w:val="none"/>
                <w:lang w:val="zh-CN" w:eastAsia="zh-CN"/>
              </w:rPr>
              <w:t>0.2</w:t>
            </w:r>
            <w:r>
              <w:rPr>
                <w:rFonts w:hint="eastAsia" w:ascii="Times New Roman" w:hAnsi="Times New Roman" w:eastAsia="宋体" w:cs="Times New Roman"/>
                <w:i w:val="0"/>
                <w:iCs w:val="0"/>
                <w:color w:val="000000"/>
                <w:kern w:val="0"/>
                <w:sz w:val="22"/>
                <w:szCs w:val="22"/>
                <w:highlight w:val="none"/>
                <w:u w:val="none"/>
                <w:lang w:val="en-US" w:eastAsia="zh-CN"/>
              </w:rPr>
              <w:t>400</w:t>
            </w:r>
          </w:p>
        </w:tc>
        <w:tc>
          <w:tcPr>
            <w:tcW w:w="1125" w:type="dxa"/>
            <w:vMerge w:val="continue"/>
            <w:shd w:val="clear" w:color="000000" w:fill="FFFFFF"/>
            <w:vAlign w:val="center"/>
          </w:tcPr>
          <w:p>
            <w:pPr>
              <w:widowControl/>
              <w:jc w:val="center"/>
              <w:rPr>
                <w:rFonts w:ascii="宋体" w:hAnsi="宋体" w:eastAsia="宋体"/>
                <w:highlight w:val="none"/>
              </w:rPr>
            </w:pPr>
          </w:p>
        </w:tc>
        <w:tc>
          <w:tcPr>
            <w:tcW w:w="1555" w:type="dxa"/>
            <w:shd w:val="clear" w:color="000000" w:fill="FFFFFF"/>
            <w:vAlign w:val="center"/>
          </w:tcPr>
          <w:p>
            <w:pPr>
              <w:widowControl/>
              <w:jc w:val="center"/>
              <w:textAlignment w:val="center"/>
              <w:rPr>
                <w:rFonts w:ascii="宋体" w:hAnsi="宋体" w:eastAsia="宋体"/>
                <w:highlight w:val="none"/>
              </w:rPr>
            </w:pPr>
            <w:r>
              <w:rPr>
                <w:rFonts w:hint="eastAsia" w:ascii="宋体" w:hAnsi="宋体" w:cs="宋体"/>
                <w:color w:val="000000"/>
                <w:kern w:val="0"/>
                <w:sz w:val="24"/>
                <w:szCs w:val="24"/>
                <w:highlight w:val="none"/>
              </w:rPr>
              <w:t>是</w:t>
            </w:r>
          </w:p>
        </w:tc>
        <w:tc>
          <w:tcPr>
            <w:tcW w:w="912" w:type="dxa"/>
            <w:shd w:val="clear" w:color="000000" w:fill="FFFFFF"/>
            <w:vAlign w:val="center"/>
          </w:tcPr>
          <w:p>
            <w:pPr>
              <w:widowControl/>
              <w:jc w:val="center"/>
              <w:rPr>
                <w:rFonts w:ascii="宋体" w:hAnsi="宋体" w:eastAsia="宋体"/>
                <w:highlight w:val="none"/>
              </w:rPr>
            </w:pPr>
          </w:p>
        </w:tc>
        <w:tc>
          <w:tcPr>
            <w:tcW w:w="906" w:type="dxa"/>
            <w:shd w:val="clear" w:color="000000" w:fill="FFFFFF"/>
            <w:vAlign w:val="center"/>
          </w:tcPr>
          <w:p>
            <w:pPr>
              <w:widowControl/>
              <w:jc w:val="center"/>
              <w:rPr>
                <w:rFonts w:ascii="宋体" w:hAnsi="宋体" w:eastAsia="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867" w:type="dxa"/>
            <w:vMerge w:val="continue"/>
            <w:vAlign w:val="center"/>
          </w:tcPr>
          <w:p>
            <w:pPr>
              <w:widowControl/>
              <w:jc w:val="left"/>
              <w:rPr>
                <w:rFonts w:ascii="宋体" w:hAnsi="宋体" w:eastAsia="宋体"/>
                <w:highlight w:val="none"/>
              </w:rPr>
            </w:pPr>
          </w:p>
        </w:tc>
        <w:tc>
          <w:tcPr>
            <w:tcW w:w="1353" w:type="dxa"/>
            <w:shd w:val="clear" w:color="auto" w:fill="auto"/>
            <w:noWrap/>
            <w:vAlign w:val="center"/>
          </w:tcPr>
          <w:p>
            <w:pPr>
              <w:keepNext w:val="0"/>
              <w:keepLines w:val="0"/>
              <w:widowControl/>
              <w:suppressLineNumbers w:val="0"/>
              <w:jc w:val="center"/>
              <w:textAlignment w:val="center"/>
              <w:rPr>
                <w:rFonts w:ascii="宋体" w:hAnsi="宋体" w:eastAsia="宋体"/>
                <w:highlight w:val="none"/>
              </w:rPr>
            </w:pPr>
            <w:r>
              <w:rPr>
                <w:rFonts w:hint="eastAsia" w:ascii="宋体" w:hAnsi="宋体" w:eastAsia="宋体" w:cs="宋体"/>
                <w:i w:val="0"/>
                <w:iCs w:val="0"/>
                <w:color w:val="000000"/>
                <w:kern w:val="0"/>
                <w:sz w:val="22"/>
                <w:szCs w:val="22"/>
                <w:highlight w:val="none"/>
                <w:u w:val="none"/>
                <w:lang w:val="en-US" w:eastAsia="zh-CN"/>
              </w:rPr>
              <w:t>潜水调节器（含附件）</w:t>
            </w:r>
          </w:p>
        </w:tc>
        <w:tc>
          <w:tcPr>
            <w:tcW w:w="735"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套</w:t>
            </w:r>
          </w:p>
        </w:tc>
        <w:tc>
          <w:tcPr>
            <w:tcW w:w="734"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default" w:ascii="宋体" w:hAnsi="宋体" w:eastAsia="宋体" w:cs="宋体"/>
                <w:i w:val="0"/>
                <w:iCs w:val="0"/>
                <w:color w:val="000000"/>
                <w:kern w:val="0"/>
                <w:sz w:val="22"/>
                <w:szCs w:val="22"/>
                <w:highlight w:val="none"/>
                <w:u w:val="none"/>
                <w:lang w:val="en-US" w:eastAsia="zh-CN"/>
              </w:rPr>
              <w:t xml:space="preserve">12 </w:t>
            </w:r>
          </w:p>
        </w:tc>
        <w:tc>
          <w:tcPr>
            <w:tcW w:w="1086"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Times New Roman" w:hAnsi="Times New Roman" w:eastAsia="宋体" w:cs="Times New Roman"/>
                <w:i w:val="0"/>
                <w:iCs w:val="0"/>
                <w:color w:val="000000"/>
                <w:kern w:val="0"/>
                <w:sz w:val="22"/>
                <w:szCs w:val="22"/>
                <w:highlight w:val="none"/>
                <w:u w:val="none"/>
                <w:lang w:val="zh-CN" w:eastAsia="zh-CN"/>
              </w:rPr>
              <w:t>0.5</w:t>
            </w:r>
            <w:r>
              <w:rPr>
                <w:rFonts w:hint="eastAsia" w:cs="Times New Roman"/>
                <w:i w:val="0"/>
                <w:iCs w:val="0"/>
                <w:color w:val="000000"/>
                <w:kern w:val="0"/>
                <w:sz w:val="22"/>
                <w:szCs w:val="22"/>
                <w:highlight w:val="none"/>
                <w:u w:val="none"/>
                <w:lang w:val="en-US" w:eastAsia="zh-CN"/>
              </w:rPr>
              <w:t>0</w:t>
            </w:r>
            <w:r>
              <w:rPr>
                <w:rFonts w:hint="eastAsia" w:ascii="Times New Roman" w:hAnsi="Times New Roman" w:eastAsia="宋体" w:cs="Times New Roman"/>
                <w:i w:val="0"/>
                <w:iCs w:val="0"/>
                <w:color w:val="000000"/>
                <w:kern w:val="0"/>
                <w:sz w:val="22"/>
                <w:szCs w:val="22"/>
                <w:highlight w:val="none"/>
                <w:u w:val="none"/>
                <w:lang w:val="en-US" w:eastAsia="zh-CN"/>
              </w:rPr>
              <w:t>00</w:t>
            </w:r>
          </w:p>
        </w:tc>
        <w:tc>
          <w:tcPr>
            <w:tcW w:w="1125" w:type="dxa"/>
            <w:vMerge w:val="continue"/>
            <w:shd w:val="clear" w:color="000000" w:fill="FFFFFF"/>
            <w:vAlign w:val="center"/>
          </w:tcPr>
          <w:p>
            <w:pPr>
              <w:widowControl/>
              <w:jc w:val="center"/>
              <w:rPr>
                <w:rFonts w:ascii="宋体" w:hAnsi="宋体" w:eastAsia="宋体"/>
                <w:highlight w:val="none"/>
              </w:rPr>
            </w:pPr>
          </w:p>
        </w:tc>
        <w:tc>
          <w:tcPr>
            <w:tcW w:w="1555" w:type="dxa"/>
            <w:shd w:val="clear" w:color="000000" w:fill="FFFFFF"/>
            <w:vAlign w:val="center"/>
          </w:tcPr>
          <w:p>
            <w:pPr>
              <w:widowControl/>
              <w:jc w:val="center"/>
              <w:textAlignment w:val="center"/>
              <w:rPr>
                <w:rFonts w:ascii="宋体" w:hAnsi="宋体" w:eastAsia="宋体"/>
                <w:highlight w:val="none"/>
              </w:rPr>
            </w:pPr>
            <w:r>
              <w:rPr>
                <w:rFonts w:hint="eastAsia" w:ascii="宋体" w:hAnsi="宋体" w:cs="宋体"/>
                <w:color w:val="000000"/>
                <w:kern w:val="0"/>
                <w:sz w:val="24"/>
                <w:szCs w:val="24"/>
                <w:highlight w:val="none"/>
              </w:rPr>
              <w:t>是</w:t>
            </w:r>
          </w:p>
        </w:tc>
        <w:tc>
          <w:tcPr>
            <w:tcW w:w="912" w:type="dxa"/>
            <w:shd w:val="clear" w:color="000000" w:fill="FFFFFF"/>
            <w:vAlign w:val="center"/>
          </w:tcPr>
          <w:p>
            <w:pPr>
              <w:widowControl/>
              <w:jc w:val="center"/>
              <w:rPr>
                <w:rFonts w:ascii="宋体" w:hAnsi="宋体" w:eastAsia="宋体"/>
                <w:highlight w:val="none"/>
              </w:rPr>
            </w:pPr>
          </w:p>
        </w:tc>
        <w:tc>
          <w:tcPr>
            <w:tcW w:w="906" w:type="dxa"/>
            <w:shd w:val="clear" w:color="000000" w:fill="FFFFFF"/>
            <w:vAlign w:val="center"/>
          </w:tcPr>
          <w:p>
            <w:pPr>
              <w:widowControl/>
              <w:jc w:val="center"/>
              <w:rPr>
                <w:rFonts w:ascii="宋体" w:hAnsi="宋体" w:eastAsia="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867" w:type="dxa"/>
            <w:vMerge w:val="continue"/>
            <w:vAlign w:val="center"/>
          </w:tcPr>
          <w:p>
            <w:pPr>
              <w:widowControl/>
              <w:jc w:val="left"/>
              <w:rPr>
                <w:rFonts w:ascii="宋体" w:hAnsi="宋体" w:eastAsia="宋体"/>
                <w:highlight w:val="none"/>
              </w:rPr>
            </w:pPr>
          </w:p>
        </w:tc>
        <w:tc>
          <w:tcPr>
            <w:tcW w:w="1353" w:type="dxa"/>
            <w:shd w:val="clear" w:color="auto" w:fill="auto"/>
            <w:noWrap/>
            <w:vAlign w:val="center"/>
          </w:tcPr>
          <w:p>
            <w:pPr>
              <w:keepNext w:val="0"/>
              <w:keepLines w:val="0"/>
              <w:widowControl/>
              <w:suppressLineNumbers w:val="0"/>
              <w:jc w:val="center"/>
              <w:textAlignment w:val="center"/>
              <w:rPr>
                <w:rFonts w:ascii="宋体" w:hAnsi="宋体" w:eastAsia="宋体"/>
                <w:highlight w:val="none"/>
              </w:rPr>
            </w:pPr>
            <w:r>
              <w:rPr>
                <w:rFonts w:hint="eastAsia" w:ascii="宋体" w:hAnsi="宋体" w:eastAsia="宋体" w:cs="宋体"/>
                <w:i w:val="0"/>
                <w:iCs w:val="0"/>
                <w:color w:val="000000"/>
                <w:kern w:val="0"/>
                <w:sz w:val="22"/>
                <w:szCs w:val="22"/>
                <w:highlight w:val="none"/>
                <w:u w:val="none"/>
                <w:lang w:val="en-US" w:eastAsia="zh-CN"/>
              </w:rPr>
              <w:t>潜水电脑表</w:t>
            </w:r>
          </w:p>
        </w:tc>
        <w:tc>
          <w:tcPr>
            <w:tcW w:w="735"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块</w:t>
            </w:r>
          </w:p>
        </w:tc>
        <w:tc>
          <w:tcPr>
            <w:tcW w:w="734"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default" w:ascii="宋体" w:hAnsi="宋体" w:eastAsia="宋体" w:cs="宋体"/>
                <w:i w:val="0"/>
                <w:iCs w:val="0"/>
                <w:color w:val="000000"/>
                <w:kern w:val="0"/>
                <w:sz w:val="22"/>
                <w:szCs w:val="22"/>
                <w:highlight w:val="none"/>
                <w:u w:val="none"/>
                <w:lang w:val="en-US" w:eastAsia="zh-CN"/>
              </w:rPr>
              <w:t xml:space="preserve">12 </w:t>
            </w:r>
          </w:p>
        </w:tc>
        <w:tc>
          <w:tcPr>
            <w:tcW w:w="1086"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Times New Roman" w:hAnsi="Times New Roman" w:eastAsia="宋体" w:cs="Times New Roman"/>
                <w:i w:val="0"/>
                <w:iCs w:val="0"/>
                <w:color w:val="000000"/>
                <w:kern w:val="0"/>
                <w:sz w:val="22"/>
                <w:szCs w:val="22"/>
                <w:highlight w:val="none"/>
                <w:u w:val="none"/>
                <w:lang w:val="zh-CN" w:eastAsia="zh-CN"/>
              </w:rPr>
              <w:t>0.4</w:t>
            </w:r>
            <w:r>
              <w:rPr>
                <w:rFonts w:hint="eastAsia" w:cs="Times New Roman"/>
                <w:i w:val="0"/>
                <w:iCs w:val="0"/>
                <w:color w:val="000000"/>
                <w:kern w:val="0"/>
                <w:sz w:val="22"/>
                <w:szCs w:val="22"/>
                <w:highlight w:val="none"/>
                <w:u w:val="none"/>
                <w:lang w:val="en-US" w:eastAsia="zh-CN"/>
              </w:rPr>
              <w:t>2</w:t>
            </w:r>
            <w:r>
              <w:rPr>
                <w:rFonts w:hint="eastAsia" w:ascii="Times New Roman" w:hAnsi="Times New Roman" w:eastAsia="宋体" w:cs="Times New Roman"/>
                <w:i w:val="0"/>
                <w:iCs w:val="0"/>
                <w:color w:val="000000"/>
                <w:kern w:val="0"/>
                <w:sz w:val="22"/>
                <w:szCs w:val="22"/>
                <w:highlight w:val="none"/>
                <w:u w:val="none"/>
                <w:lang w:val="en-US" w:eastAsia="zh-CN"/>
              </w:rPr>
              <w:t>00</w:t>
            </w:r>
          </w:p>
        </w:tc>
        <w:tc>
          <w:tcPr>
            <w:tcW w:w="1125" w:type="dxa"/>
            <w:vMerge w:val="continue"/>
            <w:shd w:val="clear" w:color="000000" w:fill="FFFFFF"/>
            <w:vAlign w:val="center"/>
          </w:tcPr>
          <w:p>
            <w:pPr>
              <w:widowControl/>
              <w:jc w:val="center"/>
              <w:rPr>
                <w:rFonts w:ascii="宋体" w:hAnsi="宋体" w:eastAsia="宋体"/>
                <w:highlight w:val="none"/>
              </w:rPr>
            </w:pPr>
          </w:p>
        </w:tc>
        <w:tc>
          <w:tcPr>
            <w:tcW w:w="1555" w:type="dxa"/>
            <w:shd w:val="clear" w:color="000000" w:fill="FFFFFF"/>
            <w:vAlign w:val="center"/>
          </w:tcPr>
          <w:p>
            <w:pPr>
              <w:widowControl/>
              <w:jc w:val="center"/>
              <w:textAlignment w:val="center"/>
              <w:rPr>
                <w:rFonts w:ascii="宋体" w:hAnsi="宋体" w:eastAsia="宋体"/>
                <w:highlight w:val="none"/>
              </w:rPr>
            </w:pPr>
            <w:r>
              <w:rPr>
                <w:rFonts w:hint="eastAsia" w:ascii="宋体" w:hAnsi="宋体" w:cs="宋体"/>
                <w:color w:val="000000"/>
                <w:kern w:val="0"/>
                <w:sz w:val="24"/>
                <w:szCs w:val="24"/>
                <w:highlight w:val="none"/>
              </w:rPr>
              <w:t>是</w:t>
            </w:r>
          </w:p>
        </w:tc>
        <w:tc>
          <w:tcPr>
            <w:tcW w:w="912" w:type="dxa"/>
            <w:shd w:val="clear" w:color="000000" w:fill="FFFFFF"/>
            <w:vAlign w:val="center"/>
          </w:tcPr>
          <w:p>
            <w:pPr>
              <w:widowControl/>
              <w:jc w:val="center"/>
              <w:rPr>
                <w:rFonts w:ascii="宋体" w:hAnsi="宋体" w:eastAsia="宋体"/>
                <w:highlight w:val="none"/>
              </w:rPr>
            </w:pPr>
          </w:p>
        </w:tc>
        <w:tc>
          <w:tcPr>
            <w:tcW w:w="906" w:type="dxa"/>
            <w:shd w:val="clear" w:color="000000" w:fill="FFFFFF"/>
            <w:vAlign w:val="center"/>
          </w:tcPr>
          <w:p>
            <w:pPr>
              <w:widowControl/>
              <w:jc w:val="center"/>
              <w:rPr>
                <w:rFonts w:ascii="宋体" w:hAnsi="宋体" w:eastAsia="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867" w:type="dxa"/>
            <w:vMerge w:val="continue"/>
            <w:vAlign w:val="center"/>
          </w:tcPr>
          <w:p>
            <w:pPr>
              <w:widowControl/>
              <w:jc w:val="left"/>
              <w:rPr>
                <w:rFonts w:ascii="宋体" w:hAnsi="宋体" w:eastAsia="宋体"/>
                <w:highlight w:val="none"/>
              </w:rPr>
            </w:pPr>
          </w:p>
        </w:tc>
        <w:tc>
          <w:tcPr>
            <w:tcW w:w="1353" w:type="dxa"/>
            <w:shd w:val="clear" w:color="auto" w:fill="auto"/>
            <w:noWrap/>
            <w:vAlign w:val="center"/>
          </w:tcPr>
          <w:p>
            <w:pPr>
              <w:keepNext w:val="0"/>
              <w:keepLines w:val="0"/>
              <w:widowControl/>
              <w:suppressLineNumbers w:val="0"/>
              <w:jc w:val="center"/>
              <w:textAlignment w:val="center"/>
              <w:rPr>
                <w:rFonts w:ascii="宋体" w:hAnsi="宋体" w:eastAsia="宋体"/>
                <w:highlight w:val="none"/>
              </w:rPr>
            </w:pPr>
            <w:r>
              <w:rPr>
                <w:rFonts w:hint="eastAsia" w:ascii="宋体" w:hAnsi="宋体" w:eastAsia="宋体" w:cs="宋体"/>
                <w:i w:val="0"/>
                <w:iCs w:val="0"/>
                <w:color w:val="000000"/>
                <w:kern w:val="0"/>
                <w:sz w:val="22"/>
                <w:szCs w:val="22"/>
                <w:highlight w:val="none"/>
                <w:u w:val="none"/>
                <w:lang w:val="en-US" w:eastAsia="zh-CN"/>
              </w:rPr>
              <w:t>管供式潜水装具</w:t>
            </w:r>
          </w:p>
        </w:tc>
        <w:tc>
          <w:tcPr>
            <w:tcW w:w="735"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套</w:t>
            </w:r>
          </w:p>
        </w:tc>
        <w:tc>
          <w:tcPr>
            <w:tcW w:w="734"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default" w:ascii="宋体" w:hAnsi="宋体" w:eastAsia="宋体" w:cs="宋体"/>
                <w:i w:val="0"/>
                <w:iCs w:val="0"/>
                <w:color w:val="000000"/>
                <w:kern w:val="0"/>
                <w:sz w:val="22"/>
                <w:szCs w:val="22"/>
                <w:highlight w:val="none"/>
                <w:u w:val="none"/>
                <w:lang w:val="en-US" w:eastAsia="zh-CN"/>
              </w:rPr>
              <w:t xml:space="preserve">1 </w:t>
            </w:r>
          </w:p>
        </w:tc>
        <w:tc>
          <w:tcPr>
            <w:tcW w:w="1086"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cs="Times New Roman"/>
                <w:i w:val="0"/>
                <w:iCs w:val="0"/>
                <w:color w:val="000000"/>
                <w:kern w:val="0"/>
                <w:sz w:val="22"/>
                <w:szCs w:val="22"/>
                <w:highlight w:val="none"/>
                <w:u w:val="none"/>
                <w:lang w:val="en-US" w:eastAsia="zh-CN"/>
              </w:rPr>
              <w:t>68</w:t>
            </w:r>
            <w:r>
              <w:rPr>
                <w:rFonts w:hint="eastAsia" w:ascii="Times New Roman" w:hAnsi="Times New Roman" w:eastAsia="宋体" w:cs="Times New Roman"/>
                <w:i w:val="0"/>
                <w:iCs w:val="0"/>
                <w:color w:val="000000"/>
                <w:kern w:val="0"/>
                <w:sz w:val="22"/>
                <w:szCs w:val="22"/>
                <w:highlight w:val="none"/>
                <w:u w:val="none"/>
                <w:lang w:val="zh-CN" w:eastAsia="zh-CN"/>
              </w:rPr>
              <w:t>.</w:t>
            </w:r>
            <w:r>
              <w:rPr>
                <w:rFonts w:hint="eastAsia" w:cs="Times New Roman"/>
                <w:i w:val="0"/>
                <w:iCs w:val="0"/>
                <w:color w:val="000000"/>
                <w:kern w:val="0"/>
                <w:sz w:val="22"/>
                <w:szCs w:val="22"/>
                <w:highlight w:val="none"/>
                <w:u w:val="none"/>
                <w:lang w:val="en-US" w:eastAsia="zh-CN"/>
              </w:rPr>
              <w:t>0</w:t>
            </w:r>
            <w:r>
              <w:rPr>
                <w:rFonts w:hint="eastAsia" w:ascii="Times New Roman" w:hAnsi="Times New Roman" w:eastAsia="宋体" w:cs="Times New Roman"/>
                <w:i w:val="0"/>
                <w:iCs w:val="0"/>
                <w:color w:val="000000"/>
                <w:kern w:val="0"/>
                <w:sz w:val="22"/>
                <w:szCs w:val="22"/>
                <w:highlight w:val="none"/>
                <w:u w:val="none"/>
                <w:lang w:val="en-US" w:eastAsia="zh-CN"/>
              </w:rPr>
              <w:t>000</w:t>
            </w:r>
          </w:p>
        </w:tc>
        <w:tc>
          <w:tcPr>
            <w:tcW w:w="1125" w:type="dxa"/>
            <w:vMerge w:val="continue"/>
            <w:shd w:val="clear" w:color="000000" w:fill="FFFFFF"/>
            <w:vAlign w:val="center"/>
          </w:tcPr>
          <w:p>
            <w:pPr>
              <w:widowControl/>
              <w:jc w:val="center"/>
              <w:rPr>
                <w:rFonts w:ascii="宋体" w:hAnsi="宋体" w:eastAsia="宋体"/>
                <w:highlight w:val="none"/>
              </w:rPr>
            </w:pPr>
          </w:p>
        </w:tc>
        <w:tc>
          <w:tcPr>
            <w:tcW w:w="1555" w:type="dxa"/>
            <w:shd w:val="clear" w:color="000000" w:fill="FFFFFF"/>
            <w:vAlign w:val="center"/>
          </w:tcPr>
          <w:p>
            <w:pPr>
              <w:widowControl/>
              <w:jc w:val="center"/>
              <w:textAlignment w:val="center"/>
              <w:rPr>
                <w:rFonts w:ascii="宋体" w:hAnsi="宋体" w:eastAsia="宋体"/>
                <w:highlight w:val="none"/>
              </w:rPr>
            </w:pPr>
            <w:r>
              <w:rPr>
                <w:rFonts w:hint="eastAsia" w:ascii="宋体" w:hAnsi="宋体" w:cs="宋体"/>
                <w:color w:val="000000"/>
                <w:kern w:val="0"/>
                <w:sz w:val="24"/>
                <w:szCs w:val="24"/>
                <w:highlight w:val="none"/>
              </w:rPr>
              <w:t>是</w:t>
            </w:r>
          </w:p>
        </w:tc>
        <w:tc>
          <w:tcPr>
            <w:tcW w:w="912" w:type="dxa"/>
            <w:shd w:val="clear" w:color="000000" w:fill="FFFFFF"/>
            <w:vAlign w:val="center"/>
          </w:tcPr>
          <w:p>
            <w:pPr>
              <w:widowControl/>
              <w:jc w:val="center"/>
              <w:rPr>
                <w:rFonts w:ascii="宋体" w:hAnsi="宋体" w:eastAsia="宋体"/>
                <w:highlight w:val="none"/>
              </w:rPr>
            </w:pPr>
          </w:p>
        </w:tc>
        <w:tc>
          <w:tcPr>
            <w:tcW w:w="906" w:type="dxa"/>
            <w:shd w:val="clear" w:color="000000" w:fill="FFFFFF"/>
            <w:vAlign w:val="center"/>
          </w:tcPr>
          <w:p>
            <w:pPr>
              <w:widowControl/>
              <w:jc w:val="center"/>
              <w:rPr>
                <w:rFonts w:ascii="宋体" w:hAnsi="宋体" w:eastAsia="宋体"/>
                <w:highlight w:val="none"/>
              </w:rPr>
            </w:pPr>
            <w:r>
              <w:rPr>
                <w:rFonts w:hint="eastAsia" w:ascii="宋体" w:hAnsi="宋体" w:cs="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867" w:type="dxa"/>
            <w:vMerge w:val="continue"/>
            <w:vAlign w:val="center"/>
          </w:tcPr>
          <w:p>
            <w:pPr>
              <w:widowControl/>
              <w:jc w:val="left"/>
              <w:rPr>
                <w:rFonts w:ascii="宋体" w:hAnsi="宋体" w:eastAsia="宋体"/>
                <w:highlight w:val="none"/>
              </w:rPr>
            </w:pPr>
          </w:p>
        </w:tc>
        <w:tc>
          <w:tcPr>
            <w:tcW w:w="1353" w:type="dxa"/>
            <w:shd w:val="clear" w:color="auto" w:fill="auto"/>
            <w:noWrap/>
            <w:vAlign w:val="center"/>
          </w:tcPr>
          <w:p>
            <w:pPr>
              <w:keepNext w:val="0"/>
              <w:keepLines w:val="0"/>
              <w:widowControl/>
              <w:suppressLineNumbers w:val="0"/>
              <w:jc w:val="center"/>
              <w:textAlignment w:val="center"/>
              <w:rPr>
                <w:rFonts w:ascii="宋体" w:hAnsi="宋体" w:eastAsia="宋体"/>
                <w:highlight w:val="none"/>
              </w:rPr>
            </w:pPr>
            <w:r>
              <w:rPr>
                <w:rFonts w:hint="eastAsia" w:ascii="宋体" w:hAnsi="宋体" w:eastAsia="宋体" w:cs="宋体"/>
                <w:i w:val="0"/>
                <w:iCs w:val="0"/>
                <w:color w:val="000000"/>
                <w:kern w:val="0"/>
                <w:sz w:val="22"/>
                <w:szCs w:val="22"/>
                <w:highlight w:val="none"/>
                <w:u w:val="none"/>
                <w:lang w:val="en-US" w:eastAsia="zh-CN"/>
              </w:rPr>
              <w:t>防水定位对讲机</w:t>
            </w:r>
          </w:p>
        </w:tc>
        <w:tc>
          <w:tcPr>
            <w:tcW w:w="735"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部</w:t>
            </w:r>
          </w:p>
        </w:tc>
        <w:tc>
          <w:tcPr>
            <w:tcW w:w="734"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default" w:ascii="宋体" w:hAnsi="宋体" w:eastAsia="宋体" w:cs="宋体"/>
                <w:i w:val="0"/>
                <w:iCs w:val="0"/>
                <w:color w:val="000000"/>
                <w:kern w:val="0"/>
                <w:sz w:val="22"/>
                <w:szCs w:val="22"/>
                <w:highlight w:val="none"/>
                <w:u w:val="none"/>
                <w:lang w:val="en-US" w:eastAsia="zh-CN"/>
              </w:rPr>
              <w:t xml:space="preserve">60 </w:t>
            </w:r>
          </w:p>
        </w:tc>
        <w:tc>
          <w:tcPr>
            <w:tcW w:w="1086"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Times New Roman" w:hAnsi="Times New Roman" w:eastAsia="宋体" w:cs="Times New Roman"/>
                <w:i w:val="0"/>
                <w:iCs w:val="0"/>
                <w:color w:val="000000"/>
                <w:kern w:val="0"/>
                <w:sz w:val="22"/>
                <w:szCs w:val="22"/>
                <w:highlight w:val="none"/>
                <w:u w:val="none"/>
                <w:lang w:val="zh-CN" w:eastAsia="zh-CN"/>
              </w:rPr>
              <w:t>0.</w:t>
            </w:r>
            <w:r>
              <w:rPr>
                <w:rFonts w:hint="eastAsia" w:ascii="Times New Roman" w:hAnsi="Times New Roman" w:eastAsia="宋体" w:cs="Times New Roman"/>
                <w:i w:val="0"/>
                <w:iCs w:val="0"/>
                <w:color w:val="000000"/>
                <w:kern w:val="0"/>
                <w:sz w:val="22"/>
                <w:szCs w:val="22"/>
                <w:highlight w:val="none"/>
                <w:u w:val="none"/>
                <w:lang w:val="en-US" w:eastAsia="zh-CN"/>
              </w:rPr>
              <w:t>3900</w:t>
            </w:r>
          </w:p>
        </w:tc>
        <w:tc>
          <w:tcPr>
            <w:tcW w:w="1125" w:type="dxa"/>
            <w:vMerge w:val="continue"/>
            <w:shd w:val="clear" w:color="000000" w:fill="FFFFFF"/>
            <w:vAlign w:val="center"/>
          </w:tcPr>
          <w:p>
            <w:pPr>
              <w:widowControl/>
              <w:jc w:val="center"/>
              <w:rPr>
                <w:rFonts w:ascii="宋体" w:hAnsi="宋体" w:eastAsia="宋体"/>
                <w:highlight w:val="none"/>
              </w:rPr>
            </w:pPr>
          </w:p>
        </w:tc>
        <w:tc>
          <w:tcPr>
            <w:tcW w:w="1555" w:type="dxa"/>
            <w:shd w:val="clear" w:color="000000" w:fill="FFFFFF"/>
            <w:vAlign w:val="center"/>
          </w:tcPr>
          <w:p>
            <w:pPr>
              <w:widowControl/>
              <w:jc w:val="center"/>
              <w:textAlignment w:val="center"/>
              <w:rPr>
                <w:rFonts w:ascii="宋体" w:hAnsi="宋体" w:eastAsia="宋体"/>
                <w:highlight w:val="none"/>
              </w:rPr>
            </w:pPr>
            <w:r>
              <w:rPr>
                <w:rFonts w:hint="eastAsia" w:ascii="宋体" w:hAnsi="宋体" w:cs="宋体"/>
                <w:color w:val="000000"/>
                <w:kern w:val="0"/>
                <w:sz w:val="24"/>
                <w:szCs w:val="24"/>
                <w:highlight w:val="none"/>
              </w:rPr>
              <w:t>是</w:t>
            </w:r>
          </w:p>
        </w:tc>
        <w:tc>
          <w:tcPr>
            <w:tcW w:w="912" w:type="dxa"/>
            <w:shd w:val="clear" w:color="000000" w:fill="FFFFFF"/>
            <w:vAlign w:val="center"/>
          </w:tcPr>
          <w:p>
            <w:pPr>
              <w:widowControl/>
              <w:jc w:val="center"/>
              <w:rPr>
                <w:rFonts w:ascii="宋体" w:hAnsi="宋体" w:eastAsia="宋体"/>
                <w:highlight w:val="none"/>
              </w:rPr>
            </w:pPr>
          </w:p>
        </w:tc>
        <w:tc>
          <w:tcPr>
            <w:tcW w:w="906" w:type="dxa"/>
            <w:shd w:val="clear" w:color="000000" w:fill="FFFFFF"/>
            <w:vAlign w:val="center"/>
          </w:tcPr>
          <w:p>
            <w:pPr>
              <w:widowControl/>
              <w:jc w:val="center"/>
              <w:rPr>
                <w:rFonts w:ascii="宋体" w:hAnsi="宋体" w:eastAsia="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867" w:type="dxa"/>
            <w:vMerge w:val="continue"/>
            <w:shd w:val="clear" w:color="auto" w:fill="auto"/>
            <w:noWrap/>
            <w:vAlign w:val="center"/>
          </w:tcPr>
          <w:p>
            <w:pPr>
              <w:pStyle w:val="4"/>
              <w:rPr>
                <w:rFonts w:ascii="宋体" w:hAnsi="宋体" w:eastAsia="宋体"/>
                <w:highlight w:val="none"/>
              </w:rPr>
            </w:pPr>
          </w:p>
        </w:tc>
        <w:tc>
          <w:tcPr>
            <w:tcW w:w="1353" w:type="dxa"/>
            <w:shd w:val="clear" w:color="auto" w:fill="auto"/>
            <w:noWrap/>
            <w:vAlign w:val="center"/>
          </w:tcPr>
          <w:p>
            <w:pPr>
              <w:keepNext w:val="0"/>
              <w:keepLines w:val="0"/>
              <w:widowControl/>
              <w:suppressLineNumbers w:val="0"/>
              <w:jc w:val="center"/>
              <w:textAlignment w:val="center"/>
              <w:rPr>
                <w:rFonts w:ascii="宋体" w:hAnsi="宋体" w:eastAsia="宋体"/>
                <w:highlight w:val="none"/>
              </w:rPr>
            </w:pPr>
            <w:r>
              <w:rPr>
                <w:rFonts w:hint="eastAsia" w:ascii="宋体" w:hAnsi="宋体" w:eastAsia="宋体" w:cs="宋体"/>
                <w:i w:val="0"/>
                <w:iCs w:val="0"/>
                <w:color w:val="000000"/>
                <w:kern w:val="0"/>
                <w:sz w:val="22"/>
                <w:szCs w:val="22"/>
                <w:highlight w:val="none"/>
                <w:u w:val="none"/>
                <w:lang w:val="en-US" w:eastAsia="zh-CN"/>
              </w:rPr>
              <w:t>潜水全面罩</w:t>
            </w:r>
          </w:p>
        </w:tc>
        <w:tc>
          <w:tcPr>
            <w:tcW w:w="735"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套</w:t>
            </w:r>
          </w:p>
        </w:tc>
        <w:tc>
          <w:tcPr>
            <w:tcW w:w="734"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default" w:ascii="宋体" w:hAnsi="宋体" w:eastAsia="宋体" w:cs="宋体"/>
                <w:i w:val="0"/>
                <w:iCs w:val="0"/>
                <w:color w:val="000000"/>
                <w:kern w:val="0"/>
                <w:sz w:val="22"/>
                <w:szCs w:val="22"/>
                <w:highlight w:val="none"/>
                <w:u w:val="none"/>
                <w:lang w:val="en-US" w:eastAsia="zh-CN"/>
              </w:rPr>
              <w:t xml:space="preserve">27 </w:t>
            </w:r>
          </w:p>
        </w:tc>
        <w:tc>
          <w:tcPr>
            <w:tcW w:w="1086" w:type="dxa"/>
            <w:shd w:val="clear" w:color="000000"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Times New Roman" w:hAnsi="Times New Roman" w:eastAsia="宋体" w:cs="Times New Roman"/>
                <w:i w:val="0"/>
                <w:iCs w:val="0"/>
                <w:color w:val="000000"/>
                <w:kern w:val="0"/>
                <w:sz w:val="22"/>
                <w:szCs w:val="22"/>
                <w:highlight w:val="none"/>
                <w:u w:val="none"/>
                <w:lang w:val="zh-CN" w:eastAsia="zh-CN"/>
              </w:rPr>
              <w:t>1.6</w:t>
            </w:r>
            <w:r>
              <w:rPr>
                <w:rFonts w:hint="eastAsia" w:ascii="Times New Roman" w:hAnsi="Times New Roman" w:eastAsia="宋体" w:cs="Times New Roman"/>
                <w:i w:val="0"/>
                <w:iCs w:val="0"/>
                <w:color w:val="000000"/>
                <w:kern w:val="0"/>
                <w:sz w:val="22"/>
                <w:szCs w:val="22"/>
                <w:highlight w:val="none"/>
                <w:u w:val="none"/>
                <w:lang w:val="en-US" w:eastAsia="zh-CN"/>
              </w:rPr>
              <w:t>000</w:t>
            </w:r>
          </w:p>
        </w:tc>
        <w:tc>
          <w:tcPr>
            <w:tcW w:w="1125" w:type="dxa"/>
            <w:vMerge w:val="continue"/>
            <w:shd w:val="clear" w:color="000000" w:fill="FFFFFF"/>
            <w:vAlign w:val="center"/>
          </w:tcPr>
          <w:p>
            <w:pPr>
              <w:widowControl/>
              <w:jc w:val="center"/>
              <w:rPr>
                <w:rFonts w:ascii="宋体" w:hAnsi="宋体" w:eastAsia="宋体"/>
                <w:highlight w:val="none"/>
              </w:rPr>
            </w:pPr>
          </w:p>
        </w:tc>
        <w:tc>
          <w:tcPr>
            <w:tcW w:w="1555" w:type="dxa"/>
            <w:shd w:val="clear" w:color="000000" w:fill="FFFFFF"/>
            <w:vAlign w:val="center"/>
          </w:tcPr>
          <w:p>
            <w:pPr>
              <w:widowControl/>
              <w:jc w:val="center"/>
              <w:textAlignment w:val="center"/>
              <w:rPr>
                <w:rFonts w:ascii="宋体" w:hAnsi="宋体" w:eastAsia="宋体"/>
                <w:highlight w:val="none"/>
              </w:rPr>
            </w:pPr>
            <w:r>
              <w:rPr>
                <w:rFonts w:hint="eastAsia" w:ascii="宋体" w:hAnsi="宋体" w:cs="宋体"/>
                <w:color w:val="000000"/>
                <w:kern w:val="0"/>
                <w:sz w:val="24"/>
                <w:szCs w:val="24"/>
                <w:highlight w:val="none"/>
              </w:rPr>
              <w:t>是</w:t>
            </w:r>
          </w:p>
        </w:tc>
        <w:tc>
          <w:tcPr>
            <w:tcW w:w="912" w:type="dxa"/>
            <w:shd w:val="clear" w:color="000000" w:fill="FFFFFF"/>
            <w:vAlign w:val="center"/>
          </w:tcPr>
          <w:p>
            <w:pPr>
              <w:widowControl/>
              <w:jc w:val="center"/>
              <w:rPr>
                <w:rFonts w:ascii="宋体" w:hAnsi="宋体" w:eastAsia="宋体"/>
                <w:highlight w:val="none"/>
              </w:rPr>
            </w:pPr>
            <w:r>
              <w:rPr>
                <w:rFonts w:hint="eastAsia" w:ascii="宋体" w:hAnsi="宋体" w:cs="宋体"/>
                <w:sz w:val="24"/>
                <w:szCs w:val="24"/>
                <w:highlight w:val="none"/>
              </w:rPr>
              <w:t>○</w:t>
            </w:r>
          </w:p>
        </w:tc>
        <w:tc>
          <w:tcPr>
            <w:tcW w:w="906" w:type="dxa"/>
            <w:shd w:val="clear" w:color="000000" w:fill="FFFFFF"/>
            <w:vAlign w:val="center"/>
          </w:tcPr>
          <w:p>
            <w:pPr>
              <w:widowControl/>
              <w:jc w:val="center"/>
              <w:rPr>
                <w:rFonts w:ascii="宋体" w:hAnsi="宋体" w:eastAsia="宋体"/>
                <w:highlight w:val="none"/>
              </w:rPr>
            </w:pPr>
          </w:p>
        </w:tc>
      </w:tr>
    </w:tbl>
    <w:p>
      <w:pPr>
        <w:pStyle w:val="4"/>
        <w:ind w:firstLine="0"/>
        <w:rPr>
          <w:sz w:val="24"/>
          <w:szCs w:val="24"/>
          <w:highlight w:val="none"/>
        </w:rPr>
      </w:pPr>
      <w:r>
        <w:rPr>
          <w:rFonts w:hint="eastAsia"/>
          <w:sz w:val="24"/>
          <w:szCs w:val="24"/>
          <w:highlight w:val="none"/>
        </w:rPr>
        <w:t>注：本表中“是否提供样品”的说明：“</w:t>
      </w:r>
      <w:r>
        <w:rPr>
          <w:rFonts w:hint="eastAsia" w:ascii="宋体" w:hAnsi="宋体" w:cs="宋体"/>
          <w:sz w:val="24"/>
          <w:szCs w:val="24"/>
          <w:highlight w:val="none"/>
        </w:rPr>
        <w:t>○</w:t>
      </w:r>
      <w:r>
        <w:rPr>
          <w:rFonts w:hint="eastAsia"/>
          <w:sz w:val="24"/>
          <w:szCs w:val="24"/>
          <w:highlight w:val="none"/>
        </w:rPr>
        <w:t>”表示提供样品或视频，未标注的为既不提供样品也不提供样品视频。</w:t>
      </w:r>
    </w:p>
    <w:p>
      <w:pPr>
        <w:rPr>
          <w:sz w:val="24"/>
          <w:szCs w:val="22"/>
          <w:highlight w:val="none"/>
        </w:rPr>
        <w:sectPr>
          <w:footerReference r:id="rId10" w:type="default"/>
          <w:pgSz w:w="11906" w:h="16838"/>
          <w:pgMar w:top="1440" w:right="1800" w:bottom="1440" w:left="1800" w:header="851" w:footer="992" w:gutter="0"/>
          <w:cols w:space="720" w:num="1"/>
          <w:docGrid w:type="lines" w:linePitch="312" w:charSpace="0"/>
        </w:sectPr>
      </w:pPr>
    </w:p>
    <w:p>
      <w:pPr>
        <w:pStyle w:val="55"/>
        <w:numPr>
          <w:ilvl w:val="1"/>
          <w:numId w:val="0"/>
        </w:numPr>
        <w:rPr>
          <w:sz w:val="21"/>
          <w:szCs w:val="21"/>
          <w:highlight w:val="none"/>
        </w:rPr>
      </w:pPr>
      <w:r>
        <w:rPr>
          <w:rFonts w:hint="eastAsia"/>
          <w:sz w:val="21"/>
          <w:szCs w:val="21"/>
          <w:highlight w:val="none"/>
        </w:rPr>
        <w:t>2、技术参数</w:t>
      </w:r>
    </w:p>
    <w:tbl>
      <w:tblPr>
        <w:tblStyle w:val="38"/>
        <w:tblW w:w="1494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89"/>
        <w:gridCol w:w="573"/>
        <w:gridCol w:w="1068"/>
        <w:gridCol w:w="78"/>
        <w:gridCol w:w="108"/>
        <w:gridCol w:w="7"/>
        <w:gridCol w:w="21"/>
        <w:gridCol w:w="36"/>
        <w:gridCol w:w="11736"/>
        <w:gridCol w:w="7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8" w:hRule="atLeast"/>
          <w:jc w:val="center"/>
        </w:trPr>
        <w:tc>
          <w:tcPr>
            <w:tcW w:w="14945" w:type="dxa"/>
            <w:gridSpan w:val="10"/>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6" w:hRule="exact"/>
          <w:jc w:val="center"/>
        </w:trPr>
        <w:tc>
          <w:tcPr>
            <w:tcW w:w="58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rPr>
              <w:t>包号</w:t>
            </w:r>
          </w:p>
        </w:tc>
        <w:tc>
          <w:tcPr>
            <w:tcW w:w="5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rPr>
              <w:t>序号</w:t>
            </w:r>
          </w:p>
        </w:tc>
        <w:tc>
          <w:tcPr>
            <w:tcW w:w="125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rPr>
              <w:t>装备名称</w:t>
            </w:r>
          </w:p>
        </w:tc>
        <w:tc>
          <w:tcPr>
            <w:tcW w:w="1180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rPr>
              <w:t>技术参数</w:t>
            </w:r>
          </w:p>
        </w:tc>
        <w:tc>
          <w:tcPr>
            <w:tcW w:w="72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6" w:hRule="atLeast"/>
          <w:jc w:val="center"/>
        </w:trPr>
        <w:tc>
          <w:tcPr>
            <w:tcW w:w="589"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cs="宋体"/>
                <w:b/>
                <w:bCs/>
                <w:i w:val="0"/>
                <w:iCs w:val="0"/>
                <w:color w:val="000000"/>
                <w:kern w:val="0"/>
                <w:sz w:val="24"/>
                <w:szCs w:val="24"/>
                <w:highlight w:val="none"/>
                <w:u w:val="none"/>
                <w:lang w:val="en-US" w:eastAsia="zh-CN"/>
              </w:rPr>
              <w:t>第十包</w:t>
            </w:r>
          </w:p>
        </w:tc>
        <w:tc>
          <w:tcPr>
            <w:tcW w:w="57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rPr>
              <w:t>1</w:t>
            </w:r>
          </w:p>
        </w:tc>
        <w:tc>
          <w:tcPr>
            <w:tcW w:w="125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空气呼吸器</w:t>
            </w:r>
          </w:p>
        </w:tc>
        <w:tc>
          <w:tcPr>
            <w:tcW w:w="1180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w:t>
            </w:r>
            <w:r>
              <w:rPr>
                <w:rFonts w:hint="eastAsia" w:ascii="宋体" w:hAnsi="宋体" w:cs="宋体"/>
                <w:i w:val="0"/>
                <w:iCs w:val="0"/>
                <w:color w:val="000000"/>
                <w:sz w:val="24"/>
                <w:szCs w:val="24"/>
                <w:highlight w:val="none"/>
                <w:u w:val="none"/>
                <w:lang w:val="en-US" w:eastAsia="zh-CN"/>
              </w:rPr>
              <w:t>1</w:t>
            </w:r>
            <w:r>
              <w:rPr>
                <w:rFonts w:hint="eastAsia" w:ascii="宋体" w:hAnsi="宋体" w:eastAsia="宋体" w:cs="宋体"/>
                <w:i w:val="0"/>
                <w:iCs w:val="0"/>
                <w:color w:val="000000"/>
                <w:sz w:val="24"/>
                <w:szCs w:val="24"/>
                <w:highlight w:val="none"/>
                <w:u w:val="none"/>
              </w:rPr>
              <w:t>、全套空气呼吸器由全面罩、抬头显示、供气阀、减压阀、救援快速插口（三通）、报警哨和压力表、背板、拉杆箱、托垫及6.8L碳纤维复合气瓶，佩戴质量≤12kg，每4具空气呼吸器配备1个他救面罩，每15具空气呼吸器配置1套快速充气装置；</w:t>
            </w:r>
          </w:p>
          <w:p>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2</w:t>
            </w:r>
            <w:r>
              <w:rPr>
                <w:rFonts w:hint="eastAsia" w:ascii="宋体" w:hAnsi="宋体" w:eastAsia="宋体" w:cs="宋体"/>
                <w:i w:val="0"/>
                <w:iCs w:val="0"/>
                <w:color w:val="000000"/>
                <w:sz w:val="24"/>
                <w:szCs w:val="24"/>
                <w:highlight w:val="none"/>
                <w:u w:val="none"/>
              </w:rPr>
              <w:t>、背架总成：背板采用复合材质制作，背带采用高性能本质阻燃材料制作，肩带设有弹性衬垫；腰带和肩带均为耐磨、防滑、防火、防滑材料，且肩带上具有荧光带及面罩放置挂钩等；</w:t>
            </w:r>
          </w:p>
          <w:p>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3</w:t>
            </w:r>
            <w:r>
              <w:rPr>
                <w:rFonts w:hint="eastAsia" w:ascii="宋体" w:hAnsi="宋体" w:eastAsia="宋体" w:cs="宋体"/>
                <w:i w:val="0"/>
                <w:iCs w:val="0"/>
                <w:color w:val="000000"/>
                <w:sz w:val="24"/>
                <w:szCs w:val="24"/>
                <w:highlight w:val="none"/>
                <w:u w:val="none"/>
              </w:rPr>
              <w:t xml:space="preserve">、气瓶总成：工作压力30MPa,气瓶容积6.8L；气瓶阀配置压力表，能在任何时候显示气瓶内部压力；气瓶阀带自锁功能，避免气瓶阀意外关闭；全缠绕式碳纤维复合材料，瓶体内层缠绕环形反光标识；内胆采用高强度、经防腐处理、重量轻的铝合金材料；配套具有防火性能，印有“昌吉消防”字样的气瓶保护套；                                                                                                          </w:t>
            </w:r>
          </w:p>
          <w:p>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4</w:t>
            </w:r>
            <w:r>
              <w:rPr>
                <w:rFonts w:hint="eastAsia" w:ascii="宋体" w:hAnsi="宋体" w:eastAsia="宋体" w:cs="宋体"/>
                <w:i w:val="0"/>
                <w:iCs w:val="0"/>
                <w:color w:val="000000"/>
                <w:sz w:val="24"/>
                <w:szCs w:val="24"/>
                <w:highlight w:val="none"/>
                <w:u w:val="none"/>
              </w:rPr>
              <w:t xml:space="preserve">、面罩总成：球形大视野面屏全面罩，总视野率≥78%，双目视野率≥65%，下方视野≥35°，镜片透光率≥90%，具有防雾功能，头网采用阻燃材质具有多点收紧结构，口鼻罩采用硅橡胶材料，头罩采用网状高性能阻燃材料制成，配备具有阻燃性能的保护套，如面罩和供气阀为一体的必须设置环境空气旁通装置；                                                                     </w:t>
            </w:r>
          </w:p>
          <w:p>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5</w:t>
            </w:r>
            <w:r>
              <w:rPr>
                <w:rFonts w:hint="eastAsia" w:ascii="宋体" w:hAnsi="宋体" w:eastAsia="宋体" w:cs="宋体"/>
                <w:i w:val="0"/>
                <w:iCs w:val="0"/>
                <w:color w:val="000000"/>
                <w:sz w:val="24"/>
                <w:szCs w:val="24"/>
                <w:highlight w:val="none"/>
                <w:u w:val="none"/>
              </w:rPr>
              <w:t>、供气阀总成：供气阀具有紧急供气、面罩供气、配备永久除雾、排放余气等功能；中压管与供气阀为活动式（360°旋转）连接；支持快速插拔功能；具有自动开启装置，首次呼吸自动激活，具有自动正压机构；供气流量≥500L/min；</w:t>
            </w:r>
          </w:p>
          <w:p>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6</w:t>
            </w:r>
            <w:r>
              <w:rPr>
                <w:rFonts w:hint="eastAsia" w:ascii="宋体" w:hAnsi="宋体" w:eastAsia="宋体" w:cs="宋体"/>
                <w:i w:val="0"/>
                <w:iCs w:val="0"/>
                <w:color w:val="000000"/>
                <w:sz w:val="24"/>
                <w:szCs w:val="24"/>
                <w:highlight w:val="none"/>
                <w:u w:val="none"/>
              </w:rPr>
              <w:t>、减压阀总成：恒压式结构设计，当减压器输出压力超过设定安全压力时，中压安全阀会自动泄压；</w:t>
            </w:r>
          </w:p>
          <w:p>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7</w:t>
            </w:r>
            <w:r>
              <w:rPr>
                <w:rFonts w:hint="eastAsia" w:ascii="宋体" w:hAnsi="宋体" w:eastAsia="宋体" w:cs="宋体"/>
                <w:i w:val="0"/>
                <w:iCs w:val="0"/>
                <w:color w:val="000000"/>
                <w:sz w:val="24"/>
                <w:szCs w:val="24"/>
                <w:highlight w:val="none"/>
                <w:u w:val="none"/>
              </w:rPr>
              <w:t>、报警哨及压力表：为一体化设计，置于使用者前胸部，报警压力5.5±0.5MPa，具有高分贝声音报警功能，报警发声≥90dB，报警哨平均耗气量≤3.5L/min；</w:t>
            </w:r>
          </w:p>
          <w:p>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8</w:t>
            </w:r>
            <w:r>
              <w:rPr>
                <w:rFonts w:hint="eastAsia" w:ascii="宋体" w:hAnsi="宋体" w:eastAsia="宋体" w:cs="宋体"/>
                <w:i w:val="0"/>
                <w:iCs w:val="0"/>
                <w:color w:val="000000"/>
                <w:sz w:val="24"/>
                <w:szCs w:val="24"/>
                <w:highlight w:val="none"/>
                <w:u w:val="none"/>
              </w:rPr>
              <w:t>、抬头显示HUD:配有HUD压力平视显示装置，固定在供气阀上，不影响头部摆动；采用无线或有线传输方式，信号具有唯一性，当压力值≤6MPa，报警哨报警。</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cs="宋体"/>
                <w:i w:val="0"/>
                <w:iCs w:val="0"/>
                <w:color w:val="000000"/>
                <w:kern w:val="0"/>
                <w:sz w:val="24"/>
                <w:szCs w:val="24"/>
                <w:highlight w:val="none"/>
                <w:u w:val="none"/>
                <w:lang w:val="en-US" w:eastAsia="zh-CN"/>
              </w:rPr>
              <w:t>570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6" w:hRule="atLeast"/>
          <w:jc w:val="center"/>
        </w:trPr>
        <w:tc>
          <w:tcPr>
            <w:tcW w:w="589"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rPr>
            </w:pPr>
          </w:p>
        </w:tc>
        <w:tc>
          <w:tcPr>
            <w:tcW w:w="57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rPr>
              <w:t>2</w:t>
            </w:r>
          </w:p>
        </w:tc>
        <w:tc>
          <w:tcPr>
            <w:tcW w:w="125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highlight w:val="none"/>
                <w:u w:val="none"/>
                <w:lang w:val="en-US" w:eastAsia="zh-CN"/>
              </w:rPr>
              <w:t>高压气瓶</w:t>
            </w:r>
          </w:p>
        </w:tc>
        <w:tc>
          <w:tcPr>
            <w:tcW w:w="1180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cs="宋体"/>
                <w:i w:val="0"/>
                <w:iCs w:val="0"/>
                <w:color w:val="000000"/>
                <w:kern w:val="0"/>
                <w:sz w:val="22"/>
                <w:szCs w:val="22"/>
                <w:highlight w:val="none"/>
                <w:u w:val="none"/>
                <w:lang w:val="en-US" w:eastAsia="zh-CN"/>
              </w:rPr>
              <w:t>1</w:t>
            </w:r>
            <w:r>
              <w:rPr>
                <w:rFonts w:hint="eastAsia" w:ascii="宋体" w:hAnsi="宋体" w:eastAsia="宋体" w:cs="宋体"/>
                <w:i w:val="0"/>
                <w:iCs w:val="0"/>
                <w:color w:val="000000"/>
                <w:kern w:val="0"/>
                <w:sz w:val="22"/>
                <w:szCs w:val="22"/>
                <w:highlight w:val="none"/>
                <w:u w:val="none"/>
                <w:lang w:val="en-US" w:eastAsia="zh-CN"/>
              </w:rPr>
              <w:t>、主要功能：用于存储压缩空气，作为移动供气源备用气瓶；</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cs="宋体"/>
                <w:i w:val="0"/>
                <w:iCs w:val="0"/>
                <w:color w:val="000000"/>
                <w:kern w:val="0"/>
                <w:sz w:val="22"/>
                <w:szCs w:val="22"/>
                <w:highlight w:val="none"/>
                <w:u w:val="none"/>
                <w:lang w:val="en-US" w:eastAsia="zh-CN"/>
              </w:rPr>
              <w:t>2</w:t>
            </w:r>
            <w:r>
              <w:rPr>
                <w:rFonts w:hint="eastAsia" w:ascii="宋体" w:hAnsi="宋体" w:eastAsia="宋体" w:cs="宋体"/>
                <w:i w:val="0"/>
                <w:iCs w:val="0"/>
                <w:color w:val="000000"/>
                <w:kern w:val="0"/>
                <w:sz w:val="22"/>
                <w:szCs w:val="22"/>
                <w:highlight w:val="none"/>
                <w:u w:val="none"/>
                <w:lang w:val="en-US" w:eastAsia="zh-CN"/>
              </w:rPr>
              <w:t>、装备构成：包含4具6.8L气瓶；</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cs="宋体"/>
                <w:i w:val="0"/>
                <w:iCs w:val="0"/>
                <w:color w:val="000000"/>
                <w:kern w:val="0"/>
                <w:sz w:val="22"/>
                <w:szCs w:val="22"/>
                <w:highlight w:val="none"/>
                <w:u w:val="none"/>
                <w:lang w:val="en-US" w:eastAsia="zh-CN"/>
              </w:rPr>
              <w:t>3</w:t>
            </w:r>
            <w:r>
              <w:rPr>
                <w:rFonts w:hint="eastAsia" w:ascii="宋体" w:hAnsi="宋体" w:eastAsia="宋体" w:cs="宋体"/>
                <w:i w:val="0"/>
                <w:iCs w:val="0"/>
                <w:color w:val="000000"/>
                <w:kern w:val="0"/>
                <w:sz w:val="22"/>
                <w:szCs w:val="22"/>
                <w:highlight w:val="none"/>
                <w:u w:val="none"/>
                <w:lang w:val="en-US" w:eastAsia="zh-CN"/>
              </w:rPr>
              <w:t>、气瓶容积：6.8L,以无缝铝合金为内胆,在其外表全缠绕浸渍树脂基体的炭纤维加强层，并经加温固化；</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cs="宋体"/>
                <w:i w:val="0"/>
                <w:iCs w:val="0"/>
                <w:color w:val="000000"/>
                <w:kern w:val="0"/>
                <w:sz w:val="22"/>
                <w:szCs w:val="22"/>
                <w:highlight w:val="none"/>
                <w:u w:val="none"/>
                <w:lang w:val="en-US" w:eastAsia="zh-CN"/>
              </w:rPr>
              <w:t>4</w:t>
            </w:r>
            <w:r>
              <w:rPr>
                <w:rFonts w:hint="eastAsia" w:ascii="宋体" w:hAnsi="宋体" w:eastAsia="宋体" w:cs="宋体"/>
                <w:i w:val="0"/>
                <w:iCs w:val="0"/>
                <w:color w:val="000000"/>
                <w:kern w:val="0"/>
                <w:sz w:val="22"/>
                <w:szCs w:val="22"/>
                <w:highlight w:val="none"/>
                <w:u w:val="none"/>
                <w:lang w:val="en-US" w:eastAsia="zh-CN"/>
              </w:rPr>
              <w:t>、气瓶工作压力≥30MPa,水压试验压力≥50MPa,气瓶顶端和底部都配有橡胶保护套,气瓶装有独立的压力显示表；</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cs="宋体"/>
                <w:i w:val="0"/>
                <w:iCs w:val="0"/>
                <w:color w:val="000000"/>
                <w:kern w:val="0"/>
                <w:sz w:val="22"/>
                <w:szCs w:val="22"/>
                <w:highlight w:val="none"/>
                <w:u w:val="none"/>
                <w:lang w:val="en-US" w:eastAsia="zh-CN"/>
              </w:rPr>
              <w:t>5</w:t>
            </w:r>
            <w:r>
              <w:rPr>
                <w:rFonts w:hint="eastAsia" w:ascii="宋体" w:hAnsi="宋体" w:eastAsia="宋体" w:cs="宋体"/>
                <w:i w:val="0"/>
                <w:iCs w:val="0"/>
                <w:color w:val="000000"/>
                <w:kern w:val="0"/>
                <w:sz w:val="22"/>
                <w:szCs w:val="22"/>
                <w:highlight w:val="none"/>
                <w:u w:val="none"/>
                <w:lang w:val="en-US" w:eastAsia="zh-CN"/>
              </w:rPr>
              <w:t>、气瓶瓶阀安全膜片爆破压力≥40～45MPa；</w:t>
            </w:r>
          </w:p>
          <w:p>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kern w:val="0"/>
                <w:sz w:val="22"/>
                <w:szCs w:val="22"/>
                <w:highlight w:val="none"/>
                <w:u w:val="none"/>
                <w:lang w:val="en-US" w:eastAsia="zh-CN"/>
              </w:rPr>
              <w:t>6</w:t>
            </w:r>
            <w:r>
              <w:rPr>
                <w:rFonts w:hint="eastAsia" w:ascii="宋体" w:hAnsi="宋体" w:eastAsia="宋体" w:cs="宋体"/>
                <w:i w:val="0"/>
                <w:iCs w:val="0"/>
                <w:color w:val="000000"/>
                <w:kern w:val="0"/>
                <w:sz w:val="22"/>
                <w:szCs w:val="22"/>
                <w:highlight w:val="none"/>
                <w:u w:val="none"/>
                <w:lang w:val="en-US" w:eastAsia="zh-CN"/>
              </w:rPr>
              <w:t>、气瓶瓶阀带有自锁装置，具有防误操作功能。</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6" w:hRule="atLeast"/>
          <w:jc w:val="center"/>
        </w:trPr>
        <w:tc>
          <w:tcPr>
            <w:tcW w:w="589"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rPr>
            </w:pPr>
          </w:p>
        </w:tc>
        <w:tc>
          <w:tcPr>
            <w:tcW w:w="57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rPr>
              <w:t>3</w:t>
            </w:r>
          </w:p>
        </w:tc>
        <w:tc>
          <w:tcPr>
            <w:tcW w:w="125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rPr>
            </w:pPr>
            <w:r>
              <w:rPr>
                <w:rFonts w:hint="eastAsia" w:ascii="宋体" w:hAnsi="宋体" w:eastAsia="宋体" w:cs="宋体"/>
                <w:i w:val="0"/>
                <w:iCs w:val="0"/>
                <w:color w:val="000000"/>
                <w:kern w:val="0"/>
                <w:sz w:val="24"/>
                <w:szCs w:val="24"/>
                <w:highlight w:val="none"/>
                <w:u w:val="none"/>
                <w:lang w:val="en-US" w:eastAsia="zh-CN"/>
              </w:rPr>
              <w:t>移动供气源</w:t>
            </w:r>
          </w:p>
        </w:tc>
        <w:tc>
          <w:tcPr>
            <w:tcW w:w="1180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cs="宋体"/>
                <w:i w:val="0"/>
                <w:iCs w:val="0"/>
                <w:color w:val="000000"/>
                <w:kern w:val="0"/>
                <w:sz w:val="22"/>
                <w:szCs w:val="22"/>
                <w:highlight w:val="none"/>
                <w:u w:val="none"/>
                <w:lang w:val="en-US" w:eastAsia="zh-CN"/>
              </w:rPr>
              <w:t>1</w:t>
            </w:r>
            <w:r>
              <w:rPr>
                <w:rFonts w:hint="eastAsia" w:ascii="宋体" w:hAnsi="宋体" w:eastAsia="宋体" w:cs="宋体"/>
                <w:i w:val="0"/>
                <w:iCs w:val="0"/>
                <w:color w:val="000000"/>
                <w:kern w:val="0"/>
                <w:sz w:val="22"/>
                <w:szCs w:val="22"/>
                <w:highlight w:val="none"/>
                <w:u w:val="none"/>
                <w:lang w:val="en-US" w:eastAsia="zh-CN"/>
              </w:rPr>
              <w:t>、主要功能：用于人员在有烟雾、毒气、粉尘或缺氧等特殊环境中的呼吸保护；</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cs="宋体"/>
                <w:i w:val="0"/>
                <w:iCs w:val="0"/>
                <w:color w:val="000000"/>
                <w:kern w:val="0"/>
                <w:sz w:val="22"/>
                <w:szCs w:val="22"/>
                <w:highlight w:val="none"/>
                <w:u w:val="none"/>
                <w:lang w:val="en-US" w:eastAsia="zh-CN"/>
              </w:rPr>
              <w:t>2</w:t>
            </w:r>
            <w:r>
              <w:rPr>
                <w:rFonts w:hint="eastAsia" w:ascii="宋体" w:hAnsi="宋体" w:eastAsia="宋体" w:cs="宋体"/>
                <w:i w:val="0"/>
                <w:iCs w:val="0"/>
                <w:color w:val="000000"/>
                <w:kern w:val="0"/>
                <w:sz w:val="22"/>
                <w:szCs w:val="22"/>
                <w:highlight w:val="none"/>
                <w:u w:val="none"/>
                <w:lang w:val="en-US" w:eastAsia="zh-CN"/>
              </w:rPr>
              <w:t xml:space="preserve">、技术要求：呼吸器应由小车、气瓶、气瓶阀、单向阀、减压器、安全阀、压力表、警报器、供气管、滚筒、快插接头、腰带、转换装置、2套应急供气装置（配备2升气瓶）、全面罩、供气阀、面罩带传声功能等组成。气瓶阀与减压器的连接、主供气管与分供气管的连接、分供气管与转换装置的连接、转换装置与呼吸软管的连接、全面罩与供气阀的连接应可靠，且不需使用专用工具。连接处若使用密封件，不应出现脱落或移位。气瓶工作压力30（MPa）；                                     </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cs="宋体"/>
                <w:i w:val="0"/>
                <w:iCs w:val="0"/>
                <w:color w:val="000000"/>
                <w:kern w:val="0"/>
                <w:sz w:val="22"/>
                <w:szCs w:val="22"/>
                <w:highlight w:val="none"/>
                <w:u w:val="none"/>
                <w:lang w:val="en-US" w:eastAsia="zh-CN"/>
              </w:rPr>
              <w:t>3</w:t>
            </w:r>
            <w:r>
              <w:rPr>
                <w:rFonts w:hint="eastAsia" w:ascii="宋体" w:hAnsi="宋体" w:eastAsia="宋体" w:cs="宋体"/>
                <w:i w:val="0"/>
                <w:iCs w:val="0"/>
                <w:color w:val="000000"/>
                <w:kern w:val="0"/>
                <w:sz w:val="22"/>
                <w:szCs w:val="22"/>
                <w:highlight w:val="none"/>
                <w:u w:val="none"/>
                <w:lang w:val="en-US" w:eastAsia="zh-CN"/>
              </w:rPr>
              <w:t>、装载气瓶的小车采用推拉设计，供气胶管卷盘和小车的连接采取快插式连接，可实现快速拆分放置和安装使用；</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w:t>
            </w:r>
            <w:r>
              <w:rPr>
                <w:rFonts w:hint="eastAsia" w:ascii="宋体" w:hAnsi="宋体" w:cs="宋体"/>
                <w:i w:val="0"/>
                <w:iCs w:val="0"/>
                <w:color w:val="000000"/>
                <w:kern w:val="0"/>
                <w:sz w:val="22"/>
                <w:szCs w:val="22"/>
                <w:highlight w:val="none"/>
                <w:u w:val="none"/>
                <w:lang w:val="en-US" w:eastAsia="zh-CN"/>
              </w:rPr>
              <w:t>4</w:t>
            </w:r>
            <w:r>
              <w:rPr>
                <w:rFonts w:hint="eastAsia" w:ascii="宋体" w:hAnsi="宋体" w:eastAsia="宋体" w:cs="宋体"/>
                <w:i w:val="0"/>
                <w:iCs w:val="0"/>
                <w:color w:val="000000"/>
                <w:kern w:val="0"/>
                <w:sz w:val="22"/>
                <w:szCs w:val="22"/>
                <w:highlight w:val="none"/>
                <w:u w:val="none"/>
                <w:lang w:val="en-US" w:eastAsia="zh-CN"/>
              </w:rPr>
              <w:t>、供气流量≥500L/min，配备1套独立的30m长的供气胶管卷盘，配备2根（≥10m)快速接头供气胶管；</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cs="宋体"/>
                <w:i w:val="0"/>
                <w:iCs w:val="0"/>
                <w:color w:val="000000"/>
                <w:kern w:val="0"/>
                <w:sz w:val="22"/>
                <w:szCs w:val="22"/>
                <w:highlight w:val="none"/>
                <w:u w:val="none"/>
                <w:lang w:val="en-US" w:eastAsia="zh-CN"/>
              </w:rPr>
              <w:t>5</w:t>
            </w:r>
            <w:r>
              <w:rPr>
                <w:rFonts w:hint="eastAsia" w:ascii="宋体" w:hAnsi="宋体" w:eastAsia="宋体" w:cs="宋体"/>
                <w:i w:val="0"/>
                <w:iCs w:val="0"/>
                <w:color w:val="000000"/>
                <w:kern w:val="0"/>
                <w:sz w:val="22"/>
                <w:szCs w:val="22"/>
                <w:highlight w:val="none"/>
                <w:u w:val="none"/>
                <w:lang w:val="en-US" w:eastAsia="zh-CN"/>
              </w:rPr>
              <w:t>、配4只6.8L气瓶，且设置2个高压单向阀，每2只气瓶为1组，每组可单独使用，另1组的2支气瓶可进行更换，逃生气源：2只（2L），全缠绕式碳纤维复合材料；</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cs="宋体"/>
                <w:i w:val="0"/>
                <w:iCs w:val="0"/>
                <w:color w:val="000000"/>
                <w:kern w:val="0"/>
                <w:sz w:val="22"/>
                <w:szCs w:val="22"/>
                <w:highlight w:val="none"/>
                <w:u w:val="none"/>
                <w:lang w:val="en-US" w:eastAsia="zh-CN"/>
              </w:rPr>
              <w:t>6</w:t>
            </w:r>
            <w:r>
              <w:rPr>
                <w:rFonts w:hint="eastAsia" w:ascii="宋体" w:hAnsi="宋体" w:eastAsia="宋体" w:cs="宋体"/>
                <w:i w:val="0"/>
                <w:iCs w:val="0"/>
                <w:color w:val="000000"/>
                <w:kern w:val="0"/>
                <w:sz w:val="22"/>
                <w:szCs w:val="22"/>
                <w:highlight w:val="none"/>
                <w:u w:val="none"/>
                <w:lang w:val="en-US" w:eastAsia="zh-CN"/>
              </w:rPr>
              <w:t>、配备2个面罩，面罩的内外表面应用永久防雾涂层，且有耐刻划硬质涂层设计，采用全视野球面设计，头罩采用网状阻燃材料制成；</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cs="宋体"/>
                <w:i w:val="0"/>
                <w:iCs w:val="0"/>
                <w:color w:val="000000"/>
                <w:kern w:val="0"/>
                <w:sz w:val="22"/>
                <w:szCs w:val="22"/>
                <w:highlight w:val="none"/>
                <w:u w:val="none"/>
                <w:lang w:val="en-US" w:eastAsia="zh-CN"/>
              </w:rPr>
              <w:t>7</w:t>
            </w:r>
            <w:r>
              <w:rPr>
                <w:rFonts w:hint="eastAsia" w:ascii="宋体" w:hAnsi="宋体" w:eastAsia="宋体" w:cs="宋体"/>
                <w:i w:val="0"/>
                <w:iCs w:val="0"/>
                <w:color w:val="000000"/>
                <w:kern w:val="0"/>
                <w:sz w:val="22"/>
                <w:szCs w:val="22"/>
                <w:highlight w:val="none"/>
                <w:u w:val="none"/>
                <w:lang w:val="en-US" w:eastAsia="zh-CN"/>
              </w:rPr>
              <w:t>、面罩前侧配传声器，正对口腔，保证通话质量；</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cs="宋体"/>
                <w:i w:val="0"/>
                <w:iCs w:val="0"/>
                <w:color w:val="000000"/>
                <w:kern w:val="0"/>
                <w:sz w:val="22"/>
                <w:szCs w:val="22"/>
                <w:highlight w:val="none"/>
                <w:u w:val="none"/>
                <w:lang w:val="en-US" w:eastAsia="zh-CN"/>
              </w:rPr>
              <w:t>8</w:t>
            </w:r>
            <w:r>
              <w:rPr>
                <w:rFonts w:hint="eastAsia" w:ascii="宋体" w:hAnsi="宋体" w:eastAsia="宋体" w:cs="宋体"/>
                <w:i w:val="0"/>
                <w:iCs w:val="0"/>
                <w:color w:val="000000"/>
                <w:kern w:val="0"/>
                <w:sz w:val="22"/>
                <w:szCs w:val="22"/>
                <w:highlight w:val="none"/>
                <w:u w:val="none"/>
                <w:lang w:val="en-US" w:eastAsia="zh-CN"/>
              </w:rPr>
              <w:t>、供气阀与面罩为快速插口式连接和密封圈式密封，连接可靠，密封性能好；</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cs="宋体"/>
                <w:i w:val="0"/>
                <w:iCs w:val="0"/>
                <w:color w:val="000000"/>
                <w:kern w:val="0"/>
                <w:sz w:val="22"/>
                <w:szCs w:val="22"/>
                <w:highlight w:val="none"/>
                <w:u w:val="none"/>
                <w:lang w:val="en-US" w:eastAsia="zh-CN"/>
              </w:rPr>
              <w:t>9</w:t>
            </w:r>
            <w:r>
              <w:rPr>
                <w:rFonts w:hint="eastAsia" w:ascii="宋体" w:hAnsi="宋体" w:eastAsia="宋体" w:cs="宋体"/>
                <w:i w:val="0"/>
                <w:iCs w:val="0"/>
                <w:color w:val="000000"/>
                <w:kern w:val="0"/>
                <w:sz w:val="22"/>
                <w:szCs w:val="22"/>
                <w:highlight w:val="none"/>
                <w:u w:val="none"/>
                <w:lang w:val="en-US" w:eastAsia="zh-CN"/>
              </w:rPr>
              <w:t>、背托外层纺织材料采用本质阻燃材料，抗静电和耐腐蚀；</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1</w:t>
            </w:r>
            <w:r>
              <w:rPr>
                <w:rFonts w:hint="eastAsia" w:ascii="宋体" w:hAnsi="宋体" w:cs="宋体"/>
                <w:i w:val="0"/>
                <w:iCs w:val="0"/>
                <w:color w:val="000000"/>
                <w:kern w:val="0"/>
                <w:sz w:val="22"/>
                <w:szCs w:val="22"/>
                <w:highlight w:val="none"/>
                <w:u w:val="none"/>
                <w:lang w:val="en-US" w:eastAsia="zh-CN"/>
              </w:rPr>
              <w:t>0</w:t>
            </w:r>
            <w:r>
              <w:rPr>
                <w:rFonts w:hint="eastAsia" w:ascii="宋体" w:hAnsi="宋体" w:eastAsia="宋体" w:cs="宋体"/>
                <w:i w:val="0"/>
                <w:iCs w:val="0"/>
                <w:color w:val="000000"/>
                <w:kern w:val="0"/>
                <w:sz w:val="22"/>
                <w:szCs w:val="22"/>
                <w:highlight w:val="none"/>
                <w:u w:val="none"/>
                <w:lang w:val="en-US" w:eastAsia="zh-CN"/>
              </w:rPr>
              <w:t>、整机气密性能：呼吸器在气密性能试验后，其压力表的压力指示值在1min内的下降≤2MPa；</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▲1</w:t>
            </w:r>
            <w:r>
              <w:rPr>
                <w:rFonts w:hint="eastAsia" w:ascii="宋体" w:hAnsi="宋体" w:cs="宋体"/>
                <w:i w:val="0"/>
                <w:iCs w:val="0"/>
                <w:color w:val="000000"/>
                <w:kern w:val="0"/>
                <w:sz w:val="22"/>
                <w:szCs w:val="22"/>
                <w:highlight w:val="none"/>
                <w:u w:val="none"/>
                <w:lang w:val="en-US" w:eastAsia="zh-CN"/>
              </w:rPr>
              <w:t>1</w:t>
            </w:r>
            <w:r>
              <w:rPr>
                <w:rFonts w:hint="eastAsia" w:ascii="宋体" w:hAnsi="宋体" w:eastAsia="宋体" w:cs="宋体"/>
                <w:i w:val="0"/>
                <w:iCs w:val="0"/>
                <w:color w:val="000000"/>
                <w:kern w:val="0"/>
                <w:sz w:val="22"/>
                <w:szCs w:val="22"/>
                <w:highlight w:val="none"/>
                <w:u w:val="none"/>
                <w:lang w:val="en-US" w:eastAsia="zh-CN"/>
              </w:rPr>
              <w:t>、连接强度：全面罩与供气阀、转换装置与呼吸软管之间的连接强度≥250N，分供气管与转换装置、主供气管与分供气管之间的连接强度≥750N。</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rPr>
              <w:t>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589"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c>
          <w:tcPr>
            <w:tcW w:w="57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kern w:val="0"/>
                <w:sz w:val="24"/>
                <w:szCs w:val="24"/>
                <w:highlight w:val="none"/>
                <w:u w:val="none"/>
                <w:lang w:val="en-US" w:eastAsia="zh-CN"/>
              </w:rPr>
              <w:t>4</w:t>
            </w:r>
          </w:p>
        </w:tc>
        <w:tc>
          <w:tcPr>
            <w:tcW w:w="125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空呼气瓶</w:t>
            </w:r>
          </w:p>
        </w:tc>
        <w:tc>
          <w:tcPr>
            <w:tcW w:w="1180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1</w:t>
            </w:r>
            <w:r>
              <w:rPr>
                <w:rFonts w:hint="eastAsia" w:ascii="宋体" w:hAnsi="宋体" w:eastAsia="宋体" w:cs="宋体"/>
                <w:i w:val="0"/>
                <w:iCs w:val="0"/>
                <w:color w:val="000000"/>
                <w:sz w:val="24"/>
                <w:szCs w:val="24"/>
                <w:highlight w:val="none"/>
                <w:u w:val="none"/>
              </w:rPr>
              <w:t>、主要功能：用于存储压缩空气，与常用空气呼吸器配合使用；</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2</w:t>
            </w:r>
            <w:r>
              <w:rPr>
                <w:rFonts w:hint="eastAsia" w:ascii="宋体" w:hAnsi="宋体" w:eastAsia="宋体" w:cs="宋体"/>
                <w:i w:val="0"/>
                <w:iCs w:val="0"/>
                <w:color w:val="000000"/>
                <w:sz w:val="24"/>
                <w:szCs w:val="24"/>
                <w:highlight w:val="none"/>
                <w:u w:val="none"/>
              </w:rPr>
              <w:t>、技术要求：内胆、气瓶缠绕层材料应复合要求；</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3</w:t>
            </w:r>
            <w:r>
              <w:rPr>
                <w:rFonts w:hint="eastAsia" w:ascii="宋体" w:hAnsi="宋体" w:eastAsia="宋体" w:cs="宋体"/>
                <w:i w:val="0"/>
                <w:iCs w:val="0"/>
                <w:color w:val="000000"/>
                <w:sz w:val="24"/>
                <w:szCs w:val="24"/>
                <w:highlight w:val="none"/>
                <w:u w:val="none"/>
              </w:rPr>
              <w:t xml:space="preserve">、其他要求：以无缝铝合金为内胆，在其外表全缠绕浸渍树脂基体的炭纤维加强层，并经加温固化；                                                                      </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4</w:t>
            </w:r>
            <w:r>
              <w:rPr>
                <w:rFonts w:hint="eastAsia" w:ascii="宋体" w:hAnsi="宋体" w:eastAsia="宋体" w:cs="宋体"/>
                <w:i w:val="0"/>
                <w:iCs w:val="0"/>
                <w:color w:val="000000"/>
                <w:sz w:val="24"/>
                <w:szCs w:val="24"/>
                <w:highlight w:val="none"/>
                <w:u w:val="none"/>
              </w:rPr>
              <w:t xml:space="preserve">、工作压力30MPa,气瓶容积6.8L；                                                                                    </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5</w:t>
            </w:r>
            <w:r>
              <w:rPr>
                <w:rFonts w:hint="eastAsia" w:ascii="宋体" w:hAnsi="宋体" w:eastAsia="宋体" w:cs="宋体"/>
                <w:i w:val="0"/>
                <w:iCs w:val="0"/>
                <w:color w:val="000000"/>
                <w:sz w:val="24"/>
                <w:szCs w:val="24"/>
                <w:highlight w:val="none"/>
                <w:u w:val="none"/>
              </w:rPr>
              <w:t xml:space="preserve">、气瓶阀配置压力表，能在任何时候显示气瓶内部压力；                                                                </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6</w:t>
            </w:r>
            <w:r>
              <w:rPr>
                <w:rFonts w:hint="eastAsia" w:ascii="宋体" w:hAnsi="宋体" w:eastAsia="宋体" w:cs="宋体"/>
                <w:i w:val="0"/>
                <w:iCs w:val="0"/>
                <w:color w:val="000000"/>
                <w:sz w:val="24"/>
                <w:szCs w:val="24"/>
                <w:highlight w:val="none"/>
                <w:u w:val="none"/>
              </w:rPr>
              <w:t xml:space="preserve">、气瓶阀带自锁功能，避免气瓶阀意外关闭；                                                                          </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7</w:t>
            </w:r>
            <w:r>
              <w:rPr>
                <w:rFonts w:hint="eastAsia" w:ascii="宋体" w:hAnsi="宋体" w:eastAsia="宋体" w:cs="宋体"/>
                <w:i w:val="0"/>
                <w:iCs w:val="0"/>
                <w:color w:val="000000"/>
                <w:sz w:val="24"/>
                <w:szCs w:val="24"/>
                <w:highlight w:val="none"/>
                <w:u w:val="none"/>
              </w:rPr>
              <w:t xml:space="preserve">、全缠绕式碳纤维复合材料，瓶体内层缠绕环形反光标识；                                                                   </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8</w:t>
            </w:r>
            <w:r>
              <w:rPr>
                <w:rFonts w:hint="eastAsia" w:ascii="宋体" w:hAnsi="宋体" w:eastAsia="宋体" w:cs="宋体"/>
                <w:i w:val="0"/>
                <w:iCs w:val="0"/>
                <w:color w:val="000000"/>
                <w:sz w:val="24"/>
                <w:szCs w:val="24"/>
                <w:highlight w:val="none"/>
                <w:u w:val="none"/>
              </w:rPr>
              <w:t xml:space="preserve">、内胆采用高强度、经防腐处理、重量轻的铝合金材料；                                                                  </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9</w:t>
            </w:r>
            <w:r>
              <w:rPr>
                <w:rFonts w:hint="eastAsia" w:ascii="宋体" w:hAnsi="宋体" w:eastAsia="宋体" w:cs="宋体"/>
                <w:i w:val="0"/>
                <w:iCs w:val="0"/>
                <w:color w:val="000000"/>
                <w:sz w:val="24"/>
                <w:szCs w:val="24"/>
                <w:highlight w:val="none"/>
                <w:u w:val="none"/>
              </w:rPr>
              <w:t xml:space="preserve">、配套具有防火性能，印有“昌吉消防”字样的气瓶保护套；   </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1</w:t>
            </w:r>
            <w:r>
              <w:rPr>
                <w:rFonts w:hint="eastAsia" w:ascii="宋体" w:hAnsi="宋体" w:cs="宋体"/>
                <w:i w:val="0"/>
                <w:iCs w:val="0"/>
                <w:color w:val="000000"/>
                <w:sz w:val="24"/>
                <w:szCs w:val="24"/>
                <w:highlight w:val="none"/>
                <w:u w:val="none"/>
                <w:lang w:val="en-US" w:eastAsia="zh-CN"/>
              </w:rPr>
              <w:t>0</w:t>
            </w:r>
            <w:r>
              <w:rPr>
                <w:rFonts w:hint="eastAsia" w:ascii="宋体" w:hAnsi="宋体" w:eastAsia="宋体" w:cs="宋体"/>
                <w:i w:val="0"/>
                <w:iCs w:val="0"/>
                <w:color w:val="000000"/>
                <w:sz w:val="24"/>
                <w:szCs w:val="24"/>
                <w:highlight w:val="none"/>
                <w:u w:val="none"/>
              </w:rPr>
              <w:t>、气瓶内胆带有反光条；提供底座护垫1个、气瓶护圈1个、气瓶接口O型圈3个、气瓶阀手轮1个。</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cs="宋体"/>
                <w:i w:val="0"/>
                <w:iCs w:val="0"/>
                <w:color w:val="000000"/>
                <w:kern w:val="0"/>
                <w:sz w:val="24"/>
                <w:szCs w:val="24"/>
                <w:highlight w:val="none"/>
                <w:u w:val="none"/>
                <w:lang w:val="en-US" w:eastAsia="zh-CN"/>
              </w:rPr>
              <w:t>520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589"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c>
          <w:tcPr>
            <w:tcW w:w="57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rPr>
              <w:t>5</w:t>
            </w:r>
          </w:p>
        </w:tc>
        <w:tc>
          <w:tcPr>
            <w:tcW w:w="125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化学氧自救呼吸器</w:t>
            </w:r>
          </w:p>
        </w:tc>
        <w:tc>
          <w:tcPr>
            <w:tcW w:w="1180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cs="宋体"/>
                <w:i w:val="0"/>
                <w:iCs w:val="0"/>
                <w:color w:val="000000"/>
                <w:kern w:val="0"/>
                <w:sz w:val="22"/>
                <w:szCs w:val="22"/>
                <w:highlight w:val="none"/>
                <w:u w:val="none"/>
                <w:lang w:val="en-US" w:eastAsia="zh-CN"/>
              </w:rPr>
              <w:t>1</w:t>
            </w:r>
            <w:r>
              <w:rPr>
                <w:rFonts w:hint="eastAsia" w:ascii="宋体" w:hAnsi="宋体" w:eastAsia="宋体" w:cs="宋体"/>
                <w:i w:val="0"/>
                <w:iCs w:val="0"/>
                <w:color w:val="000000"/>
                <w:kern w:val="0"/>
                <w:sz w:val="22"/>
                <w:szCs w:val="22"/>
                <w:highlight w:val="none"/>
                <w:u w:val="none"/>
                <w:lang w:val="en-US" w:eastAsia="zh-CN"/>
              </w:rPr>
              <w:t>、非一次性产品，药罐及储气袋可更换；</w:t>
            </w:r>
          </w:p>
          <w:p>
            <w:pPr>
              <w:keepNext w:val="0"/>
              <w:keepLines w:val="0"/>
              <w:widowControl/>
              <w:suppressLineNumbers w:val="0"/>
              <w:jc w:val="both"/>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w:t>
            </w:r>
            <w:r>
              <w:rPr>
                <w:rFonts w:hint="eastAsia" w:ascii="宋体" w:hAnsi="宋体" w:cs="宋体"/>
                <w:i w:val="0"/>
                <w:iCs w:val="0"/>
                <w:color w:val="000000"/>
                <w:kern w:val="0"/>
                <w:sz w:val="22"/>
                <w:szCs w:val="22"/>
                <w:highlight w:val="none"/>
                <w:u w:val="none"/>
                <w:lang w:val="en-US" w:eastAsia="zh-CN"/>
              </w:rPr>
              <w:t>2</w:t>
            </w:r>
            <w:r>
              <w:rPr>
                <w:rFonts w:hint="eastAsia" w:ascii="宋体" w:hAnsi="宋体" w:eastAsia="宋体" w:cs="宋体"/>
                <w:i w:val="0"/>
                <w:iCs w:val="0"/>
                <w:color w:val="000000"/>
                <w:kern w:val="0"/>
                <w:sz w:val="22"/>
                <w:szCs w:val="22"/>
                <w:highlight w:val="none"/>
                <w:u w:val="none"/>
                <w:lang w:val="en-US" w:eastAsia="zh-CN"/>
              </w:rPr>
              <w:t>、技术要求：</w:t>
            </w:r>
          </w:p>
          <w:p>
            <w:pPr>
              <w:keepNext w:val="0"/>
              <w:keepLines w:val="0"/>
              <w:widowControl/>
              <w:suppressLineNumbers w:val="0"/>
              <w:jc w:val="both"/>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（1）呼吸器的额定防护时间（单个药罐）：≥30min；</w:t>
            </w:r>
          </w:p>
          <w:p>
            <w:pPr>
              <w:keepNext w:val="0"/>
              <w:keepLines w:val="0"/>
              <w:widowControl/>
              <w:suppressLineNumbers w:val="0"/>
              <w:jc w:val="both"/>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（2）佩戴质量：≤1800g；</w:t>
            </w:r>
          </w:p>
          <w:p>
            <w:pPr>
              <w:keepNext w:val="0"/>
              <w:keepLines w:val="0"/>
              <w:widowControl/>
              <w:suppressLineNumbers w:val="0"/>
              <w:jc w:val="both"/>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（3）金属材料性能：呼吸器的所有金属零部件耐腐蚀，其表面无龟裂、皱折、毛刺等缺陷；药罐由金属制成，不应使用非金属材料；</w:t>
            </w:r>
          </w:p>
          <w:p>
            <w:pPr>
              <w:keepNext w:val="0"/>
              <w:keepLines w:val="0"/>
              <w:widowControl/>
              <w:suppressLineNumbers w:val="0"/>
              <w:jc w:val="both"/>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cs="宋体"/>
                <w:i w:val="0"/>
                <w:iCs w:val="0"/>
                <w:color w:val="000000"/>
                <w:kern w:val="0"/>
                <w:sz w:val="22"/>
                <w:szCs w:val="22"/>
                <w:highlight w:val="none"/>
                <w:u w:val="none"/>
                <w:lang w:val="en-US" w:eastAsia="zh-CN"/>
              </w:rPr>
              <w:t>3</w:t>
            </w:r>
            <w:r>
              <w:rPr>
                <w:rFonts w:hint="eastAsia" w:ascii="宋体" w:hAnsi="宋体" w:eastAsia="宋体" w:cs="宋体"/>
                <w:i w:val="0"/>
                <w:iCs w:val="0"/>
                <w:color w:val="000000"/>
                <w:kern w:val="0"/>
                <w:sz w:val="22"/>
                <w:szCs w:val="22"/>
                <w:highlight w:val="none"/>
                <w:u w:val="none"/>
                <w:lang w:val="en-US" w:eastAsia="zh-CN"/>
              </w:rPr>
              <w:t>、防护性能：</w:t>
            </w:r>
          </w:p>
          <w:p>
            <w:pPr>
              <w:keepNext w:val="0"/>
              <w:keepLines w:val="0"/>
              <w:widowControl/>
              <w:suppressLineNumbers w:val="0"/>
              <w:jc w:val="both"/>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（1）二氧化碳浓度最大值：≤1.5%；</w:t>
            </w:r>
          </w:p>
          <w:p>
            <w:pPr>
              <w:keepNext w:val="0"/>
              <w:keepLines w:val="0"/>
              <w:widowControl/>
              <w:suppressLineNumbers w:val="0"/>
              <w:jc w:val="both"/>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（2）吸气阻力：≤400Pa，呼气阻力：≤600Pa；</w:t>
            </w:r>
          </w:p>
          <w:p>
            <w:pPr>
              <w:keepNext w:val="0"/>
              <w:keepLines w:val="0"/>
              <w:widowControl/>
              <w:suppressLineNumbers w:val="0"/>
              <w:jc w:val="both"/>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（3）吸气温度≤35℃；</w:t>
            </w:r>
          </w:p>
          <w:p>
            <w:pPr>
              <w:keepNext w:val="0"/>
              <w:keepLines w:val="0"/>
              <w:widowControl/>
              <w:suppressLineNumbers w:val="0"/>
              <w:jc w:val="both"/>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（4）提供备份药罐及储气袋≥1个；</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kern w:val="0"/>
                <w:sz w:val="22"/>
                <w:szCs w:val="22"/>
                <w:highlight w:val="none"/>
                <w:u w:val="none"/>
                <w:lang w:val="en-US" w:eastAsia="zh-CN"/>
              </w:rPr>
              <w:t>4</w:t>
            </w:r>
            <w:r>
              <w:rPr>
                <w:rFonts w:hint="eastAsia" w:ascii="宋体" w:hAnsi="宋体" w:eastAsia="宋体" w:cs="宋体"/>
                <w:i w:val="0"/>
                <w:iCs w:val="0"/>
                <w:color w:val="000000"/>
                <w:kern w:val="0"/>
                <w:sz w:val="22"/>
                <w:szCs w:val="22"/>
                <w:highlight w:val="none"/>
                <w:u w:val="none"/>
                <w:lang w:val="en-US" w:eastAsia="zh-CN"/>
              </w:rPr>
              <w:t>、供货时，须提供中文使用说明书。</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rPr>
              <w:t>72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589"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c>
          <w:tcPr>
            <w:tcW w:w="57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rPr>
              <w:t>6</w:t>
            </w:r>
          </w:p>
        </w:tc>
        <w:tc>
          <w:tcPr>
            <w:tcW w:w="125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冰域呼吸器组件</w:t>
            </w:r>
          </w:p>
        </w:tc>
        <w:tc>
          <w:tcPr>
            <w:tcW w:w="1180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cs="宋体"/>
                <w:i w:val="0"/>
                <w:iCs w:val="0"/>
                <w:color w:val="000000"/>
                <w:kern w:val="0"/>
                <w:sz w:val="22"/>
                <w:szCs w:val="22"/>
                <w:highlight w:val="none"/>
                <w:u w:val="none"/>
                <w:lang w:val="en-US" w:eastAsia="zh-CN"/>
              </w:rPr>
              <w:t>1</w:t>
            </w:r>
            <w:r>
              <w:rPr>
                <w:rFonts w:hint="eastAsia" w:ascii="宋体" w:hAnsi="宋体" w:eastAsia="宋体" w:cs="宋体"/>
                <w:i w:val="0"/>
                <w:iCs w:val="0"/>
                <w:color w:val="000000"/>
                <w:kern w:val="0"/>
                <w:sz w:val="22"/>
                <w:szCs w:val="22"/>
                <w:highlight w:val="none"/>
                <w:u w:val="none"/>
                <w:lang w:val="en-US" w:eastAsia="zh-CN"/>
              </w:rPr>
              <w:t>、适合消防救援人员开展冰潜作业时的保护，由全面罩，水下耳机，水面基站组成；</w:t>
            </w:r>
          </w:p>
          <w:p>
            <w:pPr>
              <w:keepNext w:val="0"/>
              <w:keepLines w:val="0"/>
              <w:widowControl/>
              <w:suppressLineNumbers w:val="0"/>
              <w:jc w:val="both"/>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w:t>
            </w:r>
            <w:r>
              <w:rPr>
                <w:rFonts w:hint="eastAsia" w:ascii="宋体" w:hAnsi="宋体" w:cs="宋体"/>
                <w:i w:val="0"/>
                <w:iCs w:val="0"/>
                <w:color w:val="000000"/>
                <w:kern w:val="0"/>
                <w:sz w:val="22"/>
                <w:szCs w:val="22"/>
                <w:highlight w:val="none"/>
                <w:u w:val="none"/>
                <w:lang w:val="en-US" w:eastAsia="zh-CN"/>
              </w:rPr>
              <w:t>2</w:t>
            </w:r>
            <w:r>
              <w:rPr>
                <w:rFonts w:hint="eastAsia" w:ascii="宋体" w:hAnsi="宋体" w:eastAsia="宋体" w:cs="宋体"/>
                <w:i w:val="0"/>
                <w:iCs w:val="0"/>
                <w:color w:val="000000"/>
                <w:kern w:val="0"/>
                <w:sz w:val="22"/>
                <w:szCs w:val="22"/>
                <w:highlight w:val="none"/>
                <w:u w:val="none"/>
                <w:lang w:val="en-US" w:eastAsia="zh-CN"/>
              </w:rPr>
              <w:t>、技术参数：</w:t>
            </w:r>
          </w:p>
          <w:p>
            <w:pPr>
              <w:keepNext w:val="0"/>
              <w:keepLines w:val="0"/>
              <w:widowControl/>
              <w:suppressLineNumbers w:val="0"/>
              <w:jc w:val="both"/>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（1）面罩和调节器框架结构采用高强度ABS塑料；一体化硅胶材质的双密封裙边；</w:t>
            </w:r>
          </w:p>
          <w:p>
            <w:pPr>
              <w:keepNext w:val="0"/>
              <w:keepLines w:val="0"/>
              <w:widowControl/>
              <w:suppressLineNumbers w:val="0"/>
              <w:jc w:val="both"/>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（2）配备专用水下通讯单元和耳机／麦克风；</w:t>
            </w:r>
          </w:p>
          <w:p>
            <w:pPr>
              <w:keepNext w:val="0"/>
              <w:keepLines w:val="0"/>
              <w:widowControl/>
              <w:suppressLineNumbers w:val="0"/>
              <w:jc w:val="both"/>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（3）独有的导流除雾设计提高水下使用的便捷和安全性；</w:t>
            </w:r>
          </w:p>
          <w:p>
            <w:pPr>
              <w:keepNext w:val="0"/>
              <w:keepLines w:val="0"/>
              <w:widowControl/>
              <w:suppressLineNumbers w:val="0"/>
              <w:jc w:val="both"/>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（4）单向阀门排气设计有效消除二氧化碳堆积；</w:t>
            </w:r>
          </w:p>
          <w:p>
            <w:pPr>
              <w:keepNext w:val="0"/>
              <w:keepLines w:val="0"/>
              <w:widowControl/>
              <w:suppressLineNumbers w:val="0"/>
              <w:jc w:val="both"/>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（5）面罩右侧装有水面呼吸阀门，降低入水前气体消耗量；</w:t>
            </w:r>
          </w:p>
          <w:p>
            <w:pPr>
              <w:keepNext w:val="0"/>
              <w:keepLines w:val="0"/>
              <w:widowControl/>
              <w:suppressLineNumbers w:val="0"/>
              <w:jc w:val="both"/>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（6）使用专用可调整的鼻托垫进行耳压平衡；</w:t>
            </w:r>
          </w:p>
          <w:p>
            <w:pPr>
              <w:keepNext w:val="0"/>
              <w:keepLines w:val="0"/>
              <w:widowControl/>
              <w:suppressLineNumbers w:val="0"/>
              <w:jc w:val="both"/>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w:t>
            </w:r>
            <w:r>
              <w:rPr>
                <w:rFonts w:hint="eastAsia" w:ascii="宋体" w:hAnsi="宋体" w:cs="宋体"/>
                <w:i w:val="0"/>
                <w:iCs w:val="0"/>
                <w:color w:val="000000"/>
                <w:kern w:val="0"/>
                <w:sz w:val="22"/>
                <w:szCs w:val="22"/>
                <w:highlight w:val="none"/>
                <w:u w:val="none"/>
                <w:lang w:val="en-US" w:eastAsia="zh-CN"/>
              </w:rPr>
              <w:t>7</w:t>
            </w:r>
            <w:r>
              <w:rPr>
                <w:rFonts w:hint="eastAsia" w:ascii="宋体" w:hAnsi="宋体" w:eastAsia="宋体" w:cs="宋体"/>
                <w:i w:val="0"/>
                <w:iCs w:val="0"/>
                <w:color w:val="000000"/>
                <w:kern w:val="0"/>
                <w:sz w:val="22"/>
                <w:szCs w:val="22"/>
                <w:highlight w:val="none"/>
                <w:u w:val="none"/>
                <w:lang w:val="en-US" w:eastAsia="zh-CN"/>
              </w:rPr>
              <w:t>）手持式，≥200欧姆／重型前面板扬声器，带开／关控制。声音控制、噪音抑制和波段选择可以调节，标配手持式麦克风和无线通讯传感器电缆；</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8" w:hRule="atLeast"/>
          <w:jc w:val="center"/>
        </w:trPr>
        <w:tc>
          <w:tcPr>
            <w:tcW w:w="14945" w:type="dxa"/>
            <w:gridSpan w:val="10"/>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ind w:firstLine="5566" w:firstLineChars="2300"/>
              <w:jc w:val="both"/>
              <w:textAlignment w:val="center"/>
              <w:rPr>
                <w:rFonts w:hint="eastAsia" w:ascii="宋体" w:hAnsi="宋体" w:cs="宋体"/>
                <w:i w:val="0"/>
                <w:iCs w:val="0"/>
                <w:color w:val="000000"/>
                <w:kern w:val="0"/>
                <w:sz w:val="24"/>
                <w:szCs w:val="24"/>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99" w:hRule="atLeast"/>
          <w:jc w:val="center"/>
        </w:trPr>
        <w:tc>
          <w:tcPr>
            <w:tcW w:w="589" w:type="dxa"/>
            <w:vMerge w:val="restart"/>
            <w:tcBorders>
              <w:top w:val="single" w:color="auto" w:sz="4" w:space="0"/>
              <w:left w:val="single" w:color="auto" w:sz="4" w:space="0"/>
              <w:right w:val="single" w:color="auto" w:sz="4" w:space="0"/>
            </w:tcBorders>
            <w:shd w:val="clear" w:color="auto" w:fill="auto"/>
            <w:noWrap/>
            <w:vAlign w:val="center"/>
          </w:tcPr>
          <w:p>
            <w:pPr>
              <w:jc w:val="center"/>
              <w:rPr>
                <w:rFonts w:hint="default" w:ascii="宋体" w:hAnsi="宋体" w:eastAsia="宋体" w:cs="宋体"/>
                <w:i w:val="0"/>
                <w:iCs w:val="0"/>
                <w:color w:val="000000"/>
                <w:sz w:val="24"/>
                <w:szCs w:val="24"/>
                <w:highlight w:val="none"/>
                <w:u w:val="none"/>
                <w:lang w:val="en-US" w:eastAsia="zh-CN"/>
              </w:rPr>
            </w:pPr>
            <w:r>
              <w:rPr>
                <w:rFonts w:hint="eastAsia" w:ascii="宋体" w:hAnsi="宋体" w:cs="宋体"/>
                <w:b/>
                <w:bCs/>
                <w:i w:val="0"/>
                <w:iCs w:val="0"/>
                <w:color w:val="000000"/>
                <w:kern w:val="0"/>
                <w:sz w:val="24"/>
                <w:szCs w:val="24"/>
                <w:highlight w:val="none"/>
                <w:u w:val="none"/>
                <w:lang w:val="en-US" w:eastAsia="zh-CN"/>
              </w:rPr>
              <w:t>第十一包</w:t>
            </w:r>
          </w:p>
        </w:tc>
        <w:tc>
          <w:tcPr>
            <w:tcW w:w="57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rPr>
              <w:t>1</w:t>
            </w:r>
          </w:p>
        </w:tc>
        <w:tc>
          <w:tcPr>
            <w:tcW w:w="106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水上救生机器人</w:t>
            </w:r>
          </w:p>
        </w:tc>
        <w:tc>
          <w:tcPr>
            <w:tcW w:w="11986"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1</w:t>
            </w:r>
            <w:r>
              <w:rPr>
                <w:rFonts w:hint="eastAsia" w:ascii="宋体" w:hAnsi="宋体" w:eastAsia="宋体" w:cs="宋体"/>
                <w:i w:val="0"/>
                <w:iCs w:val="0"/>
                <w:color w:val="000000"/>
                <w:sz w:val="24"/>
                <w:szCs w:val="24"/>
                <w:highlight w:val="none"/>
                <w:u w:val="none"/>
              </w:rPr>
              <w:t>、主要功能:可以在水面上自由行动、进行搜救和营救行动；</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2</w:t>
            </w:r>
            <w:r>
              <w:rPr>
                <w:rFonts w:hint="eastAsia" w:ascii="宋体" w:hAnsi="宋体" w:eastAsia="宋体" w:cs="宋体"/>
                <w:i w:val="0"/>
                <w:iCs w:val="0"/>
                <w:color w:val="000000"/>
                <w:sz w:val="24"/>
                <w:szCs w:val="24"/>
                <w:highlight w:val="none"/>
                <w:u w:val="none"/>
              </w:rPr>
              <w:t>、材质：采用长寿命、耐紫外线、耐油的HDPE滚塑材料；</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3</w:t>
            </w:r>
            <w:r>
              <w:rPr>
                <w:rFonts w:hint="eastAsia" w:ascii="宋体" w:hAnsi="宋体" w:eastAsia="宋体" w:cs="宋体"/>
                <w:i w:val="0"/>
                <w:iCs w:val="0"/>
                <w:color w:val="000000"/>
                <w:sz w:val="24"/>
                <w:szCs w:val="24"/>
                <w:highlight w:val="none"/>
                <w:u w:val="none"/>
              </w:rPr>
              <w:t>、机身尺寸:≤1800mm宽度≤1200mm，重量：≤50kg；</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w:t>
            </w:r>
            <w:r>
              <w:rPr>
                <w:rFonts w:hint="eastAsia" w:ascii="宋体" w:hAnsi="宋体" w:cs="宋体"/>
                <w:i w:val="0"/>
                <w:iCs w:val="0"/>
                <w:color w:val="000000"/>
                <w:sz w:val="24"/>
                <w:szCs w:val="24"/>
                <w:highlight w:val="none"/>
                <w:u w:val="none"/>
                <w:lang w:val="en-US" w:eastAsia="zh-CN"/>
              </w:rPr>
              <w:t>4</w:t>
            </w:r>
            <w:r>
              <w:rPr>
                <w:rFonts w:hint="eastAsia" w:ascii="宋体" w:hAnsi="宋体" w:eastAsia="宋体" w:cs="宋体"/>
                <w:i w:val="0"/>
                <w:iCs w:val="0"/>
                <w:color w:val="000000"/>
                <w:sz w:val="24"/>
                <w:szCs w:val="24"/>
                <w:highlight w:val="none"/>
                <w:u w:val="none"/>
              </w:rPr>
              <w:t>、水上拖力：≥400kg，遥控距离：≥1500m，空载速度：≥25km/h，载人速度：≥10km/h，水上浮力：≥200kg；</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5</w:t>
            </w:r>
            <w:r>
              <w:rPr>
                <w:rFonts w:hint="eastAsia" w:ascii="宋体" w:hAnsi="宋体" w:eastAsia="宋体" w:cs="宋体"/>
                <w:i w:val="0"/>
                <w:iCs w:val="0"/>
                <w:color w:val="000000"/>
                <w:sz w:val="24"/>
                <w:szCs w:val="24"/>
                <w:highlight w:val="none"/>
                <w:u w:val="none"/>
              </w:rPr>
              <w:t>、电池充电时间：≤180min，续航时间：≥80min；</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6</w:t>
            </w:r>
            <w:r>
              <w:rPr>
                <w:rFonts w:hint="eastAsia" w:ascii="宋体" w:hAnsi="宋体" w:eastAsia="宋体" w:cs="宋体"/>
                <w:i w:val="0"/>
                <w:iCs w:val="0"/>
                <w:color w:val="000000"/>
                <w:sz w:val="24"/>
                <w:szCs w:val="24"/>
                <w:highlight w:val="none"/>
                <w:u w:val="none"/>
              </w:rPr>
              <w:t>、倒档功能：具有倒退功能；</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7</w:t>
            </w:r>
            <w:r>
              <w:rPr>
                <w:rFonts w:hint="eastAsia" w:ascii="宋体" w:hAnsi="宋体" w:eastAsia="宋体" w:cs="宋体"/>
                <w:i w:val="0"/>
                <w:iCs w:val="0"/>
                <w:color w:val="000000"/>
                <w:sz w:val="24"/>
                <w:szCs w:val="24"/>
                <w:highlight w:val="none"/>
                <w:u w:val="none"/>
              </w:rPr>
              <w:t>、防水等级：≥IP68；</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8</w:t>
            </w:r>
            <w:r>
              <w:rPr>
                <w:rFonts w:hint="eastAsia" w:ascii="宋体" w:hAnsi="宋体" w:eastAsia="宋体" w:cs="宋体"/>
                <w:i w:val="0"/>
                <w:iCs w:val="0"/>
                <w:color w:val="000000"/>
                <w:sz w:val="24"/>
                <w:szCs w:val="24"/>
                <w:highlight w:val="none"/>
                <w:u w:val="none"/>
              </w:rPr>
              <w:t>、一键返航：启动一键返航功能，自动返航到起始位置，误差范围≤2m，支持北斗定位；</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9</w:t>
            </w:r>
            <w:r>
              <w:rPr>
                <w:rFonts w:hint="eastAsia" w:ascii="宋体" w:hAnsi="宋体" w:eastAsia="宋体" w:cs="宋体"/>
                <w:i w:val="0"/>
                <w:iCs w:val="0"/>
                <w:color w:val="000000"/>
                <w:sz w:val="24"/>
                <w:szCs w:val="24"/>
                <w:highlight w:val="none"/>
                <w:u w:val="none"/>
              </w:rPr>
              <w:t>、电池安全保护：电池具有内置BMS保护板，具有过充、过放、过流、高温及短路保护；</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▲1</w:t>
            </w:r>
            <w:r>
              <w:rPr>
                <w:rFonts w:hint="eastAsia" w:ascii="宋体" w:hAnsi="宋体" w:cs="宋体"/>
                <w:i w:val="0"/>
                <w:iCs w:val="0"/>
                <w:color w:val="000000"/>
                <w:sz w:val="24"/>
                <w:szCs w:val="24"/>
                <w:highlight w:val="none"/>
                <w:u w:val="none"/>
                <w:lang w:val="en-US" w:eastAsia="zh-CN"/>
              </w:rPr>
              <w:t>0</w:t>
            </w:r>
            <w:r>
              <w:rPr>
                <w:rFonts w:hint="eastAsia" w:ascii="宋体" w:hAnsi="宋体" w:eastAsia="宋体" w:cs="宋体"/>
                <w:i w:val="0"/>
                <w:iCs w:val="0"/>
                <w:color w:val="000000"/>
                <w:sz w:val="24"/>
                <w:szCs w:val="24"/>
                <w:highlight w:val="none"/>
                <w:u w:val="none"/>
              </w:rPr>
              <w:t>、遥控器：遥控器可操作经度，纬度，信号、电流，电压，主体电量，遥控器电量、航行速度，油门、低电量和故障报警、工作模式、朝向和导航转态，前进，后退、左右差速转，续航工作≥12小时；</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1</w:t>
            </w:r>
            <w:r>
              <w:rPr>
                <w:rFonts w:hint="eastAsia" w:ascii="宋体" w:hAnsi="宋体" w:cs="宋体"/>
                <w:i w:val="0"/>
                <w:iCs w:val="0"/>
                <w:color w:val="000000"/>
                <w:sz w:val="24"/>
                <w:szCs w:val="24"/>
                <w:highlight w:val="none"/>
                <w:u w:val="none"/>
                <w:lang w:val="en-US" w:eastAsia="zh-CN"/>
              </w:rPr>
              <w:t>1</w:t>
            </w:r>
            <w:r>
              <w:rPr>
                <w:rFonts w:hint="eastAsia" w:ascii="宋体" w:hAnsi="宋体" w:eastAsia="宋体" w:cs="宋体"/>
                <w:i w:val="0"/>
                <w:iCs w:val="0"/>
                <w:color w:val="000000"/>
                <w:sz w:val="24"/>
                <w:szCs w:val="24"/>
                <w:highlight w:val="none"/>
                <w:u w:val="none"/>
              </w:rPr>
              <w:t>、失联返航：自动返航到定点的位置，误差范围≤2m；</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▲1</w:t>
            </w:r>
            <w:r>
              <w:rPr>
                <w:rFonts w:hint="eastAsia" w:ascii="宋体" w:hAnsi="宋体" w:cs="宋体"/>
                <w:i w:val="0"/>
                <w:iCs w:val="0"/>
                <w:color w:val="000000"/>
                <w:sz w:val="24"/>
                <w:szCs w:val="24"/>
                <w:highlight w:val="none"/>
                <w:u w:val="none"/>
                <w:lang w:val="en-US" w:eastAsia="zh-CN"/>
              </w:rPr>
              <w:t>2</w:t>
            </w:r>
            <w:r>
              <w:rPr>
                <w:rFonts w:hint="eastAsia" w:ascii="宋体" w:hAnsi="宋体" w:eastAsia="宋体" w:cs="宋体"/>
                <w:i w:val="0"/>
                <w:iCs w:val="0"/>
                <w:color w:val="000000"/>
                <w:sz w:val="24"/>
                <w:szCs w:val="24"/>
                <w:highlight w:val="none"/>
                <w:u w:val="none"/>
              </w:rPr>
              <w:t>、动力配置：电机总功率；≥5KW</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1</w:t>
            </w:r>
            <w:r>
              <w:rPr>
                <w:rFonts w:hint="eastAsia" w:ascii="宋体" w:hAnsi="宋体" w:cs="宋体"/>
                <w:i w:val="0"/>
                <w:iCs w:val="0"/>
                <w:color w:val="000000"/>
                <w:sz w:val="24"/>
                <w:szCs w:val="24"/>
                <w:highlight w:val="none"/>
                <w:u w:val="none"/>
                <w:lang w:val="en-US" w:eastAsia="zh-CN"/>
              </w:rPr>
              <w:t>3</w:t>
            </w:r>
            <w:r>
              <w:rPr>
                <w:rFonts w:hint="eastAsia" w:ascii="宋体" w:hAnsi="宋体" w:eastAsia="宋体" w:cs="宋体"/>
                <w:i w:val="0"/>
                <w:iCs w:val="0"/>
                <w:color w:val="000000"/>
                <w:sz w:val="24"/>
                <w:szCs w:val="24"/>
                <w:highlight w:val="none"/>
                <w:u w:val="none"/>
              </w:rPr>
              <w:t>、夜间频闪灯：机身内部带有频闪警示灯为救援提供警示；</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1</w:t>
            </w:r>
            <w:r>
              <w:rPr>
                <w:rFonts w:hint="eastAsia" w:ascii="宋体" w:hAnsi="宋体" w:cs="宋体"/>
                <w:i w:val="0"/>
                <w:iCs w:val="0"/>
                <w:color w:val="000000"/>
                <w:sz w:val="24"/>
                <w:szCs w:val="24"/>
                <w:highlight w:val="none"/>
                <w:u w:val="none"/>
                <w:lang w:val="en-US" w:eastAsia="zh-CN"/>
              </w:rPr>
              <w:t>4</w:t>
            </w:r>
            <w:r>
              <w:rPr>
                <w:rFonts w:hint="eastAsia" w:ascii="宋体" w:hAnsi="宋体" w:eastAsia="宋体" w:cs="宋体"/>
                <w:i w:val="0"/>
                <w:iCs w:val="0"/>
                <w:color w:val="000000"/>
                <w:sz w:val="24"/>
                <w:szCs w:val="24"/>
                <w:highlight w:val="none"/>
                <w:u w:val="none"/>
              </w:rPr>
              <w:t>、具有定速巡航或自动航向驾驶功能；</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▲1</w:t>
            </w:r>
            <w:r>
              <w:rPr>
                <w:rFonts w:hint="eastAsia" w:ascii="宋体" w:hAnsi="宋体" w:cs="宋体"/>
                <w:i w:val="0"/>
                <w:iCs w:val="0"/>
                <w:color w:val="000000"/>
                <w:sz w:val="24"/>
                <w:szCs w:val="24"/>
                <w:highlight w:val="none"/>
                <w:u w:val="none"/>
                <w:lang w:val="en-US" w:eastAsia="zh-CN"/>
              </w:rPr>
              <w:t>5</w:t>
            </w:r>
            <w:r>
              <w:rPr>
                <w:rFonts w:hint="eastAsia" w:ascii="宋体" w:hAnsi="宋体" w:eastAsia="宋体" w:cs="宋体"/>
                <w:i w:val="0"/>
                <w:iCs w:val="0"/>
                <w:color w:val="000000"/>
                <w:sz w:val="24"/>
                <w:szCs w:val="24"/>
                <w:highlight w:val="none"/>
                <w:u w:val="none"/>
              </w:rPr>
              <w:t>、语音对讲系统 ：语音传输：≥1500m；</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▲1</w:t>
            </w:r>
            <w:r>
              <w:rPr>
                <w:rFonts w:hint="eastAsia" w:ascii="宋体" w:hAnsi="宋体" w:cs="宋体"/>
                <w:i w:val="0"/>
                <w:iCs w:val="0"/>
                <w:color w:val="000000"/>
                <w:sz w:val="24"/>
                <w:szCs w:val="24"/>
                <w:highlight w:val="none"/>
                <w:u w:val="none"/>
                <w:lang w:val="en-US" w:eastAsia="zh-CN"/>
              </w:rPr>
              <w:t>6</w:t>
            </w:r>
            <w:r>
              <w:rPr>
                <w:rFonts w:hint="eastAsia" w:ascii="宋体" w:hAnsi="宋体" w:eastAsia="宋体" w:cs="宋体"/>
                <w:i w:val="0"/>
                <w:iCs w:val="0"/>
                <w:color w:val="000000"/>
                <w:sz w:val="24"/>
                <w:szCs w:val="24"/>
                <w:highlight w:val="none"/>
                <w:u w:val="none"/>
              </w:rPr>
              <w:t>、4G无线图传系统：传输距离≥1500m，分辨率1920*1080P,防水摄像机:170°超大广角防水≥20m</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▲1</w:t>
            </w:r>
            <w:r>
              <w:rPr>
                <w:rFonts w:hint="eastAsia" w:ascii="宋体" w:hAnsi="宋体" w:cs="宋体"/>
                <w:i w:val="0"/>
                <w:iCs w:val="0"/>
                <w:color w:val="000000"/>
                <w:sz w:val="24"/>
                <w:szCs w:val="24"/>
                <w:highlight w:val="none"/>
                <w:u w:val="none"/>
                <w:lang w:val="en-US" w:eastAsia="zh-CN"/>
              </w:rPr>
              <w:t>7</w:t>
            </w:r>
            <w:r>
              <w:rPr>
                <w:rFonts w:hint="eastAsia" w:ascii="宋体" w:hAnsi="宋体" w:eastAsia="宋体" w:cs="宋体"/>
                <w:i w:val="0"/>
                <w:iCs w:val="0"/>
                <w:color w:val="000000"/>
                <w:sz w:val="24"/>
                <w:szCs w:val="24"/>
                <w:highlight w:val="none"/>
                <w:u w:val="none"/>
              </w:rPr>
              <w:t>、控制面站：一体式设计，主屏≥15寸，内存≥8G 硬盘≥512G采用工业不锈钢键盘带滑鼠，内置充电锂电池，续航时间≥5h。</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99" w:hRule="atLeast"/>
          <w:jc w:val="center"/>
        </w:trPr>
        <w:tc>
          <w:tcPr>
            <w:tcW w:w="589" w:type="dxa"/>
            <w:vMerge w:val="continue"/>
            <w:tcBorders>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cs="宋体"/>
                <w:i w:val="0"/>
                <w:iCs w:val="0"/>
                <w:color w:val="000000"/>
                <w:sz w:val="24"/>
                <w:szCs w:val="24"/>
                <w:highlight w:val="none"/>
                <w:u w:val="none"/>
                <w:lang w:val="en-US" w:eastAsia="zh-CN"/>
              </w:rPr>
            </w:pPr>
          </w:p>
        </w:tc>
        <w:tc>
          <w:tcPr>
            <w:tcW w:w="57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rPr>
              <w:t>2</w:t>
            </w:r>
          </w:p>
        </w:tc>
        <w:tc>
          <w:tcPr>
            <w:tcW w:w="106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highlight w:val="none"/>
                <w:u w:val="none"/>
                <w:lang w:val="en-US" w:eastAsia="zh-CN"/>
              </w:rPr>
            </w:pPr>
            <w:r>
              <w:rPr>
                <w:rFonts w:hint="eastAsia" w:ascii="宋体" w:hAnsi="宋体" w:eastAsia="宋体" w:cs="宋体"/>
                <w:i w:val="0"/>
                <w:color w:val="000000"/>
                <w:kern w:val="0"/>
                <w:sz w:val="24"/>
                <w:szCs w:val="24"/>
                <w:highlight w:val="none"/>
                <w:u w:val="none"/>
                <w:lang w:val="en-US" w:eastAsia="zh-CN"/>
              </w:rPr>
              <w:t>水下机器人</w:t>
            </w:r>
          </w:p>
        </w:tc>
        <w:tc>
          <w:tcPr>
            <w:tcW w:w="11986"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1</w:t>
            </w:r>
            <w:r>
              <w:rPr>
                <w:rFonts w:hint="eastAsia" w:ascii="宋体" w:hAnsi="宋体" w:eastAsia="宋体" w:cs="宋体"/>
                <w:i w:val="0"/>
                <w:iCs w:val="0"/>
                <w:color w:val="000000"/>
                <w:sz w:val="24"/>
                <w:szCs w:val="24"/>
                <w:highlight w:val="none"/>
                <w:u w:val="none"/>
              </w:rPr>
              <w:t>、可实时操控的水下机器人平台，由螺旋桨推进系统、照明摄像系统、控制系统、导航定位系统和载荷系统构成，可搭载多波束声呐等水下声学探测设备，也可搭载机械臂进行水下作业，产品具有定向巡游、定深巡游等运动功能。</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2</w:t>
            </w:r>
            <w:r>
              <w:rPr>
                <w:rFonts w:hint="eastAsia" w:ascii="宋体" w:hAnsi="宋体" w:eastAsia="宋体" w:cs="宋体"/>
                <w:i w:val="0"/>
                <w:iCs w:val="0"/>
                <w:color w:val="000000"/>
                <w:sz w:val="24"/>
                <w:szCs w:val="24"/>
                <w:highlight w:val="none"/>
                <w:u w:val="none"/>
              </w:rPr>
              <w:t>、其他要求：结构包含云台、多波束声呐、照明灯、浮力块、推进器、导航舱、主控舱、机械臂；</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w:t>
            </w:r>
            <w:r>
              <w:rPr>
                <w:rFonts w:hint="eastAsia" w:ascii="宋体" w:hAnsi="宋体" w:cs="宋体"/>
                <w:i w:val="0"/>
                <w:iCs w:val="0"/>
                <w:color w:val="000000"/>
                <w:sz w:val="24"/>
                <w:szCs w:val="24"/>
                <w:highlight w:val="none"/>
                <w:u w:val="none"/>
                <w:lang w:val="en-US" w:eastAsia="zh-CN"/>
              </w:rPr>
              <w:t>3</w:t>
            </w:r>
            <w:r>
              <w:rPr>
                <w:rFonts w:hint="eastAsia" w:ascii="宋体" w:hAnsi="宋体" w:eastAsia="宋体" w:cs="宋体"/>
                <w:i w:val="0"/>
                <w:iCs w:val="0"/>
                <w:color w:val="000000"/>
                <w:sz w:val="24"/>
                <w:szCs w:val="24"/>
                <w:highlight w:val="none"/>
                <w:u w:val="none"/>
              </w:rPr>
              <w:t>、技术参数：工作水深≥350m、负载≥8kg、推进器：垂直≥2个，水平≥4个，推进器功率1kW，推力≥20kg，可实现360°全向移动；</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w:t>
            </w:r>
            <w:r>
              <w:rPr>
                <w:rFonts w:hint="eastAsia" w:ascii="宋体" w:hAnsi="宋体" w:cs="宋体"/>
                <w:i w:val="0"/>
                <w:iCs w:val="0"/>
                <w:color w:val="000000"/>
                <w:sz w:val="24"/>
                <w:szCs w:val="24"/>
                <w:highlight w:val="none"/>
                <w:u w:val="none"/>
                <w:lang w:val="en-US" w:eastAsia="zh-CN"/>
              </w:rPr>
              <w:t>4</w:t>
            </w:r>
            <w:r>
              <w:rPr>
                <w:rFonts w:hint="eastAsia" w:ascii="宋体" w:hAnsi="宋体" w:eastAsia="宋体" w:cs="宋体"/>
                <w:i w:val="0"/>
                <w:iCs w:val="0"/>
                <w:color w:val="000000"/>
                <w:sz w:val="24"/>
                <w:szCs w:val="24"/>
                <w:highlight w:val="none"/>
                <w:u w:val="none"/>
              </w:rPr>
              <w:t>、声呐：多波束声呐，测量范围≥100m，视角≥120°，分辨率≤15mm；</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w:t>
            </w:r>
            <w:r>
              <w:rPr>
                <w:rFonts w:hint="eastAsia" w:ascii="宋体" w:hAnsi="宋体" w:cs="宋体"/>
                <w:i w:val="0"/>
                <w:iCs w:val="0"/>
                <w:color w:val="000000"/>
                <w:sz w:val="24"/>
                <w:szCs w:val="24"/>
                <w:highlight w:val="none"/>
                <w:u w:val="none"/>
                <w:lang w:val="en-US" w:eastAsia="zh-CN"/>
              </w:rPr>
              <w:t>5</w:t>
            </w:r>
            <w:r>
              <w:rPr>
                <w:rFonts w:hint="eastAsia" w:ascii="宋体" w:hAnsi="宋体" w:eastAsia="宋体" w:cs="宋体"/>
                <w:i w:val="0"/>
                <w:iCs w:val="0"/>
                <w:color w:val="000000"/>
                <w:sz w:val="24"/>
                <w:szCs w:val="24"/>
                <w:highlight w:val="none"/>
                <w:u w:val="none"/>
              </w:rPr>
              <w:t>、机械臂：夹钳夹持力≥10kg，剪切力≥10kg，夹钳旋转：360°；</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6</w:t>
            </w:r>
            <w:r>
              <w:rPr>
                <w:rFonts w:hint="eastAsia" w:ascii="宋体" w:hAnsi="宋体" w:eastAsia="宋体" w:cs="宋体"/>
                <w:i w:val="0"/>
                <w:iCs w:val="0"/>
                <w:color w:val="000000"/>
                <w:sz w:val="24"/>
                <w:szCs w:val="24"/>
                <w:highlight w:val="none"/>
                <w:u w:val="none"/>
              </w:rPr>
              <w:t>、影像系统：可以录制、抓拍实时视频；可以对灯光亮度、云台角度、镜头焦距、镜头变焦倍数进行调整；</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7</w:t>
            </w:r>
            <w:r>
              <w:rPr>
                <w:rFonts w:hint="eastAsia" w:ascii="宋体" w:hAnsi="宋体" w:eastAsia="宋体" w:cs="宋体"/>
                <w:i w:val="0"/>
                <w:iCs w:val="0"/>
                <w:color w:val="000000"/>
                <w:sz w:val="24"/>
                <w:szCs w:val="24"/>
                <w:highlight w:val="none"/>
                <w:u w:val="none"/>
              </w:rPr>
              <w:t>、照明系统：具有水下照明系统，亮度连续可调；</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8</w:t>
            </w:r>
            <w:r>
              <w:rPr>
                <w:rFonts w:hint="eastAsia" w:ascii="宋体" w:hAnsi="宋体" w:eastAsia="宋体" w:cs="宋体"/>
                <w:i w:val="0"/>
                <w:iCs w:val="0"/>
                <w:color w:val="000000"/>
                <w:sz w:val="24"/>
                <w:szCs w:val="24"/>
                <w:highlight w:val="none"/>
                <w:u w:val="none"/>
              </w:rPr>
              <w:t>、地面控制单元；</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9</w:t>
            </w:r>
            <w:r>
              <w:rPr>
                <w:rFonts w:hint="eastAsia" w:ascii="宋体" w:hAnsi="宋体" w:eastAsia="宋体" w:cs="宋体"/>
                <w:i w:val="0"/>
                <w:iCs w:val="0"/>
                <w:color w:val="000000"/>
                <w:sz w:val="24"/>
                <w:szCs w:val="24"/>
                <w:highlight w:val="none"/>
                <w:u w:val="none"/>
              </w:rPr>
              <w:t>、手动绞车，长度≥150m，破断力≥300kg；</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▲1</w:t>
            </w:r>
            <w:r>
              <w:rPr>
                <w:rFonts w:hint="eastAsia" w:ascii="宋体" w:hAnsi="宋体" w:cs="宋体"/>
                <w:i w:val="0"/>
                <w:iCs w:val="0"/>
                <w:color w:val="000000"/>
                <w:sz w:val="24"/>
                <w:szCs w:val="24"/>
                <w:highlight w:val="none"/>
                <w:u w:val="none"/>
                <w:lang w:val="en-US" w:eastAsia="zh-CN"/>
              </w:rPr>
              <w:t>0</w:t>
            </w:r>
            <w:r>
              <w:rPr>
                <w:rFonts w:hint="eastAsia" w:ascii="宋体" w:hAnsi="宋体" w:eastAsia="宋体" w:cs="宋体"/>
                <w:i w:val="0"/>
                <w:iCs w:val="0"/>
                <w:color w:val="000000"/>
                <w:sz w:val="24"/>
                <w:szCs w:val="24"/>
                <w:highlight w:val="none"/>
                <w:u w:val="none"/>
              </w:rPr>
              <w:t>、机器人防水能力：IP68；</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lang w:eastAsia="zh-CN"/>
              </w:rPr>
            </w:pPr>
            <w:r>
              <w:rPr>
                <w:rFonts w:hint="eastAsia" w:ascii="宋体" w:hAnsi="宋体" w:eastAsia="宋体" w:cs="宋体"/>
                <w:i w:val="0"/>
                <w:iCs w:val="0"/>
                <w:color w:val="000000"/>
                <w:sz w:val="24"/>
                <w:szCs w:val="24"/>
                <w:highlight w:val="none"/>
                <w:u w:val="none"/>
              </w:rPr>
              <w:t>1</w:t>
            </w:r>
            <w:r>
              <w:rPr>
                <w:rFonts w:hint="eastAsia" w:ascii="宋体" w:hAnsi="宋体" w:cs="宋体"/>
                <w:i w:val="0"/>
                <w:iCs w:val="0"/>
                <w:color w:val="000000"/>
                <w:sz w:val="24"/>
                <w:szCs w:val="24"/>
                <w:highlight w:val="none"/>
                <w:u w:val="none"/>
                <w:lang w:val="en-US" w:eastAsia="zh-CN"/>
              </w:rPr>
              <w:t>1</w:t>
            </w:r>
            <w:r>
              <w:rPr>
                <w:rFonts w:hint="eastAsia" w:ascii="宋体" w:hAnsi="宋体" w:eastAsia="宋体" w:cs="宋体"/>
                <w:i w:val="0"/>
                <w:iCs w:val="0"/>
                <w:color w:val="000000"/>
                <w:sz w:val="24"/>
                <w:szCs w:val="24"/>
                <w:highlight w:val="none"/>
                <w:u w:val="none"/>
              </w:rPr>
              <w:t>、终端平台：显示器、供电集成在同一个机箱，为水下智能机器人提供电源，并对机器人回传的信息进行处理，实时显示传回信息</w:t>
            </w:r>
            <w:r>
              <w:rPr>
                <w:rFonts w:hint="eastAsia" w:ascii="宋体" w:hAnsi="宋体" w:cs="宋体"/>
                <w:i w:val="0"/>
                <w:iCs w:val="0"/>
                <w:color w:val="000000"/>
                <w:sz w:val="24"/>
                <w:szCs w:val="24"/>
                <w:highlight w:val="none"/>
                <w:u w:val="none"/>
                <w:lang w:eastAsia="zh-CN"/>
              </w:rPr>
              <w:t>。</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8" w:hRule="atLeast"/>
          <w:jc w:val="center"/>
        </w:trPr>
        <w:tc>
          <w:tcPr>
            <w:tcW w:w="14945" w:type="dxa"/>
            <w:gridSpan w:val="10"/>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96" w:hRule="atLeast"/>
          <w:jc w:val="center"/>
        </w:trPr>
        <w:tc>
          <w:tcPr>
            <w:tcW w:w="589"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default" w:ascii="宋体" w:hAnsi="宋体" w:cs="宋体"/>
                <w:i w:val="0"/>
                <w:iCs w:val="0"/>
                <w:color w:val="000000"/>
                <w:sz w:val="24"/>
                <w:szCs w:val="24"/>
                <w:highlight w:val="none"/>
                <w:u w:val="none"/>
                <w:lang w:val="en-US" w:eastAsia="zh-CN"/>
              </w:rPr>
            </w:pPr>
            <w:r>
              <w:rPr>
                <w:rFonts w:hint="eastAsia" w:ascii="宋体" w:hAnsi="宋体" w:cs="宋体"/>
                <w:b/>
                <w:bCs/>
                <w:i w:val="0"/>
                <w:iCs w:val="0"/>
                <w:color w:val="000000"/>
                <w:kern w:val="0"/>
                <w:sz w:val="24"/>
                <w:szCs w:val="24"/>
                <w:highlight w:val="none"/>
                <w:u w:val="none"/>
                <w:lang w:val="en-US" w:eastAsia="zh-CN"/>
              </w:rPr>
              <w:t>第十二包</w:t>
            </w:r>
          </w:p>
        </w:tc>
        <w:tc>
          <w:tcPr>
            <w:tcW w:w="57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rPr>
              <w:t>1</w:t>
            </w:r>
          </w:p>
        </w:tc>
        <w:tc>
          <w:tcPr>
            <w:tcW w:w="1282"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color w:val="000000"/>
                <w:kern w:val="0"/>
                <w:sz w:val="24"/>
                <w:szCs w:val="24"/>
                <w:highlight w:val="none"/>
                <w:u w:val="none"/>
                <w:lang w:val="en-US" w:eastAsia="zh-CN"/>
              </w:rPr>
              <w:t>排水机器人</w:t>
            </w:r>
          </w:p>
        </w:tc>
        <w:tc>
          <w:tcPr>
            <w:tcW w:w="1177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1</w:t>
            </w:r>
            <w:r>
              <w:rPr>
                <w:rFonts w:hint="eastAsia" w:ascii="宋体" w:hAnsi="宋体" w:eastAsia="宋体" w:cs="宋体"/>
                <w:i w:val="0"/>
                <w:iCs w:val="0"/>
                <w:color w:val="000000"/>
                <w:sz w:val="24"/>
                <w:szCs w:val="24"/>
                <w:highlight w:val="none"/>
                <w:u w:val="none"/>
              </w:rPr>
              <w:t>、整机综合参数：</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（1）整备质量：≥750kg；</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（2）防护等级：≥IP65；</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（3）操控形式：电子有线和无线遥控（无线遥控距离≥200m）；</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2</w:t>
            </w:r>
            <w:r>
              <w:rPr>
                <w:rFonts w:hint="eastAsia" w:ascii="宋体" w:hAnsi="宋体" w:eastAsia="宋体" w:cs="宋体"/>
                <w:i w:val="0"/>
                <w:iCs w:val="0"/>
                <w:color w:val="000000"/>
                <w:sz w:val="24"/>
                <w:szCs w:val="24"/>
                <w:highlight w:val="none"/>
                <w:u w:val="none"/>
              </w:rPr>
              <w:t>、底盘参数：</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（1）主体材质：不锈钢、铝合金或其它高强度材料；</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（2）行走机构：全地形轮胎行走机构；</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（3）驱动形式：电喷发动机，额定功率≥25kW；</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（4）额定扭矩：≥300N.m；</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（5）悬挂、减震系统：应能满足复杂路面、爬坡、爬楼梯的需求；</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（6）负载能力：可拖动负载≥500kg（摩擦力 0.9，水泥路面）并可实现负载水带转向；</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（7）垂直越障高度：≥200mm；</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（8）爬坡能力：≥30°；</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（9）转弯半径：可原地转弯；</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（10）涉水深度：水陆两栖；</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（11）倾覆角：≥25°；</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（12）行驶速度：≥5km/h（无级变速）；</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（13）全功率状态工作能力：≥5h；</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w:t>
            </w:r>
            <w:r>
              <w:rPr>
                <w:rFonts w:hint="eastAsia" w:ascii="宋体" w:hAnsi="宋体" w:cs="宋体"/>
                <w:i w:val="0"/>
                <w:iCs w:val="0"/>
                <w:color w:val="000000"/>
                <w:sz w:val="24"/>
                <w:szCs w:val="24"/>
                <w:highlight w:val="none"/>
                <w:u w:val="none"/>
                <w:lang w:val="en-US" w:eastAsia="zh-CN"/>
              </w:rPr>
              <w:t>3</w:t>
            </w:r>
            <w:r>
              <w:rPr>
                <w:rFonts w:hint="eastAsia" w:ascii="宋体" w:hAnsi="宋体" w:eastAsia="宋体" w:cs="宋体"/>
                <w:i w:val="0"/>
                <w:iCs w:val="0"/>
                <w:color w:val="000000"/>
                <w:sz w:val="24"/>
                <w:szCs w:val="24"/>
                <w:highlight w:val="none"/>
                <w:u w:val="none"/>
              </w:rPr>
              <w:t>、供排水系统参数：</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（1）扬程≥6m；</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（2）吸水入水深度≤180mm；</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（3）当扬程达到0m时，排水量≥180L/s；</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（4）最大排水距离≥500m；</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（5）可吸排含有最大固体颗粒直径≤25mm杂质液体，通过更换滤网，可吸排含有最大固体颗粒直径≤2.5mm杂质液体；</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（6）配备DN200mm双进水口，DN200mm双出水口；</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4</w:t>
            </w:r>
            <w:r>
              <w:rPr>
                <w:rFonts w:hint="eastAsia" w:ascii="宋体" w:hAnsi="宋体" w:eastAsia="宋体" w:cs="宋体"/>
                <w:i w:val="0"/>
                <w:iCs w:val="0"/>
                <w:color w:val="000000"/>
                <w:sz w:val="24"/>
                <w:szCs w:val="24"/>
                <w:highlight w:val="none"/>
                <w:u w:val="none"/>
              </w:rPr>
              <w:t>、控制系统参数：</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（1）遥控器应配备高亮显示屏，显示屏尺寸≥8″，可在日光下使用；</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（2）遥控器可实时接收和显示机器人遥控数据；</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（3）无线遥控距离≥500m；</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（4）遥控抗干扰性能：应能防止同频干扰；</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5</w:t>
            </w:r>
            <w:r>
              <w:rPr>
                <w:rFonts w:hint="eastAsia" w:ascii="宋体" w:hAnsi="宋体" w:eastAsia="宋体" w:cs="宋体"/>
                <w:i w:val="0"/>
                <w:iCs w:val="0"/>
                <w:color w:val="000000"/>
                <w:sz w:val="24"/>
                <w:szCs w:val="24"/>
                <w:highlight w:val="none"/>
                <w:u w:val="none"/>
              </w:rPr>
              <w:t>、备品备件：平板拖车一辆、大口径水带自动收卷推车1套、大口径水带200米；</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（1）平板拖车，满足机器人安全运输使用，拖车拖钩可直接与消防车后部拖车钩连接。</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（2）大口径水带自动收卷车1辆</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①实现水带的快速铺设和回收，电动；</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②电机功率≥250W；</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③可同时收卷2盘大口径水带，铺设/收卷速度≥18m/min；</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④满电续航可收卷≥2000米水。</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9" w:hRule="atLeast"/>
          <w:jc w:val="center"/>
        </w:trPr>
        <w:tc>
          <w:tcPr>
            <w:tcW w:w="14945" w:type="dxa"/>
            <w:gridSpan w:val="10"/>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96" w:hRule="atLeast"/>
          <w:jc w:val="center"/>
        </w:trPr>
        <w:tc>
          <w:tcPr>
            <w:tcW w:w="589"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default" w:ascii="宋体" w:hAnsi="宋体" w:cs="宋体"/>
                <w:i w:val="0"/>
                <w:iCs w:val="0"/>
                <w:color w:val="000000"/>
                <w:sz w:val="24"/>
                <w:szCs w:val="24"/>
                <w:highlight w:val="none"/>
                <w:u w:val="none"/>
                <w:lang w:val="en-US" w:eastAsia="zh-CN"/>
              </w:rPr>
            </w:pPr>
            <w:r>
              <w:rPr>
                <w:rFonts w:hint="eastAsia" w:ascii="宋体" w:hAnsi="宋体" w:cs="宋体"/>
                <w:b/>
                <w:bCs/>
                <w:i w:val="0"/>
                <w:iCs w:val="0"/>
                <w:color w:val="000000"/>
                <w:kern w:val="0"/>
                <w:sz w:val="24"/>
                <w:szCs w:val="24"/>
                <w:highlight w:val="none"/>
                <w:u w:val="none"/>
                <w:lang w:val="en-US" w:eastAsia="zh-CN"/>
              </w:rPr>
              <w:t>第十三包</w:t>
            </w:r>
          </w:p>
        </w:tc>
        <w:tc>
          <w:tcPr>
            <w:tcW w:w="57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rPr>
              <w:t>1</w:t>
            </w:r>
          </w:p>
        </w:tc>
        <w:tc>
          <w:tcPr>
            <w:tcW w:w="114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color w:val="000000"/>
                <w:kern w:val="0"/>
                <w:sz w:val="24"/>
                <w:szCs w:val="24"/>
                <w:highlight w:val="none"/>
                <w:u w:val="none"/>
                <w:lang w:val="en-US" w:eastAsia="zh-CN"/>
              </w:rPr>
              <w:t>破拆机器人</w:t>
            </w:r>
          </w:p>
        </w:tc>
        <w:tc>
          <w:tcPr>
            <w:tcW w:w="11908"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w:t>
            </w:r>
            <w:r>
              <w:rPr>
                <w:rFonts w:hint="eastAsia" w:ascii="宋体" w:hAnsi="宋体" w:cs="宋体"/>
                <w:i w:val="0"/>
                <w:iCs w:val="0"/>
                <w:color w:val="000000"/>
                <w:sz w:val="24"/>
                <w:szCs w:val="24"/>
                <w:highlight w:val="none"/>
                <w:u w:val="none"/>
                <w:lang w:val="en-US" w:eastAsia="zh-CN"/>
              </w:rPr>
              <w:t>1</w:t>
            </w:r>
            <w:r>
              <w:rPr>
                <w:rFonts w:hint="eastAsia" w:ascii="宋体" w:hAnsi="宋体" w:eastAsia="宋体" w:cs="宋体"/>
                <w:i w:val="0"/>
                <w:iCs w:val="0"/>
                <w:color w:val="000000"/>
                <w:sz w:val="24"/>
                <w:szCs w:val="24"/>
                <w:highlight w:val="none"/>
                <w:u w:val="none"/>
              </w:rPr>
              <w:t xml:space="preserve">、具备推铲、破碎锤、剪切器、多功能抓斗、多功能抓取器、机器人由主体、破拆机械臂、遥控箱等部分组成。可替代人在有毒（污染）、有倒塌、强辐射等特殊危险的救援场所，也可以遥控机器人进行建筑拆除、混凝土钻切、隧道开挖、抢险救援等；    </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2</w:t>
            </w:r>
            <w:r>
              <w:rPr>
                <w:rFonts w:hint="eastAsia" w:ascii="宋体" w:hAnsi="宋体" w:eastAsia="宋体" w:cs="宋体"/>
                <w:i w:val="0"/>
                <w:iCs w:val="0"/>
                <w:color w:val="000000"/>
                <w:sz w:val="24"/>
                <w:szCs w:val="24"/>
                <w:highlight w:val="none"/>
                <w:u w:val="none"/>
              </w:rPr>
              <w:t>、外形尺寸（长*宽*高）：≤3000*900*1850mm；</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3</w:t>
            </w:r>
            <w:r>
              <w:rPr>
                <w:rFonts w:hint="eastAsia" w:ascii="宋体" w:hAnsi="宋体" w:eastAsia="宋体" w:cs="宋体"/>
                <w:i w:val="0"/>
                <w:iCs w:val="0"/>
                <w:color w:val="000000"/>
                <w:sz w:val="24"/>
                <w:szCs w:val="24"/>
                <w:highlight w:val="none"/>
                <w:u w:val="none"/>
              </w:rPr>
              <w:t>、发动机功率：≥19kW；</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控制装置:一体化集成式无线控制装置，控制装置防护等级:IP65;</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控制方式:无线;</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4</w:t>
            </w:r>
            <w:r>
              <w:rPr>
                <w:rFonts w:hint="eastAsia" w:ascii="宋体" w:hAnsi="宋体" w:eastAsia="宋体" w:cs="宋体"/>
                <w:i w:val="0"/>
                <w:iCs w:val="0"/>
                <w:color w:val="000000"/>
                <w:sz w:val="24"/>
                <w:szCs w:val="24"/>
                <w:highlight w:val="none"/>
                <w:u w:val="none"/>
              </w:rPr>
              <w:t>、重量：≤2000kg；</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5</w:t>
            </w:r>
            <w:r>
              <w:rPr>
                <w:rFonts w:hint="eastAsia" w:ascii="宋体" w:hAnsi="宋体" w:eastAsia="宋体" w:cs="宋体"/>
                <w:i w:val="0"/>
                <w:iCs w:val="0"/>
                <w:color w:val="000000"/>
                <w:sz w:val="24"/>
                <w:szCs w:val="24"/>
                <w:highlight w:val="none"/>
                <w:u w:val="none"/>
              </w:rPr>
              <w:t>、底盘结构：液压履带底盘；</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6</w:t>
            </w:r>
            <w:r>
              <w:rPr>
                <w:rFonts w:hint="eastAsia" w:ascii="宋体" w:hAnsi="宋体" w:eastAsia="宋体" w:cs="宋体"/>
                <w:i w:val="0"/>
                <w:iCs w:val="0"/>
                <w:color w:val="000000"/>
                <w:sz w:val="24"/>
                <w:szCs w:val="24"/>
                <w:highlight w:val="none"/>
                <w:u w:val="none"/>
              </w:rPr>
              <w:t>、爬坡能力：最大爬坡度≥30°，最大行驶坡度≥22°；</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7</w:t>
            </w:r>
            <w:r>
              <w:rPr>
                <w:rFonts w:hint="eastAsia" w:ascii="宋体" w:hAnsi="宋体" w:eastAsia="宋体" w:cs="宋体"/>
                <w:i w:val="0"/>
                <w:iCs w:val="0"/>
                <w:color w:val="000000"/>
                <w:sz w:val="24"/>
                <w:szCs w:val="24"/>
                <w:highlight w:val="none"/>
                <w:u w:val="none"/>
              </w:rPr>
              <w:t>、越障高度：≥200mm；</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8</w:t>
            </w:r>
            <w:r>
              <w:rPr>
                <w:rFonts w:hint="eastAsia" w:ascii="宋体" w:hAnsi="宋体" w:eastAsia="宋体" w:cs="宋体"/>
                <w:i w:val="0"/>
                <w:iCs w:val="0"/>
                <w:color w:val="000000"/>
                <w:sz w:val="24"/>
                <w:szCs w:val="24"/>
                <w:highlight w:val="none"/>
                <w:u w:val="none"/>
              </w:rPr>
              <w:t>、行驶最大速度：≥2.5km/h；</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9</w:t>
            </w:r>
            <w:r>
              <w:rPr>
                <w:rFonts w:hint="eastAsia" w:ascii="宋体" w:hAnsi="宋体" w:eastAsia="宋体" w:cs="宋体"/>
                <w:i w:val="0"/>
                <w:iCs w:val="0"/>
                <w:color w:val="000000"/>
                <w:sz w:val="24"/>
                <w:szCs w:val="24"/>
                <w:highlight w:val="none"/>
                <w:u w:val="none"/>
              </w:rPr>
              <w:t>、持续工作时间：≥8h；</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1</w:t>
            </w:r>
            <w:r>
              <w:rPr>
                <w:rFonts w:hint="eastAsia" w:ascii="宋体" w:hAnsi="宋体" w:cs="宋体"/>
                <w:i w:val="0"/>
                <w:iCs w:val="0"/>
                <w:color w:val="000000"/>
                <w:sz w:val="24"/>
                <w:szCs w:val="24"/>
                <w:highlight w:val="none"/>
                <w:u w:val="none"/>
                <w:lang w:val="en-US" w:eastAsia="zh-CN"/>
              </w:rPr>
              <w:t>0</w:t>
            </w:r>
            <w:r>
              <w:rPr>
                <w:rFonts w:hint="eastAsia" w:ascii="宋体" w:hAnsi="宋体" w:eastAsia="宋体" w:cs="宋体"/>
                <w:i w:val="0"/>
                <w:iCs w:val="0"/>
                <w:color w:val="000000"/>
                <w:sz w:val="24"/>
                <w:szCs w:val="24"/>
                <w:highlight w:val="none"/>
                <w:u w:val="none"/>
              </w:rPr>
              <w:t>、无线操作距离：≥100m；</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1</w:t>
            </w:r>
            <w:r>
              <w:rPr>
                <w:rFonts w:hint="eastAsia" w:ascii="宋体" w:hAnsi="宋体" w:cs="宋体"/>
                <w:i w:val="0"/>
                <w:iCs w:val="0"/>
                <w:color w:val="000000"/>
                <w:sz w:val="24"/>
                <w:szCs w:val="24"/>
                <w:highlight w:val="none"/>
                <w:u w:val="none"/>
                <w:lang w:val="en-US" w:eastAsia="zh-CN"/>
              </w:rPr>
              <w:t>1</w:t>
            </w:r>
            <w:r>
              <w:rPr>
                <w:rFonts w:hint="eastAsia" w:ascii="宋体" w:hAnsi="宋体" w:eastAsia="宋体" w:cs="宋体"/>
                <w:i w:val="0"/>
                <w:iCs w:val="0"/>
                <w:color w:val="000000"/>
                <w:sz w:val="24"/>
                <w:szCs w:val="24"/>
                <w:highlight w:val="none"/>
                <w:u w:val="none"/>
              </w:rPr>
              <w:t>、照明：2个LED照明灯；</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1</w:t>
            </w:r>
            <w:r>
              <w:rPr>
                <w:rFonts w:hint="eastAsia" w:ascii="宋体" w:hAnsi="宋体" w:cs="宋体"/>
                <w:i w:val="0"/>
                <w:iCs w:val="0"/>
                <w:color w:val="000000"/>
                <w:sz w:val="24"/>
                <w:szCs w:val="24"/>
                <w:highlight w:val="none"/>
                <w:u w:val="none"/>
                <w:lang w:val="en-US" w:eastAsia="zh-CN"/>
              </w:rPr>
              <w:t>2</w:t>
            </w:r>
            <w:r>
              <w:rPr>
                <w:rFonts w:hint="eastAsia" w:ascii="宋体" w:hAnsi="宋体" w:eastAsia="宋体" w:cs="宋体"/>
                <w:i w:val="0"/>
                <w:iCs w:val="0"/>
                <w:color w:val="000000"/>
                <w:sz w:val="24"/>
                <w:szCs w:val="24"/>
                <w:highlight w:val="none"/>
                <w:u w:val="none"/>
              </w:rPr>
              <w:t>、摄像头：360°全景；</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▲1</w:t>
            </w:r>
            <w:r>
              <w:rPr>
                <w:rFonts w:hint="eastAsia" w:ascii="宋体" w:hAnsi="宋体" w:cs="宋体"/>
                <w:i w:val="0"/>
                <w:iCs w:val="0"/>
                <w:color w:val="000000"/>
                <w:sz w:val="24"/>
                <w:szCs w:val="24"/>
                <w:highlight w:val="none"/>
                <w:u w:val="none"/>
                <w:lang w:val="en-US" w:eastAsia="zh-CN"/>
              </w:rPr>
              <w:t>3</w:t>
            </w:r>
            <w:r>
              <w:rPr>
                <w:rFonts w:hint="eastAsia" w:ascii="宋体" w:hAnsi="宋体" w:eastAsia="宋体" w:cs="宋体"/>
                <w:i w:val="0"/>
                <w:iCs w:val="0"/>
                <w:color w:val="000000"/>
                <w:sz w:val="24"/>
                <w:szCs w:val="24"/>
                <w:highlight w:val="none"/>
                <w:u w:val="none"/>
              </w:rPr>
              <w:t>、液压锤参数：</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（1）冲击力：≥230J；</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（2）冲击频率：≥300（次/min）；</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（3）钎杆直径：≥40mm；</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▲1</w:t>
            </w:r>
            <w:r>
              <w:rPr>
                <w:rFonts w:hint="eastAsia" w:ascii="宋体" w:hAnsi="宋体" w:cs="宋体"/>
                <w:i w:val="0"/>
                <w:iCs w:val="0"/>
                <w:color w:val="000000"/>
                <w:sz w:val="24"/>
                <w:szCs w:val="24"/>
                <w:highlight w:val="none"/>
                <w:u w:val="none"/>
                <w:lang w:val="en-US" w:eastAsia="zh-CN"/>
              </w:rPr>
              <w:t>4</w:t>
            </w:r>
            <w:r>
              <w:rPr>
                <w:rFonts w:hint="eastAsia" w:ascii="宋体" w:hAnsi="宋体" w:eastAsia="宋体" w:cs="宋体"/>
                <w:i w:val="0"/>
                <w:iCs w:val="0"/>
                <w:color w:val="000000"/>
                <w:sz w:val="24"/>
                <w:szCs w:val="24"/>
                <w:highlight w:val="none"/>
                <w:u w:val="none"/>
              </w:rPr>
              <w:t>、剪切器:</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数量:≥1个，带有回转功能，能够完成剪切、扩张、分裂和拣取作业;</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剪切力:≥200kN;</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扩张力:≥30kN;</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最大开口:≥250mm;</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▲1</w:t>
            </w:r>
            <w:r>
              <w:rPr>
                <w:rFonts w:hint="eastAsia" w:ascii="宋体" w:hAnsi="宋体" w:cs="宋体"/>
                <w:i w:val="0"/>
                <w:iCs w:val="0"/>
                <w:color w:val="000000"/>
                <w:sz w:val="24"/>
                <w:szCs w:val="24"/>
                <w:highlight w:val="none"/>
                <w:u w:val="none"/>
                <w:lang w:val="en-US" w:eastAsia="zh-CN"/>
              </w:rPr>
              <w:t>5</w:t>
            </w:r>
            <w:r>
              <w:rPr>
                <w:rFonts w:hint="eastAsia" w:ascii="宋体" w:hAnsi="宋体" w:eastAsia="宋体" w:cs="宋体"/>
                <w:i w:val="0"/>
                <w:iCs w:val="0"/>
                <w:color w:val="000000"/>
                <w:sz w:val="24"/>
                <w:szCs w:val="24"/>
                <w:highlight w:val="none"/>
                <w:u w:val="none"/>
              </w:rPr>
              <w:t>、多功能抓斗:</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数量:1个，具有抓取、收集和转运功能，360°回转;</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最大开口:≥800mm;</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抓取重量:≥150kg;</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容量:≥30L;</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宽度:≤300mm;</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▲1</w:t>
            </w:r>
            <w:r>
              <w:rPr>
                <w:rFonts w:hint="eastAsia" w:ascii="宋体" w:hAnsi="宋体" w:cs="宋体"/>
                <w:i w:val="0"/>
                <w:iCs w:val="0"/>
                <w:color w:val="000000"/>
                <w:sz w:val="24"/>
                <w:szCs w:val="24"/>
                <w:highlight w:val="none"/>
                <w:u w:val="none"/>
                <w:lang w:val="en-US" w:eastAsia="zh-CN"/>
              </w:rPr>
              <w:t>6</w:t>
            </w:r>
            <w:r>
              <w:rPr>
                <w:rFonts w:hint="eastAsia" w:ascii="宋体" w:hAnsi="宋体" w:eastAsia="宋体" w:cs="宋体"/>
                <w:i w:val="0"/>
                <w:iCs w:val="0"/>
                <w:color w:val="000000"/>
                <w:sz w:val="24"/>
                <w:szCs w:val="24"/>
                <w:highlight w:val="none"/>
                <w:u w:val="none"/>
              </w:rPr>
              <w:t>、多功能抓取器:</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数量:1个，带有回转功能，用于抓取、搬运、夹持和转移较大物品</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夹持重量:≥200kg;</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最大开口:≥350mm;</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重量:≤150kg;</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1</w:t>
            </w:r>
            <w:r>
              <w:rPr>
                <w:rFonts w:hint="eastAsia" w:ascii="宋体" w:hAnsi="宋体" w:cs="宋体"/>
                <w:i w:val="0"/>
                <w:iCs w:val="0"/>
                <w:color w:val="000000"/>
                <w:sz w:val="24"/>
                <w:szCs w:val="24"/>
                <w:highlight w:val="none"/>
                <w:u w:val="none"/>
                <w:lang w:val="en-US" w:eastAsia="zh-CN"/>
              </w:rPr>
              <w:t>7</w:t>
            </w:r>
            <w:r>
              <w:rPr>
                <w:rFonts w:hint="eastAsia" w:ascii="宋体" w:hAnsi="宋体" w:eastAsia="宋体" w:cs="宋体"/>
                <w:i w:val="0"/>
                <w:iCs w:val="0"/>
                <w:color w:val="000000"/>
                <w:sz w:val="24"/>
                <w:szCs w:val="24"/>
                <w:highlight w:val="none"/>
                <w:u w:val="none"/>
              </w:rPr>
              <w:t>、配备厢式运输车1辆：</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整车技术参数：</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w:t>
            </w:r>
            <w:r>
              <w:rPr>
                <w:rFonts w:hint="eastAsia" w:ascii="宋体" w:hAnsi="宋体" w:cs="宋体"/>
                <w:i w:val="0"/>
                <w:iCs w:val="0"/>
                <w:color w:val="000000"/>
                <w:sz w:val="24"/>
                <w:szCs w:val="24"/>
                <w:highlight w:val="none"/>
                <w:u w:val="none"/>
                <w:lang w:val="en-US" w:eastAsia="zh-CN"/>
              </w:rPr>
              <w:t>1</w:t>
            </w:r>
            <w:r>
              <w:rPr>
                <w:rFonts w:hint="eastAsia" w:ascii="宋体" w:hAnsi="宋体" w:eastAsia="宋体" w:cs="宋体"/>
                <w:i w:val="0"/>
                <w:iCs w:val="0"/>
                <w:color w:val="000000"/>
                <w:sz w:val="24"/>
                <w:szCs w:val="24"/>
                <w:highlight w:val="none"/>
                <w:u w:val="none"/>
              </w:rPr>
              <w:t>）发动机类型：功率≥95kW；</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w:t>
            </w:r>
            <w:r>
              <w:rPr>
                <w:rFonts w:hint="eastAsia" w:ascii="宋体" w:hAnsi="宋体" w:cs="宋体"/>
                <w:i w:val="0"/>
                <w:iCs w:val="0"/>
                <w:color w:val="000000"/>
                <w:sz w:val="24"/>
                <w:szCs w:val="24"/>
                <w:highlight w:val="none"/>
                <w:u w:val="none"/>
                <w:lang w:val="en-US" w:eastAsia="zh-CN"/>
              </w:rPr>
              <w:t>2</w:t>
            </w:r>
            <w:r>
              <w:rPr>
                <w:rFonts w:hint="eastAsia" w:ascii="宋体" w:hAnsi="宋体" w:eastAsia="宋体" w:cs="宋体"/>
                <w:i w:val="0"/>
                <w:iCs w:val="0"/>
                <w:color w:val="000000"/>
                <w:sz w:val="24"/>
                <w:szCs w:val="24"/>
                <w:highlight w:val="none"/>
                <w:u w:val="none"/>
              </w:rPr>
              <w:t>）排放标准：国Ⅵb；</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w:t>
            </w:r>
            <w:r>
              <w:rPr>
                <w:rFonts w:hint="eastAsia" w:ascii="宋体" w:hAnsi="宋体" w:cs="宋体"/>
                <w:i w:val="0"/>
                <w:iCs w:val="0"/>
                <w:color w:val="000000"/>
                <w:sz w:val="24"/>
                <w:szCs w:val="24"/>
                <w:highlight w:val="none"/>
                <w:u w:val="none"/>
                <w:lang w:val="en-US" w:eastAsia="zh-CN"/>
              </w:rPr>
              <w:t>3</w:t>
            </w:r>
            <w:r>
              <w:rPr>
                <w:rFonts w:hint="eastAsia" w:ascii="宋体" w:hAnsi="宋体" w:eastAsia="宋体" w:cs="宋体"/>
                <w:i w:val="0"/>
                <w:iCs w:val="0"/>
                <w:color w:val="000000"/>
                <w:sz w:val="24"/>
                <w:szCs w:val="24"/>
                <w:highlight w:val="none"/>
                <w:u w:val="none"/>
              </w:rPr>
              <w:t>）额定载货量：≥2200kg ；</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w:t>
            </w:r>
            <w:r>
              <w:rPr>
                <w:rFonts w:hint="eastAsia" w:ascii="宋体" w:hAnsi="宋体" w:cs="宋体"/>
                <w:i w:val="0"/>
                <w:iCs w:val="0"/>
                <w:color w:val="000000"/>
                <w:sz w:val="24"/>
                <w:szCs w:val="24"/>
                <w:highlight w:val="none"/>
                <w:u w:val="none"/>
                <w:lang w:val="en-US" w:eastAsia="zh-CN"/>
              </w:rPr>
              <w:t>4</w:t>
            </w:r>
            <w:r>
              <w:rPr>
                <w:rFonts w:hint="eastAsia" w:ascii="宋体" w:hAnsi="宋体" w:eastAsia="宋体" w:cs="宋体"/>
                <w:i w:val="0"/>
                <w:iCs w:val="0"/>
                <w:color w:val="000000"/>
                <w:sz w:val="24"/>
                <w:szCs w:val="24"/>
                <w:highlight w:val="none"/>
                <w:u w:val="none"/>
              </w:rPr>
              <w:t>）驾驶室：乘员：≥3人，配有空调、电子方向助力、电动门窗、侧双门、防抱死刹车系统、USB 接口、前后双录行车记录仪+倒车影像、前独立雾灯、方向盘可调、多功能方向盘；</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w:t>
            </w:r>
            <w:r>
              <w:rPr>
                <w:rFonts w:hint="eastAsia" w:ascii="宋体" w:hAnsi="宋体" w:cs="宋体"/>
                <w:i w:val="0"/>
                <w:iCs w:val="0"/>
                <w:color w:val="000000"/>
                <w:sz w:val="24"/>
                <w:szCs w:val="24"/>
                <w:highlight w:val="none"/>
                <w:u w:val="none"/>
                <w:lang w:val="en-US" w:eastAsia="zh-CN"/>
              </w:rPr>
              <w:t>5</w:t>
            </w:r>
            <w:r>
              <w:rPr>
                <w:rFonts w:hint="eastAsia" w:ascii="宋体" w:hAnsi="宋体" w:eastAsia="宋体" w:cs="宋体"/>
                <w:i w:val="0"/>
                <w:iCs w:val="0"/>
                <w:color w:val="000000"/>
                <w:sz w:val="24"/>
                <w:szCs w:val="24"/>
                <w:highlight w:val="none"/>
                <w:u w:val="none"/>
              </w:rPr>
              <w:t>）液压固定抬升系统：</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①系统组成：采用最新的高强度钢材制作，结构轻薄、强度更高；</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②具有液压缓冲设计，彻底杜绝对车厢的撞击；机械限位装置，保障尾板运行准确到位，实现无忧操作；主电路保险，防止电路过载，延长电机使用寿命；液压回路防爆系统，保障货物及操作者安全；适应各种载荷的速度调节系统，快速升降，安全高效；锁紧手柄、止滑装置灵活配置，满足个性化需求；</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③抬升器尺寸：≤2300*1800mm；</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④最大抬升质量：≥1.5t；</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⑤最大升举高度：≥1000mm；</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⑥电机功率：12V1.6kW或24V2.2kW；</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⑦平均升降速度：≥60mm/s；</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lang w:eastAsia="zh-CN"/>
              </w:rPr>
            </w:pPr>
            <w:r>
              <w:rPr>
                <w:rFonts w:hint="eastAsia" w:ascii="宋体" w:hAnsi="宋体" w:eastAsia="宋体" w:cs="宋体"/>
                <w:i w:val="0"/>
                <w:iCs w:val="0"/>
                <w:color w:val="000000"/>
                <w:sz w:val="24"/>
                <w:szCs w:val="24"/>
                <w:highlight w:val="none"/>
                <w:u w:val="none"/>
              </w:rPr>
              <w:t>⑧最大工作压力：≥16MP</w:t>
            </w:r>
            <w:r>
              <w:rPr>
                <w:rFonts w:hint="eastAsia" w:ascii="宋体" w:hAnsi="宋体" w:cs="宋体"/>
                <w:i w:val="0"/>
                <w:iCs w:val="0"/>
                <w:color w:val="000000"/>
                <w:sz w:val="24"/>
                <w:szCs w:val="24"/>
                <w:highlight w:val="none"/>
                <w:u w:val="none"/>
                <w:lang w:eastAsia="zh-CN"/>
              </w:rPr>
              <w:t>。</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1" w:hRule="atLeast"/>
          <w:jc w:val="center"/>
        </w:trPr>
        <w:tc>
          <w:tcPr>
            <w:tcW w:w="14945" w:type="dxa"/>
            <w:gridSpan w:val="10"/>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tabs>
                <w:tab w:val="left" w:pos="6007"/>
              </w:tabs>
              <w:jc w:val="left"/>
              <w:textAlignment w:val="center"/>
              <w:rPr>
                <w:rFonts w:hint="eastAsia" w:ascii="宋体" w:hAnsi="宋体" w:cs="宋体"/>
                <w:b/>
                <w:bCs/>
                <w:i w:val="0"/>
                <w:iCs w:val="0"/>
                <w:color w:val="000000"/>
                <w:kern w:val="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rPr>
              <w:tab/>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96" w:hRule="atLeast"/>
          <w:jc w:val="center"/>
        </w:trPr>
        <w:tc>
          <w:tcPr>
            <w:tcW w:w="589"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default" w:ascii="宋体" w:hAnsi="宋体" w:cs="宋体"/>
                <w:i w:val="0"/>
                <w:iCs w:val="0"/>
                <w:color w:val="000000"/>
                <w:sz w:val="24"/>
                <w:szCs w:val="24"/>
                <w:highlight w:val="none"/>
                <w:u w:val="none"/>
                <w:lang w:val="en-US" w:eastAsia="zh-CN"/>
              </w:rPr>
            </w:pPr>
            <w:r>
              <w:rPr>
                <w:rFonts w:hint="eastAsia" w:ascii="宋体" w:hAnsi="宋体" w:cs="宋体"/>
                <w:b/>
                <w:bCs/>
                <w:i w:val="0"/>
                <w:iCs w:val="0"/>
                <w:color w:val="000000"/>
                <w:kern w:val="0"/>
                <w:sz w:val="24"/>
                <w:szCs w:val="24"/>
                <w:highlight w:val="none"/>
                <w:u w:val="none"/>
                <w:lang w:val="en-US" w:eastAsia="zh-CN"/>
              </w:rPr>
              <w:t>第十四包</w:t>
            </w:r>
          </w:p>
        </w:tc>
        <w:tc>
          <w:tcPr>
            <w:tcW w:w="57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rPr>
              <w:t>1</w:t>
            </w:r>
          </w:p>
        </w:tc>
        <w:tc>
          <w:tcPr>
            <w:tcW w:w="1261"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highlight w:val="none"/>
                <w:u w:val="none"/>
                <w:lang w:val="en-US" w:eastAsia="zh-CN"/>
              </w:rPr>
            </w:pPr>
            <w:r>
              <w:rPr>
                <w:rFonts w:hint="eastAsia" w:ascii="宋体" w:hAnsi="宋体" w:eastAsia="宋体" w:cs="宋体"/>
                <w:i w:val="0"/>
                <w:color w:val="000000"/>
                <w:kern w:val="0"/>
                <w:sz w:val="24"/>
                <w:szCs w:val="24"/>
                <w:highlight w:val="none"/>
                <w:u w:val="none"/>
                <w:lang w:val="en-US" w:eastAsia="zh-CN"/>
              </w:rPr>
              <w:t>灭火机器人</w:t>
            </w:r>
          </w:p>
        </w:tc>
        <w:tc>
          <w:tcPr>
            <w:tcW w:w="1179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w:t>
            </w:r>
            <w:r>
              <w:rPr>
                <w:rFonts w:hint="eastAsia" w:ascii="宋体" w:hAnsi="宋体" w:cs="宋体"/>
                <w:i w:val="0"/>
                <w:iCs w:val="0"/>
                <w:color w:val="000000"/>
                <w:sz w:val="24"/>
                <w:szCs w:val="24"/>
                <w:highlight w:val="none"/>
                <w:u w:val="none"/>
                <w:lang w:val="en-US" w:eastAsia="zh-CN"/>
              </w:rPr>
              <w:t>1、</w:t>
            </w:r>
            <w:r>
              <w:rPr>
                <w:rFonts w:hint="eastAsia" w:ascii="宋体" w:hAnsi="宋体" w:eastAsia="宋体" w:cs="宋体"/>
                <w:i w:val="0"/>
                <w:iCs w:val="0"/>
                <w:color w:val="000000"/>
                <w:sz w:val="24"/>
                <w:szCs w:val="24"/>
                <w:highlight w:val="none"/>
                <w:u w:val="none"/>
              </w:rPr>
              <w:t>灭火机器人</w:t>
            </w:r>
            <w:r>
              <w:rPr>
                <w:rFonts w:hint="eastAsia" w:ascii="宋体" w:hAnsi="宋体" w:cs="宋体"/>
                <w:i w:val="0"/>
                <w:iCs w:val="0"/>
                <w:color w:val="000000"/>
                <w:sz w:val="24"/>
                <w:szCs w:val="24"/>
                <w:highlight w:val="none"/>
                <w:u w:val="none"/>
                <w:lang w:val="en-US" w:eastAsia="zh-CN"/>
              </w:rPr>
              <w:t>具有国家认可的检验检测机构出具的防爆认证证书</w:t>
            </w:r>
            <w:r>
              <w:rPr>
                <w:rFonts w:hint="eastAsia" w:ascii="宋体" w:hAnsi="宋体" w:eastAsia="宋体" w:cs="宋体"/>
                <w:i w:val="0"/>
                <w:iCs w:val="0"/>
                <w:color w:val="000000"/>
                <w:sz w:val="24"/>
                <w:szCs w:val="24"/>
                <w:highlight w:val="none"/>
                <w:u w:val="none"/>
              </w:rPr>
              <w:t>；</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2、能独立行走、适应复杂环境、并对环境数据进行侦测；</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3、由主体，消防炮，环境检测装置，遥控四部分组成，有防水、耐高温、灭火、侦检、爬坡等性能；</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▲4、驱动形式：电动机或发动机</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（1）连续行走时间≥6h；</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（2）持续工作时间≥24h；</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（3）同时拖拽2条Φ80满载水带行进；具备水带自动脱离装置；</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▲5、机器具有视频影像采集功能和可燃气体检测功能，可回传摄像设备360°全景，360°全景加装</w:t>
            </w:r>
            <w:r>
              <w:rPr>
                <w:rFonts w:hint="eastAsia" w:ascii="宋体" w:hAnsi="宋体" w:cs="宋体"/>
                <w:i w:val="0"/>
                <w:iCs w:val="0"/>
                <w:color w:val="000000"/>
                <w:sz w:val="24"/>
                <w:szCs w:val="24"/>
                <w:highlight w:val="none"/>
                <w:u w:val="none"/>
                <w:lang w:val="en-US" w:eastAsia="zh-CN"/>
              </w:rPr>
              <w:t>在</w:t>
            </w:r>
            <w:r>
              <w:rPr>
                <w:rFonts w:hint="eastAsia" w:ascii="宋体" w:hAnsi="宋体" w:eastAsia="宋体" w:cs="宋体"/>
                <w:i w:val="0"/>
                <w:iCs w:val="0"/>
                <w:color w:val="000000"/>
                <w:sz w:val="24"/>
                <w:szCs w:val="24"/>
                <w:highlight w:val="none"/>
                <w:u w:val="none"/>
              </w:rPr>
              <w:t>升降云台上，</w:t>
            </w:r>
            <w:r>
              <w:rPr>
                <w:rFonts w:hint="eastAsia" w:ascii="宋体" w:hAnsi="宋体" w:cs="宋体"/>
                <w:i w:val="0"/>
                <w:iCs w:val="0"/>
                <w:color w:val="000000"/>
                <w:sz w:val="24"/>
                <w:szCs w:val="24"/>
                <w:highlight w:val="none"/>
                <w:u w:val="none"/>
                <w:lang w:val="en-US" w:eastAsia="zh-CN"/>
              </w:rPr>
              <w:t>升起后离地面高度≥1500mm，便于观察的更远，回收后高度接近水炮固定高度（炮头回收后高度），方便通过和装卸，</w:t>
            </w:r>
            <w:r>
              <w:rPr>
                <w:rFonts w:hint="eastAsia" w:ascii="宋体" w:hAnsi="宋体" w:eastAsia="宋体" w:cs="宋体"/>
                <w:i w:val="0"/>
                <w:iCs w:val="0"/>
                <w:color w:val="000000"/>
                <w:sz w:val="24"/>
                <w:szCs w:val="24"/>
                <w:highlight w:val="none"/>
                <w:u w:val="none"/>
              </w:rPr>
              <w:t>全天候作业能力，防水防雾，摄像头分辨率≥720P；可检测8种以上有毒气体或可燃气体类型。</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▲6、自保装置：车身自动水雾喷淋保护系统，搭载四周雷达避障系统，自动识别障碍物距离≥2m，能够主动停止行进避免发生碰撞；</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▲7、整机质量≤2000kg；</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▲8、最大行驶速度：≥1.5m/s，速度可调节；</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▲9、爬坡能力≥40°；</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▲10、载有远程遥控水炮：</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（1）额定工作压力≥1MPa；</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（2）水炮流量≥80L/s；</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（3）射程：水≥90m、泡沫≥80m；</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（4）水炮回转角度≥-90°~ 90°；</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（5）俯仰角：-10°~ 70°；</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11、具有远程操控及远程启动功能，收集的信息可通过设备传输至无线设备终端，手持终端显示屏为≥10寸高亮度液晶触摸屏，遥控器质量≤3.5kg，遥控距离≥1000m；防护等级：≥IP54.</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12、具有永久性标志及产品数据标识；</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lang w:eastAsia="zh-CN"/>
              </w:rPr>
            </w:pPr>
            <w:r>
              <w:rPr>
                <w:rFonts w:hint="eastAsia" w:ascii="宋体" w:hAnsi="宋体" w:eastAsia="宋体" w:cs="宋体"/>
                <w:i w:val="0"/>
                <w:iCs w:val="0"/>
                <w:color w:val="000000"/>
                <w:sz w:val="24"/>
                <w:szCs w:val="24"/>
                <w:highlight w:val="none"/>
                <w:u w:val="none"/>
              </w:rPr>
              <w:t>13、每台消防灭火机器人配备1台平板拖车，满足灭火机器人安全运输使用，拖车拖钩可直接与消防车后部拖车钩连接</w:t>
            </w:r>
            <w:r>
              <w:rPr>
                <w:rFonts w:hint="eastAsia" w:ascii="宋体" w:hAnsi="宋体" w:cs="宋体"/>
                <w:i w:val="0"/>
                <w:iCs w:val="0"/>
                <w:color w:val="000000"/>
                <w:sz w:val="24"/>
                <w:szCs w:val="24"/>
                <w:highlight w:val="none"/>
                <w:u w:val="none"/>
                <w:lang w:eastAsia="zh-CN"/>
              </w:rPr>
              <w:t>。</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7" w:hRule="atLeast"/>
          <w:jc w:val="center"/>
        </w:trPr>
        <w:tc>
          <w:tcPr>
            <w:tcW w:w="14216" w:type="dxa"/>
            <w:gridSpan w:val="9"/>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589" w:type="dxa"/>
            <w:vMerge w:val="restart"/>
            <w:tcBorders>
              <w:top w:val="single" w:color="auto" w:sz="4" w:space="0"/>
              <w:left w:val="single" w:color="auto" w:sz="4" w:space="0"/>
              <w:right w:val="single" w:color="auto" w:sz="4" w:space="0"/>
            </w:tcBorders>
            <w:shd w:val="clear" w:color="auto" w:fill="auto"/>
            <w:noWrap/>
            <w:vAlign w:val="center"/>
          </w:tcPr>
          <w:p>
            <w:pPr>
              <w:jc w:val="center"/>
              <w:rPr>
                <w:rFonts w:hint="eastAsia" w:ascii="宋体" w:hAnsi="宋体" w:cs="宋体"/>
                <w:i w:val="0"/>
                <w:iCs w:val="0"/>
                <w:color w:val="000000"/>
                <w:sz w:val="24"/>
                <w:szCs w:val="24"/>
                <w:highlight w:val="none"/>
                <w:u w:val="none"/>
                <w:lang w:val="en-US" w:eastAsia="zh-CN"/>
              </w:rPr>
            </w:pPr>
            <w:r>
              <w:rPr>
                <w:rFonts w:hint="eastAsia" w:ascii="宋体" w:hAnsi="宋体" w:cs="宋体"/>
                <w:b/>
                <w:bCs/>
                <w:i w:val="0"/>
                <w:iCs w:val="0"/>
                <w:color w:val="000000"/>
                <w:kern w:val="0"/>
                <w:sz w:val="24"/>
                <w:szCs w:val="24"/>
                <w:highlight w:val="none"/>
                <w:u w:val="none"/>
                <w:lang w:val="en-US" w:eastAsia="zh-CN"/>
              </w:rPr>
              <w:t>第十五包</w:t>
            </w:r>
          </w:p>
        </w:tc>
        <w:tc>
          <w:tcPr>
            <w:tcW w:w="57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rPr>
              <w:t>1</w:t>
            </w:r>
          </w:p>
        </w:tc>
        <w:tc>
          <w:tcPr>
            <w:tcW w:w="1261"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highlight w:val="none"/>
                <w:u w:val="none"/>
                <w:lang w:val="en-US" w:eastAsia="zh-CN"/>
              </w:rPr>
            </w:pPr>
            <w:r>
              <w:rPr>
                <w:rFonts w:hint="eastAsia" w:ascii="宋体" w:hAnsi="宋体" w:eastAsia="宋体" w:cs="宋体"/>
                <w:i w:val="0"/>
                <w:color w:val="000000"/>
                <w:kern w:val="0"/>
                <w:sz w:val="24"/>
                <w:szCs w:val="24"/>
                <w:highlight w:val="none"/>
                <w:u w:val="none"/>
                <w:lang w:val="en-US" w:eastAsia="zh-CN"/>
              </w:rPr>
              <w:t>轮式装载机</w:t>
            </w:r>
          </w:p>
        </w:tc>
        <w:tc>
          <w:tcPr>
            <w:tcW w:w="1179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★1、符合国家或行业标准:《土方机械挖掘装载机技术条件》(GB/T10170-2021)；</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2、主要功能:消防员在处置地质灾害或建筑坍塌事故时用于现场清理障碍作业装备；</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3、技术要求:发动机功率:≥150kw;卸载高度:≥3m，最大举升高度:≥5m，最大挖掘深度:≥86m,额定载重量:≥4900kg；</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4、其他要求:最大掘起力:≥170kN;最大牵引力:≥160kN，行驶车速(km/h):≥35km/h；</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5、涂装要求:根据客户需要定制。</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2" w:hRule="atLeast"/>
          <w:jc w:val="center"/>
        </w:trPr>
        <w:tc>
          <w:tcPr>
            <w:tcW w:w="589" w:type="dxa"/>
            <w:vMerge w:val="continue"/>
            <w:tcBorders>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cs="宋体"/>
                <w:i w:val="0"/>
                <w:iCs w:val="0"/>
                <w:color w:val="000000"/>
                <w:sz w:val="24"/>
                <w:szCs w:val="24"/>
                <w:highlight w:val="none"/>
                <w:u w:val="none"/>
                <w:lang w:val="en-US" w:eastAsia="zh-CN"/>
              </w:rPr>
            </w:pPr>
          </w:p>
        </w:tc>
        <w:tc>
          <w:tcPr>
            <w:tcW w:w="57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rPr>
              <w:t>2</w:t>
            </w:r>
          </w:p>
        </w:tc>
        <w:tc>
          <w:tcPr>
            <w:tcW w:w="1261"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highlight w:val="none"/>
                <w:u w:val="none"/>
                <w:lang w:val="en-US" w:eastAsia="zh-CN"/>
              </w:rPr>
            </w:pPr>
            <w:r>
              <w:rPr>
                <w:rFonts w:hint="eastAsia" w:ascii="宋体" w:hAnsi="宋体" w:eastAsia="宋体" w:cs="宋体"/>
                <w:i w:val="0"/>
                <w:color w:val="000000"/>
                <w:kern w:val="0"/>
                <w:sz w:val="24"/>
                <w:szCs w:val="24"/>
                <w:highlight w:val="none"/>
                <w:u w:val="none"/>
                <w:lang w:val="en-US" w:eastAsia="zh-CN"/>
              </w:rPr>
              <w:t>履带式挖掘机</w:t>
            </w:r>
          </w:p>
        </w:tc>
        <w:tc>
          <w:tcPr>
            <w:tcW w:w="1179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履带式挖掘机</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1</w:t>
            </w:r>
            <w:r>
              <w:rPr>
                <w:rFonts w:hint="eastAsia" w:ascii="宋体" w:hAnsi="宋体" w:eastAsia="宋体" w:cs="宋体"/>
                <w:i w:val="0"/>
                <w:iCs w:val="0"/>
                <w:color w:val="000000"/>
                <w:sz w:val="24"/>
                <w:szCs w:val="24"/>
                <w:highlight w:val="none"/>
                <w:u w:val="none"/>
              </w:rPr>
              <w:t>、设备由本体、消防炮、破拆机械臂、破碎锤、抓取器、推铲、遥控箱等部分组成。可替代人在有毒（污染）、有倒塌等特殊危险的救援场所，也可以遥控机器人进行建筑拆除、混凝土钻切、隧道开挖、抢险救援等。</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2</w:t>
            </w:r>
            <w:r>
              <w:rPr>
                <w:rFonts w:hint="eastAsia" w:ascii="宋体" w:hAnsi="宋体" w:eastAsia="宋体" w:cs="宋体"/>
                <w:i w:val="0"/>
                <w:iCs w:val="0"/>
                <w:color w:val="000000"/>
                <w:sz w:val="24"/>
                <w:szCs w:val="24"/>
                <w:highlight w:val="none"/>
                <w:u w:val="none"/>
              </w:rPr>
              <w:t xml:space="preserve">、底盘：液压履带底盘，适应多样的地形和作业情况； </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3</w:t>
            </w:r>
            <w:r>
              <w:rPr>
                <w:rFonts w:hint="eastAsia" w:ascii="宋体" w:hAnsi="宋体" w:eastAsia="宋体" w:cs="宋体"/>
                <w:i w:val="0"/>
                <w:iCs w:val="0"/>
                <w:color w:val="000000"/>
                <w:sz w:val="24"/>
                <w:szCs w:val="24"/>
                <w:highlight w:val="none"/>
                <w:u w:val="none"/>
              </w:rPr>
              <w:t>、整机重量（不含工具头）≤1800kg，宽≤900mm，满足狭小空间通过；配备≥4个液压支撑腿，展开后最大宽度≤1800mm。</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w:t>
            </w:r>
            <w:r>
              <w:rPr>
                <w:rFonts w:hint="eastAsia" w:ascii="宋体" w:hAnsi="宋体" w:cs="宋体"/>
                <w:i w:val="0"/>
                <w:iCs w:val="0"/>
                <w:color w:val="000000"/>
                <w:sz w:val="24"/>
                <w:szCs w:val="24"/>
                <w:highlight w:val="none"/>
                <w:u w:val="none"/>
                <w:lang w:val="en-US" w:eastAsia="zh-CN"/>
              </w:rPr>
              <w:t>4</w:t>
            </w:r>
            <w:r>
              <w:rPr>
                <w:rFonts w:hint="eastAsia" w:ascii="宋体" w:hAnsi="宋体" w:eastAsia="宋体" w:cs="宋体"/>
                <w:i w:val="0"/>
                <w:iCs w:val="0"/>
                <w:color w:val="000000"/>
                <w:sz w:val="24"/>
                <w:szCs w:val="24"/>
                <w:highlight w:val="none"/>
                <w:u w:val="none"/>
              </w:rPr>
              <w:t>、动力：发动机/液压，发动机：四冲程柴油发动机，功率：≥27kw。</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5</w:t>
            </w:r>
            <w:r>
              <w:rPr>
                <w:rFonts w:hint="eastAsia" w:ascii="宋体" w:hAnsi="宋体" w:eastAsia="宋体" w:cs="宋体"/>
                <w:i w:val="0"/>
                <w:iCs w:val="0"/>
                <w:color w:val="000000"/>
                <w:sz w:val="24"/>
                <w:szCs w:val="24"/>
                <w:highlight w:val="none"/>
                <w:u w:val="none"/>
              </w:rPr>
              <w:t>、启动方式：直接启动/变频控制，远程控制无级变速。</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6</w:t>
            </w:r>
            <w:r>
              <w:rPr>
                <w:rFonts w:hint="eastAsia" w:ascii="宋体" w:hAnsi="宋体" w:eastAsia="宋体" w:cs="宋体"/>
                <w:i w:val="0"/>
                <w:iCs w:val="0"/>
                <w:color w:val="000000"/>
                <w:sz w:val="24"/>
                <w:szCs w:val="24"/>
                <w:highlight w:val="none"/>
                <w:u w:val="none"/>
              </w:rPr>
              <w:t>、采用双通道加密传输，通讯距离远，抗干扰性强，无线操控距离≥200 米。</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7</w:t>
            </w:r>
            <w:r>
              <w:rPr>
                <w:rFonts w:hint="eastAsia" w:ascii="宋体" w:hAnsi="宋体" w:eastAsia="宋体" w:cs="宋体"/>
                <w:i w:val="0"/>
                <w:iCs w:val="0"/>
                <w:color w:val="000000"/>
                <w:sz w:val="24"/>
                <w:szCs w:val="24"/>
                <w:highlight w:val="none"/>
                <w:u w:val="none"/>
              </w:rPr>
              <w:t>、直线最大速度：≥3km/h，最小作业半径：≤5m。</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w:t>
            </w:r>
            <w:r>
              <w:rPr>
                <w:rFonts w:hint="eastAsia" w:ascii="宋体" w:hAnsi="宋体" w:cs="宋体"/>
                <w:i w:val="0"/>
                <w:iCs w:val="0"/>
                <w:color w:val="000000"/>
                <w:sz w:val="24"/>
                <w:szCs w:val="24"/>
                <w:highlight w:val="none"/>
                <w:u w:val="none"/>
                <w:lang w:val="en-US" w:eastAsia="zh-CN"/>
              </w:rPr>
              <w:t>8</w:t>
            </w:r>
            <w:r>
              <w:rPr>
                <w:rFonts w:hint="eastAsia" w:ascii="宋体" w:hAnsi="宋体" w:eastAsia="宋体" w:cs="宋体"/>
                <w:i w:val="0"/>
                <w:iCs w:val="0"/>
                <w:color w:val="000000"/>
                <w:sz w:val="24"/>
                <w:szCs w:val="24"/>
                <w:highlight w:val="none"/>
                <w:u w:val="none"/>
              </w:rPr>
              <w:t>、最小离地间隙：≥150mm；越障能力：≥400mm；爬坡能力：≥30°。</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9</w:t>
            </w:r>
            <w:r>
              <w:rPr>
                <w:rFonts w:hint="eastAsia" w:ascii="宋体" w:hAnsi="宋体" w:eastAsia="宋体" w:cs="宋体"/>
                <w:i w:val="0"/>
                <w:iCs w:val="0"/>
                <w:color w:val="000000"/>
                <w:sz w:val="24"/>
                <w:szCs w:val="24"/>
                <w:highlight w:val="none"/>
                <w:u w:val="none"/>
              </w:rPr>
              <w:t>、连续工作时间：≥8h。</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1</w:t>
            </w:r>
            <w:r>
              <w:rPr>
                <w:rFonts w:hint="eastAsia" w:ascii="宋体" w:hAnsi="宋体" w:cs="宋体"/>
                <w:i w:val="0"/>
                <w:iCs w:val="0"/>
                <w:color w:val="000000"/>
                <w:sz w:val="24"/>
                <w:szCs w:val="24"/>
                <w:highlight w:val="none"/>
                <w:u w:val="none"/>
                <w:lang w:val="en-US" w:eastAsia="zh-CN"/>
              </w:rPr>
              <w:t>0</w:t>
            </w:r>
            <w:r>
              <w:rPr>
                <w:rFonts w:hint="eastAsia" w:ascii="宋体" w:hAnsi="宋体" w:eastAsia="宋体" w:cs="宋体"/>
                <w:i w:val="0"/>
                <w:iCs w:val="0"/>
                <w:color w:val="000000"/>
                <w:sz w:val="24"/>
                <w:szCs w:val="24"/>
                <w:highlight w:val="none"/>
                <w:u w:val="none"/>
              </w:rPr>
              <w:t>、配备高清摄像头，有效监控现场作业。</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1</w:t>
            </w:r>
            <w:r>
              <w:rPr>
                <w:rFonts w:hint="eastAsia" w:ascii="宋体" w:hAnsi="宋体" w:cs="宋体"/>
                <w:i w:val="0"/>
                <w:iCs w:val="0"/>
                <w:color w:val="000000"/>
                <w:sz w:val="24"/>
                <w:szCs w:val="24"/>
                <w:highlight w:val="none"/>
                <w:u w:val="none"/>
                <w:lang w:val="en-US" w:eastAsia="zh-CN"/>
              </w:rPr>
              <w:t>1</w:t>
            </w:r>
            <w:r>
              <w:rPr>
                <w:rFonts w:hint="eastAsia" w:ascii="宋体" w:hAnsi="宋体" w:eastAsia="宋体" w:cs="宋体"/>
                <w:i w:val="0"/>
                <w:iCs w:val="0"/>
                <w:color w:val="000000"/>
                <w:sz w:val="24"/>
                <w:szCs w:val="24"/>
                <w:highlight w:val="none"/>
                <w:u w:val="none"/>
              </w:rPr>
              <w:t>、牵引环：牵引力：≥9000N，可拖载救援车进入救援现场。</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1</w:t>
            </w:r>
            <w:r>
              <w:rPr>
                <w:rFonts w:hint="eastAsia" w:ascii="宋体" w:hAnsi="宋体" w:cs="宋体"/>
                <w:i w:val="0"/>
                <w:iCs w:val="0"/>
                <w:color w:val="000000"/>
                <w:sz w:val="24"/>
                <w:szCs w:val="24"/>
                <w:highlight w:val="none"/>
                <w:u w:val="none"/>
                <w:lang w:val="en-US" w:eastAsia="zh-CN"/>
              </w:rPr>
              <w:t>2</w:t>
            </w:r>
            <w:r>
              <w:rPr>
                <w:rFonts w:hint="eastAsia" w:ascii="宋体" w:hAnsi="宋体" w:eastAsia="宋体" w:cs="宋体"/>
                <w:i w:val="0"/>
                <w:iCs w:val="0"/>
                <w:color w:val="000000"/>
                <w:sz w:val="24"/>
                <w:szCs w:val="24"/>
                <w:highlight w:val="none"/>
                <w:u w:val="none"/>
              </w:rPr>
              <w:t>、电动绞盘：驱动方式：电驱；牵引力：≥10000N；功用：拖拽被困车辆、设备，也用于自救牵引。</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1</w:t>
            </w:r>
            <w:r>
              <w:rPr>
                <w:rFonts w:hint="eastAsia" w:ascii="宋体" w:hAnsi="宋体" w:cs="宋体"/>
                <w:i w:val="0"/>
                <w:iCs w:val="0"/>
                <w:color w:val="000000"/>
                <w:sz w:val="24"/>
                <w:szCs w:val="24"/>
                <w:highlight w:val="none"/>
                <w:u w:val="none"/>
                <w:lang w:val="en-US" w:eastAsia="zh-CN"/>
              </w:rPr>
              <w:t>3</w:t>
            </w:r>
            <w:r>
              <w:rPr>
                <w:rFonts w:hint="eastAsia" w:ascii="宋体" w:hAnsi="宋体" w:eastAsia="宋体" w:cs="宋体"/>
                <w:i w:val="0"/>
                <w:iCs w:val="0"/>
                <w:color w:val="000000"/>
                <w:sz w:val="24"/>
                <w:szCs w:val="24"/>
                <w:highlight w:val="none"/>
                <w:u w:val="none"/>
              </w:rPr>
              <w:t>、推铲：长*宽：≥800*270；推铲推力：≥10000N。提升角度：≥30°；功用：清障、车体定位作业时做固定支撑。</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★1</w:t>
            </w:r>
            <w:r>
              <w:rPr>
                <w:rFonts w:hint="eastAsia" w:ascii="宋体" w:hAnsi="宋体" w:cs="宋体"/>
                <w:i w:val="0"/>
                <w:iCs w:val="0"/>
                <w:color w:val="000000"/>
                <w:sz w:val="24"/>
                <w:szCs w:val="24"/>
                <w:highlight w:val="none"/>
                <w:u w:val="none"/>
                <w:lang w:val="en-US" w:eastAsia="zh-CN"/>
              </w:rPr>
              <w:t>4</w:t>
            </w:r>
            <w:r>
              <w:rPr>
                <w:rFonts w:hint="eastAsia" w:ascii="宋体" w:hAnsi="宋体" w:eastAsia="宋体" w:cs="宋体"/>
                <w:i w:val="0"/>
                <w:iCs w:val="0"/>
                <w:color w:val="000000"/>
                <w:sz w:val="24"/>
                <w:szCs w:val="24"/>
                <w:highlight w:val="none"/>
                <w:u w:val="none"/>
              </w:rPr>
              <w:t>、破碎锤：冲击力：≥250J；冲击频率：600～900次/min；钎杆直径：≥50mm。</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1</w:t>
            </w:r>
            <w:r>
              <w:rPr>
                <w:rFonts w:hint="eastAsia" w:ascii="宋体" w:hAnsi="宋体" w:cs="宋体"/>
                <w:i w:val="0"/>
                <w:iCs w:val="0"/>
                <w:color w:val="000000"/>
                <w:sz w:val="24"/>
                <w:szCs w:val="24"/>
                <w:highlight w:val="none"/>
                <w:u w:val="none"/>
                <w:lang w:val="en-US" w:eastAsia="zh-CN"/>
              </w:rPr>
              <w:t>5</w:t>
            </w:r>
            <w:r>
              <w:rPr>
                <w:rFonts w:hint="eastAsia" w:ascii="宋体" w:hAnsi="宋体" w:eastAsia="宋体" w:cs="宋体"/>
                <w:i w:val="0"/>
                <w:iCs w:val="0"/>
                <w:color w:val="000000"/>
                <w:sz w:val="24"/>
                <w:szCs w:val="24"/>
                <w:highlight w:val="none"/>
                <w:u w:val="none"/>
              </w:rPr>
              <w:t>、多功能抓取器：夹持重量：≥200kg；最大开口：≥680mm；功用：具有回转功能，用于抓取、搬运、夹持和转移长大物品。</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1</w:t>
            </w:r>
            <w:r>
              <w:rPr>
                <w:rFonts w:hint="eastAsia" w:ascii="宋体" w:hAnsi="宋体" w:cs="宋体"/>
                <w:i w:val="0"/>
                <w:iCs w:val="0"/>
                <w:color w:val="000000"/>
                <w:sz w:val="24"/>
                <w:szCs w:val="24"/>
                <w:highlight w:val="none"/>
                <w:u w:val="none"/>
                <w:lang w:val="en-US" w:eastAsia="zh-CN"/>
              </w:rPr>
              <w:t>6</w:t>
            </w:r>
            <w:r>
              <w:rPr>
                <w:rFonts w:hint="eastAsia" w:ascii="宋体" w:hAnsi="宋体" w:eastAsia="宋体" w:cs="宋体"/>
                <w:i w:val="0"/>
                <w:iCs w:val="0"/>
                <w:color w:val="000000"/>
                <w:sz w:val="24"/>
                <w:szCs w:val="24"/>
                <w:highlight w:val="none"/>
                <w:u w:val="none"/>
              </w:rPr>
              <w:t>、切割锯：切割深度大于 300mm，锯头 360°旋转。</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1</w:t>
            </w:r>
            <w:r>
              <w:rPr>
                <w:rFonts w:hint="eastAsia" w:ascii="宋体" w:hAnsi="宋体" w:cs="宋体"/>
                <w:i w:val="0"/>
                <w:iCs w:val="0"/>
                <w:color w:val="000000"/>
                <w:sz w:val="24"/>
                <w:szCs w:val="24"/>
                <w:highlight w:val="none"/>
                <w:u w:val="none"/>
                <w:lang w:val="en-US" w:eastAsia="zh-CN"/>
              </w:rPr>
              <w:t>7</w:t>
            </w:r>
            <w:r>
              <w:rPr>
                <w:rFonts w:hint="eastAsia" w:ascii="宋体" w:hAnsi="宋体" w:eastAsia="宋体" w:cs="宋体"/>
                <w:i w:val="0"/>
                <w:iCs w:val="0"/>
                <w:color w:val="000000"/>
                <w:sz w:val="24"/>
                <w:szCs w:val="24"/>
                <w:highlight w:val="none"/>
                <w:u w:val="none"/>
              </w:rPr>
              <w:t>、挖斗：斗容≥50L。</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1</w:t>
            </w:r>
            <w:r>
              <w:rPr>
                <w:rFonts w:hint="eastAsia" w:ascii="宋体" w:hAnsi="宋体" w:cs="宋体"/>
                <w:i w:val="0"/>
                <w:iCs w:val="0"/>
                <w:color w:val="000000"/>
                <w:sz w:val="24"/>
                <w:szCs w:val="24"/>
                <w:highlight w:val="none"/>
                <w:u w:val="none"/>
                <w:lang w:val="en-US" w:eastAsia="zh-CN"/>
              </w:rPr>
              <w:t>8</w:t>
            </w:r>
            <w:r>
              <w:rPr>
                <w:rFonts w:hint="eastAsia" w:ascii="宋体" w:hAnsi="宋体" w:eastAsia="宋体" w:cs="宋体"/>
                <w:i w:val="0"/>
                <w:iCs w:val="0"/>
                <w:color w:val="000000"/>
                <w:sz w:val="24"/>
                <w:szCs w:val="24"/>
                <w:highlight w:val="none"/>
                <w:u w:val="none"/>
              </w:rPr>
              <w:t>、剪扩钳：扩张开口≥300mm。剪切圆钢直径≥5mm。钳体支持 360 °旋转。</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19</w:t>
            </w:r>
            <w:r>
              <w:rPr>
                <w:rFonts w:hint="eastAsia" w:ascii="宋体" w:hAnsi="宋体" w:eastAsia="宋体" w:cs="宋体"/>
                <w:i w:val="0"/>
                <w:iCs w:val="0"/>
                <w:color w:val="000000"/>
                <w:sz w:val="24"/>
                <w:szCs w:val="24"/>
                <w:highlight w:val="none"/>
                <w:u w:val="none"/>
              </w:rPr>
              <w:t>、消防水炮：工作压力：≤1.2Mpa；喷射方式：直流/开花；流量：≥60L/s，射程：≥80m（水）。</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2</w:t>
            </w:r>
            <w:r>
              <w:rPr>
                <w:rFonts w:hint="eastAsia" w:ascii="宋体" w:hAnsi="宋体" w:cs="宋体"/>
                <w:i w:val="0"/>
                <w:iCs w:val="0"/>
                <w:color w:val="000000"/>
                <w:sz w:val="24"/>
                <w:szCs w:val="24"/>
                <w:highlight w:val="none"/>
                <w:u w:val="none"/>
                <w:lang w:val="en-US" w:eastAsia="zh-CN"/>
              </w:rPr>
              <w:t>0</w:t>
            </w:r>
            <w:r>
              <w:rPr>
                <w:rFonts w:hint="eastAsia" w:ascii="宋体" w:hAnsi="宋体" w:eastAsia="宋体" w:cs="宋体"/>
                <w:i w:val="0"/>
                <w:iCs w:val="0"/>
                <w:color w:val="000000"/>
                <w:sz w:val="24"/>
                <w:szCs w:val="24"/>
                <w:highlight w:val="none"/>
                <w:u w:val="none"/>
              </w:rPr>
              <w:t>、配备液压油快速接口，为液压动力站提供动力，输出压力:≥70MPa。</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8" w:hRule="atLeast"/>
          <w:jc w:val="center"/>
        </w:trPr>
        <w:tc>
          <w:tcPr>
            <w:tcW w:w="14945" w:type="dxa"/>
            <w:gridSpan w:val="10"/>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tabs>
                <w:tab w:val="left" w:pos="5494"/>
              </w:tabs>
              <w:jc w:val="center"/>
              <w:textAlignment w:val="center"/>
              <w:rPr>
                <w:rFonts w:hint="eastAsia" w:ascii="宋体" w:hAnsi="宋体" w:cs="宋体"/>
                <w:b/>
                <w:bCs/>
                <w:i w:val="0"/>
                <w:iCs w:val="0"/>
                <w:color w:val="000000"/>
                <w:kern w:val="0"/>
                <w:sz w:val="24"/>
                <w:szCs w:val="24"/>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96" w:hRule="atLeast"/>
          <w:jc w:val="center"/>
        </w:trPr>
        <w:tc>
          <w:tcPr>
            <w:tcW w:w="589" w:type="dxa"/>
            <w:vMerge w:val="restart"/>
            <w:tcBorders>
              <w:top w:val="single" w:color="auto" w:sz="4" w:space="0"/>
              <w:left w:val="single" w:color="auto" w:sz="4" w:space="0"/>
              <w:right w:val="single" w:color="auto" w:sz="4" w:space="0"/>
            </w:tcBorders>
            <w:shd w:val="clear" w:color="auto" w:fill="auto"/>
            <w:noWrap/>
            <w:vAlign w:val="center"/>
          </w:tcPr>
          <w:p>
            <w:pPr>
              <w:jc w:val="center"/>
              <w:rPr>
                <w:rFonts w:hint="default" w:ascii="宋体" w:hAnsi="宋体" w:cs="宋体"/>
                <w:i w:val="0"/>
                <w:iCs w:val="0"/>
                <w:color w:val="000000"/>
                <w:sz w:val="24"/>
                <w:szCs w:val="24"/>
                <w:highlight w:val="none"/>
                <w:u w:val="none"/>
                <w:lang w:val="en-US" w:eastAsia="zh-CN"/>
              </w:rPr>
            </w:pPr>
            <w:r>
              <w:rPr>
                <w:rFonts w:hint="eastAsia" w:ascii="宋体" w:hAnsi="宋体" w:cs="宋体"/>
                <w:b/>
                <w:bCs/>
                <w:i w:val="0"/>
                <w:iCs w:val="0"/>
                <w:color w:val="000000"/>
                <w:kern w:val="0"/>
                <w:sz w:val="24"/>
                <w:szCs w:val="24"/>
                <w:highlight w:val="none"/>
                <w:u w:val="none"/>
                <w:lang w:val="en-US" w:eastAsia="zh-CN"/>
              </w:rPr>
              <w:t>第十六包</w:t>
            </w:r>
          </w:p>
        </w:tc>
        <w:tc>
          <w:tcPr>
            <w:tcW w:w="57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rPr>
              <w:t>1</w:t>
            </w:r>
          </w:p>
        </w:tc>
        <w:tc>
          <w:tcPr>
            <w:tcW w:w="1318"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highlight w:val="none"/>
                <w:u w:val="none"/>
                <w:lang w:val="en-US" w:eastAsia="zh-CN"/>
              </w:rPr>
            </w:pPr>
            <w:r>
              <w:rPr>
                <w:rFonts w:hint="eastAsia" w:ascii="宋体" w:hAnsi="宋体" w:eastAsia="宋体" w:cs="宋体"/>
                <w:i w:val="0"/>
                <w:color w:val="000000"/>
                <w:kern w:val="0"/>
                <w:sz w:val="24"/>
                <w:szCs w:val="24"/>
                <w:highlight w:val="none"/>
                <w:u w:val="none"/>
                <w:lang w:val="en-US" w:eastAsia="zh-CN"/>
              </w:rPr>
              <w:t>水下推进器</w:t>
            </w:r>
          </w:p>
        </w:tc>
        <w:tc>
          <w:tcPr>
            <w:tcW w:w="1173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1</w:t>
            </w:r>
            <w:r>
              <w:rPr>
                <w:rFonts w:hint="eastAsia" w:ascii="宋体" w:hAnsi="宋体" w:eastAsia="宋体" w:cs="宋体"/>
                <w:i w:val="0"/>
                <w:iCs w:val="0"/>
                <w:color w:val="000000"/>
                <w:sz w:val="24"/>
                <w:szCs w:val="24"/>
                <w:highlight w:val="none"/>
                <w:u w:val="none"/>
              </w:rPr>
              <w:t>、长宽高主体直径≤790mm*407mm*338mm*200mm，不含电池重量≤11.5kg；</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w:t>
            </w:r>
            <w:r>
              <w:rPr>
                <w:rFonts w:hint="eastAsia" w:ascii="宋体" w:hAnsi="宋体" w:cs="宋体"/>
                <w:i w:val="0"/>
                <w:iCs w:val="0"/>
                <w:color w:val="000000"/>
                <w:sz w:val="24"/>
                <w:szCs w:val="24"/>
                <w:highlight w:val="none"/>
                <w:u w:val="none"/>
                <w:lang w:val="en-US" w:eastAsia="zh-CN"/>
              </w:rPr>
              <w:t>2</w:t>
            </w:r>
            <w:r>
              <w:rPr>
                <w:rFonts w:hint="eastAsia" w:ascii="宋体" w:hAnsi="宋体" w:eastAsia="宋体" w:cs="宋体"/>
                <w:i w:val="0"/>
                <w:iCs w:val="0"/>
                <w:color w:val="000000"/>
                <w:sz w:val="24"/>
                <w:szCs w:val="24"/>
                <w:highlight w:val="none"/>
                <w:u w:val="none"/>
              </w:rPr>
              <w:t>、最大静推力≥ 1</w:t>
            </w:r>
            <w:r>
              <w:rPr>
                <w:rFonts w:hint="eastAsia" w:ascii="宋体" w:hAnsi="宋体" w:cs="宋体"/>
                <w:i w:val="0"/>
                <w:iCs w:val="0"/>
                <w:color w:val="000000"/>
                <w:sz w:val="24"/>
                <w:szCs w:val="24"/>
                <w:highlight w:val="none"/>
                <w:u w:val="none"/>
                <w:lang w:val="en-US" w:eastAsia="zh-CN"/>
              </w:rPr>
              <w:t>2</w:t>
            </w:r>
            <w:r>
              <w:rPr>
                <w:rFonts w:hint="eastAsia" w:ascii="宋体" w:hAnsi="宋体" w:eastAsia="宋体" w:cs="宋体"/>
                <w:i w:val="0"/>
                <w:iCs w:val="0"/>
                <w:color w:val="000000"/>
                <w:sz w:val="24"/>
                <w:szCs w:val="24"/>
                <w:highlight w:val="none"/>
                <w:u w:val="none"/>
              </w:rPr>
              <w:t>0N，最大深度≥</w:t>
            </w:r>
            <w:r>
              <w:rPr>
                <w:rFonts w:hint="eastAsia" w:ascii="宋体" w:hAnsi="宋体" w:cs="宋体"/>
                <w:i w:val="0"/>
                <w:iCs w:val="0"/>
                <w:color w:val="000000"/>
                <w:sz w:val="24"/>
                <w:szCs w:val="24"/>
                <w:highlight w:val="none"/>
                <w:u w:val="none"/>
                <w:lang w:val="en-US" w:eastAsia="zh-CN"/>
              </w:rPr>
              <w:t>40</w:t>
            </w:r>
            <w:r>
              <w:rPr>
                <w:rFonts w:hint="eastAsia" w:ascii="宋体" w:hAnsi="宋体" w:eastAsia="宋体" w:cs="宋体"/>
                <w:i w:val="0"/>
                <w:iCs w:val="0"/>
                <w:color w:val="000000"/>
                <w:sz w:val="24"/>
                <w:szCs w:val="24"/>
                <w:highlight w:val="none"/>
                <w:u w:val="none"/>
              </w:rPr>
              <w:t xml:space="preserve">M，最大速度≥ </w:t>
            </w:r>
            <w:r>
              <w:rPr>
                <w:rFonts w:hint="eastAsia" w:ascii="宋体" w:hAnsi="宋体" w:cs="宋体"/>
                <w:i w:val="0"/>
                <w:iCs w:val="0"/>
                <w:color w:val="000000"/>
                <w:sz w:val="24"/>
                <w:szCs w:val="24"/>
                <w:highlight w:val="none"/>
                <w:u w:val="none"/>
                <w:lang w:val="en-US" w:eastAsia="zh-CN"/>
              </w:rPr>
              <w:t>50</w:t>
            </w:r>
            <w:r>
              <w:rPr>
                <w:rFonts w:hint="eastAsia" w:ascii="宋体" w:hAnsi="宋体" w:eastAsia="宋体" w:cs="宋体"/>
                <w:i w:val="0"/>
                <w:iCs w:val="0"/>
                <w:color w:val="000000"/>
                <w:sz w:val="24"/>
                <w:szCs w:val="24"/>
                <w:highlight w:val="none"/>
                <w:u w:val="none"/>
              </w:rPr>
              <w:t>米/分钟，连续通电使用时间＞ 60分钟。</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96" w:hRule="atLeast"/>
          <w:jc w:val="center"/>
        </w:trPr>
        <w:tc>
          <w:tcPr>
            <w:tcW w:w="589" w:type="dxa"/>
            <w:vMerge w:val="continue"/>
            <w:tcBorders>
              <w:left w:val="single" w:color="auto" w:sz="4" w:space="0"/>
              <w:right w:val="single" w:color="auto" w:sz="4" w:space="0"/>
            </w:tcBorders>
            <w:shd w:val="clear" w:color="auto" w:fill="auto"/>
            <w:noWrap/>
            <w:vAlign w:val="center"/>
          </w:tcPr>
          <w:p>
            <w:pPr>
              <w:jc w:val="center"/>
              <w:rPr>
                <w:rFonts w:hint="eastAsia" w:ascii="宋体" w:hAnsi="宋体" w:cs="宋体"/>
                <w:i w:val="0"/>
                <w:iCs w:val="0"/>
                <w:color w:val="000000"/>
                <w:sz w:val="24"/>
                <w:szCs w:val="24"/>
                <w:highlight w:val="none"/>
                <w:u w:val="none"/>
                <w:lang w:val="en-US" w:eastAsia="zh-CN"/>
              </w:rPr>
            </w:pPr>
          </w:p>
        </w:tc>
        <w:tc>
          <w:tcPr>
            <w:tcW w:w="57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rPr>
              <w:t>2</w:t>
            </w:r>
          </w:p>
        </w:tc>
        <w:tc>
          <w:tcPr>
            <w:tcW w:w="1318"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highlight w:val="none"/>
                <w:u w:val="none"/>
                <w:lang w:val="en-US" w:eastAsia="zh-CN"/>
              </w:rPr>
            </w:pPr>
            <w:r>
              <w:rPr>
                <w:rFonts w:hint="eastAsia" w:ascii="宋体" w:hAnsi="宋体" w:eastAsia="宋体" w:cs="宋体"/>
                <w:i w:val="0"/>
                <w:color w:val="000000"/>
                <w:kern w:val="0"/>
                <w:sz w:val="24"/>
                <w:szCs w:val="24"/>
                <w:highlight w:val="none"/>
                <w:u w:val="none"/>
                <w:lang w:val="en-US" w:eastAsia="zh-CN"/>
              </w:rPr>
              <w:t>水下摄像机</w:t>
            </w:r>
          </w:p>
        </w:tc>
        <w:tc>
          <w:tcPr>
            <w:tcW w:w="1173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w:t>
            </w:r>
            <w:r>
              <w:rPr>
                <w:rFonts w:hint="eastAsia" w:ascii="宋体" w:hAnsi="宋体" w:cs="宋体"/>
                <w:i w:val="0"/>
                <w:iCs w:val="0"/>
                <w:color w:val="000000"/>
                <w:kern w:val="0"/>
                <w:sz w:val="22"/>
                <w:szCs w:val="22"/>
                <w:highlight w:val="none"/>
                <w:u w:val="none"/>
                <w:lang w:val="en-US" w:eastAsia="zh-CN"/>
              </w:rPr>
              <w:t>1</w:t>
            </w:r>
            <w:r>
              <w:rPr>
                <w:rFonts w:hint="eastAsia" w:ascii="宋体" w:hAnsi="宋体" w:eastAsia="宋体" w:cs="宋体"/>
                <w:i w:val="0"/>
                <w:iCs w:val="0"/>
                <w:color w:val="000000"/>
                <w:kern w:val="0"/>
                <w:sz w:val="22"/>
                <w:szCs w:val="22"/>
                <w:highlight w:val="none"/>
                <w:u w:val="none"/>
                <w:lang w:val="en-US" w:eastAsia="zh-CN"/>
              </w:rPr>
              <w:t>、配有超高清镜头，防抖、图传稳定；</w:t>
            </w:r>
          </w:p>
          <w:p>
            <w:pPr>
              <w:keepNext w:val="0"/>
              <w:keepLines w:val="0"/>
              <w:widowControl/>
              <w:suppressLineNumbers w:val="0"/>
              <w:jc w:val="both"/>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rPr>
              <w:t>★</w:t>
            </w:r>
            <w:r>
              <w:rPr>
                <w:rFonts w:hint="eastAsia" w:ascii="宋体" w:hAnsi="宋体" w:cs="宋体"/>
                <w:i w:val="0"/>
                <w:iCs w:val="0"/>
                <w:color w:val="000000"/>
                <w:kern w:val="0"/>
                <w:sz w:val="22"/>
                <w:szCs w:val="22"/>
                <w:highlight w:val="none"/>
                <w:u w:val="none"/>
                <w:lang w:val="en-US" w:eastAsia="zh-CN"/>
              </w:rPr>
              <w:t>2</w:t>
            </w:r>
            <w:r>
              <w:rPr>
                <w:rFonts w:hint="eastAsia" w:ascii="宋体" w:hAnsi="宋体" w:eastAsia="宋体" w:cs="宋体"/>
                <w:i w:val="0"/>
                <w:iCs w:val="0"/>
                <w:color w:val="000000"/>
                <w:kern w:val="0"/>
                <w:sz w:val="22"/>
                <w:szCs w:val="22"/>
                <w:highlight w:val="none"/>
                <w:u w:val="none"/>
                <w:lang w:val="en-US" w:eastAsia="zh-CN"/>
              </w:rPr>
              <w:t>、视频拍摄：不低于4K，摄像头：≥1200万像素，最大潜深：≥60m；</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kern w:val="0"/>
                <w:sz w:val="22"/>
                <w:szCs w:val="22"/>
                <w:highlight w:val="none"/>
                <w:u w:val="none"/>
                <w:lang w:val="en-US" w:eastAsia="zh-CN"/>
              </w:rPr>
              <w:t>3</w:t>
            </w:r>
            <w:r>
              <w:rPr>
                <w:rFonts w:hint="eastAsia" w:ascii="宋体" w:hAnsi="宋体" w:eastAsia="宋体" w:cs="宋体"/>
                <w:i w:val="0"/>
                <w:iCs w:val="0"/>
                <w:color w:val="000000"/>
                <w:kern w:val="0"/>
                <w:sz w:val="22"/>
                <w:szCs w:val="22"/>
                <w:highlight w:val="none"/>
                <w:u w:val="none"/>
                <w:lang w:val="en-US" w:eastAsia="zh-CN"/>
              </w:rPr>
              <w:t>、电池续航时间：≥2h。</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96" w:hRule="atLeast"/>
          <w:jc w:val="center"/>
        </w:trPr>
        <w:tc>
          <w:tcPr>
            <w:tcW w:w="589" w:type="dxa"/>
            <w:vMerge w:val="continue"/>
            <w:tcBorders>
              <w:left w:val="single" w:color="auto" w:sz="4" w:space="0"/>
              <w:right w:val="single" w:color="auto" w:sz="4" w:space="0"/>
            </w:tcBorders>
            <w:shd w:val="clear" w:color="auto" w:fill="auto"/>
            <w:noWrap/>
            <w:vAlign w:val="center"/>
          </w:tcPr>
          <w:p>
            <w:pPr>
              <w:jc w:val="center"/>
              <w:rPr>
                <w:rFonts w:hint="eastAsia" w:ascii="宋体" w:hAnsi="宋体" w:cs="宋体"/>
                <w:i w:val="0"/>
                <w:iCs w:val="0"/>
                <w:color w:val="000000"/>
                <w:sz w:val="24"/>
                <w:szCs w:val="24"/>
                <w:highlight w:val="none"/>
                <w:u w:val="none"/>
                <w:lang w:val="en-US" w:eastAsia="zh-CN"/>
              </w:rPr>
            </w:pPr>
          </w:p>
        </w:tc>
        <w:tc>
          <w:tcPr>
            <w:tcW w:w="57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rPr>
              <w:t>3</w:t>
            </w:r>
          </w:p>
        </w:tc>
        <w:tc>
          <w:tcPr>
            <w:tcW w:w="1318"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highlight w:val="none"/>
                <w:u w:val="none"/>
                <w:lang w:val="en-US" w:eastAsia="zh-CN"/>
              </w:rPr>
            </w:pPr>
            <w:r>
              <w:rPr>
                <w:rFonts w:hint="eastAsia" w:ascii="宋体" w:hAnsi="宋体" w:eastAsia="宋体" w:cs="宋体"/>
                <w:i w:val="0"/>
                <w:color w:val="000000"/>
                <w:kern w:val="0"/>
                <w:sz w:val="24"/>
                <w:szCs w:val="24"/>
                <w:highlight w:val="none"/>
                <w:u w:val="none"/>
                <w:lang w:val="en-US" w:eastAsia="zh-CN"/>
              </w:rPr>
              <w:t>潜水浮力装置</w:t>
            </w:r>
          </w:p>
        </w:tc>
        <w:tc>
          <w:tcPr>
            <w:tcW w:w="1173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1</w:t>
            </w:r>
            <w:r>
              <w:rPr>
                <w:rFonts w:hint="eastAsia" w:ascii="宋体" w:hAnsi="宋体" w:eastAsia="宋体" w:cs="宋体"/>
                <w:i w:val="0"/>
                <w:iCs w:val="0"/>
                <w:color w:val="000000"/>
                <w:sz w:val="24"/>
                <w:szCs w:val="24"/>
                <w:highlight w:val="none"/>
                <w:u w:val="none"/>
              </w:rPr>
              <w:t>、双侧口袋有魔术贴，防止内容物脱落，也避免使用拉链，操着不便；</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2</w:t>
            </w:r>
            <w:r>
              <w:rPr>
                <w:rFonts w:hint="eastAsia" w:ascii="宋体" w:hAnsi="宋体" w:eastAsia="宋体" w:cs="宋体"/>
                <w:i w:val="0"/>
                <w:iCs w:val="0"/>
                <w:color w:val="000000"/>
                <w:sz w:val="24"/>
                <w:szCs w:val="24"/>
                <w:highlight w:val="none"/>
                <w:u w:val="none"/>
              </w:rPr>
              <w:t>、右侧口袋内侧有备用调节器口，左边口袋内侧有潜水仪表口，方便收纳和保护备用调节器和潜水仪表；</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w:t>
            </w:r>
            <w:r>
              <w:rPr>
                <w:rFonts w:hint="eastAsia" w:ascii="宋体" w:hAnsi="宋体" w:cs="宋体"/>
                <w:i w:val="0"/>
                <w:iCs w:val="0"/>
                <w:color w:val="000000"/>
                <w:sz w:val="24"/>
                <w:szCs w:val="24"/>
                <w:highlight w:val="none"/>
                <w:u w:val="none"/>
                <w:lang w:val="en-US" w:eastAsia="zh-CN"/>
              </w:rPr>
              <w:t>3</w:t>
            </w:r>
            <w:r>
              <w:rPr>
                <w:rFonts w:hint="eastAsia" w:ascii="宋体" w:hAnsi="宋体" w:eastAsia="宋体" w:cs="宋体"/>
                <w:i w:val="0"/>
                <w:iCs w:val="0"/>
                <w:color w:val="000000"/>
                <w:sz w:val="24"/>
                <w:szCs w:val="24"/>
                <w:highlight w:val="none"/>
                <w:u w:val="none"/>
              </w:rPr>
              <w:t>、外层采用 1000D CORDURA 面料，防外线 UV 面料，方便快速辨认；</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4</w:t>
            </w:r>
            <w:r>
              <w:rPr>
                <w:rFonts w:hint="eastAsia" w:ascii="宋体" w:hAnsi="宋体" w:eastAsia="宋体" w:cs="宋体"/>
                <w:i w:val="0"/>
                <w:iCs w:val="0"/>
                <w:color w:val="000000"/>
                <w:sz w:val="24"/>
                <w:szCs w:val="24"/>
                <w:highlight w:val="none"/>
                <w:u w:val="none"/>
              </w:rPr>
              <w:t>、水中最小可承重≥140N，最大可承重≥230kg体重；</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5</w:t>
            </w:r>
            <w:r>
              <w:rPr>
                <w:rFonts w:hint="eastAsia" w:ascii="宋体" w:hAnsi="宋体" w:eastAsia="宋体" w:cs="宋体"/>
                <w:i w:val="0"/>
                <w:iCs w:val="0"/>
                <w:color w:val="000000"/>
                <w:sz w:val="24"/>
                <w:szCs w:val="24"/>
                <w:highlight w:val="none"/>
                <w:u w:val="none"/>
              </w:rPr>
              <w:t>、后背气瓶绑带设计有配重袋，方便调整身体的配重系统分布；</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6</w:t>
            </w:r>
            <w:r>
              <w:rPr>
                <w:rFonts w:hint="eastAsia" w:ascii="宋体" w:hAnsi="宋体" w:eastAsia="宋体" w:cs="宋体"/>
                <w:i w:val="0"/>
                <w:iCs w:val="0"/>
                <w:color w:val="000000"/>
                <w:sz w:val="24"/>
                <w:szCs w:val="24"/>
                <w:highlight w:val="none"/>
                <w:u w:val="none"/>
              </w:rPr>
              <w:t>、全部金属配件经过72小时测试盐雾测试，耐海水锈蚀。</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96" w:hRule="atLeast"/>
          <w:jc w:val="center"/>
        </w:trPr>
        <w:tc>
          <w:tcPr>
            <w:tcW w:w="589" w:type="dxa"/>
            <w:vMerge w:val="continue"/>
            <w:tcBorders>
              <w:left w:val="single" w:color="auto" w:sz="4" w:space="0"/>
              <w:right w:val="single" w:color="auto" w:sz="4" w:space="0"/>
            </w:tcBorders>
            <w:shd w:val="clear" w:color="auto" w:fill="auto"/>
            <w:noWrap/>
            <w:vAlign w:val="center"/>
          </w:tcPr>
          <w:p>
            <w:pPr>
              <w:jc w:val="center"/>
              <w:rPr>
                <w:rFonts w:hint="eastAsia" w:ascii="宋体" w:hAnsi="宋体" w:cs="宋体"/>
                <w:i w:val="0"/>
                <w:iCs w:val="0"/>
                <w:color w:val="000000"/>
                <w:sz w:val="24"/>
                <w:szCs w:val="24"/>
                <w:highlight w:val="none"/>
                <w:u w:val="none"/>
                <w:lang w:val="en-US" w:eastAsia="zh-CN"/>
              </w:rPr>
            </w:pPr>
          </w:p>
        </w:tc>
        <w:tc>
          <w:tcPr>
            <w:tcW w:w="57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rPr>
              <w:t>4</w:t>
            </w:r>
          </w:p>
        </w:tc>
        <w:tc>
          <w:tcPr>
            <w:tcW w:w="1318"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highlight w:val="none"/>
                <w:u w:val="none"/>
                <w:lang w:val="en-US" w:eastAsia="zh-CN"/>
              </w:rPr>
            </w:pPr>
            <w:r>
              <w:rPr>
                <w:rFonts w:hint="eastAsia" w:ascii="宋体" w:hAnsi="宋体" w:eastAsia="宋体" w:cs="宋体"/>
                <w:i w:val="0"/>
                <w:color w:val="000000"/>
                <w:kern w:val="0"/>
                <w:sz w:val="24"/>
                <w:szCs w:val="24"/>
                <w:highlight w:val="none"/>
                <w:u w:val="none"/>
                <w:lang w:val="en-US" w:eastAsia="zh-CN"/>
              </w:rPr>
              <w:t>潜水气瓶</w:t>
            </w:r>
          </w:p>
        </w:tc>
        <w:tc>
          <w:tcPr>
            <w:tcW w:w="1173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w:t>
            </w:r>
            <w:r>
              <w:rPr>
                <w:rFonts w:hint="eastAsia" w:ascii="宋体" w:hAnsi="宋体" w:cs="宋体"/>
                <w:i w:val="0"/>
                <w:iCs w:val="0"/>
                <w:color w:val="000000"/>
                <w:sz w:val="24"/>
                <w:szCs w:val="24"/>
                <w:highlight w:val="none"/>
                <w:u w:val="none"/>
                <w:lang w:val="en-US" w:eastAsia="zh-CN"/>
              </w:rPr>
              <w:t>1</w:t>
            </w:r>
            <w:r>
              <w:rPr>
                <w:rFonts w:hint="eastAsia" w:ascii="宋体" w:hAnsi="宋体" w:eastAsia="宋体" w:cs="宋体"/>
                <w:i w:val="0"/>
                <w:iCs w:val="0"/>
                <w:color w:val="000000"/>
                <w:sz w:val="24"/>
                <w:szCs w:val="24"/>
                <w:highlight w:val="none"/>
                <w:u w:val="none"/>
              </w:rPr>
              <w:t>、12L 潜水专用气瓶，含瓶头阀；</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2</w:t>
            </w:r>
            <w:r>
              <w:rPr>
                <w:rFonts w:hint="eastAsia" w:ascii="宋体" w:hAnsi="宋体" w:eastAsia="宋体" w:cs="宋体"/>
                <w:i w:val="0"/>
                <w:iCs w:val="0"/>
                <w:color w:val="000000"/>
                <w:sz w:val="24"/>
                <w:szCs w:val="24"/>
                <w:highlight w:val="none"/>
                <w:u w:val="none"/>
              </w:rPr>
              <w:t>、瓶体材料：同等或优于6061铝制气瓶；</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3</w:t>
            </w:r>
            <w:r>
              <w:rPr>
                <w:rFonts w:hint="eastAsia" w:ascii="宋体" w:hAnsi="宋体" w:eastAsia="宋体" w:cs="宋体"/>
                <w:i w:val="0"/>
                <w:iCs w:val="0"/>
                <w:color w:val="000000"/>
                <w:sz w:val="24"/>
                <w:szCs w:val="24"/>
                <w:highlight w:val="none"/>
                <w:u w:val="none"/>
              </w:rPr>
              <w:t>、壁厚：12.2mm；</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4</w:t>
            </w:r>
            <w:r>
              <w:rPr>
                <w:rFonts w:hint="eastAsia" w:ascii="宋体" w:hAnsi="宋体" w:eastAsia="宋体" w:cs="宋体"/>
                <w:i w:val="0"/>
                <w:iCs w:val="0"/>
                <w:color w:val="000000"/>
                <w:sz w:val="24"/>
                <w:szCs w:val="24"/>
                <w:highlight w:val="none"/>
                <w:u w:val="none"/>
              </w:rPr>
              <w:t>、公称容积：容积为12±0.5L；</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5</w:t>
            </w:r>
            <w:r>
              <w:rPr>
                <w:rFonts w:hint="eastAsia" w:ascii="宋体" w:hAnsi="宋体" w:eastAsia="宋体" w:cs="宋体"/>
                <w:i w:val="0"/>
                <w:iCs w:val="0"/>
                <w:color w:val="000000"/>
                <w:sz w:val="24"/>
                <w:szCs w:val="24"/>
                <w:highlight w:val="none"/>
                <w:u w:val="none"/>
              </w:rPr>
              <w:t>、公称工作压力：≥200bar，水压试验压力：≥300bar，气密性试验压力：≥200bar</w:t>
            </w:r>
            <w:r>
              <w:rPr>
                <w:rFonts w:hint="eastAsia" w:ascii="宋体" w:hAnsi="宋体" w:cs="宋体"/>
                <w:i w:val="0"/>
                <w:iCs w:val="0"/>
                <w:color w:val="000000"/>
                <w:sz w:val="24"/>
                <w:szCs w:val="24"/>
                <w:highlight w:val="none"/>
                <w:u w:val="none"/>
                <w:lang w:eastAsia="zh-CN"/>
              </w:rPr>
              <w:t>。</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96" w:hRule="atLeast"/>
          <w:jc w:val="center"/>
        </w:trPr>
        <w:tc>
          <w:tcPr>
            <w:tcW w:w="589" w:type="dxa"/>
            <w:vMerge w:val="continue"/>
            <w:tcBorders>
              <w:left w:val="single" w:color="auto" w:sz="4" w:space="0"/>
              <w:right w:val="single" w:color="auto" w:sz="4" w:space="0"/>
            </w:tcBorders>
            <w:shd w:val="clear" w:color="auto" w:fill="auto"/>
            <w:noWrap/>
            <w:vAlign w:val="center"/>
          </w:tcPr>
          <w:p>
            <w:pPr>
              <w:jc w:val="center"/>
              <w:rPr>
                <w:rFonts w:hint="eastAsia" w:ascii="宋体" w:hAnsi="宋体" w:cs="宋体"/>
                <w:i w:val="0"/>
                <w:iCs w:val="0"/>
                <w:color w:val="000000"/>
                <w:sz w:val="24"/>
                <w:szCs w:val="24"/>
                <w:highlight w:val="none"/>
                <w:u w:val="none"/>
                <w:lang w:val="en-US" w:eastAsia="zh-CN"/>
              </w:rPr>
            </w:pPr>
          </w:p>
        </w:tc>
        <w:tc>
          <w:tcPr>
            <w:tcW w:w="57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rPr>
              <w:t>5</w:t>
            </w:r>
          </w:p>
        </w:tc>
        <w:tc>
          <w:tcPr>
            <w:tcW w:w="1318"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highlight w:val="none"/>
                <w:u w:val="none"/>
                <w:lang w:val="en-US" w:eastAsia="zh-CN"/>
              </w:rPr>
            </w:pPr>
            <w:r>
              <w:rPr>
                <w:rFonts w:hint="eastAsia" w:ascii="宋体" w:hAnsi="宋体" w:eastAsia="宋体" w:cs="宋体"/>
                <w:i w:val="0"/>
                <w:color w:val="000000"/>
                <w:kern w:val="0"/>
                <w:sz w:val="24"/>
                <w:szCs w:val="24"/>
                <w:highlight w:val="none"/>
                <w:u w:val="none"/>
                <w:lang w:val="en-US" w:eastAsia="zh-CN"/>
              </w:rPr>
              <w:t>潜水调节器（含附件）</w:t>
            </w:r>
          </w:p>
        </w:tc>
        <w:tc>
          <w:tcPr>
            <w:tcW w:w="1173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w:t>
            </w:r>
            <w:r>
              <w:rPr>
                <w:rFonts w:hint="eastAsia" w:ascii="宋体" w:hAnsi="宋体" w:cs="宋体"/>
                <w:i w:val="0"/>
                <w:iCs w:val="0"/>
                <w:color w:val="000000"/>
                <w:sz w:val="24"/>
                <w:szCs w:val="24"/>
                <w:highlight w:val="none"/>
                <w:u w:val="none"/>
                <w:lang w:val="en-US" w:eastAsia="zh-CN"/>
              </w:rPr>
              <w:t>1</w:t>
            </w:r>
            <w:r>
              <w:rPr>
                <w:rFonts w:hint="eastAsia" w:ascii="宋体" w:hAnsi="宋体" w:eastAsia="宋体" w:cs="宋体"/>
                <w:i w:val="0"/>
                <w:iCs w:val="0"/>
                <w:color w:val="000000"/>
                <w:sz w:val="24"/>
                <w:szCs w:val="24"/>
                <w:highlight w:val="none"/>
                <w:u w:val="none"/>
              </w:rPr>
              <w:t>、呼吸反应更便捷快速；低压管接口位置，</w:t>
            </w:r>
            <w:r>
              <w:rPr>
                <w:rFonts w:hint="eastAsia" w:ascii="宋体" w:hAnsi="宋体" w:cs="宋体"/>
                <w:i w:val="0"/>
                <w:iCs w:val="0"/>
                <w:color w:val="000000"/>
                <w:sz w:val="24"/>
                <w:szCs w:val="24"/>
                <w:highlight w:val="none"/>
                <w:u w:val="none"/>
                <w:lang w:val="en-US" w:eastAsia="zh-CN"/>
              </w:rPr>
              <w:t>可设有旁通管</w:t>
            </w:r>
            <w:r>
              <w:rPr>
                <w:rFonts w:hint="eastAsia" w:ascii="宋体" w:hAnsi="宋体" w:eastAsia="宋体" w:cs="宋体"/>
                <w:i w:val="0"/>
                <w:iCs w:val="0"/>
                <w:color w:val="000000"/>
                <w:sz w:val="24"/>
                <w:szCs w:val="24"/>
                <w:highlight w:val="none"/>
                <w:u w:val="none"/>
              </w:rPr>
              <w:t>，呼吸气体降压位置完全干燥，避免二级调节器结冰；</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2</w:t>
            </w:r>
            <w:r>
              <w:rPr>
                <w:rFonts w:hint="eastAsia" w:ascii="宋体" w:hAnsi="宋体" w:eastAsia="宋体" w:cs="宋体"/>
                <w:i w:val="0"/>
                <w:iCs w:val="0"/>
                <w:color w:val="000000"/>
                <w:sz w:val="24"/>
                <w:szCs w:val="24"/>
                <w:highlight w:val="none"/>
                <w:u w:val="none"/>
              </w:rPr>
              <w:t>、一级调节器以夹头方式与气瓶连接，通过隔膜设计降低气瓶压力到 9.8 至 10.5bar的水平，适合各个深度的潜水。一级头</w:t>
            </w:r>
            <w:r>
              <w:rPr>
                <w:rFonts w:hint="eastAsia" w:ascii="宋体" w:hAnsi="宋体" w:cs="宋体"/>
                <w:i w:val="0"/>
                <w:iCs w:val="0"/>
                <w:color w:val="000000"/>
                <w:sz w:val="24"/>
                <w:szCs w:val="24"/>
                <w:highlight w:val="none"/>
                <w:u w:val="none"/>
                <w:lang w:val="en-US" w:eastAsia="zh-CN"/>
              </w:rPr>
              <w:t>可设计</w:t>
            </w:r>
            <w:r>
              <w:rPr>
                <w:rFonts w:hint="eastAsia" w:ascii="宋体" w:hAnsi="宋体" w:eastAsia="宋体" w:cs="宋体"/>
                <w:i w:val="0"/>
                <w:iCs w:val="0"/>
                <w:color w:val="000000"/>
                <w:sz w:val="24"/>
                <w:szCs w:val="24"/>
                <w:highlight w:val="none"/>
                <w:u w:val="none"/>
              </w:rPr>
              <w:t>DFC 控制流量系统，可最大限度的降低在吸气时所产生的瞬间压力下降。保持足够的通气量，使呼吸更加顺畅。</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96" w:hRule="atLeast"/>
          <w:jc w:val="center"/>
        </w:trPr>
        <w:tc>
          <w:tcPr>
            <w:tcW w:w="589" w:type="dxa"/>
            <w:vMerge w:val="continue"/>
            <w:tcBorders>
              <w:left w:val="single" w:color="auto" w:sz="4" w:space="0"/>
              <w:right w:val="single" w:color="auto" w:sz="4" w:space="0"/>
            </w:tcBorders>
            <w:shd w:val="clear" w:color="auto" w:fill="auto"/>
            <w:noWrap/>
            <w:vAlign w:val="center"/>
          </w:tcPr>
          <w:p>
            <w:pPr>
              <w:jc w:val="center"/>
              <w:rPr>
                <w:rFonts w:hint="eastAsia" w:ascii="宋体" w:hAnsi="宋体" w:cs="宋体"/>
                <w:i w:val="0"/>
                <w:iCs w:val="0"/>
                <w:color w:val="000000"/>
                <w:sz w:val="24"/>
                <w:szCs w:val="24"/>
                <w:highlight w:val="none"/>
                <w:u w:val="none"/>
                <w:lang w:val="en-US" w:eastAsia="zh-CN"/>
              </w:rPr>
            </w:pPr>
          </w:p>
        </w:tc>
        <w:tc>
          <w:tcPr>
            <w:tcW w:w="57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rPr>
              <w:t>6</w:t>
            </w:r>
          </w:p>
        </w:tc>
        <w:tc>
          <w:tcPr>
            <w:tcW w:w="1318"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highlight w:val="none"/>
                <w:u w:val="none"/>
                <w:lang w:val="en-US" w:eastAsia="zh-CN"/>
              </w:rPr>
            </w:pPr>
            <w:r>
              <w:rPr>
                <w:rFonts w:hint="eastAsia" w:ascii="宋体" w:hAnsi="宋体" w:eastAsia="宋体" w:cs="宋体"/>
                <w:i w:val="0"/>
                <w:color w:val="000000"/>
                <w:kern w:val="0"/>
                <w:sz w:val="24"/>
                <w:szCs w:val="24"/>
                <w:highlight w:val="none"/>
                <w:u w:val="none"/>
                <w:lang w:val="en-US" w:eastAsia="zh-CN"/>
              </w:rPr>
              <w:t>潜水电脑表</w:t>
            </w:r>
          </w:p>
        </w:tc>
        <w:tc>
          <w:tcPr>
            <w:tcW w:w="1173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1</w:t>
            </w:r>
            <w:r>
              <w:rPr>
                <w:rFonts w:hint="eastAsia" w:ascii="宋体" w:hAnsi="宋体" w:eastAsia="宋体" w:cs="宋体"/>
                <w:i w:val="0"/>
                <w:iCs w:val="0"/>
                <w:color w:val="000000"/>
                <w:sz w:val="24"/>
                <w:szCs w:val="24"/>
                <w:highlight w:val="none"/>
                <w:u w:val="none"/>
              </w:rPr>
              <w:t>、潜水电脑表为中文界面，蓝牙传输；</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w:t>
            </w:r>
            <w:r>
              <w:rPr>
                <w:rFonts w:hint="eastAsia" w:ascii="宋体" w:hAnsi="宋体" w:cs="宋体"/>
                <w:i w:val="0"/>
                <w:iCs w:val="0"/>
                <w:color w:val="000000"/>
                <w:sz w:val="24"/>
                <w:szCs w:val="24"/>
                <w:highlight w:val="none"/>
                <w:u w:val="none"/>
                <w:lang w:val="en-US" w:eastAsia="zh-CN"/>
              </w:rPr>
              <w:t>2</w:t>
            </w:r>
            <w:r>
              <w:rPr>
                <w:rFonts w:hint="eastAsia" w:ascii="宋体" w:hAnsi="宋体" w:eastAsia="宋体" w:cs="宋体"/>
                <w:i w:val="0"/>
                <w:iCs w:val="0"/>
                <w:color w:val="000000"/>
                <w:sz w:val="24"/>
                <w:szCs w:val="24"/>
                <w:highlight w:val="none"/>
                <w:u w:val="none"/>
              </w:rPr>
              <w:t>、快速充电（1小时充电可达 85%电量）。防水深度≥100米；</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w:t>
            </w:r>
            <w:r>
              <w:rPr>
                <w:rFonts w:hint="eastAsia" w:ascii="宋体" w:hAnsi="宋体" w:cs="宋体"/>
                <w:i w:val="0"/>
                <w:iCs w:val="0"/>
                <w:color w:val="000000"/>
                <w:sz w:val="24"/>
                <w:szCs w:val="24"/>
                <w:highlight w:val="none"/>
                <w:u w:val="none"/>
                <w:lang w:val="en-US" w:eastAsia="zh-CN"/>
              </w:rPr>
              <w:t>3</w:t>
            </w:r>
            <w:r>
              <w:rPr>
                <w:rFonts w:hint="eastAsia" w:ascii="宋体" w:hAnsi="宋体" w:eastAsia="宋体" w:cs="宋体"/>
                <w:i w:val="0"/>
                <w:iCs w:val="0"/>
                <w:color w:val="000000"/>
                <w:sz w:val="24"/>
                <w:szCs w:val="24"/>
                <w:highlight w:val="none"/>
                <w:u w:val="none"/>
              </w:rPr>
              <w:t>、支持水肺、自由潜水、高氧(21-56%)、仪表四种模式。重量≤95g；</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4</w:t>
            </w:r>
            <w:r>
              <w:rPr>
                <w:rFonts w:hint="eastAsia" w:ascii="宋体" w:hAnsi="宋体" w:eastAsia="宋体" w:cs="宋体"/>
                <w:i w:val="0"/>
                <w:iCs w:val="0"/>
                <w:color w:val="000000"/>
                <w:sz w:val="24"/>
                <w:szCs w:val="24"/>
                <w:highlight w:val="none"/>
                <w:u w:val="none"/>
              </w:rPr>
              <w:t>、潜水日志存储高达200+。</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96" w:hRule="atLeast"/>
          <w:jc w:val="center"/>
        </w:trPr>
        <w:tc>
          <w:tcPr>
            <w:tcW w:w="589" w:type="dxa"/>
            <w:vMerge w:val="continue"/>
            <w:tcBorders>
              <w:left w:val="single" w:color="auto" w:sz="4" w:space="0"/>
              <w:right w:val="single" w:color="auto" w:sz="4" w:space="0"/>
            </w:tcBorders>
            <w:shd w:val="clear" w:color="auto" w:fill="auto"/>
            <w:noWrap/>
            <w:vAlign w:val="center"/>
          </w:tcPr>
          <w:p>
            <w:pPr>
              <w:jc w:val="center"/>
              <w:rPr>
                <w:rFonts w:hint="eastAsia" w:ascii="宋体" w:hAnsi="宋体" w:cs="宋体"/>
                <w:i w:val="0"/>
                <w:iCs w:val="0"/>
                <w:color w:val="000000"/>
                <w:sz w:val="24"/>
                <w:szCs w:val="24"/>
                <w:highlight w:val="none"/>
                <w:u w:val="none"/>
                <w:lang w:val="en-US" w:eastAsia="zh-CN"/>
              </w:rPr>
            </w:pPr>
          </w:p>
        </w:tc>
        <w:tc>
          <w:tcPr>
            <w:tcW w:w="57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rPr>
              <w:t>7</w:t>
            </w:r>
          </w:p>
        </w:tc>
        <w:tc>
          <w:tcPr>
            <w:tcW w:w="1318"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highlight w:val="none"/>
                <w:u w:val="none"/>
                <w:lang w:val="en-US" w:eastAsia="zh-CN"/>
              </w:rPr>
            </w:pPr>
            <w:r>
              <w:rPr>
                <w:rFonts w:hint="eastAsia" w:ascii="宋体" w:hAnsi="宋体" w:eastAsia="宋体" w:cs="宋体"/>
                <w:i w:val="0"/>
                <w:color w:val="000000"/>
                <w:kern w:val="0"/>
                <w:sz w:val="24"/>
                <w:szCs w:val="24"/>
                <w:highlight w:val="none"/>
                <w:u w:val="none"/>
                <w:lang w:val="en-US" w:eastAsia="zh-CN"/>
              </w:rPr>
              <w:t>管供式潜水装具</w:t>
            </w:r>
          </w:p>
        </w:tc>
        <w:tc>
          <w:tcPr>
            <w:tcW w:w="1173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w:t>
            </w:r>
            <w:r>
              <w:rPr>
                <w:rFonts w:hint="eastAsia" w:ascii="宋体" w:hAnsi="宋体" w:cs="宋体"/>
                <w:i w:val="0"/>
                <w:iCs w:val="0"/>
                <w:color w:val="000000"/>
                <w:sz w:val="24"/>
                <w:szCs w:val="24"/>
                <w:highlight w:val="none"/>
                <w:u w:val="none"/>
                <w:lang w:val="en-US" w:eastAsia="zh-CN"/>
              </w:rPr>
              <w:t>1</w:t>
            </w:r>
            <w:r>
              <w:rPr>
                <w:rFonts w:hint="eastAsia" w:ascii="宋体" w:hAnsi="宋体" w:eastAsia="宋体" w:cs="宋体"/>
                <w:i w:val="0"/>
                <w:iCs w:val="0"/>
                <w:color w:val="000000"/>
                <w:sz w:val="24"/>
                <w:szCs w:val="24"/>
                <w:highlight w:val="none"/>
                <w:u w:val="none"/>
                <w:lang w:val="en-US" w:eastAsia="zh-CN"/>
              </w:rPr>
              <w:t>、供气类潜水装具（三口配气板)：高压进气压力：≤20MPa，低压进气压力：≤2MPa，供气压力 ：0.03～2MPa 可调，最大作业深度：≥60m，整机重量：≤30kg；</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w:t>
            </w:r>
            <w:r>
              <w:rPr>
                <w:rFonts w:hint="eastAsia" w:ascii="宋体" w:hAnsi="宋体" w:cs="宋体"/>
                <w:i w:val="0"/>
                <w:iCs w:val="0"/>
                <w:color w:val="000000"/>
                <w:sz w:val="24"/>
                <w:szCs w:val="24"/>
                <w:highlight w:val="none"/>
                <w:u w:val="none"/>
                <w:lang w:val="en-US" w:eastAsia="zh-CN"/>
              </w:rPr>
              <w:t>2</w:t>
            </w:r>
            <w:r>
              <w:rPr>
                <w:rFonts w:hint="eastAsia" w:ascii="宋体" w:hAnsi="宋体" w:eastAsia="宋体" w:cs="宋体"/>
                <w:i w:val="0"/>
                <w:iCs w:val="0"/>
                <w:color w:val="000000"/>
                <w:sz w:val="24"/>
                <w:szCs w:val="24"/>
                <w:highlight w:val="none"/>
                <w:u w:val="none"/>
                <w:lang w:val="en-US" w:eastAsia="zh-CN"/>
              </w:rPr>
              <w:t>、供气类潜水装具（脐带)：每条脐带由 1 根测深管、1 根呼吸气管和 1 根水下加强专用四芯电话线组成，长度≥60m。脐带两端接头可与潜水头盔、潜水电话和配气板直连。脐带整体最小弯曲半径：静态≥180mm±3mm、动态≥270mm±3mm，不易扭接造成憋气。材质：呼吸气管采用无毒食品级材料，工作压力：外径≥18mm，最大工作压力≥3.5MPa。测深管外径≥12.5mm，最大工作压力≥2.5MPa。电话线强度：水下专用四芯电话线拉断力≥500 kg，紧急情况下可作救援拖拽绳；</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w:t>
            </w:r>
            <w:r>
              <w:rPr>
                <w:rFonts w:hint="eastAsia" w:ascii="宋体" w:hAnsi="宋体" w:cs="宋体"/>
                <w:i w:val="0"/>
                <w:iCs w:val="0"/>
                <w:color w:val="000000"/>
                <w:sz w:val="24"/>
                <w:szCs w:val="24"/>
                <w:highlight w:val="none"/>
                <w:u w:val="none"/>
                <w:lang w:val="en-US" w:eastAsia="zh-CN"/>
              </w:rPr>
              <w:t>3</w:t>
            </w:r>
            <w:r>
              <w:rPr>
                <w:rFonts w:hint="eastAsia" w:ascii="宋体" w:hAnsi="宋体" w:eastAsia="宋体" w:cs="宋体"/>
                <w:i w:val="0"/>
                <w:iCs w:val="0"/>
                <w:color w:val="000000"/>
                <w:sz w:val="24"/>
                <w:szCs w:val="24"/>
                <w:highlight w:val="none"/>
                <w:u w:val="none"/>
                <w:lang w:val="en-US" w:eastAsia="zh-CN"/>
              </w:rPr>
              <w:t>、供气类潜水装具（潜水头盔)：结构：面罩式结构，面罩内耳机、话筒通过电缆线和水面潜水电话连接，实现即时通话。重量：（空气环境）≤5kg，最大潜水深度：≥300m，排气方式：采用双隔膜排气阀门，操作压力要求：高于环境压力0.8～1.6MPa；</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w:t>
            </w:r>
            <w:r>
              <w:rPr>
                <w:rFonts w:hint="eastAsia" w:ascii="宋体" w:hAnsi="宋体" w:cs="宋体"/>
                <w:i w:val="0"/>
                <w:iCs w:val="0"/>
                <w:color w:val="000000"/>
                <w:sz w:val="24"/>
                <w:szCs w:val="24"/>
                <w:highlight w:val="none"/>
                <w:u w:val="none"/>
                <w:lang w:val="en-US" w:eastAsia="zh-CN"/>
              </w:rPr>
              <w:t>4</w:t>
            </w:r>
            <w:r>
              <w:rPr>
                <w:rFonts w:hint="eastAsia" w:ascii="宋体" w:hAnsi="宋体" w:eastAsia="宋体" w:cs="宋体"/>
                <w:i w:val="0"/>
                <w:iCs w:val="0"/>
                <w:color w:val="000000"/>
                <w:sz w:val="24"/>
                <w:szCs w:val="24"/>
                <w:highlight w:val="none"/>
                <w:u w:val="none"/>
                <w:lang w:val="en-US" w:eastAsia="zh-CN"/>
              </w:rPr>
              <w:t>、供气类潜水装具（干式潜水服）：材质及特点：压缩氯丁橡胶材质，厚度适中约 6.5mm，采用后背式高强度防水拉链，整体封闭性能良好。其他配置：设肩部膝部保护层，外置工作口袋，配全身式安全背带；</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5</w:t>
            </w:r>
            <w:r>
              <w:rPr>
                <w:rFonts w:hint="eastAsia" w:ascii="宋体" w:hAnsi="宋体" w:eastAsia="宋体" w:cs="宋体"/>
                <w:i w:val="0"/>
                <w:iCs w:val="0"/>
                <w:color w:val="000000"/>
                <w:sz w:val="24"/>
                <w:szCs w:val="24"/>
                <w:highlight w:val="none"/>
                <w:u w:val="none"/>
                <w:lang w:val="en-US" w:eastAsia="zh-CN"/>
              </w:rPr>
              <w:t>、供气类潜水装具（通讯系统)：功能：可实现潜水员之间，潜水员与水面人员之间的对讲通话和连续在线通话功能。电池连续使用时间：≥10小时。</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6</w:t>
            </w:r>
            <w:r>
              <w:rPr>
                <w:rFonts w:hint="eastAsia" w:ascii="宋体" w:hAnsi="宋体" w:eastAsia="宋体" w:cs="宋体"/>
                <w:i w:val="0"/>
                <w:iCs w:val="0"/>
                <w:color w:val="000000"/>
                <w:sz w:val="24"/>
                <w:szCs w:val="24"/>
                <w:highlight w:val="none"/>
                <w:u w:val="none"/>
                <w:lang w:val="en-US" w:eastAsia="zh-CN"/>
              </w:rPr>
              <w:t>、供气类潜水装具（水面供气式潜水装具 电动供气机)：电动机：220V/380V，压缩级：≥2，供气量：≥300L/min，接管最大作业长度：≥80m。二级空气过滤：充气压力≥8bar，配有小车式移动装置。重量：≤60kg；</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7</w:t>
            </w:r>
            <w:r>
              <w:rPr>
                <w:rFonts w:hint="eastAsia" w:ascii="宋体" w:hAnsi="宋体" w:eastAsia="宋体" w:cs="宋体"/>
                <w:i w:val="0"/>
                <w:iCs w:val="0"/>
                <w:color w:val="000000"/>
                <w:sz w:val="24"/>
                <w:szCs w:val="24"/>
                <w:highlight w:val="none"/>
                <w:u w:val="none"/>
                <w:lang w:val="en-US" w:eastAsia="zh-CN"/>
              </w:rPr>
              <w:t>、供气类潜水装具（水面供气式潜水装具 内燃式应急供气机)：内燃式应急供气机 1 台。压缩级：≥2，供气量：≥300L/min，接管最大作业长度：≥80m。二级空气过滤：充气压力≥8bar，配有小车式移动装置，重量≤60kg。</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96" w:hRule="atLeast"/>
          <w:jc w:val="center"/>
        </w:trPr>
        <w:tc>
          <w:tcPr>
            <w:tcW w:w="589" w:type="dxa"/>
            <w:vMerge w:val="continue"/>
            <w:tcBorders>
              <w:left w:val="single" w:color="auto" w:sz="4" w:space="0"/>
              <w:right w:val="single" w:color="auto" w:sz="4" w:space="0"/>
            </w:tcBorders>
            <w:shd w:val="clear" w:color="auto" w:fill="auto"/>
            <w:noWrap/>
            <w:vAlign w:val="center"/>
          </w:tcPr>
          <w:p>
            <w:pPr>
              <w:jc w:val="center"/>
              <w:rPr>
                <w:rFonts w:hint="eastAsia" w:ascii="宋体" w:hAnsi="宋体" w:cs="宋体"/>
                <w:i w:val="0"/>
                <w:iCs w:val="0"/>
                <w:color w:val="000000"/>
                <w:sz w:val="24"/>
                <w:szCs w:val="24"/>
                <w:highlight w:val="none"/>
                <w:u w:val="none"/>
                <w:lang w:val="en-US" w:eastAsia="zh-CN"/>
              </w:rPr>
            </w:pPr>
          </w:p>
        </w:tc>
        <w:tc>
          <w:tcPr>
            <w:tcW w:w="57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rPr>
              <w:t>8</w:t>
            </w:r>
          </w:p>
        </w:tc>
        <w:tc>
          <w:tcPr>
            <w:tcW w:w="1318"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highlight w:val="none"/>
                <w:u w:val="none"/>
                <w:lang w:val="en-US" w:eastAsia="zh-CN"/>
              </w:rPr>
            </w:pPr>
            <w:r>
              <w:rPr>
                <w:rFonts w:hint="eastAsia" w:ascii="宋体" w:hAnsi="宋体" w:eastAsia="宋体" w:cs="宋体"/>
                <w:i w:val="0"/>
                <w:color w:val="000000"/>
                <w:kern w:val="0"/>
                <w:sz w:val="24"/>
                <w:szCs w:val="24"/>
                <w:highlight w:val="none"/>
                <w:u w:val="none"/>
                <w:lang w:val="en-US" w:eastAsia="zh-CN"/>
              </w:rPr>
              <w:t>防水定位对讲机</w:t>
            </w:r>
          </w:p>
        </w:tc>
        <w:tc>
          <w:tcPr>
            <w:tcW w:w="1173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★1.频率范围：350MHz-400MHz，发射功率1W-</w:t>
            </w:r>
            <w:r>
              <w:rPr>
                <w:rFonts w:hint="eastAsia" w:ascii="宋体" w:hAnsi="宋体" w:cs="宋体"/>
                <w:i w:val="0"/>
                <w:iCs w:val="0"/>
                <w:color w:val="000000"/>
                <w:sz w:val="24"/>
                <w:szCs w:val="24"/>
                <w:highlight w:val="none"/>
                <w:u w:val="none"/>
                <w:lang w:val="en-US" w:eastAsia="zh-CN"/>
              </w:rPr>
              <w:t>3.5</w:t>
            </w:r>
            <w:r>
              <w:rPr>
                <w:rFonts w:hint="eastAsia" w:ascii="宋体" w:hAnsi="宋体" w:eastAsia="宋体" w:cs="宋体"/>
                <w:i w:val="0"/>
                <w:iCs w:val="0"/>
                <w:color w:val="000000"/>
                <w:sz w:val="24"/>
                <w:szCs w:val="24"/>
                <w:highlight w:val="none"/>
                <w:u w:val="none"/>
                <w:lang w:val="en-US" w:eastAsia="zh-CN"/>
              </w:rPr>
              <w:t>W可调，支持数字、模拟模式，标准PDT、DMR数字协议，支持接入语音自组网基站。能与采购单位现有的无线通信系统及通信终端互联互通，写频、调试工作须满足用户要求，同时提供写频软硬件和密钥，并开放写频权限，支持用户自主写频；</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2.消噪：具备智能降噪功能，能消除环境噪音；</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★3.定位方式：支持北斗定位，符合北斗规模应用要求；</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★4.防护性能：≥IP67；</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5.信道容量≥1000个，内置蓝牙功能；</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6.电池容量：≥2400mAh，工作时间：≥12小时；</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7.显示屏：OLED显示屏；</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★8.定位功能符合国家消防救援局《城市复杂建筑及重特大自然灾害现场联合作战关键应急通信装备建设方案》中综合定位类技术标准；</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9.高度定位：支持携带对讲机人员在不同楼层内高度差测量，并在显示屏显示；</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10.支持接收另一台设备报警信号；</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11.具备可适配空呼压力表，可读取空户压力表数值；</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12.具备可适配内攻登记装置，可被内攻登记装置扫码登入登出；</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13.具备可适配生命体征监测装置，可读取心率；</w:t>
            </w:r>
          </w:p>
          <w:p>
            <w:pPr>
              <w:keepNext w:val="0"/>
              <w:keepLines w:val="0"/>
              <w:widowControl/>
              <w:suppressLineNumbers w:val="0"/>
              <w:jc w:val="both"/>
              <w:textAlignment w:val="center"/>
              <w:rPr>
                <w:rFonts w:hint="default"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★14.软件升级服务：投标人提供设备软件终身免费升级服务。</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rPr>
              <w:t>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96" w:hRule="atLeast"/>
          <w:jc w:val="center"/>
        </w:trPr>
        <w:tc>
          <w:tcPr>
            <w:tcW w:w="589" w:type="dxa"/>
            <w:vMerge w:val="continue"/>
            <w:tcBorders>
              <w:left w:val="single" w:color="auto" w:sz="4" w:space="0"/>
              <w:right w:val="single" w:color="auto" w:sz="4" w:space="0"/>
            </w:tcBorders>
            <w:shd w:val="clear" w:color="auto" w:fill="auto"/>
            <w:noWrap/>
            <w:vAlign w:val="center"/>
          </w:tcPr>
          <w:p>
            <w:pPr>
              <w:jc w:val="center"/>
              <w:rPr>
                <w:rFonts w:hint="eastAsia" w:ascii="宋体" w:hAnsi="宋体" w:cs="宋体"/>
                <w:i w:val="0"/>
                <w:iCs w:val="0"/>
                <w:color w:val="000000"/>
                <w:sz w:val="24"/>
                <w:szCs w:val="24"/>
                <w:highlight w:val="none"/>
                <w:u w:val="none"/>
                <w:lang w:val="en-US" w:eastAsia="zh-CN"/>
              </w:rPr>
            </w:pPr>
          </w:p>
        </w:tc>
        <w:tc>
          <w:tcPr>
            <w:tcW w:w="57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rPr>
              <w:t>9</w:t>
            </w:r>
          </w:p>
        </w:tc>
        <w:tc>
          <w:tcPr>
            <w:tcW w:w="1318"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highlight w:val="none"/>
                <w:u w:val="none"/>
                <w:lang w:val="en-US" w:eastAsia="zh-CN"/>
              </w:rPr>
            </w:pPr>
            <w:r>
              <w:rPr>
                <w:rFonts w:hint="eastAsia" w:ascii="宋体" w:hAnsi="宋体" w:eastAsia="宋体" w:cs="宋体"/>
                <w:i w:val="0"/>
                <w:color w:val="000000"/>
                <w:kern w:val="0"/>
                <w:sz w:val="24"/>
                <w:szCs w:val="24"/>
                <w:highlight w:val="none"/>
                <w:u w:val="none"/>
                <w:lang w:val="en-US" w:eastAsia="zh-CN"/>
              </w:rPr>
              <w:t>潜水全面罩</w:t>
            </w:r>
          </w:p>
        </w:tc>
        <w:tc>
          <w:tcPr>
            <w:tcW w:w="1173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1、技术参数：</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（1）高密封性全面罩，不会因漏气而过快消耗空气，不影响潜水员水下通信时收听信息。</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（2）双重密封镜裙，适合脸部小或细长脸型潜水员，或是太阳穴部位偏窄脸型潜水员，佩戴舒适，紧密贴合面部。</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（3）扁平面镜，具有高可见度，在水面上时，ABV环境空气呼吸阀，可让潜水员呼吸环境空气。</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（4）装配方便快速，空气软管位于右侧，有助于优化管线布设。即使在冷水中潜水，全面罩让潜水变得简单。</w:t>
            </w:r>
          </w:p>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（5）潜水过程中，全面罩有助于面部保暖，用鼻呼吸，长时间潜水，避免喉部干燥。</w:t>
            </w:r>
          </w:p>
          <w:p>
            <w:pPr>
              <w:keepNext w:val="0"/>
              <w:keepLines w:val="0"/>
              <w:widowControl/>
              <w:suppressLineNumbers w:val="0"/>
              <w:jc w:val="both"/>
              <w:textAlignment w:val="center"/>
              <w:rPr>
                <w:rFonts w:hint="eastAsia" w:ascii="宋体" w:hAnsi="宋体" w:eastAsia="宋体" w:cs="宋体"/>
                <w:i w:val="0"/>
                <w:iCs w:val="0"/>
                <w:color w:val="000000"/>
                <w:kern w:val="0"/>
                <w:sz w:val="22"/>
                <w:szCs w:val="22"/>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6）二级调节器可拆卸，便于清洁和存放。一体式柔性硅胶镜裙，高强度玻璃纤维增强ABS注塑成型镜框和二级调节器外壳。双重密封镜裙，低容积口鼻腔，适合大多数潜水员脸型。设有鼻塞块，辅助耳压平衡。气流向上导向面镜，通过口鼻腔单向阀排出，可消除面镜内雾气，减少CO2存留。二级调节器采用标准低压空气软管，由右肩部通过。设有一个通信接口，易于装配水下通讯装置。5点式头带，低弹性橡胶材料，易于调节。颜色：黑色。</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rPr>
            </w:pPr>
            <w:r>
              <w:rPr>
                <w:rFonts w:hint="eastAsia" w:ascii="宋体" w:hAnsi="宋体" w:cs="宋体"/>
                <w:i w:val="0"/>
                <w:iCs w:val="0"/>
                <w:color w:val="000000"/>
                <w:kern w:val="0"/>
                <w:sz w:val="24"/>
                <w:szCs w:val="24"/>
                <w:highlight w:val="none"/>
                <w:u w:val="none"/>
                <w:lang w:val="en-US" w:eastAsia="zh-CN"/>
              </w:rPr>
              <w:t>27</w:t>
            </w:r>
          </w:p>
        </w:tc>
      </w:tr>
    </w:tbl>
    <w:p>
      <w:pPr>
        <w:rPr>
          <w:highlight w:val="none"/>
        </w:rPr>
      </w:pPr>
    </w:p>
    <w:sectPr>
      <w:headerReference r:id="rId11" w:type="default"/>
      <w:footerReference r:id="rId12" w:type="default"/>
      <w:pgSz w:w="16838" w:h="11906" w:orient="landscape"/>
      <w:pgMar w:top="1803" w:right="1440" w:bottom="1803" w:left="1440" w:header="851" w:footer="992" w:gutter="0"/>
      <w:cols w:space="0" w:num="1"/>
      <w:docGrid w:type="linesAndChars" w:linePitch="319" w:charSpace="57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monospace">
    <w:altName w:val="Courier New"/>
    <w:panose1 w:val="00000000000000000000"/>
    <w:charset w:val="00"/>
    <w:family w:val="auto"/>
    <w:pitch w:val="default"/>
    <w:sig w:usb0="00000000" w:usb1="00000000" w:usb2="00000000" w:usb3="00000000" w:csb0="00000001" w:csb1="00000000"/>
  </w:font>
  <w:font w:name="Helvetica Neue">
    <w:altName w:val="Corbel"/>
    <w:panose1 w:val="00000000000000000000"/>
    <w:charset w:val="00"/>
    <w:family w:val="auto"/>
    <w:pitch w:val="default"/>
    <w:sig w:usb0="00000000" w:usb1="00000000" w:usb2="00000000" w:usb3="00000000" w:csb0="00040001" w:csb1="00000000"/>
  </w:font>
  <w:font w:name="方正黑体_GBK">
    <w:altName w:val="微软雅黑"/>
    <w:panose1 w:val="00000000000000000000"/>
    <w:charset w:val="86"/>
    <w:family w:val="auto"/>
    <w:pitch w:val="default"/>
    <w:sig w:usb0="00000000" w:usb1="00000000" w:usb2="00000000" w:usb3="00000000" w:csb0="00040000" w:csb1="00000000"/>
  </w:font>
  <w:font w:name="Arial Unicode MS">
    <w:altName w:val="宋体"/>
    <w:panose1 w:val="020B0604020002020204"/>
    <w:charset w:val="86"/>
    <w:family w:val="swiss"/>
    <w:pitch w:val="default"/>
    <w:sig w:usb0="00000000" w:usb1="00000000" w:usb2="0000003F" w:usb3="00000000" w:csb0="003F01FF" w:csb1="00000000"/>
  </w:font>
  <w:font w:name="方正小标宋_GBK">
    <w:altName w:val="微软雅黑"/>
    <w:panose1 w:val="00000000000000000000"/>
    <w:charset w:val="86"/>
    <w:family w:val="script"/>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方正仿宋简体">
    <w:altName w:val="微软雅黑"/>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Wingdings 2">
    <w:altName w:val="Wingdings"/>
    <w:panose1 w:val="05020102010507070707"/>
    <w:charset w:val="00"/>
    <w:family w:val="auto"/>
    <w:pitch w:val="default"/>
    <w:sig w:usb0="00000000" w:usb1="00000000" w:usb2="00000000" w:usb3="00000000" w:csb0="80000000"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Corbel">
    <w:panose1 w:val="020B0503020204020204"/>
    <w:charset w:val="00"/>
    <w:family w:val="auto"/>
    <w:pitch w:val="default"/>
    <w:sig w:usb0="A00002EF" w:usb1="4000A44B" w:usb2="00000000" w:usb3="00000000" w:csb0="2000019F"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3305"/>
      </w:tabs>
      <w:ind w:right="360"/>
    </w:pPr>
    <w:r>
      <w:rPr>
        <w:rFonts w:hint="eastAsia"/>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3305"/>
      </w:tabs>
      <w:ind w:right="360"/>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7"/>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26"/>
                          </w:pPr>
                          <w:r>
                            <w:fldChar w:fldCharType="begin"/>
                          </w:r>
                          <w:r>
                            <w:instrText xml:space="preserve"> PAGE  \* MERGEFORMAT </w:instrText>
                          </w:r>
                          <w:r>
                            <w:fldChar w:fldCharType="separate"/>
                          </w:r>
                          <w:r>
                            <w:t>81</w:t>
                          </w:r>
                          <w:r>
                            <w:fldChar w:fldCharType="end"/>
                          </w:r>
                        </w:p>
                      </w:txbxContent>
                    </wps:txbx>
                    <wps:bodyPr vert="horz" wrap="none" lIns="0" tIns="0" rIns="0" bIns="0" anchor="t">
                      <a:spAutoFit/>
                    </wps:bodyPr>
                  </wps:wsp>
                </a:graphicData>
              </a:graphic>
            </wp:anchor>
          </w:drawing>
        </mc:Choice>
        <mc:Fallback>
          <w:pict>
            <v:rect id="文本框 7"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HVaAHHKAQAAkgMAAA4AAAAAAAAAAQAgAAAAHwEAAGRycy9lMm9E&#10;b2MueG1sUEsFBgAAAAAGAAYAWQEAAFsFAAAAAA==&#10;">
              <v:fill on="f" focussize="0,0"/>
              <v:stroke on="f"/>
              <v:imagedata o:title=""/>
              <o:lock v:ext="edit" aspectratio="f"/>
              <v:textbox inset="0mm,0mm,0mm,0mm" style="mso-fit-shape-to-text:t;">
                <w:txbxContent>
                  <w:p>
                    <w:pPr>
                      <w:pStyle w:val="26"/>
                    </w:pPr>
                    <w:r>
                      <w:fldChar w:fldCharType="begin"/>
                    </w:r>
                    <w:r>
                      <w:instrText xml:space="preserve"> PAGE  \* MERGEFORMAT </w:instrText>
                    </w:r>
                    <w:r>
                      <w:fldChar w:fldCharType="separate"/>
                    </w:r>
                    <w:r>
                      <w:t>81</w:t>
                    </w:r>
                    <w:r>
                      <w:fldChar w:fldCharType="end"/>
                    </w:r>
                  </w:p>
                </w:txbxContent>
              </v:textbox>
            </v:rect>
          </w:pict>
        </mc:Fallback>
      </mc:AlternateContent>
    </w:r>
    <w:r>
      <w:rPr>
        <w:rFonts w:hint="eastAsia"/>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360"/>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4098" name="文本框 3"/>
              <wp:cNvGraphicFramePr/>
              <a:graphic xmlns:a="http://schemas.openxmlformats.org/drawingml/2006/main">
                <a:graphicData uri="http://schemas.microsoft.com/office/word/2010/wordprocessingShape">
                  <wps:wsp>
                    <wps:cNvSpPr/>
                    <wps:spPr>
                      <a:xfrm>
                        <a:off x="0" y="0"/>
                        <a:ext cx="114934" cy="131445"/>
                      </a:xfrm>
                      <a:prstGeom prst="rect">
                        <a:avLst/>
                      </a:prstGeom>
                      <a:ln>
                        <a:noFill/>
                      </a:ln>
                    </wps:spPr>
                    <wps:txbx>
                      <w:txbxContent>
                        <w:p>
                          <w:pPr>
                            <w:pStyle w:val="26"/>
                          </w:pPr>
                          <w:r>
                            <w:fldChar w:fldCharType="begin"/>
                          </w:r>
                          <w:r>
                            <w:instrText xml:space="preserve"> PAGE  \* MERGEFORMAT </w:instrText>
                          </w:r>
                          <w:r>
                            <w:fldChar w:fldCharType="separate"/>
                          </w:r>
                          <w:r>
                            <w:t>82</w:t>
                          </w:r>
                          <w:r>
                            <w:fldChar w:fldCharType="end"/>
                          </w:r>
                        </w:p>
                      </w:txbxContent>
                    </wps:txbx>
                    <wps:bodyPr vert="horz" wrap="none" lIns="0" tIns="0" rIns="0" bIns="0" anchor="t">
                      <a:spAutoFit/>
                    </wps:bodyPr>
                  </wps:wsp>
                </a:graphicData>
              </a:graphic>
            </wp:anchor>
          </w:drawing>
        </mc:Choice>
        <mc:Fallback>
          <w:pict>
            <v:rect id="文本框 3" o:spid="_x0000_s1026" o:spt="1"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DS/0sLQAAAAAwEAAA8AAAAAAAAAAQAgAAAAIgAAAGRycy9kb3du&#10;cmV2LnhtbFBLAQIUABQAAAAIAIdO4kAySksDzgEAAJADAAAOAAAAAAAAAAEAIAAAAB8BAABkcnMv&#10;ZTJvRG9jLnhtbFBLBQYAAAAABgAGAFkBAABfBQAAAAA=&#10;">
              <v:fill on="f" focussize="0,0"/>
              <v:stroke on="f"/>
              <v:imagedata o:title=""/>
              <o:lock v:ext="edit" aspectratio="f"/>
              <v:textbox inset="0mm,0mm,0mm,0mm" style="mso-fit-shape-to-text:t;">
                <w:txbxContent>
                  <w:p>
                    <w:pPr>
                      <w:pStyle w:val="26"/>
                    </w:pPr>
                    <w:r>
                      <w:fldChar w:fldCharType="begin"/>
                    </w:r>
                    <w:r>
                      <w:instrText xml:space="preserve"> PAGE  \* MERGEFORMAT </w:instrText>
                    </w:r>
                    <w:r>
                      <w:fldChar w:fldCharType="separate"/>
                    </w:r>
                    <w:r>
                      <w:t>82</w:t>
                    </w:r>
                    <w:r>
                      <w:fldChar w:fldCharType="end"/>
                    </w:r>
                  </w:p>
                </w:txbxContent>
              </v:textbox>
            </v:rect>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360"/>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9" name="文本框 8"/>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26"/>
                          </w:pPr>
                          <w:r>
                            <w:fldChar w:fldCharType="begin"/>
                          </w:r>
                          <w:r>
                            <w:instrText xml:space="preserve"> PAGE  \* MERGEFORMAT </w:instrText>
                          </w:r>
                          <w:r>
                            <w:fldChar w:fldCharType="separate"/>
                          </w:r>
                          <w:r>
                            <w:t>92</w:t>
                          </w:r>
                          <w:r>
                            <w:fldChar w:fldCharType="end"/>
                          </w:r>
                        </w:p>
                      </w:txbxContent>
                    </wps:txbx>
                    <wps:bodyPr vert="horz" wrap="none" lIns="0" tIns="0" rIns="0" bIns="0" anchor="t">
                      <a:spAutoFit/>
                    </wps:bodyPr>
                  </wps:wsp>
                </a:graphicData>
              </a:graphic>
            </wp:anchor>
          </w:drawing>
        </mc:Choice>
        <mc:Fallback>
          <w:pict>
            <v:rect id="文本框 8"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JHCEuTKAQAAkgMAAA4AAAAAAAAAAQAgAAAAHwEAAGRycy9lMm9E&#10;b2MueG1sUEsFBgAAAAAGAAYAWQEAAFsFAAAAAA==&#10;">
              <v:fill on="f" focussize="0,0"/>
              <v:stroke on="f"/>
              <v:imagedata o:title=""/>
              <o:lock v:ext="edit" aspectratio="f"/>
              <v:textbox inset="0mm,0mm,0mm,0mm" style="mso-fit-shape-to-text:t;">
                <w:txbxContent>
                  <w:p>
                    <w:pPr>
                      <w:pStyle w:val="26"/>
                    </w:pPr>
                    <w:r>
                      <w:fldChar w:fldCharType="begin"/>
                    </w:r>
                    <w:r>
                      <w:instrText xml:space="preserve"> PAGE  \* MERGEFORMAT </w:instrText>
                    </w:r>
                    <w:r>
                      <w:fldChar w:fldCharType="separate"/>
                    </w:r>
                    <w:r>
                      <w:t>92</w:t>
                    </w:r>
                    <w:r>
                      <w:fldChar w:fldCharType="end"/>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2"/>
      <w:numFmt w:val="chineseCounting"/>
      <w:suff w:val="nothing"/>
      <w:lvlText w:val="%1、"/>
      <w:lvlJc w:val="left"/>
      <w:rPr>
        <w:rFonts w:hint="eastAsia"/>
      </w:rPr>
    </w:lvl>
  </w:abstractNum>
  <w:abstractNum w:abstractNumId="1">
    <w:nsid w:val="00000002"/>
    <w:multiLevelType w:val="singleLevel"/>
    <w:tmpl w:val="00000002"/>
    <w:lvl w:ilvl="0" w:tentative="0">
      <w:start w:val="1"/>
      <w:numFmt w:val="upperLetter"/>
      <w:pStyle w:val="117"/>
      <w:lvlText w:val="附录%1."/>
      <w:lvlJc w:val="left"/>
      <w:pPr>
        <w:tabs>
          <w:tab w:val="left" w:pos="907"/>
        </w:tabs>
        <w:ind w:left="907" w:hanging="907"/>
      </w:pPr>
      <w:rPr>
        <w:rFonts w:hint="eastAsia"/>
      </w:rPr>
    </w:lvl>
  </w:abstractNum>
  <w:abstractNum w:abstractNumId="2">
    <w:nsid w:val="00000003"/>
    <w:multiLevelType w:val="multilevel"/>
    <w:tmpl w:val="00000003"/>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00000004"/>
    <w:multiLevelType w:val="multilevel"/>
    <w:tmpl w:val="00000004"/>
    <w:lvl w:ilvl="0" w:tentative="0">
      <w:start w:val="2"/>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4">
    <w:nsid w:val="00000005"/>
    <w:multiLevelType w:val="singleLevel"/>
    <w:tmpl w:val="00000005"/>
    <w:lvl w:ilvl="0" w:tentative="0">
      <w:start w:val="0"/>
      <w:numFmt w:val="none"/>
      <w:lvlText w:val=""/>
      <w:lvlJc w:val="left"/>
      <w:pPr>
        <w:tabs>
          <w:tab w:val="left" w:pos="360"/>
        </w:tabs>
      </w:pPr>
    </w:lvl>
  </w:abstractNum>
  <w:abstractNum w:abstractNumId="5">
    <w:nsid w:val="00000006"/>
    <w:multiLevelType w:val="multilevel"/>
    <w:tmpl w:val="00000006"/>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58"/>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6">
    <w:nsid w:val="00000007"/>
    <w:multiLevelType w:val="multilevel"/>
    <w:tmpl w:val="00000007"/>
    <w:lvl w:ilvl="0" w:tentative="0">
      <w:start w:val="1"/>
      <w:numFmt w:val="decimal"/>
      <w:pStyle w:val="9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00000008"/>
    <w:multiLevelType w:val="multilevel"/>
    <w:tmpl w:val="00000008"/>
    <w:lvl w:ilvl="0" w:tentative="0">
      <w:start w:val="1"/>
      <w:numFmt w:val="decimal"/>
      <w:lvlText w:val="%1"/>
      <w:lvlJc w:val="left"/>
      <w:pPr>
        <w:tabs>
          <w:tab w:val="left" w:pos="432"/>
        </w:tabs>
        <w:ind w:left="432" w:hanging="432"/>
        <w:textAlignment w:val="baseline"/>
      </w:pPr>
    </w:lvl>
    <w:lvl w:ilvl="1" w:tentative="0">
      <w:start w:val="1"/>
      <w:numFmt w:val="decimal"/>
      <w:pStyle w:val="55"/>
      <w:lvlText w:val="%1.%2"/>
      <w:lvlJc w:val="left"/>
      <w:pPr>
        <w:tabs>
          <w:tab w:val="left" w:pos="718"/>
        </w:tabs>
        <w:ind w:left="718" w:hanging="576"/>
        <w:textAlignment w:val="baseline"/>
      </w:pPr>
    </w:lvl>
    <w:lvl w:ilvl="2" w:tentative="0">
      <w:start w:val="1"/>
      <w:numFmt w:val="decimal"/>
      <w:lvlText w:val="%1.%2.%3"/>
      <w:lvlJc w:val="left"/>
      <w:pPr>
        <w:tabs>
          <w:tab w:val="left" w:pos="720"/>
        </w:tabs>
        <w:ind w:left="720" w:hanging="720"/>
        <w:textAlignment w:val="baseline"/>
      </w:pPr>
    </w:lvl>
    <w:lvl w:ilvl="3" w:tentative="0">
      <w:start w:val="1"/>
      <w:numFmt w:val="decimal"/>
      <w:lvlText w:val="%1.%2.%3.%4"/>
      <w:lvlJc w:val="left"/>
      <w:pPr>
        <w:tabs>
          <w:tab w:val="left" w:pos="864"/>
        </w:tabs>
        <w:ind w:left="864" w:hanging="864"/>
        <w:textAlignment w:val="baseline"/>
      </w:pPr>
    </w:lvl>
    <w:lvl w:ilvl="4" w:tentative="0">
      <w:start w:val="1"/>
      <w:numFmt w:val="decimal"/>
      <w:lvlText w:val="%1.%2.%3.%4.%5"/>
      <w:lvlJc w:val="left"/>
      <w:pPr>
        <w:tabs>
          <w:tab w:val="left" w:pos="1008"/>
        </w:tabs>
        <w:ind w:left="1008" w:hanging="1008"/>
        <w:textAlignment w:val="baseline"/>
      </w:pPr>
    </w:lvl>
    <w:lvl w:ilvl="5" w:tentative="0">
      <w:start w:val="1"/>
      <w:numFmt w:val="decimal"/>
      <w:lvlText w:val="%1.%2.%3.%4.%5.%6"/>
      <w:lvlJc w:val="left"/>
      <w:pPr>
        <w:tabs>
          <w:tab w:val="left" w:pos="1152"/>
        </w:tabs>
        <w:ind w:left="1152" w:hanging="1152"/>
        <w:textAlignment w:val="baseline"/>
      </w:pPr>
    </w:lvl>
    <w:lvl w:ilvl="6" w:tentative="0">
      <w:start w:val="1"/>
      <w:numFmt w:val="decimal"/>
      <w:lvlText w:val="%1.%2.%3.%4.%5.%6.%7"/>
      <w:lvlJc w:val="left"/>
      <w:pPr>
        <w:tabs>
          <w:tab w:val="left" w:pos="1296"/>
        </w:tabs>
        <w:ind w:left="1296" w:hanging="1296"/>
        <w:textAlignment w:val="baseline"/>
      </w:pPr>
    </w:lvl>
    <w:lvl w:ilvl="7" w:tentative="0">
      <w:start w:val="1"/>
      <w:numFmt w:val="decimal"/>
      <w:lvlText w:val="%1.%2.%3.%4.%5.%6.%7.%8"/>
      <w:lvlJc w:val="left"/>
      <w:pPr>
        <w:tabs>
          <w:tab w:val="left" w:pos="1440"/>
        </w:tabs>
        <w:ind w:left="1440" w:hanging="1440"/>
        <w:textAlignment w:val="baseline"/>
      </w:pPr>
    </w:lvl>
    <w:lvl w:ilvl="8" w:tentative="0">
      <w:start w:val="1"/>
      <w:numFmt w:val="decimal"/>
      <w:lvlText w:val="%1.%2.%3.%4.%5.%6.%7.%8.%9"/>
      <w:lvlJc w:val="left"/>
      <w:pPr>
        <w:tabs>
          <w:tab w:val="left" w:pos="1584"/>
        </w:tabs>
        <w:ind w:left="1584" w:hanging="1584"/>
        <w:textAlignment w:val="baseline"/>
      </w:pPr>
    </w:lvl>
  </w:abstractNum>
  <w:abstractNum w:abstractNumId="8">
    <w:nsid w:val="00000009"/>
    <w:multiLevelType w:val="singleLevel"/>
    <w:tmpl w:val="00000009"/>
    <w:lvl w:ilvl="0" w:tentative="0">
      <w:start w:val="1"/>
      <w:numFmt w:val="decimal"/>
      <w:pStyle w:val="122"/>
      <w:lvlText w:val="（%1）"/>
      <w:lvlJc w:val="left"/>
      <w:pPr>
        <w:tabs>
          <w:tab w:val="left" w:pos="810"/>
        </w:tabs>
        <w:ind w:left="810" w:hanging="810"/>
      </w:pPr>
      <w:rPr>
        <w:rFonts w:hint="eastAsia"/>
      </w:rPr>
    </w:lvl>
  </w:abstractNum>
  <w:abstractNum w:abstractNumId="9">
    <w:nsid w:val="0000000A"/>
    <w:multiLevelType w:val="multilevel"/>
    <w:tmpl w:val="0000000A"/>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9"/>
      <w:suff w:val="nothing"/>
      <w:lvlText w:val=""/>
      <w:lvlJc w:val="left"/>
      <w:pPr>
        <w:ind w:left="0" w:firstLine="0"/>
      </w:pPr>
      <w:rPr>
        <w:rFonts w:hint="eastAsia"/>
      </w:rPr>
    </w:lvl>
    <w:lvl w:ilvl="6" w:tentative="0">
      <w:start w:val="1"/>
      <w:numFmt w:val="none"/>
      <w:pStyle w:val="10"/>
      <w:suff w:val="nothing"/>
      <w:lvlText w:val=""/>
      <w:lvlJc w:val="left"/>
      <w:pPr>
        <w:ind w:left="0" w:firstLine="0"/>
      </w:pPr>
      <w:rPr>
        <w:rFonts w:hint="eastAsia"/>
      </w:rPr>
    </w:lvl>
    <w:lvl w:ilvl="7" w:tentative="0">
      <w:start w:val="1"/>
      <w:numFmt w:val="none"/>
      <w:pStyle w:val="11"/>
      <w:suff w:val="nothing"/>
      <w:lvlText w:val=""/>
      <w:lvlJc w:val="left"/>
      <w:pPr>
        <w:ind w:left="0" w:firstLine="0"/>
      </w:pPr>
      <w:rPr>
        <w:rFonts w:hint="eastAsia"/>
      </w:rPr>
    </w:lvl>
    <w:lvl w:ilvl="8" w:tentative="0">
      <w:start w:val="1"/>
      <w:numFmt w:val="none"/>
      <w:pStyle w:val="12"/>
      <w:suff w:val="nothing"/>
      <w:lvlText w:val=""/>
      <w:lvlJc w:val="left"/>
      <w:pPr>
        <w:ind w:left="0" w:firstLine="0"/>
      </w:pPr>
      <w:rPr>
        <w:rFonts w:hint="eastAsia"/>
      </w:rPr>
    </w:lvl>
  </w:abstractNum>
  <w:num w:numId="1">
    <w:abstractNumId w:val="9"/>
  </w:num>
  <w:num w:numId="2">
    <w:abstractNumId w:val="7"/>
  </w:num>
  <w:num w:numId="3">
    <w:abstractNumId w:val="5"/>
  </w:num>
  <w:num w:numId="4">
    <w:abstractNumId w:val="6"/>
  </w:num>
  <w:num w:numId="5">
    <w:abstractNumId w:val="1"/>
  </w:num>
  <w:num w:numId="6">
    <w:abstractNumId w:val="8"/>
  </w:num>
  <w:num w:numId="7">
    <w:abstractNumId w:val="3"/>
  </w:num>
  <w:num w:numId="8">
    <w:abstractNumId w:val="0"/>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bordersDoNotSurroundHeader w:val="0"/>
  <w:bordersDoNotSurroundFooter w:val="0"/>
  <w:hideSpellingErrors/>
  <w:documentProtection w:enforcement="0"/>
  <w:defaultTabStop w:val="420"/>
  <w:drawingGridHorizontalSpacing w:val="213"/>
  <w:drawingGridVerticalSpacing w:val="319"/>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FmZDY4ODUzMTkwMGFhMjkyZDBiNTgzY2M0ZWYyMTcifQ=="/>
  </w:docVars>
  <w:rsids>
    <w:rsidRoot w:val="00000000"/>
    <w:rsid w:val="005C088A"/>
    <w:rsid w:val="019017F2"/>
    <w:rsid w:val="02251150"/>
    <w:rsid w:val="02447825"/>
    <w:rsid w:val="026B76FE"/>
    <w:rsid w:val="02C85A97"/>
    <w:rsid w:val="02F51583"/>
    <w:rsid w:val="040A0469"/>
    <w:rsid w:val="05094D59"/>
    <w:rsid w:val="05605663"/>
    <w:rsid w:val="068465BC"/>
    <w:rsid w:val="07D16AD6"/>
    <w:rsid w:val="09857BE6"/>
    <w:rsid w:val="0A742966"/>
    <w:rsid w:val="0B3B0AA0"/>
    <w:rsid w:val="0C0A1251"/>
    <w:rsid w:val="0C152FCB"/>
    <w:rsid w:val="0C8B2D82"/>
    <w:rsid w:val="0CD619C5"/>
    <w:rsid w:val="0CE045F1"/>
    <w:rsid w:val="0D074274"/>
    <w:rsid w:val="0D1B0A95"/>
    <w:rsid w:val="0D222E5C"/>
    <w:rsid w:val="0DE9592E"/>
    <w:rsid w:val="0E56100F"/>
    <w:rsid w:val="0E703D58"/>
    <w:rsid w:val="0EA004DC"/>
    <w:rsid w:val="0EF81469"/>
    <w:rsid w:val="0FDB7B65"/>
    <w:rsid w:val="12096398"/>
    <w:rsid w:val="13AF2F6F"/>
    <w:rsid w:val="14292D22"/>
    <w:rsid w:val="14493645"/>
    <w:rsid w:val="149C3F05"/>
    <w:rsid w:val="14D47131"/>
    <w:rsid w:val="162B0FD3"/>
    <w:rsid w:val="16A07610"/>
    <w:rsid w:val="17171557"/>
    <w:rsid w:val="179C254B"/>
    <w:rsid w:val="1901601B"/>
    <w:rsid w:val="1A286A5B"/>
    <w:rsid w:val="1A3C1DE5"/>
    <w:rsid w:val="1A5403CD"/>
    <w:rsid w:val="1AD704BE"/>
    <w:rsid w:val="1B057A41"/>
    <w:rsid w:val="1B8151F1"/>
    <w:rsid w:val="1BBB4BA7"/>
    <w:rsid w:val="1C646FED"/>
    <w:rsid w:val="1C6728C9"/>
    <w:rsid w:val="1CA67605"/>
    <w:rsid w:val="1D24052A"/>
    <w:rsid w:val="1D50131F"/>
    <w:rsid w:val="1DAA4ED3"/>
    <w:rsid w:val="1DEC03B7"/>
    <w:rsid w:val="1E440240"/>
    <w:rsid w:val="1EA461F6"/>
    <w:rsid w:val="1EE53CE9"/>
    <w:rsid w:val="1F822078"/>
    <w:rsid w:val="20C75C71"/>
    <w:rsid w:val="20EA47D5"/>
    <w:rsid w:val="21AE242F"/>
    <w:rsid w:val="2220456F"/>
    <w:rsid w:val="22CE51C0"/>
    <w:rsid w:val="24774171"/>
    <w:rsid w:val="25800A60"/>
    <w:rsid w:val="27702CEA"/>
    <w:rsid w:val="2903193C"/>
    <w:rsid w:val="292C49EE"/>
    <w:rsid w:val="29626662"/>
    <w:rsid w:val="2A3900B0"/>
    <w:rsid w:val="2DDF4165"/>
    <w:rsid w:val="2EAE0B19"/>
    <w:rsid w:val="2F587050"/>
    <w:rsid w:val="2FC75112"/>
    <w:rsid w:val="31FF705D"/>
    <w:rsid w:val="32C93660"/>
    <w:rsid w:val="33233F19"/>
    <w:rsid w:val="337C47C4"/>
    <w:rsid w:val="338F274A"/>
    <w:rsid w:val="33DB0696"/>
    <w:rsid w:val="33E54567"/>
    <w:rsid w:val="342866FA"/>
    <w:rsid w:val="345179FF"/>
    <w:rsid w:val="3454616B"/>
    <w:rsid w:val="36685822"/>
    <w:rsid w:val="372F1B4E"/>
    <w:rsid w:val="37AC319E"/>
    <w:rsid w:val="3801173C"/>
    <w:rsid w:val="38CD5EEE"/>
    <w:rsid w:val="391536F1"/>
    <w:rsid w:val="39641F82"/>
    <w:rsid w:val="39B822CE"/>
    <w:rsid w:val="3AAF1923"/>
    <w:rsid w:val="3AEF4DE1"/>
    <w:rsid w:val="3B3237CF"/>
    <w:rsid w:val="3B5210CF"/>
    <w:rsid w:val="3CBE5E4E"/>
    <w:rsid w:val="3CC80A7A"/>
    <w:rsid w:val="3D430101"/>
    <w:rsid w:val="3D743281"/>
    <w:rsid w:val="3E6A0919"/>
    <w:rsid w:val="3EE37A02"/>
    <w:rsid w:val="3F7961E6"/>
    <w:rsid w:val="3FF83425"/>
    <w:rsid w:val="412D70FE"/>
    <w:rsid w:val="41E81277"/>
    <w:rsid w:val="435968D0"/>
    <w:rsid w:val="439711A6"/>
    <w:rsid w:val="44EF5B34"/>
    <w:rsid w:val="45A35BE1"/>
    <w:rsid w:val="45B34405"/>
    <w:rsid w:val="45FF6BDB"/>
    <w:rsid w:val="478B6E25"/>
    <w:rsid w:val="48F86243"/>
    <w:rsid w:val="495C4A24"/>
    <w:rsid w:val="4AA448D5"/>
    <w:rsid w:val="4BBA1ED6"/>
    <w:rsid w:val="4BD51A25"/>
    <w:rsid w:val="4D246416"/>
    <w:rsid w:val="4DFD473D"/>
    <w:rsid w:val="4EDA730F"/>
    <w:rsid w:val="4FF65DA8"/>
    <w:rsid w:val="50856C9D"/>
    <w:rsid w:val="51583D25"/>
    <w:rsid w:val="517D1406"/>
    <w:rsid w:val="51AB6549"/>
    <w:rsid w:val="5263715D"/>
    <w:rsid w:val="52BD7F3F"/>
    <w:rsid w:val="536270DB"/>
    <w:rsid w:val="54535757"/>
    <w:rsid w:val="556A2277"/>
    <w:rsid w:val="55953451"/>
    <w:rsid w:val="56DB78D0"/>
    <w:rsid w:val="57596A47"/>
    <w:rsid w:val="57803FD4"/>
    <w:rsid w:val="585C2C4A"/>
    <w:rsid w:val="590723E4"/>
    <w:rsid w:val="5B2F36C9"/>
    <w:rsid w:val="5C660B46"/>
    <w:rsid w:val="5CF8159F"/>
    <w:rsid w:val="5D0B433F"/>
    <w:rsid w:val="5D0F62E3"/>
    <w:rsid w:val="5D8903A6"/>
    <w:rsid w:val="5E451AD3"/>
    <w:rsid w:val="5E512226"/>
    <w:rsid w:val="5EB033F0"/>
    <w:rsid w:val="5FA56CCD"/>
    <w:rsid w:val="613C2406"/>
    <w:rsid w:val="624871EC"/>
    <w:rsid w:val="62791844"/>
    <w:rsid w:val="62C1664D"/>
    <w:rsid w:val="6328712C"/>
    <w:rsid w:val="633C4AC3"/>
    <w:rsid w:val="64BA3241"/>
    <w:rsid w:val="65534AD5"/>
    <w:rsid w:val="660A5ADC"/>
    <w:rsid w:val="662619F1"/>
    <w:rsid w:val="68CE7FEE"/>
    <w:rsid w:val="695A4722"/>
    <w:rsid w:val="69D41F5D"/>
    <w:rsid w:val="6AA801F4"/>
    <w:rsid w:val="6ADE7537"/>
    <w:rsid w:val="6B5E2426"/>
    <w:rsid w:val="6BA1386A"/>
    <w:rsid w:val="6C3F313F"/>
    <w:rsid w:val="6C420CFD"/>
    <w:rsid w:val="6C563029"/>
    <w:rsid w:val="6CB87914"/>
    <w:rsid w:val="6D2B1638"/>
    <w:rsid w:val="70BF3AA4"/>
    <w:rsid w:val="70DA6B07"/>
    <w:rsid w:val="722241AD"/>
    <w:rsid w:val="728A58AF"/>
    <w:rsid w:val="738B2219"/>
    <w:rsid w:val="7428537F"/>
    <w:rsid w:val="74752E02"/>
    <w:rsid w:val="74934EEE"/>
    <w:rsid w:val="74EA1864"/>
    <w:rsid w:val="74F82FA3"/>
    <w:rsid w:val="76157B85"/>
    <w:rsid w:val="77F93B9C"/>
    <w:rsid w:val="789E4170"/>
    <w:rsid w:val="78BB70F9"/>
    <w:rsid w:val="7AA57A9B"/>
    <w:rsid w:val="7BC96459"/>
    <w:rsid w:val="7BF73FB5"/>
    <w:rsid w:val="7CA1421D"/>
    <w:rsid w:val="7E6A3164"/>
    <w:rsid w:val="7EEB529A"/>
    <w:rsid w:val="7FB87EF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4"/>
    <w:link w:val="56"/>
    <w:qFormat/>
    <w:uiPriority w:val="9"/>
    <w:pPr>
      <w:keepNext/>
      <w:jc w:val="center"/>
      <w:outlineLvl w:val="0"/>
    </w:pPr>
    <w:rPr>
      <w:rFonts w:ascii="楷体_GB2312" w:hAnsi="楷体_GB2312"/>
      <w:b/>
      <w:sz w:val="32"/>
      <w:szCs w:val="32"/>
    </w:rPr>
  </w:style>
  <w:style w:type="paragraph" w:styleId="5">
    <w:name w:val="heading 2"/>
    <w:basedOn w:val="1"/>
    <w:next w:val="4"/>
    <w:link w:val="89"/>
    <w:qFormat/>
    <w:uiPriority w:val="0"/>
    <w:pPr>
      <w:keepNext/>
      <w:keepLines/>
      <w:spacing w:before="200" w:after="200" w:line="480" w:lineRule="auto"/>
      <w:jc w:val="left"/>
      <w:outlineLvl w:val="1"/>
    </w:pPr>
    <w:rPr>
      <w:rFonts w:ascii="Arial" w:hAnsi="Arial" w:cs="Arial"/>
      <w:b/>
      <w:bCs/>
      <w:sz w:val="30"/>
      <w:szCs w:val="30"/>
    </w:rPr>
  </w:style>
  <w:style w:type="paragraph" w:styleId="6">
    <w:name w:val="heading 3"/>
    <w:basedOn w:val="1"/>
    <w:next w:val="4"/>
    <w:link w:val="84"/>
    <w:qFormat/>
    <w:uiPriority w:val="0"/>
    <w:pPr>
      <w:keepNext/>
      <w:keepLines/>
      <w:spacing w:before="200" w:after="100" w:line="480" w:lineRule="auto"/>
      <w:jc w:val="left"/>
      <w:outlineLvl w:val="2"/>
    </w:pPr>
    <w:rPr>
      <w:b/>
      <w:bCs/>
      <w:sz w:val="28"/>
      <w:szCs w:val="32"/>
    </w:rPr>
  </w:style>
  <w:style w:type="paragraph" w:styleId="7">
    <w:name w:val="heading 4"/>
    <w:basedOn w:val="1"/>
    <w:next w:val="1"/>
    <w:link w:val="57"/>
    <w:autoRedefine/>
    <w:qFormat/>
    <w:uiPriority w:val="0"/>
    <w:pPr>
      <w:keepNext/>
      <w:keepLines/>
      <w:ind w:firstLine="420" w:firstLineChars="150"/>
      <w:outlineLvl w:val="3"/>
    </w:pPr>
    <w:rPr>
      <w:rFonts w:ascii="Arial" w:hAnsi="Arial" w:cs="Arial"/>
      <w:b/>
      <w:sz w:val="28"/>
      <w:szCs w:val="28"/>
    </w:rPr>
  </w:style>
  <w:style w:type="paragraph" w:styleId="8">
    <w:name w:val="heading 5"/>
    <w:basedOn w:val="1"/>
    <w:next w:val="4"/>
    <w:link w:val="94"/>
    <w:qFormat/>
    <w:uiPriority w:val="0"/>
    <w:pPr>
      <w:keepNext/>
      <w:autoSpaceDE w:val="0"/>
      <w:autoSpaceDN w:val="0"/>
      <w:adjustRightInd w:val="0"/>
      <w:outlineLvl w:val="4"/>
    </w:pPr>
    <w:rPr>
      <w:rFonts w:ascii="宋体"/>
      <w:color w:val="000000"/>
      <w:kern w:val="0"/>
      <w:sz w:val="28"/>
      <w:szCs w:val="28"/>
    </w:rPr>
  </w:style>
  <w:style w:type="paragraph" w:styleId="9">
    <w:name w:val="heading 6"/>
    <w:basedOn w:val="1"/>
    <w:next w:val="1"/>
    <w:link w:val="85"/>
    <w:autoRedefine/>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10">
    <w:name w:val="heading 7"/>
    <w:basedOn w:val="1"/>
    <w:next w:val="1"/>
    <w:link w:val="65"/>
    <w:autoRedefine/>
    <w:qFormat/>
    <w:uiPriority w:val="0"/>
    <w:pPr>
      <w:keepNext/>
      <w:keepLines/>
      <w:numPr>
        <w:ilvl w:val="6"/>
        <w:numId w:val="1"/>
      </w:numPr>
      <w:spacing w:before="240" w:after="64" w:line="320" w:lineRule="auto"/>
      <w:outlineLvl w:val="6"/>
    </w:pPr>
    <w:rPr>
      <w:b/>
      <w:bCs/>
      <w:sz w:val="24"/>
      <w:szCs w:val="24"/>
    </w:rPr>
  </w:style>
  <w:style w:type="paragraph" w:styleId="11">
    <w:name w:val="heading 8"/>
    <w:basedOn w:val="1"/>
    <w:next w:val="1"/>
    <w:link w:val="66"/>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2">
    <w:name w:val="heading 9"/>
    <w:basedOn w:val="1"/>
    <w:next w:val="1"/>
    <w:link w:val="60"/>
    <w:autoRedefine/>
    <w:qFormat/>
    <w:uiPriority w:val="0"/>
    <w:pPr>
      <w:keepNext/>
      <w:keepLines/>
      <w:numPr>
        <w:ilvl w:val="8"/>
        <w:numId w:val="1"/>
      </w:numPr>
      <w:spacing w:before="240" w:after="64" w:line="320" w:lineRule="auto"/>
      <w:outlineLvl w:val="8"/>
    </w:pPr>
    <w:rPr>
      <w:rFonts w:ascii="Arial" w:hAnsi="Arial" w:eastAsia="黑体"/>
    </w:rPr>
  </w:style>
  <w:style w:type="character" w:default="1" w:styleId="40">
    <w:name w:val="Default Paragraph Font"/>
    <w:autoRedefine/>
    <w:qFormat/>
    <w:uiPriority w:val="1"/>
  </w:style>
  <w:style w:type="table" w:default="1" w:styleId="38">
    <w:name w:val="Normal Table"/>
    <w:autoRedefine/>
    <w:qFormat/>
    <w:uiPriority w:val="99"/>
    <w:tblPr>
      <w:tblCellMar>
        <w:top w:w="0" w:type="dxa"/>
        <w:left w:w="108" w:type="dxa"/>
        <w:bottom w:w="0" w:type="dxa"/>
        <w:right w:w="108" w:type="dxa"/>
      </w:tblCellMar>
    </w:tblPr>
  </w:style>
  <w:style w:type="paragraph" w:styleId="2">
    <w:name w:val="Body Text"/>
    <w:basedOn w:val="1"/>
    <w:link w:val="64"/>
    <w:autoRedefine/>
    <w:qFormat/>
    <w:uiPriority w:val="0"/>
    <w:rPr>
      <w:rFonts w:ascii="楷体_GB2312" w:hAnsi="Arial" w:eastAsia="楷体_GB2312"/>
      <w:sz w:val="28"/>
      <w:szCs w:val="28"/>
    </w:rPr>
  </w:style>
  <w:style w:type="paragraph" w:styleId="4">
    <w:name w:val="Normal Indent"/>
    <w:basedOn w:val="1"/>
    <w:next w:val="1"/>
    <w:link w:val="72"/>
    <w:qFormat/>
    <w:uiPriority w:val="0"/>
    <w:pPr>
      <w:ind w:firstLine="420"/>
    </w:pPr>
  </w:style>
  <w:style w:type="paragraph" w:styleId="13">
    <w:name w:val="List 3"/>
    <w:basedOn w:val="1"/>
    <w:autoRedefine/>
    <w:qFormat/>
    <w:uiPriority w:val="0"/>
    <w:pPr>
      <w:ind w:left="100" w:leftChars="400" w:hanging="200" w:hangingChars="200"/>
    </w:pPr>
  </w:style>
  <w:style w:type="paragraph" w:styleId="14">
    <w:name w:val="Document Map"/>
    <w:basedOn w:val="1"/>
    <w:link w:val="91"/>
    <w:qFormat/>
    <w:uiPriority w:val="0"/>
    <w:pPr>
      <w:shd w:val="clear" w:color="auto" w:fill="000080"/>
    </w:pPr>
  </w:style>
  <w:style w:type="paragraph" w:styleId="15">
    <w:name w:val="toa heading"/>
    <w:basedOn w:val="1"/>
    <w:next w:val="1"/>
    <w:autoRedefine/>
    <w:qFormat/>
    <w:uiPriority w:val="0"/>
    <w:pPr>
      <w:spacing w:before="120"/>
    </w:pPr>
    <w:rPr>
      <w:rFonts w:ascii="Cambria" w:hAnsi="Cambria"/>
      <w:sz w:val="24"/>
    </w:rPr>
  </w:style>
  <w:style w:type="paragraph" w:styleId="16">
    <w:name w:val="annotation text"/>
    <w:basedOn w:val="1"/>
    <w:link w:val="205"/>
    <w:qFormat/>
    <w:uiPriority w:val="0"/>
    <w:pPr>
      <w:jc w:val="left"/>
    </w:pPr>
  </w:style>
  <w:style w:type="paragraph" w:styleId="17">
    <w:name w:val="Body Text 3"/>
    <w:basedOn w:val="1"/>
    <w:link w:val="68"/>
    <w:autoRedefine/>
    <w:qFormat/>
    <w:uiPriority w:val="0"/>
    <w:rPr>
      <w:rFonts w:ascii="仿宋_GB2312" w:hAnsi="Arial" w:eastAsia="仿宋_GB2312"/>
      <w:sz w:val="32"/>
      <w:szCs w:val="32"/>
    </w:rPr>
  </w:style>
  <w:style w:type="paragraph" w:styleId="18">
    <w:name w:val="Body Text Indent"/>
    <w:basedOn w:val="1"/>
    <w:next w:val="7"/>
    <w:link w:val="70"/>
    <w:autoRedefine/>
    <w:qFormat/>
    <w:uiPriority w:val="0"/>
    <w:pPr>
      <w:ind w:firstLine="645"/>
    </w:pPr>
    <w:rPr>
      <w:rFonts w:ascii="楷体_GB2312" w:eastAsia="楷体_GB2312"/>
      <w:sz w:val="32"/>
      <w:szCs w:val="32"/>
    </w:rPr>
  </w:style>
  <w:style w:type="paragraph" w:styleId="19">
    <w:name w:val="List 2"/>
    <w:basedOn w:val="1"/>
    <w:qFormat/>
    <w:uiPriority w:val="0"/>
    <w:pPr>
      <w:ind w:left="100" w:leftChars="200" w:hanging="200" w:hangingChars="200"/>
    </w:pPr>
  </w:style>
  <w:style w:type="paragraph" w:styleId="20">
    <w:name w:val="toc 3"/>
    <w:basedOn w:val="21"/>
    <w:next w:val="1"/>
    <w:autoRedefine/>
    <w:qFormat/>
    <w:uiPriority w:val="39"/>
    <w:pPr>
      <w:ind w:left="840" w:leftChars="400"/>
    </w:pPr>
  </w:style>
  <w:style w:type="paragraph" w:styleId="21">
    <w:name w:val="toc 1"/>
    <w:basedOn w:val="1"/>
    <w:next w:val="1"/>
    <w:autoRedefine/>
    <w:qFormat/>
    <w:uiPriority w:val="39"/>
    <w:pPr>
      <w:widowControl/>
      <w:spacing w:after="100" w:line="259" w:lineRule="auto"/>
      <w:jc w:val="left"/>
    </w:pPr>
    <w:rPr>
      <w:rFonts w:ascii="Calibri" w:hAnsi="Calibri"/>
      <w:kern w:val="0"/>
      <w:sz w:val="22"/>
      <w:szCs w:val="22"/>
    </w:rPr>
  </w:style>
  <w:style w:type="paragraph" w:styleId="22">
    <w:name w:val="Plain Text"/>
    <w:basedOn w:val="1"/>
    <w:link w:val="93"/>
    <w:qFormat/>
    <w:uiPriority w:val="0"/>
    <w:rPr>
      <w:rFonts w:ascii="宋体" w:hAnsi="Courier New" w:cs="Courier New"/>
    </w:rPr>
  </w:style>
  <w:style w:type="paragraph" w:styleId="23">
    <w:name w:val="Date"/>
    <w:basedOn w:val="1"/>
    <w:next w:val="1"/>
    <w:link w:val="76"/>
    <w:qFormat/>
    <w:uiPriority w:val="0"/>
    <w:rPr>
      <w:sz w:val="24"/>
      <w:szCs w:val="24"/>
    </w:rPr>
  </w:style>
  <w:style w:type="paragraph" w:styleId="24">
    <w:name w:val="Body Text Indent 2"/>
    <w:basedOn w:val="1"/>
    <w:link w:val="71"/>
    <w:autoRedefine/>
    <w:qFormat/>
    <w:uiPriority w:val="0"/>
    <w:pPr>
      <w:ind w:left="630" w:firstLine="645"/>
    </w:pPr>
    <w:rPr>
      <w:rFonts w:ascii="Arial" w:hAnsi="Arial" w:eastAsia="仿宋_GB2312" w:cs="Arial"/>
      <w:sz w:val="32"/>
      <w:szCs w:val="32"/>
    </w:rPr>
  </w:style>
  <w:style w:type="paragraph" w:styleId="25">
    <w:name w:val="Balloon Text"/>
    <w:basedOn w:val="1"/>
    <w:link w:val="95"/>
    <w:qFormat/>
    <w:uiPriority w:val="0"/>
    <w:rPr>
      <w:sz w:val="18"/>
      <w:szCs w:val="18"/>
    </w:rPr>
  </w:style>
  <w:style w:type="paragraph" w:styleId="26">
    <w:name w:val="footer"/>
    <w:basedOn w:val="1"/>
    <w:link w:val="69"/>
    <w:qFormat/>
    <w:uiPriority w:val="99"/>
    <w:pPr>
      <w:tabs>
        <w:tab w:val="center" w:pos="4153"/>
        <w:tab w:val="right" w:pos="8306"/>
      </w:tabs>
      <w:snapToGrid w:val="0"/>
      <w:jc w:val="left"/>
    </w:pPr>
    <w:rPr>
      <w:rFonts w:cs="Symbol"/>
      <w:color w:val="000000"/>
      <w:sz w:val="18"/>
      <w:szCs w:val="18"/>
    </w:rPr>
  </w:style>
  <w:style w:type="paragraph" w:styleId="27">
    <w:name w:val="header"/>
    <w:basedOn w:val="1"/>
    <w:link w:val="87"/>
    <w:autoRedefine/>
    <w:qFormat/>
    <w:uiPriority w:val="0"/>
    <w:pPr>
      <w:pBdr>
        <w:bottom w:val="single" w:color="auto" w:sz="6" w:space="1"/>
      </w:pBdr>
      <w:tabs>
        <w:tab w:val="center" w:pos="4153"/>
        <w:tab w:val="right" w:pos="8306"/>
      </w:tabs>
      <w:snapToGrid w:val="0"/>
      <w:jc w:val="center"/>
    </w:pPr>
    <w:rPr>
      <w:sz w:val="18"/>
      <w:szCs w:val="18"/>
    </w:rPr>
  </w:style>
  <w:style w:type="paragraph" w:styleId="28">
    <w:name w:val="toc 4"/>
    <w:basedOn w:val="1"/>
    <w:next w:val="1"/>
    <w:qFormat/>
    <w:uiPriority w:val="39"/>
    <w:pPr>
      <w:ind w:left="960"/>
      <w:jc w:val="left"/>
    </w:pPr>
    <w:rPr>
      <w:rFonts w:ascii="Calibri" w:hAnsi="Calibri"/>
      <w:sz w:val="18"/>
      <w:szCs w:val="18"/>
    </w:rPr>
  </w:style>
  <w:style w:type="paragraph" w:styleId="29">
    <w:name w:val="List"/>
    <w:basedOn w:val="1"/>
    <w:qFormat/>
    <w:uiPriority w:val="0"/>
    <w:pPr>
      <w:ind w:left="200" w:hanging="200" w:hangingChars="200"/>
    </w:pPr>
  </w:style>
  <w:style w:type="paragraph" w:styleId="30">
    <w:name w:val="footnote text"/>
    <w:basedOn w:val="1"/>
    <w:link w:val="206"/>
    <w:qFormat/>
    <w:uiPriority w:val="0"/>
    <w:pPr>
      <w:snapToGrid w:val="0"/>
      <w:jc w:val="left"/>
    </w:pPr>
    <w:rPr>
      <w:sz w:val="18"/>
    </w:rPr>
  </w:style>
  <w:style w:type="paragraph" w:styleId="31">
    <w:name w:val="Body Text Indent 3"/>
    <w:basedOn w:val="1"/>
    <w:link w:val="86"/>
    <w:qFormat/>
    <w:uiPriority w:val="0"/>
    <w:pPr>
      <w:ind w:left="645" w:firstLine="645"/>
    </w:pPr>
    <w:rPr>
      <w:rFonts w:ascii="Arial" w:hAnsi="Arial" w:eastAsia="仿宋_GB2312" w:cs="Arial"/>
      <w:color w:val="FFFF00"/>
      <w:sz w:val="32"/>
      <w:szCs w:val="32"/>
    </w:rPr>
  </w:style>
  <w:style w:type="paragraph" w:styleId="32">
    <w:name w:val="toc 2"/>
    <w:basedOn w:val="21"/>
    <w:next w:val="1"/>
    <w:autoRedefine/>
    <w:qFormat/>
    <w:uiPriority w:val="39"/>
    <w:pPr>
      <w:ind w:left="210"/>
    </w:pPr>
    <w:rPr>
      <w:smallCaps/>
      <w:szCs w:val="24"/>
    </w:rPr>
  </w:style>
  <w:style w:type="paragraph" w:styleId="33">
    <w:name w:val="Body Text 2"/>
    <w:basedOn w:val="1"/>
    <w:link w:val="92"/>
    <w:autoRedefine/>
    <w:qFormat/>
    <w:uiPriority w:val="0"/>
    <w:pPr>
      <w:widowControl/>
      <w:jc w:val="center"/>
    </w:pPr>
    <w:rPr>
      <w:rFonts w:ascii="楷体_GB2312" w:eastAsia="楷体_GB2312"/>
      <w:sz w:val="28"/>
      <w:szCs w:val="28"/>
    </w:rPr>
  </w:style>
  <w:style w:type="paragraph" w:styleId="34">
    <w:name w:val="Normal (Web)"/>
    <w:basedOn w:val="1"/>
    <w:next w:val="1"/>
    <w:qFormat/>
    <w:uiPriority w:val="0"/>
    <w:pPr>
      <w:widowControl/>
      <w:spacing w:before="100" w:beforeAutospacing="1" w:after="100" w:afterAutospacing="1"/>
      <w:jc w:val="left"/>
    </w:pPr>
    <w:rPr>
      <w:rFonts w:ascii="宋体" w:hAnsi="宋体" w:cs="宋体"/>
      <w:kern w:val="0"/>
      <w:sz w:val="24"/>
      <w:szCs w:val="24"/>
    </w:rPr>
  </w:style>
  <w:style w:type="paragraph" w:styleId="35">
    <w:name w:val="annotation subject"/>
    <w:basedOn w:val="16"/>
    <w:next w:val="16"/>
    <w:link w:val="88"/>
    <w:autoRedefine/>
    <w:qFormat/>
    <w:uiPriority w:val="0"/>
    <w:rPr>
      <w:b/>
      <w:bCs/>
    </w:rPr>
  </w:style>
  <w:style w:type="paragraph" w:styleId="36">
    <w:name w:val="Body Text First Indent"/>
    <w:basedOn w:val="2"/>
    <w:link w:val="90"/>
    <w:autoRedefine/>
    <w:qFormat/>
    <w:uiPriority w:val="0"/>
    <w:pPr>
      <w:spacing w:line="360" w:lineRule="auto"/>
      <w:ind w:firstLine="200" w:firstLineChars="200"/>
    </w:pPr>
    <w:rPr>
      <w:rFonts w:ascii="仿宋_GB2312" w:eastAsia="仿宋_GB2312"/>
      <w:sz w:val="30"/>
      <w:szCs w:val="30"/>
    </w:rPr>
  </w:style>
  <w:style w:type="paragraph" w:styleId="37">
    <w:name w:val="Body Text First Indent 2"/>
    <w:basedOn w:val="18"/>
    <w:next w:val="1"/>
    <w:link w:val="73"/>
    <w:qFormat/>
    <w:uiPriority w:val="0"/>
    <w:pPr>
      <w:spacing w:line="360" w:lineRule="auto"/>
      <w:ind w:firstLine="420" w:firstLineChars="200"/>
    </w:pPr>
    <w:rPr>
      <w:rFonts w:ascii="宋体" w:hAnsi="宋体" w:eastAsia="宋体"/>
      <w:sz w:val="21"/>
      <w:szCs w:val="20"/>
    </w:rPr>
  </w:style>
  <w:style w:type="table" w:styleId="39">
    <w:name w:val="Table Grid"/>
    <w:basedOn w:val="3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1">
    <w:name w:val="Strong"/>
    <w:basedOn w:val="40"/>
    <w:autoRedefine/>
    <w:qFormat/>
    <w:uiPriority w:val="0"/>
    <w:rPr>
      <w:b/>
      <w:bCs/>
    </w:rPr>
  </w:style>
  <w:style w:type="character" w:styleId="42">
    <w:name w:val="page number"/>
    <w:basedOn w:val="40"/>
    <w:autoRedefine/>
    <w:qFormat/>
    <w:uiPriority w:val="0"/>
  </w:style>
  <w:style w:type="character" w:styleId="43">
    <w:name w:val="FollowedHyperlink"/>
    <w:autoRedefine/>
    <w:qFormat/>
    <w:uiPriority w:val="99"/>
    <w:rPr>
      <w:color w:val="800080"/>
      <w:u w:val="single"/>
    </w:rPr>
  </w:style>
  <w:style w:type="character" w:styleId="44">
    <w:name w:val="Emphasis"/>
    <w:basedOn w:val="40"/>
    <w:autoRedefine/>
    <w:qFormat/>
    <w:uiPriority w:val="0"/>
  </w:style>
  <w:style w:type="character" w:styleId="45">
    <w:name w:val="HTML Definition"/>
    <w:basedOn w:val="40"/>
    <w:autoRedefine/>
    <w:qFormat/>
    <w:uiPriority w:val="0"/>
  </w:style>
  <w:style w:type="character" w:styleId="46">
    <w:name w:val="HTML Typewriter"/>
    <w:basedOn w:val="40"/>
    <w:autoRedefine/>
    <w:qFormat/>
    <w:uiPriority w:val="0"/>
    <w:rPr>
      <w:rFonts w:hint="default" w:ascii="monospace" w:hAnsi="monospace" w:eastAsia="monospace" w:cs="monospace"/>
      <w:sz w:val="20"/>
    </w:rPr>
  </w:style>
  <w:style w:type="character" w:styleId="47">
    <w:name w:val="HTML Acronym"/>
    <w:basedOn w:val="40"/>
    <w:autoRedefine/>
    <w:qFormat/>
    <w:uiPriority w:val="0"/>
  </w:style>
  <w:style w:type="character" w:styleId="48">
    <w:name w:val="HTML Variable"/>
    <w:basedOn w:val="40"/>
    <w:autoRedefine/>
    <w:qFormat/>
    <w:uiPriority w:val="0"/>
  </w:style>
  <w:style w:type="character" w:styleId="49">
    <w:name w:val="Hyperlink"/>
    <w:autoRedefine/>
    <w:qFormat/>
    <w:uiPriority w:val="99"/>
    <w:rPr>
      <w:color w:val="0000FF"/>
      <w:u w:val="single"/>
    </w:rPr>
  </w:style>
  <w:style w:type="character" w:styleId="50">
    <w:name w:val="HTML Code"/>
    <w:basedOn w:val="40"/>
    <w:autoRedefine/>
    <w:qFormat/>
    <w:uiPriority w:val="0"/>
    <w:rPr>
      <w:rFonts w:hint="default" w:ascii="monospace" w:hAnsi="monospace" w:eastAsia="monospace" w:cs="monospace"/>
      <w:sz w:val="20"/>
    </w:rPr>
  </w:style>
  <w:style w:type="character" w:styleId="51">
    <w:name w:val="annotation reference"/>
    <w:autoRedefine/>
    <w:qFormat/>
    <w:uiPriority w:val="0"/>
    <w:rPr>
      <w:sz w:val="21"/>
      <w:szCs w:val="21"/>
    </w:rPr>
  </w:style>
  <w:style w:type="character" w:styleId="52">
    <w:name w:val="HTML Cite"/>
    <w:basedOn w:val="40"/>
    <w:autoRedefine/>
    <w:qFormat/>
    <w:uiPriority w:val="0"/>
  </w:style>
  <w:style w:type="character" w:styleId="53">
    <w:name w:val="HTML Keyboard"/>
    <w:basedOn w:val="40"/>
    <w:autoRedefine/>
    <w:qFormat/>
    <w:uiPriority w:val="0"/>
    <w:rPr>
      <w:rFonts w:hint="default" w:ascii="monospace" w:hAnsi="monospace" w:eastAsia="monospace" w:cs="monospace"/>
      <w:sz w:val="20"/>
    </w:rPr>
  </w:style>
  <w:style w:type="character" w:styleId="54">
    <w:name w:val="HTML Sample"/>
    <w:basedOn w:val="40"/>
    <w:autoRedefine/>
    <w:qFormat/>
    <w:uiPriority w:val="0"/>
    <w:rPr>
      <w:rFonts w:ascii="monospace" w:hAnsi="monospace" w:eastAsia="monospace" w:cs="monospace"/>
    </w:rPr>
  </w:style>
  <w:style w:type="paragraph" w:customStyle="1" w:styleId="55">
    <w:name w:val="Heading2"/>
    <w:basedOn w:val="1"/>
    <w:next w:val="1"/>
    <w:autoRedefine/>
    <w:qFormat/>
    <w:uiPriority w:val="0"/>
    <w:pPr>
      <w:keepNext/>
      <w:keepLines/>
      <w:numPr>
        <w:ilvl w:val="1"/>
        <w:numId w:val="2"/>
      </w:numPr>
      <w:spacing w:before="260" w:after="260" w:line="416" w:lineRule="auto"/>
    </w:pPr>
    <w:rPr>
      <w:rFonts w:ascii="宋体" w:hAnsi="宋体"/>
      <w:b/>
      <w:bCs/>
      <w:sz w:val="32"/>
      <w:szCs w:val="32"/>
    </w:rPr>
  </w:style>
  <w:style w:type="character" w:customStyle="1" w:styleId="56">
    <w:name w:val="标题 1 Char"/>
    <w:link w:val="3"/>
    <w:autoRedefine/>
    <w:qFormat/>
    <w:uiPriority w:val="9"/>
    <w:rPr>
      <w:rFonts w:ascii="楷体_GB2312" w:hAnsi="楷体_GB2312"/>
      <w:b/>
      <w:kern w:val="2"/>
      <w:sz w:val="32"/>
      <w:szCs w:val="32"/>
    </w:rPr>
  </w:style>
  <w:style w:type="character" w:customStyle="1" w:styleId="57">
    <w:name w:val="标题 4 Char"/>
    <w:link w:val="7"/>
    <w:autoRedefine/>
    <w:qFormat/>
    <w:uiPriority w:val="0"/>
    <w:rPr>
      <w:rFonts w:ascii="Arial" w:hAnsi="Arial" w:eastAsia="宋体" w:cs="Arial"/>
      <w:b/>
      <w:kern w:val="2"/>
      <w:sz w:val="28"/>
      <w:szCs w:val="28"/>
      <w:lang w:val="en-US" w:eastAsia="zh-CN" w:bidi="ar-SA"/>
    </w:rPr>
  </w:style>
  <w:style w:type="paragraph" w:customStyle="1" w:styleId="58">
    <w:name w:val="标题 5（有编号）（绿盟科技）"/>
    <w:basedOn w:val="1"/>
    <w:next w:val="59"/>
    <w:autoRedefine/>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59">
    <w:name w:val="正文（绿盟科技）"/>
    <w:autoRedefine/>
    <w:qFormat/>
    <w:uiPriority w:val="0"/>
    <w:pPr>
      <w:spacing w:line="300" w:lineRule="auto"/>
    </w:pPr>
    <w:rPr>
      <w:rFonts w:ascii="Arial" w:hAnsi="Arial" w:eastAsia="宋体" w:cs="黑体"/>
      <w:sz w:val="21"/>
      <w:szCs w:val="21"/>
      <w:lang w:val="en-US" w:eastAsia="zh-CN" w:bidi="ar-SA"/>
    </w:rPr>
  </w:style>
  <w:style w:type="character" w:customStyle="1" w:styleId="60">
    <w:name w:val="标题 9 Char"/>
    <w:link w:val="12"/>
    <w:autoRedefine/>
    <w:qFormat/>
    <w:uiPriority w:val="0"/>
    <w:rPr>
      <w:rFonts w:ascii="Arial" w:hAnsi="Arial" w:eastAsia="黑体"/>
      <w:kern w:val="2"/>
      <w:sz w:val="21"/>
      <w:szCs w:val="21"/>
      <w:lang w:val="en-US" w:eastAsia="zh-CN" w:bidi="ar-SA"/>
    </w:rPr>
  </w:style>
  <w:style w:type="character" w:customStyle="1" w:styleId="61">
    <w:name w:val="正文缩进 Char"/>
    <w:autoRedefine/>
    <w:qFormat/>
    <w:uiPriority w:val="0"/>
    <w:rPr>
      <w:kern w:val="2"/>
      <w:sz w:val="21"/>
      <w:szCs w:val="21"/>
    </w:rPr>
  </w:style>
  <w:style w:type="character" w:customStyle="1" w:styleId="62">
    <w:name w:val="列出段落 Char"/>
    <w:link w:val="63"/>
    <w:autoRedefine/>
    <w:qFormat/>
    <w:uiPriority w:val="0"/>
    <w:rPr>
      <w:rFonts w:ascii="Calibri" w:hAnsi="Calibri"/>
      <w:sz w:val="24"/>
      <w:szCs w:val="24"/>
      <w:lang w:eastAsia="en-US" w:bidi="en-US"/>
    </w:rPr>
  </w:style>
  <w:style w:type="paragraph" w:customStyle="1" w:styleId="63">
    <w:name w:val="列出段落11"/>
    <w:basedOn w:val="1"/>
    <w:link w:val="62"/>
    <w:autoRedefine/>
    <w:qFormat/>
    <w:uiPriority w:val="0"/>
    <w:pPr>
      <w:widowControl/>
      <w:ind w:left="720"/>
      <w:contextualSpacing/>
      <w:jc w:val="left"/>
    </w:pPr>
    <w:rPr>
      <w:rFonts w:ascii="Calibri" w:hAnsi="Calibri"/>
      <w:kern w:val="0"/>
      <w:sz w:val="24"/>
      <w:szCs w:val="24"/>
      <w:lang w:eastAsia="en-US" w:bidi="en-US"/>
    </w:rPr>
  </w:style>
  <w:style w:type="character" w:customStyle="1" w:styleId="64">
    <w:name w:val="正文文本 Char"/>
    <w:link w:val="2"/>
    <w:autoRedefine/>
    <w:qFormat/>
    <w:uiPriority w:val="0"/>
    <w:rPr>
      <w:rFonts w:ascii="楷体_GB2312" w:hAnsi="Arial" w:eastAsia="楷体_GB2312"/>
      <w:kern w:val="2"/>
      <w:sz w:val="28"/>
      <w:szCs w:val="28"/>
      <w:lang w:val="en-US" w:eastAsia="zh-CN" w:bidi="ar-SA"/>
    </w:rPr>
  </w:style>
  <w:style w:type="character" w:customStyle="1" w:styleId="65">
    <w:name w:val="标题 7 Char"/>
    <w:link w:val="10"/>
    <w:autoRedefine/>
    <w:qFormat/>
    <w:uiPriority w:val="0"/>
    <w:rPr>
      <w:rFonts w:eastAsia="宋体"/>
      <w:b/>
      <w:bCs/>
      <w:kern w:val="2"/>
      <w:sz w:val="24"/>
      <w:szCs w:val="24"/>
      <w:lang w:val="en-US" w:eastAsia="zh-CN" w:bidi="ar-SA"/>
    </w:rPr>
  </w:style>
  <w:style w:type="character" w:customStyle="1" w:styleId="66">
    <w:name w:val="标题 8 Char"/>
    <w:link w:val="11"/>
    <w:autoRedefine/>
    <w:qFormat/>
    <w:uiPriority w:val="0"/>
    <w:rPr>
      <w:rFonts w:ascii="Arial" w:hAnsi="Arial" w:eastAsia="黑体"/>
      <w:kern w:val="2"/>
      <w:sz w:val="24"/>
      <w:szCs w:val="24"/>
      <w:lang w:val="en-US" w:eastAsia="zh-CN" w:bidi="ar-SA"/>
    </w:rPr>
  </w:style>
  <w:style w:type="character" w:customStyle="1" w:styleId="67">
    <w:name w:val="正文首行缩进 Char"/>
    <w:autoRedefine/>
    <w:qFormat/>
    <w:uiPriority w:val="0"/>
    <w:rPr>
      <w:rFonts w:ascii="仿宋_GB2312" w:hAnsi="Times New Roman" w:eastAsia="仿宋_GB2312" w:cs="Times New Roman"/>
      <w:kern w:val="2"/>
      <w:sz w:val="30"/>
      <w:szCs w:val="30"/>
    </w:rPr>
  </w:style>
  <w:style w:type="character" w:customStyle="1" w:styleId="68">
    <w:name w:val="正文文本 3 Char"/>
    <w:link w:val="17"/>
    <w:autoRedefine/>
    <w:qFormat/>
    <w:uiPriority w:val="0"/>
    <w:rPr>
      <w:rFonts w:ascii="仿宋_GB2312" w:hAnsi="Arial" w:eastAsia="仿宋_GB2312"/>
      <w:kern w:val="2"/>
      <w:sz w:val="32"/>
      <w:szCs w:val="32"/>
      <w:lang w:val="en-US" w:eastAsia="zh-CN" w:bidi="ar-SA"/>
    </w:rPr>
  </w:style>
  <w:style w:type="character" w:customStyle="1" w:styleId="69">
    <w:name w:val="页脚 Char"/>
    <w:link w:val="26"/>
    <w:qFormat/>
    <w:uiPriority w:val="99"/>
    <w:rPr>
      <w:rFonts w:eastAsia="宋体" w:cs="Symbol"/>
      <w:color w:val="000000"/>
      <w:kern w:val="2"/>
      <w:sz w:val="18"/>
      <w:szCs w:val="18"/>
      <w:lang w:bidi="ar-SA"/>
    </w:rPr>
  </w:style>
  <w:style w:type="character" w:customStyle="1" w:styleId="70">
    <w:name w:val="正文文本缩进 Char"/>
    <w:link w:val="18"/>
    <w:autoRedefine/>
    <w:qFormat/>
    <w:uiPriority w:val="0"/>
    <w:rPr>
      <w:rFonts w:ascii="楷体_GB2312" w:eastAsia="楷体_GB2312"/>
      <w:kern w:val="2"/>
      <w:sz w:val="32"/>
      <w:szCs w:val="32"/>
      <w:lang w:val="en-US" w:eastAsia="zh-CN" w:bidi="ar-SA"/>
    </w:rPr>
  </w:style>
  <w:style w:type="character" w:customStyle="1" w:styleId="71">
    <w:name w:val="正文文本缩进 2 Char"/>
    <w:link w:val="24"/>
    <w:autoRedefine/>
    <w:qFormat/>
    <w:uiPriority w:val="0"/>
    <w:rPr>
      <w:rFonts w:ascii="Arial" w:hAnsi="Arial" w:eastAsia="仿宋_GB2312" w:cs="Arial"/>
      <w:kern w:val="2"/>
      <w:sz w:val="32"/>
      <w:szCs w:val="32"/>
      <w:lang w:val="en-US" w:eastAsia="zh-CN" w:bidi="ar-SA"/>
    </w:rPr>
  </w:style>
  <w:style w:type="character" w:customStyle="1" w:styleId="72">
    <w:name w:val="正文缩进 Char1"/>
    <w:link w:val="4"/>
    <w:autoRedefine/>
    <w:qFormat/>
    <w:uiPriority w:val="0"/>
    <w:rPr>
      <w:rFonts w:eastAsia="宋体"/>
      <w:kern w:val="2"/>
      <w:sz w:val="21"/>
      <w:szCs w:val="21"/>
      <w:lang w:bidi="ar-SA"/>
    </w:rPr>
  </w:style>
  <w:style w:type="character" w:customStyle="1" w:styleId="73">
    <w:name w:val="正文首行缩进 2 Char"/>
    <w:link w:val="37"/>
    <w:autoRedefine/>
    <w:qFormat/>
    <w:uiPriority w:val="0"/>
    <w:rPr>
      <w:rFonts w:ascii="宋体" w:hAnsi="宋体" w:eastAsia="宋体"/>
      <w:kern w:val="2"/>
      <w:sz w:val="21"/>
      <w:lang w:val="en-US" w:eastAsia="zh-CN" w:bidi="ar-SA"/>
    </w:rPr>
  </w:style>
  <w:style w:type="character" w:customStyle="1" w:styleId="74">
    <w:name w:val="正文首行缩进（qhb） Char"/>
    <w:link w:val="75"/>
    <w:autoRedefine/>
    <w:qFormat/>
    <w:uiPriority w:val="0"/>
    <w:rPr>
      <w:rFonts w:ascii="Arial" w:hAnsi="Arial"/>
      <w:sz w:val="24"/>
      <w:szCs w:val="21"/>
    </w:rPr>
  </w:style>
  <w:style w:type="paragraph" w:customStyle="1" w:styleId="75">
    <w:name w:val="正文首行缩进（qhb）"/>
    <w:basedOn w:val="1"/>
    <w:link w:val="74"/>
    <w:autoRedefine/>
    <w:qFormat/>
    <w:uiPriority w:val="0"/>
    <w:pPr>
      <w:widowControl/>
      <w:spacing w:after="50" w:line="360" w:lineRule="auto"/>
      <w:ind w:firstLine="200" w:firstLineChars="200"/>
      <w:jc w:val="left"/>
    </w:pPr>
    <w:rPr>
      <w:rFonts w:ascii="Arial" w:hAnsi="Arial"/>
      <w:kern w:val="0"/>
      <w:sz w:val="24"/>
    </w:rPr>
  </w:style>
  <w:style w:type="character" w:customStyle="1" w:styleId="76">
    <w:name w:val="日期 Char"/>
    <w:link w:val="23"/>
    <w:autoRedefine/>
    <w:qFormat/>
    <w:uiPriority w:val="0"/>
    <w:rPr>
      <w:rFonts w:eastAsia="宋体"/>
      <w:kern w:val="2"/>
      <w:sz w:val="24"/>
      <w:szCs w:val="24"/>
      <w:lang w:val="en-US" w:eastAsia="zh-CN" w:bidi="ar-SA"/>
    </w:rPr>
  </w:style>
  <w:style w:type="character" w:customStyle="1" w:styleId="77">
    <w:name w:val="font5 Char"/>
    <w:qFormat/>
    <w:uiPriority w:val="0"/>
    <w:rPr>
      <w:rFonts w:ascii="宋体" w:hAnsi="宋体" w:eastAsia="宋体"/>
      <w:sz w:val="28"/>
      <w:szCs w:val="28"/>
      <w:lang w:val="en-US" w:eastAsia="zh-CN" w:bidi="ar-SA"/>
    </w:rPr>
  </w:style>
  <w:style w:type="character" w:customStyle="1" w:styleId="78">
    <w:name w:val="Char Char2"/>
    <w:autoRedefine/>
    <w:qFormat/>
    <w:uiPriority w:val="0"/>
    <w:rPr>
      <w:rFonts w:ascii="Times New Roman" w:hAnsi="Times New Roman" w:eastAsia="宋体" w:cs="Times New Roman"/>
      <w:szCs w:val="21"/>
    </w:rPr>
  </w:style>
  <w:style w:type="character" w:customStyle="1" w:styleId="79">
    <w:name w:val="正文格式 Char"/>
    <w:link w:val="80"/>
    <w:autoRedefine/>
    <w:qFormat/>
    <w:uiPriority w:val="0"/>
    <w:rPr>
      <w:rFonts w:eastAsia="仿宋_GB2312"/>
      <w:sz w:val="28"/>
      <w:lang w:bidi="ar-SA"/>
    </w:rPr>
  </w:style>
  <w:style w:type="paragraph" w:customStyle="1" w:styleId="80">
    <w:name w:val="正文格式"/>
    <w:basedOn w:val="1"/>
    <w:link w:val="79"/>
    <w:autoRedefine/>
    <w:qFormat/>
    <w:uiPriority w:val="0"/>
    <w:pPr>
      <w:widowControl/>
      <w:adjustRightInd w:val="0"/>
      <w:snapToGrid w:val="0"/>
      <w:spacing w:before="100" w:beforeAutospacing="1" w:line="360" w:lineRule="auto"/>
      <w:ind w:firstLine="200" w:firstLineChars="200"/>
      <w:textAlignment w:val="baseline"/>
    </w:pPr>
    <w:rPr>
      <w:rFonts w:eastAsia="仿宋_GB2312"/>
      <w:kern w:val="0"/>
      <w:sz w:val="28"/>
      <w:szCs w:val="20"/>
    </w:rPr>
  </w:style>
  <w:style w:type="character" w:customStyle="1" w:styleId="81">
    <w:name w:val="二级目录 Char"/>
    <w:link w:val="82"/>
    <w:autoRedefine/>
    <w:qFormat/>
    <w:uiPriority w:val="0"/>
    <w:rPr>
      <w:rFonts w:eastAsia="Times New Roman"/>
      <w:b/>
      <w:kern w:val="2"/>
      <w:sz w:val="30"/>
      <w:szCs w:val="28"/>
      <w:lang w:val="en-US" w:eastAsia="zh-CN" w:bidi="ar-SA"/>
    </w:rPr>
  </w:style>
  <w:style w:type="paragraph" w:customStyle="1" w:styleId="82">
    <w:name w:val="二级目录"/>
    <w:next w:val="1"/>
    <w:link w:val="81"/>
    <w:autoRedefine/>
    <w:qFormat/>
    <w:uiPriority w:val="0"/>
    <w:pPr>
      <w:tabs>
        <w:tab w:val="left" w:pos="907"/>
        <w:tab w:val="left" w:pos="1145"/>
      </w:tabs>
      <w:ind w:left="907" w:hanging="907"/>
      <w:outlineLvl w:val="1"/>
    </w:pPr>
    <w:rPr>
      <w:rFonts w:ascii="Times New Roman" w:hAnsi="Times New Roman" w:eastAsia="Times New Roman" w:cs="Times New Roman"/>
      <w:b/>
      <w:kern w:val="2"/>
      <w:sz w:val="30"/>
      <w:szCs w:val="28"/>
      <w:lang w:val="en-US" w:eastAsia="zh-CN" w:bidi="ar-SA"/>
    </w:rPr>
  </w:style>
  <w:style w:type="character" w:customStyle="1" w:styleId="83">
    <w:name w:val="Char Char6"/>
    <w:autoRedefine/>
    <w:qFormat/>
    <w:uiPriority w:val="0"/>
    <w:rPr>
      <w:rFonts w:ascii="Times New Roman" w:hAnsi="Times New Roman" w:eastAsia="宋体" w:cs="Times New Roman"/>
      <w:sz w:val="18"/>
      <w:szCs w:val="18"/>
    </w:rPr>
  </w:style>
  <w:style w:type="character" w:customStyle="1" w:styleId="84">
    <w:name w:val="标题 3 Char"/>
    <w:link w:val="6"/>
    <w:autoRedefine/>
    <w:qFormat/>
    <w:uiPriority w:val="0"/>
    <w:rPr>
      <w:rFonts w:ascii="Times New Roman" w:hAnsi="Times New Roman" w:eastAsia="宋体"/>
      <w:b/>
      <w:bCs/>
      <w:kern w:val="2"/>
      <w:sz w:val="28"/>
      <w:szCs w:val="32"/>
      <w:lang w:val="en-US" w:eastAsia="zh-CN" w:bidi="ar-SA"/>
    </w:rPr>
  </w:style>
  <w:style w:type="character" w:customStyle="1" w:styleId="85">
    <w:name w:val="标题 6 Char"/>
    <w:link w:val="9"/>
    <w:qFormat/>
    <w:uiPriority w:val="0"/>
    <w:rPr>
      <w:rFonts w:ascii="Arial" w:hAnsi="Arial" w:eastAsia="黑体"/>
      <w:b/>
      <w:bCs/>
      <w:kern w:val="2"/>
      <w:sz w:val="24"/>
      <w:szCs w:val="24"/>
      <w:lang w:val="en-US" w:eastAsia="zh-CN" w:bidi="ar-SA"/>
    </w:rPr>
  </w:style>
  <w:style w:type="character" w:customStyle="1" w:styleId="86">
    <w:name w:val="正文文本缩进 3 Char"/>
    <w:link w:val="31"/>
    <w:qFormat/>
    <w:uiPriority w:val="0"/>
    <w:rPr>
      <w:rFonts w:ascii="Arial" w:hAnsi="Arial" w:eastAsia="仿宋_GB2312" w:cs="Arial"/>
      <w:color w:val="FFFF00"/>
      <w:kern w:val="2"/>
      <w:sz w:val="32"/>
      <w:szCs w:val="32"/>
      <w:lang w:val="en-US" w:eastAsia="zh-CN" w:bidi="ar-SA"/>
    </w:rPr>
  </w:style>
  <w:style w:type="character" w:customStyle="1" w:styleId="87">
    <w:name w:val="页眉 Char"/>
    <w:link w:val="27"/>
    <w:qFormat/>
    <w:uiPriority w:val="0"/>
    <w:rPr>
      <w:rFonts w:eastAsia="宋体"/>
      <w:kern w:val="2"/>
      <w:sz w:val="18"/>
      <w:szCs w:val="18"/>
      <w:lang w:val="en-US" w:eastAsia="zh-CN" w:bidi="ar-SA"/>
    </w:rPr>
  </w:style>
  <w:style w:type="character" w:customStyle="1" w:styleId="88">
    <w:name w:val="批注主题 Char"/>
    <w:link w:val="35"/>
    <w:qFormat/>
    <w:uiPriority w:val="0"/>
    <w:rPr>
      <w:rFonts w:eastAsia="宋体"/>
      <w:b/>
      <w:bCs/>
      <w:kern w:val="2"/>
      <w:sz w:val="21"/>
      <w:szCs w:val="21"/>
      <w:lang w:val="en-US" w:eastAsia="zh-CN" w:bidi="ar-SA"/>
    </w:rPr>
  </w:style>
  <w:style w:type="character" w:customStyle="1" w:styleId="89">
    <w:name w:val="标题 2 Char"/>
    <w:link w:val="5"/>
    <w:autoRedefine/>
    <w:qFormat/>
    <w:uiPriority w:val="0"/>
    <w:rPr>
      <w:rFonts w:ascii="Arial" w:hAnsi="Arial" w:eastAsia="宋体" w:cs="Arial"/>
      <w:b/>
      <w:bCs/>
      <w:kern w:val="2"/>
      <w:sz w:val="30"/>
      <w:szCs w:val="30"/>
      <w:lang w:val="en-US" w:eastAsia="zh-CN" w:bidi="ar-SA"/>
    </w:rPr>
  </w:style>
  <w:style w:type="character" w:customStyle="1" w:styleId="90">
    <w:name w:val="正文首行缩进 Char1"/>
    <w:link w:val="36"/>
    <w:autoRedefine/>
    <w:qFormat/>
    <w:uiPriority w:val="0"/>
    <w:rPr>
      <w:rFonts w:ascii="仿宋_GB2312" w:eastAsia="仿宋_GB2312"/>
      <w:kern w:val="2"/>
      <w:sz w:val="30"/>
      <w:szCs w:val="30"/>
      <w:lang w:val="en-US" w:eastAsia="zh-CN" w:bidi="ar-SA"/>
    </w:rPr>
  </w:style>
  <w:style w:type="character" w:customStyle="1" w:styleId="91">
    <w:name w:val="文档结构图 Char"/>
    <w:link w:val="14"/>
    <w:autoRedefine/>
    <w:qFormat/>
    <w:uiPriority w:val="0"/>
    <w:rPr>
      <w:rFonts w:eastAsia="宋体"/>
      <w:kern w:val="2"/>
      <w:sz w:val="21"/>
      <w:szCs w:val="21"/>
      <w:lang w:bidi="ar-SA"/>
    </w:rPr>
  </w:style>
  <w:style w:type="character" w:customStyle="1" w:styleId="92">
    <w:name w:val="正文文本 2 Char"/>
    <w:link w:val="33"/>
    <w:qFormat/>
    <w:uiPriority w:val="0"/>
    <w:rPr>
      <w:rFonts w:ascii="楷体_GB2312" w:eastAsia="楷体_GB2312"/>
      <w:kern w:val="2"/>
      <w:sz w:val="28"/>
      <w:szCs w:val="28"/>
      <w:lang w:val="en-US" w:eastAsia="zh-CN" w:bidi="ar-SA"/>
    </w:rPr>
  </w:style>
  <w:style w:type="character" w:customStyle="1" w:styleId="93">
    <w:name w:val="纯文本 Char"/>
    <w:link w:val="22"/>
    <w:qFormat/>
    <w:uiPriority w:val="0"/>
    <w:rPr>
      <w:rFonts w:ascii="宋体" w:hAnsi="Courier New" w:eastAsia="宋体" w:cs="Courier New"/>
      <w:kern w:val="2"/>
      <w:sz w:val="21"/>
      <w:szCs w:val="21"/>
      <w:lang w:val="en-US" w:eastAsia="zh-CN" w:bidi="ar-SA"/>
    </w:rPr>
  </w:style>
  <w:style w:type="character" w:customStyle="1" w:styleId="94">
    <w:name w:val="标题 5 Char"/>
    <w:link w:val="8"/>
    <w:qFormat/>
    <w:uiPriority w:val="0"/>
    <w:rPr>
      <w:rFonts w:ascii="宋体" w:eastAsia="宋体"/>
      <w:color w:val="000000"/>
      <w:sz w:val="28"/>
      <w:szCs w:val="28"/>
      <w:lang w:val="en-US" w:eastAsia="zh-CN" w:bidi="ar-SA"/>
    </w:rPr>
  </w:style>
  <w:style w:type="character" w:customStyle="1" w:styleId="95">
    <w:name w:val="批注框文本 Char"/>
    <w:link w:val="25"/>
    <w:autoRedefine/>
    <w:qFormat/>
    <w:uiPriority w:val="0"/>
    <w:rPr>
      <w:rFonts w:eastAsia="宋体"/>
      <w:kern w:val="2"/>
      <w:sz w:val="18"/>
      <w:szCs w:val="18"/>
      <w:lang w:val="en-US" w:eastAsia="zh-CN" w:bidi="ar-SA"/>
    </w:rPr>
  </w:style>
  <w:style w:type="paragraph" w:customStyle="1" w:styleId="96">
    <w:name w:val="font7"/>
    <w:basedOn w:val="1"/>
    <w:autoRedefine/>
    <w:qFormat/>
    <w:uiPriority w:val="0"/>
    <w:pPr>
      <w:widowControl/>
      <w:numPr>
        <w:ilvl w:val="0"/>
        <w:numId w:val="4"/>
      </w:numPr>
      <w:tabs>
        <w:tab w:val="clear" w:pos="709"/>
      </w:tabs>
      <w:spacing w:before="100" w:beforeAutospacing="1" w:after="100" w:afterAutospacing="1"/>
      <w:ind w:left="0" w:firstLine="0"/>
      <w:jc w:val="left"/>
    </w:pPr>
    <w:rPr>
      <w:rFonts w:hint="eastAsia" w:ascii="宋体" w:hAnsi="宋体"/>
      <w:kern w:val="0"/>
      <w:sz w:val="18"/>
      <w:szCs w:val="18"/>
    </w:rPr>
  </w:style>
  <w:style w:type="paragraph" w:customStyle="1" w:styleId="97">
    <w:name w:val="xl2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98">
    <w:name w:val="p1"/>
    <w:basedOn w:val="1"/>
    <w:qFormat/>
    <w:uiPriority w:val="0"/>
    <w:pPr>
      <w:spacing w:line="380" w:lineRule="atLeast"/>
      <w:jc w:val="left"/>
    </w:pPr>
    <w:rPr>
      <w:rFonts w:ascii="Helvetica Neue" w:hAnsi="Helvetica Neue" w:eastAsia="Helvetica Neue"/>
      <w:kern w:val="0"/>
      <w:sz w:val="26"/>
      <w:szCs w:val="26"/>
    </w:rPr>
  </w:style>
  <w:style w:type="paragraph" w:customStyle="1" w:styleId="99">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100">
    <w:name w:val="标题3"/>
    <w:basedOn w:val="1"/>
    <w:next w:val="1"/>
    <w:autoRedefine/>
    <w:qFormat/>
    <w:uiPriority w:val="0"/>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101">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102">
    <w:name w:val="xl25"/>
    <w:basedOn w:val="1"/>
    <w:autoRedefine/>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03">
    <w:name w:val="font6"/>
    <w:basedOn w:val="1"/>
    <w:autoRedefine/>
    <w:qFormat/>
    <w:uiPriority w:val="0"/>
    <w:pPr>
      <w:widowControl/>
      <w:spacing w:before="100" w:beforeAutospacing="1" w:after="100" w:afterAutospacing="1"/>
      <w:jc w:val="left"/>
    </w:pPr>
    <w:rPr>
      <w:rFonts w:hint="eastAsia" w:ascii="宋体" w:hAnsi="宋体"/>
      <w:kern w:val="0"/>
      <w:sz w:val="28"/>
      <w:szCs w:val="28"/>
      <w:u w:val="single"/>
    </w:rPr>
  </w:style>
  <w:style w:type="paragraph" w:customStyle="1" w:styleId="104">
    <w:name w:val="Char Char Char Char Char Char Char Char Char Char"/>
    <w:basedOn w:val="1"/>
    <w:qFormat/>
    <w:uiPriority w:val="0"/>
    <w:pPr>
      <w:adjustRightInd w:val="0"/>
      <w:spacing w:line="360" w:lineRule="auto"/>
    </w:pPr>
    <w:rPr>
      <w:kern w:val="0"/>
      <w:sz w:val="24"/>
      <w:szCs w:val="20"/>
    </w:rPr>
  </w:style>
  <w:style w:type="paragraph" w:customStyle="1" w:styleId="105">
    <w:name w:val="附录1"/>
    <w:autoRedefine/>
    <w:qFormat/>
    <w:uiPriority w:val="0"/>
    <w:pPr>
      <w:tabs>
        <w:tab w:val="left" w:pos="907"/>
      </w:tabs>
      <w:snapToGrid w:val="0"/>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106">
    <w:name w:val="_Style 30"/>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107">
    <w:name w:val="图标"/>
    <w:basedOn w:val="1"/>
    <w:next w:val="1"/>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108">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109">
    <w:name w:val="列出段落1"/>
    <w:basedOn w:val="1"/>
    <w:autoRedefine/>
    <w:qFormat/>
    <w:uiPriority w:val="99"/>
    <w:pPr>
      <w:ind w:firstLine="420" w:firstLineChars="200"/>
    </w:pPr>
  </w:style>
  <w:style w:type="paragraph" w:customStyle="1" w:styleId="110">
    <w:name w:val="标题1"/>
    <w:basedOn w:val="1"/>
    <w:next w:val="1"/>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11">
    <w:name w:val="样式1"/>
    <w:basedOn w:val="1"/>
    <w:autoRedefine/>
    <w:qFormat/>
    <w:uiPriority w:val="0"/>
    <w:pPr>
      <w:tabs>
        <w:tab w:val="left" w:pos="709"/>
      </w:tabs>
      <w:adjustRightInd w:val="0"/>
      <w:ind w:left="709" w:hanging="709"/>
      <w:textAlignment w:val="baseline"/>
    </w:pPr>
    <w:rPr>
      <w:rFonts w:ascii="宋体" w:hAnsi="宋体"/>
      <w:kern w:val="0"/>
    </w:rPr>
  </w:style>
  <w:style w:type="paragraph" w:customStyle="1" w:styleId="112">
    <w:name w:val="Char"/>
    <w:basedOn w:val="1"/>
    <w:autoRedefine/>
    <w:qFormat/>
    <w:uiPriority w:val="0"/>
    <w:pPr>
      <w:tabs>
        <w:tab w:val="left" w:pos="360"/>
      </w:tabs>
      <w:ind w:firstLine="200" w:firstLineChars="200"/>
    </w:pPr>
    <w:rPr>
      <w:sz w:val="28"/>
      <w:szCs w:val="30"/>
    </w:rPr>
  </w:style>
  <w:style w:type="paragraph" w:customStyle="1" w:styleId="113">
    <w:name w:val="table_1stline"/>
    <w:basedOn w:val="1"/>
    <w:qFormat/>
    <w:uiPriority w:val="0"/>
    <w:pPr>
      <w:widowControl/>
      <w:spacing w:before="120"/>
      <w:jc w:val="left"/>
    </w:pPr>
    <w:rPr>
      <w:bCs/>
      <w:kern w:val="0"/>
      <w:sz w:val="20"/>
      <w:szCs w:val="20"/>
      <w:lang w:val="de-DE" w:eastAsia="de-DE"/>
    </w:rPr>
  </w:style>
  <w:style w:type="paragraph" w:customStyle="1" w:styleId="114">
    <w:name w:val="table_lines"/>
    <w:basedOn w:val="1"/>
    <w:autoRedefine/>
    <w:qFormat/>
    <w:uiPriority w:val="0"/>
    <w:pPr>
      <w:widowControl/>
      <w:jc w:val="left"/>
    </w:pPr>
    <w:rPr>
      <w:kern w:val="0"/>
      <w:sz w:val="20"/>
      <w:szCs w:val="20"/>
      <w:lang w:val="de-DE" w:eastAsia="de-DE"/>
    </w:rPr>
  </w:style>
  <w:style w:type="paragraph" w:customStyle="1" w:styleId="115">
    <w:name w:val="xl30"/>
    <w:basedOn w:val="1"/>
    <w:autoRedefine/>
    <w:qFormat/>
    <w:uiPriority w:val="0"/>
    <w:pPr>
      <w:widowControl/>
      <w:spacing w:before="100" w:beforeAutospacing="1" w:after="100" w:afterAutospacing="1"/>
      <w:jc w:val="center"/>
    </w:pPr>
    <w:rPr>
      <w:rFonts w:ascii="宋体" w:hAnsi="宋体"/>
      <w:b/>
      <w:bCs/>
      <w:kern w:val="0"/>
      <w:sz w:val="36"/>
      <w:szCs w:val="36"/>
    </w:rPr>
  </w:style>
  <w:style w:type="paragraph" w:customStyle="1" w:styleId="116">
    <w:name w:val="Char Char Char Char1"/>
    <w:basedOn w:val="14"/>
    <w:qFormat/>
    <w:uiPriority w:val="0"/>
    <w:pPr>
      <w:adjustRightInd w:val="0"/>
      <w:snapToGrid w:val="0"/>
      <w:spacing w:line="360" w:lineRule="auto"/>
    </w:pPr>
    <w:rPr>
      <w:rFonts w:ascii="Tahoma" w:hAnsi="Tahoma"/>
      <w:kern w:val="0"/>
      <w:sz w:val="24"/>
      <w:szCs w:val="24"/>
    </w:rPr>
  </w:style>
  <w:style w:type="paragraph" w:customStyle="1" w:styleId="117">
    <w:name w:val="font5"/>
    <w:basedOn w:val="1"/>
    <w:autoRedefine/>
    <w:qFormat/>
    <w:uiPriority w:val="0"/>
    <w:pPr>
      <w:widowControl/>
      <w:numPr>
        <w:ilvl w:val="0"/>
        <w:numId w:val="5"/>
      </w:numPr>
      <w:tabs>
        <w:tab w:val="clear" w:pos="907"/>
      </w:tabs>
      <w:spacing w:before="100" w:beforeAutospacing="1" w:after="100" w:afterAutospacing="1"/>
      <w:ind w:left="0" w:firstLine="0"/>
      <w:jc w:val="left"/>
    </w:pPr>
    <w:rPr>
      <w:rFonts w:hint="eastAsia" w:ascii="宋体" w:hAnsi="宋体"/>
      <w:kern w:val="0"/>
      <w:sz w:val="28"/>
      <w:szCs w:val="28"/>
    </w:rPr>
  </w:style>
  <w:style w:type="paragraph" w:customStyle="1" w:styleId="118">
    <w:name w:val="xl24"/>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szCs w:val="24"/>
    </w:rPr>
  </w:style>
  <w:style w:type="paragraph" w:customStyle="1" w:styleId="119">
    <w:name w:val="Char Char Char Char"/>
    <w:basedOn w:val="14"/>
    <w:qFormat/>
    <w:uiPriority w:val="0"/>
    <w:pPr>
      <w:adjustRightInd w:val="0"/>
      <w:snapToGrid w:val="0"/>
      <w:spacing w:line="360" w:lineRule="auto"/>
    </w:pPr>
    <w:rPr>
      <w:rFonts w:ascii="Tahoma" w:hAnsi="Tahoma"/>
      <w:sz w:val="24"/>
      <w:szCs w:val="24"/>
    </w:rPr>
  </w:style>
  <w:style w:type="paragraph" w:customStyle="1" w:styleId="120">
    <w:name w:val="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21">
    <w:name w:val="Char Char Char Char Char Char Char 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22">
    <w:name w:val="列表内容"/>
    <w:basedOn w:val="1"/>
    <w:next w:val="1"/>
    <w:qFormat/>
    <w:uiPriority w:val="0"/>
    <w:pPr>
      <w:widowControl/>
      <w:numPr>
        <w:ilvl w:val="0"/>
        <w:numId w:val="6"/>
      </w:numPr>
      <w:tabs>
        <w:tab w:val="left" w:pos="840"/>
      </w:tabs>
      <w:jc w:val="left"/>
    </w:pPr>
    <w:rPr>
      <w:kern w:val="0"/>
      <w:sz w:val="18"/>
      <w:szCs w:val="24"/>
    </w:rPr>
  </w:style>
  <w:style w:type="paragraph" w:customStyle="1" w:styleId="123">
    <w:name w:val="Body Text(ch)"/>
    <w:basedOn w:val="1"/>
    <w:next w:val="2"/>
    <w:autoRedefine/>
    <w:qFormat/>
    <w:uiPriority w:val="0"/>
    <w:pPr>
      <w:spacing w:after="120"/>
    </w:pPr>
    <w:rPr>
      <w:rFonts w:ascii="宋体" w:hAnsi="Arial"/>
      <w:bCs/>
      <w:iCs/>
      <w:szCs w:val="24"/>
    </w:rPr>
  </w:style>
  <w:style w:type="paragraph" w:styleId="124">
    <w:name w:val="List Paragraph"/>
    <w:basedOn w:val="1"/>
    <w:autoRedefine/>
    <w:qFormat/>
    <w:uiPriority w:val="34"/>
    <w:pPr>
      <w:widowControl/>
      <w:ind w:left="720"/>
      <w:contextualSpacing/>
      <w:jc w:val="left"/>
    </w:pPr>
    <w:rPr>
      <w:rFonts w:ascii="Calibri" w:hAnsi="Calibri"/>
      <w:kern w:val="0"/>
      <w:sz w:val="24"/>
      <w:szCs w:val="24"/>
      <w:lang w:eastAsia="en-US" w:bidi="en-US"/>
    </w:rPr>
  </w:style>
  <w:style w:type="paragraph" w:customStyle="1" w:styleId="125">
    <w:name w:val="Char11"/>
    <w:basedOn w:val="14"/>
    <w:qFormat/>
    <w:uiPriority w:val="0"/>
    <w:rPr>
      <w:rFonts w:ascii="Tahoma" w:hAnsi="Tahoma"/>
      <w:sz w:val="24"/>
      <w:szCs w:val="24"/>
    </w:rPr>
  </w:style>
  <w:style w:type="paragraph" w:customStyle="1" w:styleId="126">
    <w:name w:val="普通 (Web)"/>
    <w:basedOn w:val="1"/>
    <w:autoRedefine/>
    <w:qFormat/>
    <w:uiPriority w:val="0"/>
    <w:pPr>
      <w:widowControl/>
      <w:spacing w:before="100" w:beforeAutospacing="1" w:after="100" w:afterAutospacing="1"/>
      <w:jc w:val="left"/>
    </w:pPr>
    <w:rPr>
      <w:rFonts w:ascii="宋体" w:hAnsi="宋体"/>
      <w:kern w:val="0"/>
      <w:sz w:val="24"/>
      <w:szCs w:val="24"/>
    </w:rPr>
  </w:style>
  <w:style w:type="paragraph" w:customStyle="1" w:styleId="127">
    <w:name w:val="_Style 4"/>
    <w:basedOn w:val="14"/>
    <w:autoRedefine/>
    <w:qFormat/>
    <w:uiPriority w:val="0"/>
    <w:pPr>
      <w:shd w:val="clear" w:color="auto" w:fill="auto"/>
      <w:spacing w:line="360" w:lineRule="auto"/>
      <w:jc w:val="left"/>
    </w:pPr>
    <w:rPr>
      <w:kern w:val="0"/>
      <w:sz w:val="20"/>
      <w:szCs w:val="20"/>
    </w:rPr>
  </w:style>
  <w:style w:type="paragraph" w:customStyle="1" w:styleId="128">
    <w:name w:val="4"/>
    <w:basedOn w:val="1"/>
    <w:next w:val="31"/>
    <w:autoRedefine/>
    <w:qFormat/>
    <w:uiPriority w:val="0"/>
    <w:pPr>
      <w:spacing w:line="360" w:lineRule="auto"/>
      <w:ind w:firstLine="420"/>
    </w:pPr>
    <w:rPr>
      <w:color w:val="FF0000"/>
      <w:sz w:val="24"/>
      <w:szCs w:val="24"/>
    </w:rPr>
  </w:style>
  <w:style w:type="paragraph" w:customStyle="1" w:styleId="129">
    <w:name w:val="Char Char Char Char Char Char Char Char2"/>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30">
    <w:name w:val="TOC 标题1"/>
    <w:basedOn w:val="3"/>
    <w:next w:val="1"/>
    <w:autoRedefine/>
    <w:qFormat/>
    <w:uiPriority w:val="39"/>
    <w:pPr>
      <w:keepLines/>
      <w:widowControl/>
      <w:spacing w:before="480" w:line="276" w:lineRule="auto"/>
      <w:jc w:val="left"/>
      <w:outlineLvl w:val="9"/>
    </w:pPr>
    <w:rPr>
      <w:rFonts w:ascii="Cambria" w:hAnsi="Cambria"/>
      <w:bCs/>
      <w:color w:val="365F91"/>
      <w:kern w:val="0"/>
    </w:rPr>
  </w:style>
  <w:style w:type="paragraph" w:customStyle="1" w:styleId="131">
    <w:name w:val="xl29"/>
    <w:basedOn w:val="1"/>
    <w:autoRedefine/>
    <w:qFormat/>
    <w:uiPriority w:val="0"/>
    <w:pPr>
      <w:widowControl/>
      <w:pBdr>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32">
    <w:name w:val="Char1"/>
    <w:basedOn w:val="1"/>
    <w:autoRedefine/>
    <w:qFormat/>
    <w:uiPriority w:val="0"/>
    <w:pPr>
      <w:tabs>
        <w:tab w:val="left" w:pos="360"/>
      </w:tabs>
      <w:ind w:firstLine="200" w:firstLineChars="200"/>
    </w:pPr>
    <w:rPr>
      <w:sz w:val="28"/>
      <w:szCs w:val="30"/>
    </w:rPr>
  </w:style>
  <w:style w:type="paragraph" w:customStyle="1" w:styleId="133">
    <w:name w:val="Char2 Char1 Char"/>
    <w:basedOn w:val="1"/>
    <w:autoRedefine/>
    <w:qFormat/>
    <w:uiPriority w:val="0"/>
    <w:pPr>
      <w:tabs>
        <w:tab w:val="left" w:pos="360"/>
      </w:tabs>
    </w:pPr>
    <w:rPr>
      <w:rFonts w:eastAsia="方正仿宋简体"/>
      <w:sz w:val="24"/>
      <w:szCs w:val="32"/>
    </w:rPr>
  </w:style>
  <w:style w:type="paragraph" w:customStyle="1" w:styleId="134">
    <w:name w:val="正文 A"/>
    <w:autoRedefine/>
    <w:qFormat/>
    <w:uiPriority w:val="0"/>
    <w:pPr>
      <w:widowControl w:val="0"/>
      <w:jc w:val="both"/>
    </w:pPr>
    <w:rPr>
      <w:rFonts w:ascii="Times New Roman" w:hAnsi="Arial Unicode MS" w:eastAsia="Arial Unicode MS" w:cs="Arial Unicode MS"/>
      <w:color w:val="000000"/>
      <w:kern w:val="2"/>
      <w:sz w:val="21"/>
      <w:szCs w:val="21"/>
      <w:u w:color="000000"/>
      <w:lang w:val="en-US" w:eastAsia="zh-CN" w:bidi="ar-SA"/>
    </w:rPr>
  </w:style>
  <w:style w:type="paragraph" w:customStyle="1" w:styleId="135">
    <w:name w:val="Char Char Char Char2"/>
    <w:basedOn w:val="14"/>
    <w:autoRedefine/>
    <w:qFormat/>
    <w:uiPriority w:val="0"/>
    <w:pPr>
      <w:adjustRightInd w:val="0"/>
      <w:snapToGrid w:val="0"/>
      <w:spacing w:line="360" w:lineRule="auto"/>
    </w:pPr>
    <w:rPr>
      <w:rFonts w:ascii="Tahoma" w:hAnsi="Tahoma"/>
      <w:sz w:val="24"/>
      <w:szCs w:val="24"/>
    </w:rPr>
  </w:style>
  <w:style w:type="paragraph" w:customStyle="1" w:styleId="136">
    <w:name w:val="_Style 119"/>
    <w:basedOn w:val="1"/>
    <w:next w:val="124"/>
    <w:autoRedefine/>
    <w:qFormat/>
    <w:uiPriority w:val="34"/>
    <w:pPr>
      <w:widowControl/>
      <w:ind w:left="720"/>
      <w:contextualSpacing/>
      <w:jc w:val="left"/>
    </w:pPr>
    <w:rPr>
      <w:rFonts w:ascii="Calibri" w:hAnsi="Calibri"/>
      <w:kern w:val="0"/>
      <w:sz w:val="24"/>
      <w:szCs w:val="24"/>
      <w:lang w:eastAsia="en-US" w:bidi="en-US"/>
    </w:rPr>
  </w:style>
  <w:style w:type="paragraph" w:customStyle="1" w:styleId="137">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38">
    <w:name w:val="Table Paragraph"/>
    <w:basedOn w:val="1"/>
    <w:autoRedefine/>
    <w:qFormat/>
    <w:uiPriority w:val="1"/>
  </w:style>
  <w:style w:type="character" w:customStyle="1" w:styleId="139">
    <w:name w:val="纯文本 字符"/>
    <w:autoRedefine/>
    <w:qFormat/>
    <w:uiPriority w:val="0"/>
    <w:rPr>
      <w:rFonts w:ascii="宋体" w:hAnsi="Courier New" w:cs="Courier New"/>
      <w:kern w:val="2"/>
      <w:sz w:val="21"/>
      <w:szCs w:val="21"/>
    </w:rPr>
  </w:style>
  <w:style w:type="character" w:customStyle="1" w:styleId="140">
    <w:name w:val="正文缩进 字符"/>
    <w:autoRedefine/>
    <w:qFormat/>
    <w:uiPriority w:val="0"/>
    <w:rPr>
      <w:kern w:val="2"/>
      <w:sz w:val="21"/>
      <w:szCs w:val="21"/>
    </w:rPr>
  </w:style>
  <w:style w:type="paragraph" w:customStyle="1" w:styleId="141">
    <w:name w:val="缺省文本"/>
    <w:autoRedefine/>
    <w:qFormat/>
    <w:uiPriority w:val="0"/>
    <w:pPr>
      <w:widowControl w:val="0"/>
      <w:autoSpaceDE w:val="0"/>
      <w:autoSpaceDN w:val="0"/>
      <w:adjustRightInd w:val="0"/>
    </w:pPr>
    <w:rPr>
      <w:rFonts w:ascii="Calibri" w:hAnsi="Calibri" w:eastAsia="宋体" w:cs="Times New Roman"/>
      <w:color w:val="000000"/>
      <w:sz w:val="21"/>
      <w:szCs w:val="22"/>
      <w:lang w:val="en-US" w:eastAsia="zh-CN" w:bidi="ar-SA"/>
    </w:rPr>
  </w:style>
  <w:style w:type="paragraph" w:customStyle="1" w:styleId="142">
    <w:name w:val="xl70"/>
    <w:basedOn w:val="1"/>
    <w:autoRedefine/>
    <w:qFormat/>
    <w:uiPriority w:val="0"/>
    <w:pPr>
      <w:widowControl/>
      <w:spacing w:before="100" w:beforeAutospacing="1" w:after="100" w:afterAutospacing="1"/>
      <w:jc w:val="center"/>
    </w:pPr>
    <w:rPr>
      <w:rFonts w:ascii="宋体" w:hAnsi="宋体" w:cs="宋体"/>
      <w:kern w:val="0"/>
      <w:sz w:val="24"/>
      <w:szCs w:val="24"/>
    </w:rPr>
  </w:style>
  <w:style w:type="paragraph" w:customStyle="1" w:styleId="143">
    <w:name w:val="xl71"/>
    <w:basedOn w:val="1"/>
    <w:autoRedefine/>
    <w:qFormat/>
    <w:uiPriority w:val="0"/>
    <w:pPr>
      <w:widowControl/>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44">
    <w:name w:val="xl7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45">
    <w:name w:val="xl7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46">
    <w:name w:val="xl7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47">
    <w:name w:val="xl7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48">
    <w:name w:val="xl7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49">
    <w:name w:val="xl7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50">
    <w:name w:val="xl7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1">
    <w:name w:val="xl7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2">
    <w:name w:val="xl8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D0D0D"/>
      <w:kern w:val="0"/>
      <w:sz w:val="20"/>
      <w:szCs w:val="20"/>
    </w:rPr>
  </w:style>
  <w:style w:type="paragraph" w:customStyle="1" w:styleId="153">
    <w:name w:val="xl8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4">
    <w:name w:val="xl8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5">
    <w:name w:val="xl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156">
    <w:name w:val="xl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57">
    <w:name w:val="xl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158">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59">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60">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61">
    <w:name w:val="xl8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D0D0D"/>
      <w:kern w:val="0"/>
      <w:sz w:val="20"/>
      <w:szCs w:val="20"/>
    </w:rPr>
  </w:style>
  <w:style w:type="paragraph" w:customStyle="1" w:styleId="162">
    <w:name w:val="xl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D0D0D"/>
      <w:kern w:val="0"/>
      <w:sz w:val="20"/>
      <w:szCs w:val="20"/>
    </w:rPr>
  </w:style>
  <w:style w:type="paragraph" w:customStyle="1" w:styleId="163">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164">
    <w:name w:val="xl92"/>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65">
    <w:name w:val="xl93"/>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66">
    <w:name w:val="xl94"/>
    <w:basedOn w:val="1"/>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67">
    <w:name w:val="xl95"/>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68">
    <w:name w:val="xl9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169">
    <w:name w:val="xl97"/>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170">
    <w:name w:val="xl98"/>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宋体" w:hAnsi="宋体" w:cs="宋体"/>
      <w:kern w:val="0"/>
      <w:sz w:val="24"/>
      <w:szCs w:val="24"/>
    </w:rPr>
  </w:style>
  <w:style w:type="paragraph" w:customStyle="1" w:styleId="171">
    <w:name w:val="xl99"/>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4"/>
      <w:szCs w:val="24"/>
    </w:rPr>
  </w:style>
  <w:style w:type="paragraph" w:customStyle="1" w:styleId="172">
    <w:name w:val="xl100"/>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73">
    <w:name w:val="xl101"/>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74">
    <w:name w:val="xl102"/>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75">
    <w:name w:val="xl103"/>
    <w:basedOn w:val="1"/>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76">
    <w:name w:val="xl104"/>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77">
    <w:name w:val="xl68"/>
    <w:basedOn w:val="1"/>
    <w:autoRedefine/>
    <w:qFormat/>
    <w:uiPriority w:val="0"/>
    <w:pPr>
      <w:widowControl/>
      <w:spacing w:before="100" w:beforeAutospacing="1" w:after="100" w:afterAutospacing="1"/>
      <w:jc w:val="left"/>
    </w:pPr>
    <w:rPr>
      <w:rFonts w:ascii="宋体" w:hAnsi="宋体" w:cs="宋体"/>
      <w:color w:val="000000"/>
      <w:kern w:val="0"/>
      <w:sz w:val="24"/>
      <w:szCs w:val="24"/>
    </w:rPr>
  </w:style>
  <w:style w:type="paragraph" w:customStyle="1" w:styleId="178">
    <w:name w:val="xl69"/>
    <w:basedOn w:val="1"/>
    <w:qFormat/>
    <w:uiPriority w:val="0"/>
    <w:pPr>
      <w:widowControl/>
      <w:spacing w:before="100" w:beforeAutospacing="1" w:after="100" w:afterAutospacing="1"/>
      <w:jc w:val="left"/>
    </w:pPr>
    <w:rPr>
      <w:rFonts w:ascii="宋体" w:hAnsi="宋体" w:cs="宋体"/>
      <w:kern w:val="0"/>
      <w:sz w:val="20"/>
      <w:szCs w:val="20"/>
    </w:rPr>
  </w:style>
  <w:style w:type="character" w:customStyle="1" w:styleId="179">
    <w:name w:val="超链接_0"/>
    <w:autoRedefine/>
    <w:qFormat/>
    <w:uiPriority w:val="99"/>
    <w:rPr>
      <w:rFonts w:hint="default" w:ascii="Calibri" w:hAnsi="Calibri" w:cs="Calibri"/>
      <w:color w:val="0000FF"/>
      <w:u w:val="single"/>
    </w:rPr>
  </w:style>
  <w:style w:type="paragraph" w:customStyle="1" w:styleId="180">
    <w:name w:val="正文_0"/>
    <w:basedOn w:val="1"/>
    <w:next w:val="1"/>
    <w:autoRedefine/>
    <w:qFormat/>
    <w:uiPriority w:val="0"/>
    <w:pPr>
      <w:spacing w:after="200" w:line="276" w:lineRule="auto"/>
    </w:pPr>
    <w:rPr>
      <w:rFonts w:ascii="Calibri" w:hAnsi="Calibri"/>
      <w:szCs w:val="24"/>
    </w:rPr>
  </w:style>
  <w:style w:type="paragraph" w:customStyle="1" w:styleId="181">
    <w:name w:val="普通(网站)1"/>
    <w:basedOn w:val="1"/>
    <w:qFormat/>
    <w:uiPriority w:val="0"/>
    <w:pPr>
      <w:spacing w:beforeAutospacing="1" w:afterAutospacing="1"/>
      <w:jc w:val="left"/>
    </w:pPr>
    <w:rPr>
      <w:rFonts w:ascii="Calibri" w:hAnsi="Calibri"/>
      <w:kern w:val="0"/>
      <w:sz w:val="24"/>
    </w:rPr>
  </w:style>
  <w:style w:type="character" w:customStyle="1" w:styleId="182">
    <w:name w:val="bookmark-item"/>
    <w:basedOn w:val="40"/>
    <w:autoRedefine/>
    <w:qFormat/>
    <w:uiPriority w:val="0"/>
  </w:style>
  <w:style w:type="paragraph" w:customStyle="1" w:styleId="183">
    <w:name w:val="表格"/>
    <w:basedOn w:val="29"/>
    <w:next w:val="1"/>
    <w:autoRedefine/>
    <w:qFormat/>
    <w:uiPriority w:val="0"/>
    <w:pPr>
      <w:adjustRightInd w:val="0"/>
      <w:snapToGrid w:val="0"/>
      <w:spacing w:before="20" w:after="20"/>
      <w:jc w:val="center"/>
      <w:textAlignment w:val="baseline"/>
    </w:pPr>
    <w:rPr>
      <w:rFonts w:ascii="Arial" w:hAnsi="Arial"/>
      <w:snapToGrid w:val="0"/>
    </w:rPr>
  </w:style>
  <w:style w:type="character" w:customStyle="1" w:styleId="184">
    <w:name w:val="btn-auto-1"/>
    <w:basedOn w:val="40"/>
    <w:qFormat/>
    <w:uiPriority w:val="0"/>
  </w:style>
  <w:style w:type="character" w:customStyle="1" w:styleId="185">
    <w:name w:val="s1"/>
    <w:basedOn w:val="40"/>
    <w:autoRedefine/>
    <w:qFormat/>
    <w:uiPriority w:val="0"/>
    <w:rPr>
      <w:color w:val="DDDDDD"/>
      <w:sz w:val="14"/>
      <w:szCs w:val="14"/>
    </w:rPr>
  </w:style>
  <w:style w:type="character" w:customStyle="1" w:styleId="186">
    <w:name w:val="btn-task-gray2"/>
    <w:basedOn w:val="40"/>
    <w:autoRedefine/>
    <w:qFormat/>
    <w:uiPriority w:val="0"/>
    <w:rPr>
      <w:color w:val="FFFFFF"/>
      <w:u w:val="none"/>
      <w:shd w:val="clear" w:color="auto" w:fill="CCCCCC"/>
    </w:rPr>
  </w:style>
  <w:style w:type="character" w:customStyle="1" w:styleId="187">
    <w:name w:val="btn-task-gray3"/>
    <w:basedOn w:val="40"/>
    <w:qFormat/>
    <w:uiPriority w:val="0"/>
  </w:style>
  <w:style w:type="character" w:customStyle="1" w:styleId="188">
    <w:name w:val="fontstyle01"/>
    <w:basedOn w:val="40"/>
    <w:autoRedefine/>
    <w:qFormat/>
    <w:uiPriority w:val="0"/>
    <w:rPr>
      <w:rFonts w:ascii="仿宋" w:hAnsi="仿宋" w:eastAsia="仿宋" w:cs="仿宋"/>
      <w:color w:val="000000"/>
      <w:sz w:val="32"/>
      <w:szCs w:val="32"/>
    </w:rPr>
  </w:style>
  <w:style w:type="paragraph" w:customStyle="1" w:styleId="189">
    <w:name w:val="修订1"/>
    <w:autoRedefine/>
    <w:qFormat/>
    <w:uiPriority w:val="99"/>
    <w:rPr>
      <w:rFonts w:ascii="Times New Roman" w:hAnsi="Times New Roman" w:eastAsia="宋体" w:cs="Times New Roman"/>
      <w:kern w:val="2"/>
      <w:sz w:val="21"/>
      <w:szCs w:val="21"/>
      <w:lang w:val="en-US" w:eastAsia="zh-CN" w:bidi="ar-SA"/>
    </w:rPr>
  </w:style>
  <w:style w:type="paragraph" w:customStyle="1" w:styleId="190">
    <w:name w:val="msonormal"/>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91">
    <w:name w:val="xl65"/>
    <w:basedOn w:val="1"/>
    <w:autoRedefine/>
    <w:qFormat/>
    <w:uiPriority w:val="0"/>
    <w:pPr>
      <w:widowControl/>
      <w:spacing w:before="100" w:beforeAutospacing="1" w:after="100" w:afterAutospacing="1"/>
      <w:jc w:val="center"/>
    </w:pPr>
    <w:rPr>
      <w:rFonts w:ascii="宋体" w:hAnsi="宋体" w:cs="宋体"/>
      <w:kern w:val="0"/>
      <w:sz w:val="24"/>
      <w:szCs w:val="24"/>
    </w:rPr>
  </w:style>
  <w:style w:type="paragraph" w:customStyle="1" w:styleId="192">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193">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szCs w:val="24"/>
    </w:rPr>
  </w:style>
  <w:style w:type="paragraph" w:customStyle="1" w:styleId="194">
    <w:name w:val="af17cgridlangnp1033langf"/>
    <w:autoRedefine/>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95">
    <w:name w:val="正文2"/>
    <w:basedOn w:val="1"/>
    <w:qFormat/>
    <w:uiPriority w:val="0"/>
    <w:pPr>
      <w:spacing w:before="156" w:line="360" w:lineRule="auto"/>
      <w:ind w:firstLine="510" w:firstLineChars="200"/>
    </w:pPr>
    <w:rPr>
      <w:sz w:val="24"/>
    </w:rPr>
  </w:style>
  <w:style w:type="paragraph" w:customStyle="1" w:styleId="196">
    <w:name w:val="正文_0_1_1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97">
    <w:name w:val="正文文本缩进_2"/>
    <w:basedOn w:val="198"/>
    <w:qFormat/>
    <w:uiPriority w:val="0"/>
    <w:pPr>
      <w:spacing w:line="500" w:lineRule="exact"/>
      <w:ind w:left="1588" w:leftChars="832" w:firstLine="433" w:firstLineChars="196"/>
    </w:pPr>
    <w:rPr>
      <w:kern w:val="0"/>
      <w:sz w:val="24"/>
    </w:rPr>
  </w:style>
  <w:style w:type="paragraph" w:customStyle="1" w:styleId="198">
    <w:name w:val="正文_14"/>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9">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character" w:customStyle="1" w:styleId="200">
    <w:name w:val="layui-layer-tabnow"/>
    <w:basedOn w:val="40"/>
    <w:autoRedefine/>
    <w:qFormat/>
    <w:uiPriority w:val="0"/>
    <w:rPr>
      <w:bdr w:val="single" w:color="CCCCCC" w:sz="4" w:space="0"/>
      <w:shd w:val="clear" w:color="auto" w:fill="FFFFFF"/>
    </w:rPr>
  </w:style>
  <w:style w:type="character" w:customStyle="1" w:styleId="201">
    <w:name w:val="first-child"/>
    <w:basedOn w:val="40"/>
    <w:autoRedefine/>
    <w:qFormat/>
    <w:uiPriority w:val="0"/>
  </w:style>
  <w:style w:type="paragraph" w:customStyle="1" w:styleId="202">
    <w:name w:val="正文（深信服）"/>
    <w:autoRedefine/>
    <w:qFormat/>
    <w:uiPriority w:val="0"/>
    <w:pPr>
      <w:adjustRightInd w:val="0"/>
      <w:snapToGrid w:val="0"/>
      <w:spacing w:line="360" w:lineRule="auto"/>
      <w:ind w:firstLine="480" w:firstLineChars="200"/>
    </w:pPr>
    <w:rPr>
      <w:rFonts w:ascii="Times New Roman" w:hAnsi="Times New Roman" w:eastAsia="宋体" w:cs="Times New Roman"/>
      <w:sz w:val="24"/>
      <w:szCs w:val="21"/>
      <w:lang w:val="en-US" w:eastAsia="zh-CN" w:bidi="ar-SA"/>
    </w:rPr>
  </w:style>
  <w:style w:type="paragraph" w:customStyle="1" w:styleId="203">
    <w:name w:val="正文2.25"/>
    <w:basedOn w:val="1"/>
    <w:qFormat/>
    <w:uiPriority w:val="0"/>
    <w:pPr>
      <w:spacing w:line="360" w:lineRule="auto"/>
      <w:ind w:firstLine="540"/>
    </w:pPr>
    <w:rPr>
      <w:sz w:val="24"/>
      <w:szCs w:val="24"/>
    </w:rPr>
  </w:style>
  <w:style w:type="paragraph" w:customStyle="1" w:styleId="204">
    <w:name w:val="文档正文"/>
    <w:basedOn w:val="1"/>
    <w:autoRedefine/>
    <w:qFormat/>
    <w:uiPriority w:val="0"/>
    <w:pPr>
      <w:adjustRightInd w:val="0"/>
      <w:spacing w:before="60" w:after="60" w:line="360" w:lineRule="atLeast"/>
      <w:ind w:firstLine="482"/>
    </w:pPr>
    <w:rPr>
      <w:rFonts w:hAnsi="宋体" w:cs="宋体"/>
      <w:sz w:val="24"/>
    </w:rPr>
  </w:style>
  <w:style w:type="character" w:customStyle="1" w:styleId="205">
    <w:name w:val="批注文字 Char"/>
    <w:basedOn w:val="40"/>
    <w:link w:val="16"/>
    <w:autoRedefine/>
    <w:qFormat/>
    <w:uiPriority w:val="0"/>
    <w:rPr>
      <w:kern w:val="2"/>
      <w:sz w:val="21"/>
      <w:szCs w:val="21"/>
    </w:rPr>
  </w:style>
  <w:style w:type="character" w:customStyle="1" w:styleId="206">
    <w:name w:val="脚注文本 Char"/>
    <w:basedOn w:val="40"/>
    <w:link w:val="30"/>
    <w:autoRedefine/>
    <w:qFormat/>
    <w:uiPriority w:val="0"/>
    <w:rPr>
      <w:kern w:val="2"/>
      <w:sz w:val="18"/>
      <w:szCs w:val="21"/>
    </w:rPr>
  </w:style>
  <w:style w:type="character" w:customStyle="1" w:styleId="207">
    <w:name w:val="font01"/>
    <w:basedOn w:val="40"/>
    <w:autoRedefine/>
    <w:qFormat/>
    <w:uiPriority w:val="0"/>
    <w:rPr>
      <w:rFonts w:hint="default" w:ascii="Times New Roman" w:hAnsi="Times New Roman" w:cs="Times New Roman"/>
      <w:color w:val="000000"/>
      <w:sz w:val="24"/>
      <w:szCs w:val="24"/>
      <w:u w:val="none"/>
    </w:rPr>
  </w:style>
  <w:style w:type="character" w:customStyle="1" w:styleId="208">
    <w:name w:val="font21"/>
    <w:basedOn w:val="40"/>
    <w:autoRedefine/>
    <w:qFormat/>
    <w:uiPriority w:val="0"/>
    <w:rPr>
      <w:rFonts w:hint="eastAsia" w:ascii="宋体" w:hAnsi="宋体" w:eastAsia="宋体" w:cs="宋体"/>
      <w:color w:val="000000"/>
      <w:sz w:val="24"/>
      <w:szCs w:val="24"/>
      <w:u w:val="none"/>
    </w:rPr>
  </w:style>
  <w:style w:type="character" w:customStyle="1" w:styleId="209">
    <w:name w:val="font11"/>
    <w:basedOn w:val="40"/>
    <w:autoRedefine/>
    <w:qFormat/>
    <w:uiPriority w:val="0"/>
    <w:rPr>
      <w:rFonts w:hint="eastAsia" w:ascii="宋体" w:hAnsi="宋体" w:eastAsia="宋体" w:cs="宋体"/>
      <w:color w:val="000000"/>
      <w:sz w:val="24"/>
      <w:szCs w:val="24"/>
      <w:u w:val="none"/>
    </w:rPr>
  </w:style>
  <w:style w:type="table" w:customStyle="1" w:styleId="210">
    <w:name w:val="Table Normal"/>
    <w:autoRedefine/>
    <w:qFormat/>
    <w:uiPriority w:val="0"/>
    <w:tblPr>
      <w:tblCellMar>
        <w:top w:w="0" w:type="dxa"/>
        <w:left w:w="0" w:type="dxa"/>
        <w:bottom w:w="0" w:type="dxa"/>
        <w:right w:w="0" w:type="dxa"/>
      </w:tblCellMar>
    </w:tblPr>
  </w:style>
  <w:style w:type="character" w:customStyle="1" w:styleId="211">
    <w:name w:val="font31"/>
    <w:basedOn w:val="40"/>
    <w:autoRedefine/>
    <w:qFormat/>
    <w:uiPriority w:val="0"/>
    <w:rPr>
      <w:rFonts w:hint="eastAsia" w:ascii="宋体" w:hAnsi="宋体" w:eastAsia="宋体" w:cs="宋体"/>
      <w:color w:val="000000"/>
      <w:sz w:val="24"/>
      <w:szCs w:val="24"/>
      <w:u w:val="none"/>
    </w:rPr>
  </w:style>
  <w:style w:type="character" w:customStyle="1" w:styleId="212">
    <w:name w:val="font61"/>
    <w:basedOn w:val="40"/>
    <w:autoRedefine/>
    <w:qFormat/>
    <w:uiPriority w:val="0"/>
    <w:rPr>
      <w:rFonts w:hint="eastAsia" w:ascii="宋体" w:hAnsi="宋体" w:eastAsia="宋体" w:cs="宋体"/>
      <w:color w:val="FF0000"/>
      <w:sz w:val="20"/>
      <w:szCs w:val="20"/>
      <w:u w:val="none"/>
    </w:rPr>
  </w:style>
  <w:style w:type="character" w:customStyle="1" w:styleId="213">
    <w:name w:val="font51"/>
    <w:basedOn w:val="40"/>
    <w:qFormat/>
    <w:uiPriority w:val="0"/>
    <w:rPr>
      <w:rFonts w:hint="default" w:ascii="方正黑体_GBK" w:hAnsi="方正黑体_GBK" w:eastAsia="方正黑体_GBK" w:cs="方正黑体_GBK"/>
      <w:color w:val="FF0000"/>
      <w:sz w:val="20"/>
      <w:szCs w:val="20"/>
      <w:u w:val="none"/>
    </w:rPr>
  </w:style>
  <w:style w:type="character" w:customStyle="1" w:styleId="214">
    <w:name w:val="font41"/>
    <w:basedOn w:val="40"/>
    <w:autoRedefine/>
    <w:qFormat/>
    <w:uiPriority w:val="0"/>
    <w:rPr>
      <w:rFonts w:hint="default" w:ascii="方正黑体_GBK" w:hAnsi="方正黑体_GBK" w:eastAsia="方正黑体_GBK" w:cs="方正黑体_GBK"/>
      <w:color w:val="000000"/>
      <w:sz w:val="20"/>
      <w:szCs w:val="20"/>
      <w:u w:val="none"/>
    </w:rPr>
  </w:style>
  <w:style w:type="character" w:customStyle="1" w:styleId="215">
    <w:name w:val="font81"/>
    <w:basedOn w:val="40"/>
    <w:autoRedefine/>
    <w:qFormat/>
    <w:uiPriority w:val="0"/>
    <w:rPr>
      <w:rFonts w:hint="eastAsia" w:ascii="黑体" w:hAnsi="宋体" w:eastAsia="黑体" w:cs="黑体"/>
      <w:color w:val="FF0000"/>
      <w:sz w:val="20"/>
      <w:szCs w:val="20"/>
      <w:u w:val="none"/>
    </w:rPr>
  </w:style>
  <w:style w:type="character" w:customStyle="1" w:styleId="216">
    <w:name w:val="font71"/>
    <w:basedOn w:val="40"/>
    <w:autoRedefine/>
    <w:qFormat/>
    <w:uiPriority w:val="0"/>
    <w:rPr>
      <w:rFonts w:hint="default" w:ascii="方正黑体_GBK" w:hAnsi="方正黑体_GBK" w:eastAsia="方正黑体_GBK" w:cs="方正黑体_GBK"/>
      <w:color w:val="000000"/>
      <w:sz w:val="20"/>
      <w:szCs w:val="20"/>
      <w:u w:val="none"/>
    </w:rPr>
  </w:style>
  <w:style w:type="character" w:customStyle="1" w:styleId="217">
    <w:name w:val="font91"/>
    <w:basedOn w:val="40"/>
    <w:autoRedefine/>
    <w:qFormat/>
    <w:uiPriority w:val="0"/>
    <w:rPr>
      <w:rFonts w:hint="default" w:ascii="方正黑体_GBK" w:hAnsi="方正黑体_GBK" w:eastAsia="方正黑体_GBK" w:cs="方正黑体_GBK"/>
      <w:color w:val="000000"/>
      <w:sz w:val="20"/>
      <w:szCs w:val="20"/>
      <w:u w:val="none"/>
    </w:rPr>
  </w:style>
  <w:style w:type="character" w:customStyle="1" w:styleId="218">
    <w:name w:val="font101"/>
    <w:basedOn w:val="40"/>
    <w:autoRedefine/>
    <w:qFormat/>
    <w:uiPriority w:val="0"/>
    <w:rPr>
      <w:rFonts w:hint="default" w:ascii="Times New Roman" w:hAnsi="Times New Roman" w:cs="Times New Roman"/>
      <w:color w:val="000000"/>
      <w:sz w:val="22"/>
      <w:szCs w:val="22"/>
      <w:u w:val="none"/>
    </w:rPr>
  </w:style>
  <w:style w:type="character" w:customStyle="1" w:styleId="219">
    <w:name w:val="font112"/>
    <w:basedOn w:val="40"/>
    <w:autoRedefine/>
    <w:qFormat/>
    <w:uiPriority w:val="0"/>
    <w:rPr>
      <w:rFonts w:hint="eastAsia" w:ascii="黑体" w:hAnsi="宋体" w:eastAsia="黑体" w:cs="黑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28C97EE-CE97-4E6B-838C-F48496BCE5CE}">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104</Pages>
  <Words>53132</Words>
  <Characters>56604</Characters>
  <Paragraphs>3038</Paragraphs>
  <TotalTime>1</TotalTime>
  <ScaleCrop>false</ScaleCrop>
  <LinksUpToDate>false</LinksUpToDate>
  <CharactersWithSpaces>59151</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2022-12-30T13:26:00Z</dcterms:created>
  <dc:creator>yinjian</dc:creator>
  <cp:lastModifiedBy>Evolution</cp:lastModifiedBy>
  <cp:lastPrinted>2023-10-16T03:58:00Z</cp:lastPrinted>
  <dcterms:modified xsi:type="dcterms:W3CDTF">2024-04-25T08:59:03Z</dcterms:modified>
  <dc:title>招　标　文　件</dc:title>
  <cp:revision>194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258b95f0e6334368ae1ab9ce04d6da66_23</vt:lpwstr>
  </property>
</Properties>
</file>