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4F0722">
      <w:pPr>
        <w:shd w:val="clear"/>
        <w:spacing w:line="240" w:lineRule="auto"/>
        <w:jc w:val="center"/>
        <w:rPr>
          <w:rFonts w:ascii="宋体" w:hAnsi="宋体" w:cs="宋体"/>
          <w:b/>
          <w:color w:val="auto"/>
          <w:sz w:val="48"/>
          <w:szCs w:val="48"/>
          <w:highlight w:val="none"/>
        </w:rPr>
      </w:pPr>
      <w:r>
        <w:rPr>
          <w:rFonts w:hint="eastAsia" w:ascii="宋体" w:hAnsi="宋体" w:cs="宋体"/>
          <w:b/>
          <w:color w:val="auto"/>
          <w:sz w:val="48"/>
          <w:szCs w:val="48"/>
          <w:highlight w:val="none"/>
        </w:rPr>
        <w:t>招 标 文 件</w:t>
      </w:r>
    </w:p>
    <w:p w14:paraId="3239F3DB">
      <w:pPr>
        <w:shd w:val="clear"/>
        <w:spacing w:line="240" w:lineRule="auto"/>
        <w:jc w:val="center"/>
        <w:rPr>
          <w:rFonts w:ascii="宋体" w:hAnsi="宋体" w:cs="宋体"/>
          <w:b/>
          <w:color w:val="auto"/>
          <w:sz w:val="48"/>
          <w:szCs w:val="48"/>
          <w:highlight w:val="none"/>
        </w:rPr>
      </w:pPr>
    </w:p>
    <w:p w14:paraId="02F9B978">
      <w:pPr>
        <w:shd w:val="clear"/>
        <w:spacing w:line="240" w:lineRule="auto"/>
        <w:jc w:val="center"/>
        <w:rPr>
          <w:rFonts w:ascii="宋体" w:hAnsi="宋体" w:cs="宋体"/>
          <w:b/>
          <w:color w:val="auto"/>
          <w:sz w:val="48"/>
          <w:szCs w:val="48"/>
          <w:highlight w:val="none"/>
        </w:rPr>
      </w:pPr>
      <w:r>
        <w:rPr>
          <w:rFonts w:hint="eastAsia" w:ascii="宋体" w:hAnsi="宋体" w:cs="宋体"/>
          <w:b/>
          <w:color w:val="auto"/>
          <w:sz w:val="48"/>
          <w:szCs w:val="48"/>
          <w:highlight w:val="none"/>
        </w:rPr>
        <w:t>（商务部分）</w:t>
      </w:r>
    </w:p>
    <w:p w14:paraId="71D926F0">
      <w:pPr>
        <w:shd w:val="clear"/>
        <w:spacing w:line="240" w:lineRule="auto"/>
        <w:jc w:val="center"/>
        <w:rPr>
          <w:rFonts w:ascii="宋体" w:hAnsi="宋体" w:cs="宋体"/>
          <w:b/>
          <w:color w:val="auto"/>
          <w:sz w:val="48"/>
          <w:szCs w:val="48"/>
          <w:highlight w:val="none"/>
        </w:rPr>
      </w:pPr>
    </w:p>
    <w:p w14:paraId="2D0B6140">
      <w:pPr>
        <w:shd w:val="clear"/>
        <w:rPr>
          <w:color w:val="auto"/>
          <w:highlight w:val="none"/>
        </w:rPr>
      </w:pPr>
    </w:p>
    <w:p w14:paraId="2C5727BF">
      <w:pPr>
        <w:shd w:val="clear"/>
        <w:rPr>
          <w:color w:val="auto"/>
          <w:highlight w:val="none"/>
        </w:rPr>
      </w:pPr>
    </w:p>
    <w:p w14:paraId="7712CBF0">
      <w:pPr>
        <w:shd w:val="clear"/>
        <w:topLinePunct w:val="0"/>
        <w:autoSpaceDE/>
        <w:autoSpaceDN/>
        <w:spacing w:line="240" w:lineRule="auto"/>
        <w:jc w:val="center"/>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项目名称：</w:t>
      </w:r>
      <w:r>
        <w:rPr>
          <w:rFonts w:hint="eastAsia" w:ascii="宋体" w:hAnsi="宋体" w:cs="宋体"/>
          <w:color w:val="000000" w:themeColor="text1"/>
          <w:sz w:val="30"/>
          <w:szCs w:val="30"/>
          <w:highlight w:val="none"/>
          <w:lang w:eastAsia="zh-CN"/>
          <w14:textFill>
            <w14:solidFill>
              <w14:schemeClr w14:val="tx1"/>
            </w14:solidFill>
          </w14:textFill>
        </w:rPr>
        <w:t>国家税务总局沭阳县税务局2026年食堂食材配送服务采购项目</w:t>
      </w:r>
    </w:p>
    <w:p w14:paraId="44A3668F">
      <w:pPr>
        <w:shd w:val="clear"/>
        <w:topLinePunct w:val="0"/>
        <w:autoSpaceDE/>
        <w:autoSpaceDN/>
        <w:spacing w:line="240" w:lineRule="auto"/>
        <w:jc w:val="center"/>
        <w:rPr>
          <w:rFonts w:hint="default" w:ascii="宋体" w:hAnsi="宋体" w:cs="宋体"/>
          <w:color w:val="000000" w:themeColor="text1"/>
          <w:sz w:val="30"/>
          <w:szCs w:val="30"/>
          <w:highlight w:val="none"/>
          <w:lang w:val="en-US"/>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采购人项目编号：</w:t>
      </w:r>
      <w:r>
        <w:rPr>
          <w:rFonts w:hint="eastAsia" w:ascii="宋体" w:hAnsi="宋体" w:cs="宋体"/>
          <w:color w:val="000000" w:themeColor="text1"/>
          <w:sz w:val="30"/>
          <w:szCs w:val="30"/>
          <w:highlight w:val="none"/>
          <w:lang w:eastAsia="zh-CN"/>
          <w14:textFill>
            <w14:solidFill>
              <w14:schemeClr w14:val="tx1"/>
            </w14:solidFill>
          </w14:textFill>
        </w:rPr>
        <w:t>JS2026-DLGK-C0214-B00</w:t>
      </w:r>
    </w:p>
    <w:p w14:paraId="64B07595">
      <w:pPr>
        <w:shd w:val="clear"/>
        <w:topLinePunct w:val="0"/>
        <w:autoSpaceDE/>
        <w:autoSpaceDN/>
        <w:spacing w:line="240" w:lineRule="auto"/>
        <w:jc w:val="center"/>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lang w:val="en-US" w:eastAsia="zh-CN"/>
          <w14:textFill>
            <w14:solidFill>
              <w14:schemeClr w14:val="tx1"/>
            </w14:solidFill>
          </w14:textFill>
        </w:rPr>
        <w:t>代理机构</w:t>
      </w:r>
      <w:r>
        <w:rPr>
          <w:rFonts w:hint="eastAsia" w:ascii="宋体" w:hAnsi="宋体" w:cs="宋体"/>
          <w:color w:val="000000" w:themeColor="text1"/>
          <w:sz w:val="30"/>
          <w:szCs w:val="30"/>
          <w:highlight w:val="none"/>
          <w14:textFill>
            <w14:solidFill>
              <w14:schemeClr w14:val="tx1"/>
            </w14:solidFill>
          </w14:textFill>
        </w:rPr>
        <w:t>项目编号：</w:t>
      </w:r>
      <w:r>
        <w:rPr>
          <w:rFonts w:hint="eastAsia" w:ascii="宋体" w:hAnsi="宋体" w:cs="宋体"/>
          <w:color w:val="000000" w:themeColor="text1"/>
          <w:sz w:val="30"/>
          <w:szCs w:val="30"/>
          <w:highlight w:val="none"/>
          <w:lang w:eastAsia="zh-CN"/>
          <w14:textFill>
            <w14:solidFill>
              <w14:schemeClr w14:val="tx1"/>
            </w14:solidFill>
          </w14:textFill>
        </w:rPr>
        <w:t>JSHZ[2026]0809号</w:t>
      </w:r>
    </w:p>
    <w:p w14:paraId="735A59DA">
      <w:pPr>
        <w:shd w:val="clear"/>
        <w:topLinePunct w:val="0"/>
        <w:autoSpaceDE/>
        <w:autoSpaceDN/>
        <w:spacing w:line="240" w:lineRule="auto"/>
        <w:jc w:val="center"/>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采 购 人：</w:t>
      </w:r>
      <w:r>
        <w:rPr>
          <w:rFonts w:hint="eastAsia" w:ascii="宋体" w:hAnsi="宋体" w:cs="宋体"/>
          <w:color w:val="000000" w:themeColor="text1"/>
          <w:sz w:val="30"/>
          <w:szCs w:val="30"/>
          <w:highlight w:val="none"/>
          <w:lang w:eastAsia="zh-CN"/>
          <w14:textFill>
            <w14:solidFill>
              <w14:schemeClr w14:val="tx1"/>
            </w14:solidFill>
          </w14:textFill>
        </w:rPr>
        <w:t>国家税务总局沭阳县税务局</w:t>
      </w:r>
    </w:p>
    <w:p w14:paraId="78AA2536">
      <w:pPr>
        <w:shd w:val="clear"/>
        <w:topLinePunct w:val="0"/>
        <w:autoSpaceDE/>
        <w:autoSpaceDN/>
        <w:spacing w:line="240" w:lineRule="auto"/>
        <w:jc w:val="center"/>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采购代理机构：</w:t>
      </w:r>
      <w:r>
        <w:rPr>
          <w:rFonts w:hint="eastAsia" w:ascii="宋体" w:hAnsi="宋体" w:cs="宋体"/>
          <w:color w:val="000000" w:themeColor="text1"/>
          <w:sz w:val="30"/>
          <w:szCs w:val="30"/>
          <w:highlight w:val="none"/>
          <w:lang w:eastAsia="zh-CN"/>
          <w14:textFill>
            <w14:solidFill>
              <w14:schemeClr w14:val="tx1"/>
            </w14:solidFill>
          </w14:textFill>
        </w:rPr>
        <w:t>江苏宏壮工程项目管理有限公司</w:t>
      </w:r>
    </w:p>
    <w:p w14:paraId="217E9831">
      <w:pPr>
        <w:shd w:val="clear"/>
        <w:topLinePunct w:val="0"/>
        <w:autoSpaceDE/>
        <w:autoSpaceDN/>
        <w:spacing w:line="240" w:lineRule="auto"/>
        <w:jc w:val="center"/>
        <w:rPr>
          <w:rFonts w:ascii="宋体" w:hAnsi="宋体" w:cs="宋体"/>
          <w:color w:val="000000" w:themeColor="text1"/>
          <w:sz w:val="30"/>
          <w:szCs w:val="30"/>
          <w:highlight w:val="none"/>
          <w14:textFill>
            <w14:solidFill>
              <w14:schemeClr w14:val="tx1"/>
            </w14:solidFill>
          </w14:textFill>
        </w:rPr>
      </w:pPr>
    </w:p>
    <w:p w14:paraId="39269BBB">
      <w:pPr>
        <w:shd w:val="clear"/>
        <w:topLinePunct w:val="0"/>
        <w:autoSpaceDE/>
        <w:autoSpaceDN/>
        <w:spacing w:line="240" w:lineRule="auto"/>
        <w:jc w:val="center"/>
        <w:rPr>
          <w:rFonts w:ascii="宋体" w:hAnsi="宋体" w:cs="宋体"/>
          <w:color w:val="000000" w:themeColor="text1"/>
          <w:sz w:val="30"/>
          <w:szCs w:val="30"/>
          <w:highlight w:val="none"/>
          <w14:textFill>
            <w14:solidFill>
              <w14:schemeClr w14:val="tx1"/>
            </w14:solidFill>
          </w14:textFill>
        </w:rPr>
      </w:pPr>
    </w:p>
    <w:p w14:paraId="53B98D05">
      <w:pPr>
        <w:shd w:val="clear"/>
        <w:topLinePunct w:val="0"/>
        <w:autoSpaceDE/>
        <w:autoSpaceDN/>
        <w:spacing w:line="240" w:lineRule="auto"/>
        <w:jc w:val="center"/>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lang w:eastAsia="zh-CN"/>
          <w14:textFill>
            <w14:solidFill>
              <w14:schemeClr w14:val="tx1"/>
            </w14:solidFill>
          </w14:textFill>
        </w:rPr>
        <w:t>国家税务总局沭阳县税务局</w:t>
      </w:r>
    </w:p>
    <w:p w14:paraId="13457A39">
      <w:pPr>
        <w:shd w:val="clear"/>
        <w:topLinePunct w:val="0"/>
        <w:autoSpaceDE/>
        <w:autoSpaceDN/>
        <w:spacing w:line="240" w:lineRule="auto"/>
        <w:jc w:val="center"/>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lang w:eastAsia="zh-CN"/>
          <w14:textFill>
            <w14:solidFill>
              <w14:schemeClr w14:val="tx1"/>
            </w14:solidFill>
          </w14:textFill>
        </w:rPr>
        <w:t>2026年</w:t>
      </w:r>
      <w:r>
        <w:rPr>
          <w:rFonts w:hint="eastAsia" w:ascii="宋体" w:hAnsi="宋体" w:cs="宋体"/>
          <w:color w:val="000000" w:themeColor="text1"/>
          <w:sz w:val="30"/>
          <w:szCs w:val="30"/>
          <w:highlight w:val="none"/>
          <w:lang w:val="en-US" w:eastAsia="zh-CN"/>
          <w14:textFill>
            <w14:solidFill>
              <w14:schemeClr w14:val="tx1"/>
            </w14:solidFill>
          </w14:textFill>
        </w:rPr>
        <w:t>9</w:t>
      </w:r>
      <w:r>
        <w:rPr>
          <w:rFonts w:hint="eastAsia" w:ascii="宋体" w:hAnsi="宋体" w:cs="宋体"/>
          <w:color w:val="000000" w:themeColor="text1"/>
          <w:sz w:val="30"/>
          <w:szCs w:val="30"/>
          <w:highlight w:val="none"/>
          <w:lang w:eastAsia="zh-CN"/>
          <w14:textFill>
            <w14:solidFill>
              <w14:schemeClr w14:val="tx1"/>
            </w14:solidFill>
          </w14:textFill>
        </w:rPr>
        <w:t>月</w:t>
      </w:r>
      <w:r>
        <w:rPr>
          <w:rFonts w:hint="eastAsia" w:ascii="宋体" w:hAnsi="宋体" w:cs="宋体"/>
          <w:color w:val="000000" w:themeColor="text1"/>
          <w:sz w:val="30"/>
          <w:szCs w:val="30"/>
          <w:highlight w:val="none"/>
          <w:lang w:val="en-US" w:eastAsia="zh-CN"/>
          <w14:textFill>
            <w14:solidFill>
              <w14:schemeClr w14:val="tx1"/>
            </w14:solidFill>
          </w14:textFill>
        </w:rPr>
        <w:t>11</w:t>
      </w:r>
      <w:r>
        <w:rPr>
          <w:rFonts w:hint="eastAsia" w:ascii="宋体" w:hAnsi="宋体" w:cs="宋体"/>
          <w:color w:val="000000" w:themeColor="text1"/>
          <w:sz w:val="30"/>
          <w:szCs w:val="30"/>
          <w:highlight w:val="none"/>
          <w:lang w:eastAsia="zh-CN"/>
          <w14:textFill>
            <w14:solidFill>
              <w14:schemeClr w14:val="tx1"/>
            </w14:solidFill>
          </w14:textFill>
        </w:rPr>
        <w:t>日</w:t>
      </w:r>
    </w:p>
    <w:p w14:paraId="2CD3C230">
      <w:pPr>
        <w:shd w:val="clear"/>
        <w:rPr>
          <w:color w:val="auto"/>
          <w:highlight w:val="none"/>
        </w:rPr>
      </w:pPr>
    </w:p>
    <w:p w14:paraId="2A2A9212">
      <w:pPr>
        <w:shd w:val="clear"/>
        <w:rPr>
          <w:color w:val="auto"/>
          <w:highlight w:val="none"/>
        </w:rPr>
      </w:pPr>
    </w:p>
    <w:p w14:paraId="2FD403AB">
      <w:pPr>
        <w:shd w:val="clear"/>
        <w:topLinePunct w:val="0"/>
        <w:autoSpaceDE/>
        <w:autoSpaceDN/>
        <w:spacing w:line="240" w:lineRule="auto"/>
        <w:jc w:val="center"/>
        <w:rPr>
          <w:color w:val="auto"/>
          <w:highlight w:val="none"/>
        </w:rPr>
        <w:sectPr>
          <w:pgSz w:w="11906" w:h="16838"/>
          <w:pgMar w:top="1440" w:right="1752" w:bottom="1440" w:left="1752" w:header="851" w:footer="992" w:gutter="0"/>
          <w:cols w:space="720" w:num="1"/>
          <w:docGrid w:type="lines" w:linePitch="312" w:charSpace="0"/>
        </w:sectPr>
      </w:pPr>
    </w:p>
    <w:p w14:paraId="0967C5D6">
      <w:pPr>
        <w:shd w:val="clear"/>
        <w:topLinePunct w:val="0"/>
        <w:autoSpaceDE/>
        <w:autoSpaceDN/>
        <w:spacing w:line="240" w:lineRule="auto"/>
        <w:jc w:val="center"/>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目  录</w:t>
      </w:r>
    </w:p>
    <w:p w14:paraId="6F434902">
      <w:pPr>
        <w:pStyle w:val="24"/>
        <w:tabs>
          <w:tab w:val="right" w:leader="dot" w:pos="8402"/>
        </w:tabs>
        <w:rPr>
          <w:highlight w:val="none"/>
        </w:rPr>
      </w:pPr>
      <w:r>
        <w:rPr>
          <w:color w:val="auto"/>
          <w:highlight w:val="none"/>
        </w:rPr>
        <w:fldChar w:fldCharType="begin"/>
      </w:r>
      <w:r>
        <w:rPr>
          <w:color w:val="auto"/>
          <w:highlight w:val="none"/>
        </w:rPr>
        <w:instrText xml:space="preserve">TOC \o "1-6" \h \u </w:instrText>
      </w:r>
      <w:r>
        <w:rPr>
          <w:color w:val="auto"/>
          <w:highlight w:val="none"/>
        </w:rPr>
        <w:fldChar w:fldCharType="separate"/>
      </w:r>
      <w:r>
        <w:rPr>
          <w:color w:val="auto"/>
          <w:highlight w:val="none"/>
        </w:rPr>
        <w:fldChar w:fldCharType="begin"/>
      </w:r>
      <w:r>
        <w:rPr>
          <w:highlight w:val="none"/>
        </w:rPr>
        <w:instrText xml:space="preserve"> HYPERLINK \l _Toc30100 </w:instrText>
      </w:r>
      <w:r>
        <w:rPr>
          <w:highlight w:val="none"/>
        </w:rPr>
        <w:fldChar w:fldCharType="separate"/>
      </w:r>
      <w:r>
        <w:rPr>
          <w:highlight w:val="none"/>
        </w:rPr>
        <w:t>第一章  投标邀请</w:t>
      </w:r>
      <w:r>
        <w:rPr>
          <w:highlight w:val="none"/>
        </w:rPr>
        <w:tab/>
      </w:r>
      <w:r>
        <w:rPr>
          <w:highlight w:val="none"/>
        </w:rPr>
        <w:fldChar w:fldCharType="begin"/>
      </w:r>
      <w:r>
        <w:rPr>
          <w:highlight w:val="none"/>
        </w:rPr>
        <w:instrText xml:space="preserve"> PAGEREF _Toc30100 \h </w:instrText>
      </w:r>
      <w:r>
        <w:rPr>
          <w:highlight w:val="none"/>
        </w:rPr>
        <w:fldChar w:fldCharType="separate"/>
      </w:r>
      <w:r>
        <w:rPr>
          <w:highlight w:val="none"/>
        </w:rPr>
        <w:t>1</w:t>
      </w:r>
      <w:r>
        <w:rPr>
          <w:highlight w:val="none"/>
        </w:rPr>
        <w:fldChar w:fldCharType="end"/>
      </w:r>
      <w:r>
        <w:rPr>
          <w:color w:val="auto"/>
          <w:highlight w:val="none"/>
        </w:rPr>
        <w:fldChar w:fldCharType="end"/>
      </w:r>
    </w:p>
    <w:p w14:paraId="68C29999">
      <w:pPr>
        <w:pStyle w:val="16"/>
        <w:tabs>
          <w:tab w:val="right" w:leader="dot" w:pos="8402"/>
        </w:tabs>
        <w:rPr>
          <w:highlight w:val="none"/>
        </w:rPr>
      </w:pPr>
      <w:r>
        <w:rPr>
          <w:color w:val="auto"/>
          <w:highlight w:val="none"/>
        </w:rPr>
        <w:fldChar w:fldCharType="begin"/>
      </w:r>
      <w:r>
        <w:rPr>
          <w:highlight w:val="none"/>
        </w:rPr>
        <w:instrText xml:space="preserve"> HYPERLINK \l _Toc13377 </w:instrText>
      </w:r>
      <w:r>
        <w:rPr>
          <w:highlight w:val="none"/>
        </w:rPr>
        <w:fldChar w:fldCharType="separate"/>
      </w:r>
      <w:r>
        <w:rPr>
          <w:rFonts w:hint="eastAsia" w:ascii="宋体" w:hAnsi="宋体" w:eastAsia="宋体" w:cs="宋体"/>
          <w:bCs/>
          <w:szCs w:val="21"/>
          <w:highlight w:val="none"/>
        </w:rPr>
        <w:t>一、项目基本情况</w:t>
      </w:r>
      <w:r>
        <w:rPr>
          <w:highlight w:val="none"/>
        </w:rPr>
        <w:tab/>
      </w:r>
      <w:r>
        <w:rPr>
          <w:highlight w:val="none"/>
        </w:rPr>
        <w:fldChar w:fldCharType="begin"/>
      </w:r>
      <w:r>
        <w:rPr>
          <w:highlight w:val="none"/>
        </w:rPr>
        <w:instrText xml:space="preserve"> PAGEREF _Toc13377 \h </w:instrText>
      </w:r>
      <w:r>
        <w:rPr>
          <w:highlight w:val="none"/>
        </w:rPr>
        <w:fldChar w:fldCharType="separate"/>
      </w:r>
      <w:r>
        <w:rPr>
          <w:highlight w:val="none"/>
        </w:rPr>
        <w:t>1</w:t>
      </w:r>
      <w:r>
        <w:rPr>
          <w:highlight w:val="none"/>
        </w:rPr>
        <w:fldChar w:fldCharType="end"/>
      </w:r>
      <w:r>
        <w:rPr>
          <w:color w:val="auto"/>
          <w:highlight w:val="none"/>
        </w:rPr>
        <w:fldChar w:fldCharType="end"/>
      </w:r>
    </w:p>
    <w:p w14:paraId="1D03547E">
      <w:pPr>
        <w:pStyle w:val="16"/>
        <w:tabs>
          <w:tab w:val="right" w:leader="dot" w:pos="8402"/>
        </w:tabs>
        <w:rPr>
          <w:highlight w:val="none"/>
        </w:rPr>
      </w:pPr>
      <w:r>
        <w:rPr>
          <w:color w:val="auto"/>
          <w:highlight w:val="none"/>
        </w:rPr>
        <w:fldChar w:fldCharType="begin"/>
      </w:r>
      <w:r>
        <w:rPr>
          <w:highlight w:val="none"/>
        </w:rPr>
        <w:instrText xml:space="preserve"> HYPERLINK \l _Toc11710 </w:instrText>
      </w:r>
      <w:r>
        <w:rPr>
          <w:highlight w:val="none"/>
        </w:rPr>
        <w:fldChar w:fldCharType="separate"/>
      </w:r>
      <w:r>
        <w:rPr>
          <w:rFonts w:hint="eastAsia" w:ascii="宋体" w:hAnsi="宋体" w:eastAsia="宋体" w:cs="宋体"/>
          <w:bCs/>
          <w:szCs w:val="21"/>
          <w:highlight w:val="none"/>
        </w:rPr>
        <w:t>二、申请人的资格要求</w:t>
      </w:r>
      <w:r>
        <w:rPr>
          <w:highlight w:val="none"/>
        </w:rPr>
        <w:tab/>
      </w:r>
      <w:r>
        <w:rPr>
          <w:highlight w:val="none"/>
        </w:rPr>
        <w:fldChar w:fldCharType="begin"/>
      </w:r>
      <w:r>
        <w:rPr>
          <w:highlight w:val="none"/>
        </w:rPr>
        <w:instrText xml:space="preserve"> PAGEREF _Toc11710 \h </w:instrText>
      </w:r>
      <w:r>
        <w:rPr>
          <w:highlight w:val="none"/>
        </w:rPr>
        <w:fldChar w:fldCharType="separate"/>
      </w:r>
      <w:r>
        <w:rPr>
          <w:highlight w:val="none"/>
        </w:rPr>
        <w:t>2</w:t>
      </w:r>
      <w:r>
        <w:rPr>
          <w:highlight w:val="none"/>
        </w:rPr>
        <w:fldChar w:fldCharType="end"/>
      </w:r>
      <w:r>
        <w:rPr>
          <w:color w:val="auto"/>
          <w:highlight w:val="none"/>
        </w:rPr>
        <w:fldChar w:fldCharType="end"/>
      </w:r>
    </w:p>
    <w:p w14:paraId="689980CE">
      <w:pPr>
        <w:pStyle w:val="16"/>
        <w:tabs>
          <w:tab w:val="right" w:leader="dot" w:pos="8402"/>
        </w:tabs>
        <w:rPr>
          <w:highlight w:val="none"/>
        </w:rPr>
      </w:pPr>
      <w:r>
        <w:rPr>
          <w:color w:val="auto"/>
          <w:highlight w:val="none"/>
        </w:rPr>
        <w:fldChar w:fldCharType="begin"/>
      </w:r>
      <w:r>
        <w:rPr>
          <w:highlight w:val="none"/>
        </w:rPr>
        <w:instrText xml:space="preserve"> HYPERLINK \l _Toc8488 </w:instrText>
      </w:r>
      <w:r>
        <w:rPr>
          <w:highlight w:val="none"/>
        </w:rPr>
        <w:fldChar w:fldCharType="separate"/>
      </w:r>
      <w:r>
        <w:rPr>
          <w:rFonts w:hint="eastAsia" w:ascii="宋体" w:hAnsi="宋体" w:eastAsia="宋体" w:cs="宋体"/>
          <w:bCs/>
          <w:szCs w:val="21"/>
          <w:highlight w:val="none"/>
        </w:rPr>
        <w:t>三、获取招标文件</w:t>
      </w:r>
      <w:r>
        <w:rPr>
          <w:highlight w:val="none"/>
        </w:rPr>
        <w:tab/>
      </w:r>
      <w:r>
        <w:rPr>
          <w:highlight w:val="none"/>
        </w:rPr>
        <w:fldChar w:fldCharType="begin"/>
      </w:r>
      <w:r>
        <w:rPr>
          <w:highlight w:val="none"/>
        </w:rPr>
        <w:instrText xml:space="preserve"> PAGEREF _Toc8488 \h </w:instrText>
      </w:r>
      <w:r>
        <w:rPr>
          <w:highlight w:val="none"/>
        </w:rPr>
        <w:fldChar w:fldCharType="separate"/>
      </w:r>
      <w:r>
        <w:rPr>
          <w:highlight w:val="none"/>
        </w:rPr>
        <w:t>3</w:t>
      </w:r>
      <w:r>
        <w:rPr>
          <w:highlight w:val="none"/>
        </w:rPr>
        <w:fldChar w:fldCharType="end"/>
      </w:r>
      <w:r>
        <w:rPr>
          <w:color w:val="auto"/>
          <w:highlight w:val="none"/>
        </w:rPr>
        <w:fldChar w:fldCharType="end"/>
      </w:r>
    </w:p>
    <w:p w14:paraId="7A2B7D6D">
      <w:pPr>
        <w:pStyle w:val="16"/>
        <w:tabs>
          <w:tab w:val="right" w:leader="dot" w:pos="8402"/>
        </w:tabs>
        <w:rPr>
          <w:highlight w:val="none"/>
        </w:rPr>
      </w:pPr>
      <w:r>
        <w:rPr>
          <w:color w:val="auto"/>
          <w:highlight w:val="none"/>
        </w:rPr>
        <w:fldChar w:fldCharType="begin"/>
      </w:r>
      <w:r>
        <w:rPr>
          <w:highlight w:val="none"/>
        </w:rPr>
        <w:instrText xml:space="preserve"> HYPERLINK \l _Toc26107 </w:instrText>
      </w:r>
      <w:r>
        <w:rPr>
          <w:highlight w:val="none"/>
        </w:rPr>
        <w:fldChar w:fldCharType="separate"/>
      </w:r>
      <w:r>
        <w:rPr>
          <w:rFonts w:hint="eastAsia" w:ascii="宋体" w:hAnsi="宋体" w:eastAsia="宋体" w:cs="宋体"/>
          <w:bCs/>
          <w:szCs w:val="21"/>
          <w:highlight w:val="none"/>
        </w:rPr>
        <w:t>四、提交投标文件截止时间、开标时间和地点</w:t>
      </w:r>
      <w:r>
        <w:rPr>
          <w:highlight w:val="none"/>
        </w:rPr>
        <w:tab/>
      </w:r>
      <w:r>
        <w:rPr>
          <w:highlight w:val="none"/>
        </w:rPr>
        <w:fldChar w:fldCharType="begin"/>
      </w:r>
      <w:r>
        <w:rPr>
          <w:highlight w:val="none"/>
        </w:rPr>
        <w:instrText xml:space="preserve"> PAGEREF _Toc26107 \h </w:instrText>
      </w:r>
      <w:r>
        <w:rPr>
          <w:highlight w:val="none"/>
        </w:rPr>
        <w:fldChar w:fldCharType="separate"/>
      </w:r>
      <w:r>
        <w:rPr>
          <w:highlight w:val="none"/>
        </w:rPr>
        <w:t>4</w:t>
      </w:r>
      <w:r>
        <w:rPr>
          <w:highlight w:val="none"/>
        </w:rPr>
        <w:fldChar w:fldCharType="end"/>
      </w:r>
      <w:r>
        <w:rPr>
          <w:color w:val="auto"/>
          <w:highlight w:val="none"/>
        </w:rPr>
        <w:fldChar w:fldCharType="end"/>
      </w:r>
    </w:p>
    <w:p w14:paraId="6E41F914">
      <w:pPr>
        <w:pStyle w:val="16"/>
        <w:tabs>
          <w:tab w:val="right" w:leader="dot" w:pos="8402"/>
        </w:tabs>
        <w:rPr>
          <w:highlight w:val="none"/>
        </w:rPr>
      </w:pPr>
      <w:r>
        <w:rPr>
          <w:color w:val="auto"/>
          <w:highlight w:val="none"/>
        </w:rPr>
        <w:fldChar w:fldCharType="begin"/>
      </w:r>
      <w:r>
        <w:rPr>
          <w:highlight w:val="none"/>
        </w:rPr>
        <w:instrText xml:space="preserve"> HYPERLINK \l _Toc15937 </w:instrText>
      </w:r>
      <w:r>
        <w:rPr>
          <w:highlight w:val="none"/>
        </w:rPr>
        <w:fldChar w:fldCharType="separate"/>
      </w:r>
      <w:r>
        <w:rPr>
          <w:rFonts w:hint="eastAsia" w:ascii="宋体" w:hAnsi="宋体" w:eastAsia="宋体" w:cs="宋体"/>
          <w:bCs/>
          <w:szCs w:val="21"/>
          <w:highlight w:val="none"/>
        </w:rPr>
        <w:t>五、公告期限</w:t>
      </w:r>
      <w:r>
        <w:rPr>
          <w:highlight w:val="none"/>
        </w:rPr>
        <w:tab/>
      </w:r>
      <w:r>
        <w:rPr>
          <w:highlight w:val="none"/>
        </w:rPr>
        <w:fldChar w:fldCharType="begin"/>
      </w:r>
      <w:r>
        <w:rPr>
          <w:highlight w:val="none"/>
        </w:rPr>
        <w:instrText xml:space="preserve"> PAGEREF _Toc15937 \h </w:instrText>
      </w:r>
      <w:r>
        <w:rPr>
          <w:highlight w:val="none"/>
        </w:rPr>
        <w:fldChar w:fldCharType="separate"/>
      </w:r>
      <w:r>
        <w:rPr>
          <w:highlight w:val="none"/>
        </w:rPr>
        <w:t>4</w:t>
      </w:r>
      <w:r>
        <w:rPr>
          <w:highlight w:val="none"/>
        </w:rPr>
        <w:fldChar w:fldCharType="end"/>
      </w:r>
      <w:r>
        <w:rPr>
          <w:color w:val="auto"/>
          <w:highlight w:val="none"/>
        </w:rPr>
        <w:fldChar w:fldCharType="end"/>
      </w:r>
    </w:p>
    <w:p w14:paraId="691C2E21">
      <w:pPr>
        <w:pStyle w:val="16"/>
        <w:tabs>
          <w:tab w:val="right" w:leader="dot" w:pos="8402"/>
        </w:tabs>
        <w:rPr>
          <w:highlight w:val="none"/>
        </w:rPr>
      </w:pPr>
      <w:r>
        <w:rPr>
          <w:color w:val="auto"/>
          <w:highlight w:val="none"/>
        </w:rPr>
        <w:fldChar w:fldCharType="begin"/>
      </w:r>
      <w:r>
        <w:rPr>
          <w:highlight w:val="none"/>
        </w:rPr>
        <w:instrText xml:space="preserve"> HYPERLINK \l _Toc30050 </w:instrText>
      </w:r>
      <w:r>
        <w:rPr>
          <w:highlight w:val="none"/>
        </w:rPr>
        <w:fldChar w:fldCharType="separate"/>
      </w:r>
      <w:r>
        <w:rPr>
          <w:rFonts w:hint="eastAsia" w:ascii="宋体" w:hAnsi="宋体" w:eastAsia="宋体" w:cs="宋体"/>
          <w:bCs/>
          <w:szCs w:val="21"/>
          <w:highlight w:val="none"/>
        </w:rPr>
        <w:t>六、其他补充事宜</w:t>
      </w:r>
      <w:r>
        <w:rPr>
          <w:highlight w:val="none"/>
        </w:rPr>
        <w:tab/>
      </w:r>
      <w:r>
        <w:rPr>
          <w:highlight w:val="none"/>
        </w:rPr>
        <w:fldChar w:fldCharType="begin"/>
      </w:r>
      <w:r>
        <w:rPr>
          <w:highlight w:val="none"/>
        </w:rPr>
        <w:instrText xml:space="preserve"> PAGEREF _Toc30050 \h </w:instrText>
      </w:r>
      <w:r>
        <w:rPr>
          <w:highlight w:val="none"/>
        </w:rPr>
        <w:fldChar w:fldCharType="separate"/>
      </w:r>
      <w:r>
        <w:rPr>
          <w:highlight w:val="none"/>
        </w:rPr>
        <w:t>4</w:t>
      </w:r>
      <w:r>
        <w:rPr>
          <w:highlight w:val="none"/>
        </w:rPr>
        <w:fldChar w:fldCharType="end"/>
      </w:r>
      <w:r>
        <w:rPr>
          <w:color w:val="auto"/>
          <w:highlight w:val="none"/>
        </w:rPr>
        <w:fldChar w:fldCharType="end"/>
      </w:r>
    </w:p>
    <w:p w14:paraId="704CC2B0">
      <w:pPr>
        <w:pStyle w:val="16"/>
        <w:tabs>
          <w:tab w:val="right" w:leader="dot" w:pos="8402"/>
        </w:tabs>
        <w:rPr>
          <w:highlight w:val="none"/>
        </w:rPr>
      </w:pPr>
      <w:r>
        <w:rPr>
          <w:color w:val="auto"/>
          <w:highlight w:val="none"/>
        </w:rPr>
        <w:fldChar w:fldCharType="begin"/>
      </w:r>
      <w:r>
        <w:rPr>
          <w:highlight w:val="none"/>
        </w:rPr>
        <w:instrText xml:space="preserve"> HYPERLINK \l _Toc13209 </w:instrText>
      </w:r>
      <w:r>
        <w:rPr>
          <w:highlight w:val="none"/>
        </w:rPr>
        <w:fldChar w:fldCharType="separate"/>
      </w:r>
      <w:r>
        <w:rPr>
          <w:rFonts w:hint="eastAsia" w:ascii="宋体" w:hAnsi="宋体" w:eastAsia="宋体" w:cs="宋体"/>
          <w:bCs/>
          <w:szCs w:val="21"/>
          <w:highlight w:val="none"/>
        </w:rPr>
        <w:t>七、对本次招标提出询问，请按以下方式联系</w:t>
      </w:r>
      <w:r>
        <w:rPr>
          <w:highlight w:val="none"/>
        </w:rPr>
        <w:tab/>
      </w:r>
      <w:r>
        <w:rPr>
          <w:highlight w:val="none"/>
        </w:rPr>
        <w:fldChar w:fldCharType="begin"/>
      </w:r>
      <w:r>
        <w:rPr>
          <w:highlight w:val="none"/>
        </w:rPr>
        <w:instrText xml:space="preserve"> PAGEREF _Toc13209 \h </w:instrText>
      </w:r>
      <w:r>
        <w:rPr>
          <w:highlight w:val="none"/>
        </w:rPr>
        <w:fldChar w:fldCharType="separate"/>
      </w:r>
      <w:r>
        <w:rPr>
          <w:highlight w:val="none"/>
        </w:rPr>
        <w:t>4</w:t>
      </w:r>
      <w:r>
        <w:rPr>
          <w:highlight w:val="none"/>
        </w:rPr>
        <w:fldChar w:fldCharType="end"/>
      </w:r>
      <w:r>
        <w:rPr>
          <w:color w:val="auto"/>
          <w:highlight w:val="none"/>
        </w:rPr>
        <w:fldChar w:fldCharType="end"/>
      </w:r>
    </w:p>
    <w:p w14:paraId="06FF6549">
      <w:pPr>
        <w:pStyle w:val="24"/>
        <w:tabs>
          <w:tab w:val="right" w:leader="dot" w:pos="8402"/>
        </w:tabs>
        <w:rPr>
          <w:highlight w:val="none"/>
        </w:rPr>
      </w:pPr>
      <w:r>
        <w:rPr>
          <w:color w:val="auto"/>
          <w:highlight w:val="none"/>
        </w:rPr>
        <w:fldChar w:fldCharType="begin"/>
      </w:r>
      <w:r>
        <w:rPr>
          <w:highlight w:val="none"/>
        </w:rPr>
        <w:instrText xml:space="preserve"> HYPERLINK \l _Toc9174 </w:instrText>
      </w:r>
      <w:r>
        <w:rPr>
          <w:highlight w:val="none"/>
        </w:rPr>
        <w:fldChar w:fldCharType="separate"/>
      </w:r>
      <w:r>
        <w:rPr>
          <w:highlight w:val="none"/>
        </w:rPr>
        <w:t>第二章</w:t>
      </w:r>
      <w:r>
        <w:rPr>
          <w:rFonts w:hint="eastAsia"/>
          <w:highlight w:val="none"/>
          <w:lang w:val="en-US" w:eastAsia="zh-CN"/>
        </w:rPr>
        <w:t xml:space="preserve">  </w:t>
      </w:r>
      <w:r>
        <w:rPr>
          <w:highlight w:val="none"/>
        </w:rPr>
        <w:t>投标人须知</w:t>
      </w:r>
      <w:r>
        <w:rPr>
          <w:highlight w:val="none"/>
        </w:rPr>
        <w:tab/>
      </w:r>
      <w:r>
        <w:rPr>
          <w:highlight w:val="none"/>
        </w:rPr>
        <w:fldChar w:fldCharType="begin"/>
      </w:r>
      <w:r>
        <w:rPr>
          <w:highlight w:val="none"/>
        </w:rPr>
        <w:instrText xml:space="preserve"> PAGEREF _Toc9174 \h </w:instrText>
      </w:r>
      <w:r>
        <w:rPr>
          <w:highlight w:val="none"/>
        </w:rPr>
        <w:fldChar w:fldCharType="separate"/>
      </w:r>
      <w:r>
        <w:rPr>
          <w:highlight w:val="none"/>
        </w:rPr>
        <w:t>5</w:t>
      </w:r>
      <w:r>
        <w:rPr>
          <w:highlight w:val="none"/>
        </w:rPr>
        <w:fldChar w:fldCharType="end"/>
      </w:r>
      <w:r>
        <w:rPr>
          <w:color w:val="auto"/>
          <w:highlight w:val="none"/>
        </w:rPr>
        <w:fldChar w:fldCharType="end"/>
      </w:r>
    </w:p>
    <w:p w14:paraId="65CFE24B">
      <w:pPr>
        <w:pStyle w:val="16"/>
        <w:tabs>
          <w:tab w:val="right" w:leader="dot" w:pos="8402"/>
        </w:tabs>
        <w:rPr>
          <w:highlight w:val="none"/>
        </w:rPr>
      </w:pPr>
      <w:r>
        <w:rPr>
          <w:color w:val="auto"/>
          <w:highlight w:val="none"/>
        </w:rPr>
        <w:fldChar w:fldCharType="begin"/>
      </w:r>
      <w:r>
        <w:rPr>
          <w:highlight w:val="none"/>
        </w:rPr>
        <w:instrText xml:space="preserve"> HYPERLINK \l _Toc4452 </w:instrText>
      </w:r>
      <w:r>
        <w:rPr>
          <w:highlight w:val="none"/>
        </w:rPr>
        <w:fldChar w:fldCharType="separate"/>
      </w:r>
      <w:r>
        <w:rPr>
          <w:rFonts w:hint="eastAsia"/>
          <w:highlight w:val="none"/>
        </w:rPr>
        <w:t>一、总则</w:t>
      </w:r>
      <w:r>
        <w:rPr>
          <w:highlight w:val="none"/>
        </w:rPr>
        <w:tab/>
      </w:r>
      <w:r>
        <w:rPr>
          <w:highlight w:val="none"/>
        </w:rPr>
        <w:fldChar w:fldCharType="begin"/>
      </w:r>
      <w:r>
        <w:rPr>
          <w:highlight w:val="none"/>
        </w:rPr>
        <w:instrText xml:space="preserve"> PAGEREF _Toc4452 \h </w:instrText>
      </w:r>
      <w:r>
        <w:rPr>
          <w:highlight w:val="none"/>
        </w:rPr>
        <w:fldChar w:fldCharType="separate"/>
      </w:r>
      <w:r>
        <w:rPr>
          <w:highlight w:val="none"/>
        </w:rPr>
        <w:t>16</w:t>
      </w:r>
      <w:r>
        <w:rPr>
          <w:highlight w:val="none"/>
        </w:rPr>
        <w:fldChar w:fldCharType="end"/>
      </w:r>
      <w:r>
        <w:rPr>
          <w:color w:val="auto"/>
          <w:highlight w:val="none"/>
        </w:rPr>
        <w:fldChar w:fldCharType="end"/>
      </w:r>
    </w:p>
    <w:p w14:paraId="76FFA80D">
      <w:pPr>
        <w:pStyle w:val="16"/>
        <w:tabs>
          <w:tab w:val="right" w:leader="dot" w:pos="8402"/>
        </w:tabs>
        <w:rPr>
          <w:highlight w:val="none"/>
        </w:rPr>
      </w:pPr>
      <w:r>
        <w:rPr>
          <w:color w:val="auto"/>
          <w:highlight w:val="none"/>
        </w:rPr>
        <w:fldChar w:fldCharType="begin"/>
      </w:r>
      <w:r>
        <w:rPr>
          <w:highlight w:val="none"/>
        </w:rPr>
        <w:instrText xml:space="preserve"> HYPERLINK \l _Toc4375 </w:instrText>
      </w:r>
      <w:r>
        <w:rPr>
          <w:highlight w:val="none"/>
        </w:rPr>
        <w:fldChar w:fldCharType="separate"/>
      </w:r>
      <w:r>
        <w:rPr>
          <w:rFonts w:hint="eastAsia"/>
          <w:highlight w:val="none"/>
        </w:rPr>
        <w:t>二、招标文件</w:t>
      </w:r>
      <w:r>
        <w:rPr>
          <w:highlight w:val="none"/>
        </w:rPr>
        <w:tab/>
      </w:r>
      <w:r>
        <w:rPr>
          <w:highlight w:val="none"/>
        </w:rPr>
        <w:fldChar w:fldCharType="begin"/>
      </w:r>
      <w:r>
        <w:rPr>
          <w:highlight w:val="none"/>
        </w:rPr>
        <w:instrText xml:space="preserve"> PAGEREF _Toc4375 \h </w:instrText>
      </w:r>
      <w:r>
        <w:rPr>
          <w:highlight w:val="none"/>
        </w:rPr>
        <w:fldChar w:fldCharType="separate"/>
      </w:r>
      <w:r>
        <w:rPr>
          <w:highlight w:val="none"/>
        </w:rPr>
        <w:t>17</w:t>
      </w:r>
      <w:r>
        <w:rPr>
          <w:highlight w:val="none"/>
        </w:rPr>
        <w:fldChar w:fldCharType="end"/>
      </w:r>
      <w:r>
        <w:rPr>
          <w:color w:val="auto"/>
          <w:highlight w:val="none"/>
        </w:rPr>
        <w:fldChar w:fldCharType="end"/>
      </w:r>
    </w:p>
    <w:p w14:paraId="67458208">
      <w:pPr>
        <w:pStyle w:val="16"/>
        <w:tabs>
          <w:tab w:val="right" w:leader="dot" w:pos="8402"/>
        </w:tabs>
        <w:rPr>
          <w:highlight w:val="none"/>
        </w:rPr>
      </w:pPr>
      <w:r>
        <w:rPr>
          <w:color w:val="auto"/>
          <w:highlight w:val="none"/>
        </w:rPr>
        <w:fldChar w:fldCharType="begin"/>
      </w:r>
      <w:r>
        <w:rPr>
          <w:highlight w:val="none"/>
        </w:rPr>
        <w:instrText xml:space="preserve"> HYPERLINK \l _Toc28509 </w:instrText>
      </w:r>
      <w:r>
        <w:rPr>
          <w:highlight w:val="none"/>
        </w:rPr>
        <w:fldChar w:fldCharType="separate"/>
      </w:r>
      <w:r>
        <w:rPr>
          <w:rFonts w:hint="eastAsia"/>
          <w:highlight w:val="none"/>
        </w:rPr>
        <w:t>三、投标文件</w:t>
      </w:r>
      <w:r>
        <w:rPr>
          <w:highlight w:val="none"/>
        </w:rPr>
        <w:tab/>
      </w:r>
      <w:r>
        <w:rPr>
          <w:highlight w:val="none"/>
        </w:rPr>
        <w:fldChar w:fldCharType="begin"/>
      </w:r>
      <w:r>
        <w:rPr>
          <w:highlight w:val="none"/>
        </w:rPr>
        <w:instrText xml:space="preserve"> PAGEREF _Toc28509 \h </w:instrText>
      </w:r>
      <w:r>
        <w:rPr>
          <w:highlight w:val="none"/>
        </w:rPr>
        <w:fldChar w:fldCharType="separate"/>
      </w:r>
      <w:r>
        <w:rPr>
          <w:highlight w:val="none"/>
        </w:rPr>
        <w:t>18</w:t>
      </w:r>
      <w:r>
        <w:rPr>
          <w:highlight w:val="none"/>
        </w:rPr>
        <w:fldChar w:fldCharType="end"/>
      </w:r>
      <w:r>
        <w:rPr>
          <w:color w:val="auto"/>
          <w:highlight w:val="none"/>
        </w:rPr>
        <w:fldChar w:fldCharType="end"/>
      </w:r>
    </w:p>
    <w:p w14:paraId="1D33DB4A">
      <w:pPr>
        <w:pStyle w:val="16"/>
        <w:tabs>
          <w:tab w:val="right" w:leader="dot" w:pos="8402"/>
        </w:tabs>
        <w:rPr>
          <w:highlight w:val="none"/>
        </w:rPr>
      </w:pPr>
      <w:r>
        <w:rPr>
          <w:color w:val="auto"/>
          <w:highlight w:val="none"/>
        </w:rPr>
        <w:fldChar w:fldCharType="begin"/>
      </w:r>
      <w:r>
        <w:rPr>
          <w:highlight w:val="none"/>
        </w:rPr>
        <w:instrText xml:space="preserve"> HYPERLINK \l _Toc22812 </w:instrText>
      </w:r>
      <w:r>
        <w:rPr>
          <w:highlight w:val="none"/>
        </w:rPr>
        <w:fldChar w:fldCharType="separate"/>
      </w:r>
      <w:r>
        <w:rPr>
          <w:rFonts w:hint="eastAsia"/>
          <w:highlight w:val="none"/>
        </w:rPr>
        <w:t>四、投标文件递交</w:t>
      </w:r>
      <w:r>
        <w:rPr>
          <w:highlight w:val="none"/>
        </w:rPr>
        <w:tab/>
      </w:r>
      <w:r>
        <w:rPr>
          <w:highlight w:val="none"/>
        </w:rPr>
        <w:fldChar w:fldCharType="begin"/>
      </w:r>
      <w:r>
        <w:rPr>
          <w:highlight w:val="none"/>
        </w:rPr>
        <w:instrText xml:space="preserve"> PAGEREF _Toc22812 \h </w:instrText>
      </w:r>
      <w:r>
        <w:rPr>
          <w:highlight w:val="none"/>
        </w:rPr>
        <w:fldChar w:fldCharType="separate"/>
      </w:r>
      <w:r>
        <w:rPr>
          <w:highlight w:val="none"/>
        </w:rPr>
        <w:t>21</w:t>
      </w:r>
      <w:r>
        <w:rPr>
          <w:highlight w:val="none"/>
        </w:rPr>
        <w:fldChar w:fldCharType="end"/>
      </w:r>
      <w:r>
        <w:rPr>
          <w:color w:val="auto"/>
          <w:highlight w:val="none"/>
        </w:rPr>
        <w:fldChar w:fldCharType="end"/>
      </w:r>
    </w:p>
    <w:p w14:paraId="687AECB4">
      <w:pPr>
        <w:pStyle w:val="16"/>
        <w:tabs>
          <w:tab w:val="right" w:leader="dot" w:pos="8402"/>
        </w:tabs>
        <w:rPr>
          <w:highlight w:val="none"/>
        </w:rPr>
      </w:pPr>
      <w:r>
        <w:rPr>
          <w:color w:val="auto"/>
          <w:highlight w:val="none"/>
        </w:rPr>
        <w:fldChar w:fldCharType="begin"/>
      </w:r>
      <w:r>
        <w:rPr>
          <w:highlight w:val="none"/>
        </w:rPr>
        <w:instrText xml:space="preserve"> HYPERLINK \l _Toc30745 </w:instrText>
      </w:r>
      <w:r>
        <w:rPr>
          <w:highlight w:val="none"/>
        </w:rPr>
        <w:fldChar w:fldCharType="separate"/>
      </w:r>
      <w:r>
        <w:rPr>
          <w:rFonts w:hint="eastAsia"/>
          <w:highlight w:val="none"/>
        </w:rPr>
        <w:t>五、开标与评标</w:t>
      </w:r>
      <w:r>
        <w:rPr>
          <w:highlight w:val="none"/>
        </w:rPr>
        <w:tab/>
      </w:r>
      <w:r>
        <w:rPr>
          <w:highlight w:val="none"/>
        </w:rPr>
        <w:fldChar w:fldCharType="begin"/>
      </w:r>
      <w:r>
        <w:rPr>
          <w:highlight w:val="none"/>
        </w:rPr>
        <w:instrText xml:space="preserve"> PAGEREF _Toc30745 \h </w:instrText>
      </w:r>
      <w:r>
        <w:rPr>
          <w:highlight w:val="none"/>
        </w:rPr>
        <w:fldChar w:fldCharType="separate"/>
      </w:r>
      <w:r>
        <w:rPr>
          <w:highlight w:val="none"/>
        </w:rPr>
        <w:t>21</w:t>
      </w:r>
      <w:r>
        <w:rPr>
          <w:highlight w:val="none"/>
        </w:rPr>
        <w:fldChar w:fldCharType="end"/>
      </w:r>
      <w:r>
        <w:rPr>
          <w:color w:val="auto"/>
          <w:highlight w:val="none"/>
        </w:rPr>
        <w:fldChar w:fldCharType="end"/>
      </w:r>
    </w:p>
    <w:p w14:paraId="113A0F8F">
      <w:pPr>
        <w:pStyle w:val="16"/>
        <w:tabs>
          <w:tab w:val="right" w:leader="dot" w:pos="8402"/>
        </w:tabs>
        <w:rPr>
          <w:highlight w:val="none"/>
        </w:rPr>
      </w:pPr>
      <w:r>
        <w:rPr>
          <w:color w:val="auto"/>
          <w:highlight w:val="none"/>
        </w:rPr>
        <w:fldChar w:fldCharType="begin"/>
      </w:r>
      <w:r>
        <w:rPr>
          <w:highlight w:val="none"/>
        </w:rPr>
        <w:instrText xml:space="preserve"> HYPERLINK \l _Toc2210 </w:instrText>
      </w:r>
      <w:r>
        <w:rPr>
          <w:highlight w:val="none"/>
        </w:rPr>
        <w:fldChar w:fldCharType="separate"/>
      </w:r>
      <w:r>
        <w:rPr>
          <w:rFonts w:hint="eastAsia"/>
          <w:highlight w:val="none"/>
        </w:rPr>
        <w:t>六、中标和合同</w:t>
      </w:r>
      <w:r>
        <w:rPr>
          <w:highlight w:val="none"/>
        </w:rPr>
        <w:tab/>
      </w:r>
      <w:r>
        <w:rPr>
          <w:highlight w:val="none"/>
        </w:rPr>
        <w:fldChar w:fldCharType="begin"/>
      </w:r>
      <w:r>
        <w:rPr>
          <w:highlight w:val="none"/>
        </w:rPr>
        <w:instrText xml:space="preserve"> PAGEREF _Toc2210 \h </w:instrText>
      </w:r>
      <w:r>
        <w:rPr>
          <w:highlight w:val="none"/>
        </w:rPr>
        <w:fldChar w:fldCharType="separate"/>
      </w:r>
      <w:r>
        <w:rPr>
          <w:highlight w:val="none"/>
        </w:rPr>
        <w:t>25</w:t>
      </w:r>
      <w:r>
        <w:rPr>
          <w:highlight w:val="none"/>
        </w:rPr>
        <w:fldChar w:fldCharType="end"/>
      </w:r>
      <w:r>
        <w:rPr>
          <w:color w:val="auto"/>
          <w:highlight w:val="none"/>
        </w:rPr>
        <w:fldChar w:fldCharType="end"/>
      </w:r>
    </w:p>
    <w:p w14:paraId="24130CCB">
      <w:pPr>
        <w:pStyle w:val="16"/>
        <w:tabs>
          <w:tab w:val="right" w:leader="dot" w:pos="8402"/>
        </w:tabs>
        <w:rPr>
          <w:highlight w:val="none"/>
        </w:rPr>
      </w:pPr>
      <w:r>
        <w:rPr>
          <w:color w:val="auto"/>
          <w:highlight w:val="none"/>
        </w:rPr>
        <w:fldChar w:fldCharType="begin"/>
      </w:r>
      <w:r>
        <w:rPr>
          <w:highlight w:val="none"/>
        </w:rPr>
        <w:instrText xml:space="preserve"> HYPERLINK \l _Toc18424 </w:instrText>
      </w:r>
      <w:r>
        <w:rPr>
          <w:highlight w:val="none"/>
        </w:rPr>
        <w:fldChar w:fldCharType="separate"/>
      </w:r>
      <w:r>
        <w:rPr>
          <w:rFonts w:hint="eastAsia"/>
          <w:highlight w:val="none"/>
        </w:rPr>
        <w:t>七、询问和质疑</w:t>
      </w:r>
      <w:r>
        <w:rPr>
          <w:highlight w:val="none"/>
        </w:rPr>
        <w:tab/>
      </w:r>
      <w:r>
        <w:rPr>
          <w:highlight w:val="none"/>
        </w:rPr>
        <w:fldChar w:fldCharType="begin"/>
      </w:r>
      <w:r>
        <w:rPr>
          <w:highlight w:val="none"/>
        </w:rPr>
        <w:instrText xml:space="preserve"> PAGEREF _Toc18424 \h </w:instrText>
      </w:r>
      <w:r>
        <w:rPr>
          <w:highlight w:val="none"/>
        </w:rPr>
        <w:fldChar w:fldCharType="separate"/>
      </w:r>
      <w:r>
        <w:rPr>
          <w:highlight w:val="none"/>
        </w:rPr>
        <w:t>26</w:t>
      </w:r>
      <w:r>
        <w:rPr>
          <w:highlight w:val="none"/>
        </w:rPr>
        <w:fldChar w:fldCharType="end"/>
      </w:r>
      <w:r>
        <w:rPr>
          <w:color w:val="auto"/>
          <w:highlight w:val="none"/>
        </w:rPr>
        <w:fldChar w:fldCharType="end"/>
      </w:r>
    </w:p>
    <w:p w14:paraId="50745E11">
      <w:pPr>
        <w:pStyle w:val="24"/>
        <w:tabs>
          <w:tab w:val="right" w:leader="dot" w:pos="8402"/>
        </w:tabs>
        <w:rPr>
          <w:highlight w:val="none"/>
        </w:rPr>
      </w:pPr>
      <w:r>
        <w:rPr>
          <w:color w:val="auto"/>
          <w:highlight w:val="none"/>
        </w:rPr>
        <w:fldChar w:fldCharType="begin"/>
      </w:r>
      <w:r>
        <w:rPr>
          <w:highlight w:val="none"/>
        </w:rPr>
        <w:instrText xml:space="preserve"> HYPERLINK \l _Toc19156 </w:instrText>
      </w:r>
      <w:r>
        <w:rPr>
          <w:highlight w:val="none"/>
        </w:rPr>
        <w:fldChar w:fldCharType="separate"/>
      </w:r>
      <w:r>
        <w:rPr>
          <w:highlight w:val="none"/>
        </w:rPr>
        <w:t>第三章  评标方法及标准</w:t>
      </w:r>
      <w:r>
        <w:rPr>
          <w:highlight w:val="none"/>
        </w:rPr>
        <w:tab/>
      </w:r>
      <w:r>
        <w:rPr>
          <w:highlight w:val="none"/>
        </w:rPr>
        <w:fldChar w:fldCharType="begin"/>
      </w:r>
      <w:r>
        <w:rPr>
          <w:highlight w:val="none"/>
        </w:rPr>
        <w:instrText xml:space="preserve"> PAGEREF _Toc19156 \h </w:instrText>
      </w:r>
      <w:r>
        <w:rPr>
          <w:highlight w:val="none"/>
        </w:rPr>
        <w:fldChar w:fldCharType="separate"/>
      </w:r>
      <w:r>
        <w:rPr>
          <w:highlight w:val="none"/>
        </w:rPr>
        <w:t>28</w:t>
      </w:r>
      <w:r>
        <w:rPr>
          <w:highlight w:val="none"/>
        </w:rPr>
        <w:fldChar w:fldCharType="end"/>
      </w:r>
      <w:r>
        <w:rPr>
          <w:color w:val="auto"/>
          <w:highlight w:val="none"/>
        </w:rPr>
        <w:fldChar w:fldCharType="end"/>
      </w:r>
    </w:p>
    <w:p w14:paraId="5461F734">
      <w:pPr>
        <w:pStyle w:val="16"/>
        <w:tabs>
          <w:tab w:val="right" w:leader="dot" w:pos="8402"/>
        </w:tabs>
        <w:rPr>
          <w:highlight w:val="none"/>
        </w:rPr>
      </w:pPr>
      <w:r>
        <w:rPr>
          <w:color w:val="auto"/>
          <w:highlight w:val="none"/>
        </w:rPr>
        <w:fldChar w:fldCharType="begin"/>
      </w:r>
      <w:r>
        <w:rPr>
          <w:highlight w:val="none"/>
        </w:rPr>
        <w:instrText xml:space="preserve"> HYPERLINK \l _Toc1176 </w:instrText>
      </w:r>
      <w:r>
        <w:rPr>
          <w:highlight w:val="none"/>
        </w:rPr>
        <w:fldChar w:fldCharType="separate"/>
      </w:r>
      <w:r>
        <w:rPr>
          <w:highlight w:val="none"/>
        </w:rPr>
        <w:t>1.评标方法</w:t>
      </w:r>
      <w:r>
        <w:rPr>
          <w:highlight w:val="none"/>
        </w:rPr>
        <w:tab/>
      </w:r>
      <w:r>
        <w:rPr>
          <w:highlight w:val="none"/>
        </w:rPr>
        <w:fldChar w:fldCharType="begin"/>
      </w:r>
      <w:r>
        <w:rPr>
          <w:highlight w:val="none"/>
        </w:rPr>
        <w:instrText xml:space="preserve"> PAGEREF _Toc1176 \h </w:instrText>
      </w:r>
      <w:r>
        <w:rPr>
          <w:highlight w:val="none"/>
        </w:rPr>
        <w:fldChar w:fldCharType="separate"/>
      </w:r>
      <w:r>
        <w:rPr>
          <w:highlight w:val="none"/>
        </w:rPr>
        <w:t>28</w:t>
      </w:r>
      <w:r>
        <w:rPr>
          <w:highlight w:val="none"/>
        </w:rPr>
        <w:fldChar w:fldCharType="end"/>
      </w:r>
      <w:r>
        <w:rPr>
          <w:color w:val="auto"/>
          <w:highlight w:val="none"/>
        </w:rPr>
        <w:fldChar w:fldCharType="end"/>
      </w:r>
    </w:p>
    <w:p w14:paraId="52B7656F">
      <w:pPr>
        <w:pStyle w:val="16"/>
        <w:tabs>
          <w:tab w:val="right" w:leader="dot" w:pos="8402"/>
        </w:tabs>
        <w:rPr>
          <w:highlight w:val="none"/>
        </w:rPr>
      </w:pPr>
      <w:r>
        <w:rPr>
          <w:color w:val="auto"/>
          <w:highlight w:val="none"/>
        </w:rPr>
        <w:fldChar w:fldCharType="begin"/>
      </w:r>
      <w:r>
        <w:rPr>
          <w:highlight w:val="none"/>
        </w:rPr>
        <w:instrText xml:space="preserve"> HYPERLINK \l _Toc16749 </w:instrText>
      </w:r>
      <w:r>
        <w:rPr>
          <w:highlight w:val="none"/>
        </w:rPr>
        <w:fldChar w:fldCharType="separate"/>
      </w:r>
      <w:r>
        <w:rPr>
          <w:highlight w:val="none"/>
        </w:rPr>
        <w:t>2.评标标准</w:t>
      </w:r>
      <w:r>
        <w:rPr>
          <w:highlight w:val="none"/>
        </w:rPr>
        <w:tab/>
      </w:r>
      <w:r>
        <w:rPr>
          <w:highlight w:val="none"/>
        </w:rPr>
        <w:fldChar w:fldCharType="begin"/>
      </w:r>
      <w:r>
        <w:rPr>
          <w:highlight w:val="none"/>
        </w:rPr>
        <w:instrText xml:space="preserve"> PAGEREF _Toc16749 \h </w:instrText>
      </w:r>
      <w:r>
        <w:rPr>
          <w:highlight w:val="none"/>
        </w:rPr>
        <w:fldChar w:fldCharType="separate"/>
      </w:r>
      <w:r>
        <w:rPr>
          <w:highlight w:val="none"/>
        </w:rPr>
        <w:t>28</w:t>
      </w:r>
      <w:r>
        <w:rPr>
          <w:highlight w:val="none"/>
        </w:rPr>
        <w:fldChar w:fldCharType="end"/>
      </w:r>
      <w:r>
        <w:rPr>
          <w:color w:val="auto"/>
          <w:highlight w:val="none"/>
        </w:rPr>
        <w:fldChar w:fldCharType="end"/>
      </w:r>
    </w:p>
    <w:p w14:paraId="225F5409">
      <w:pPr>
        <w:pStyle w:val="24"/>
        <w:tabs>
          <w:tab w:val="right" w:leader="dot" w:pos="8402"/>
        </w:tabs>
        <w:rPr>
          <w:highlight w:val="none"/>
        </w:rPr>
      </w:pPr>
      <w:r>
        <w:rPr>
          <w:color w:val="auto"/>
          <w:highlight w:val="none"/>
        </w:rPr>
        <w:fldChar w:fldCharType="begin"/>
      </w:r>
      <w:r>
        <w:rPr>
          <w:highlight w:val="none"/>
        </w:rPr>
        <w:instrText xml:space="preserve"> HYPERLINK \l _Toc30974 </w:instrText>
      </w:r>
      <w:r>
        <w:rPr>
          <w:highlight w:val="none"/>
        </w:rPr>
        <w:fldChar w:fldCharType="separate"/>
      </w:r>
      <w:r>
        <w:rPr>
          <w:highlight w:val="none"/>
        </w:rPr>
        <w:t>第四章  政府采购合同文本</w:t>
      </w:r>
      <w:r>
        <w:rPr>
          <w:highlight w:val="none"/>
        </w:rPr>
        <w:tab/>
      </w:r>
      <w:r>
        <w:rPr>
          <w:highlight w:val="none"/>
        </w:rPr>
        <w:fldChar w:fldCharType="begin"/>
      </w:r>
      <w:r>
        <w:rPr>
          <w:highlight w:val="none"/>
        </w:rPr>
        <w:instrText xml:space="preserve"> PAGEREF _Toc30974 \h </w:instrText>
      </w:r>
      <w:r>
        <w:rPr>
          <w:highlight w:val="none"/>
        </w:rPr>
        <w:fldChar w:fldCharType="separate"/>
      </w:r>
      <w:r>
        <w:rPr>
          <w:highlight w:val="none"/>
        </w:rPr>
        <w:t>32</w:t>
      </w:r>
      <w:r>
        <w:rPr>
          <w:highlight w:val="none"/>
        </w:rPr>
        <w:fldChar w:fldCharType="end"/>
      </w:r>
      <w:r>
        <w:rPr>
          <w:color w:val="auto"/>
          <w:highlight w:val="none"/>
        </w:rPr>
        <w:fldChar w:fldCharType="end"/>
      </w:r>
    </w:p>
    <w:p w14:paraId="61C82477">
      <w:pPr>
        <w:pStyle w:val="16"/>
        <w:tabs>
          <w:tab w:val="right" w:leader="dot" w:pos="8402"/>
        </w:tabs>
        <w:rPr>
          <w:highlight w:val="none"/>
        </w:rPr>
      </w:pPr>
      <w:r>
        <w:rPr>
          <w:color w:val="auto"/>
          <w:highlight w:val="none"/>
        </w:rPr>
        <w:fldChar w:fldCharType="begin"/>
      </w:r>
      <w:r>
        <w:rPr>
          <w:highlight w:val="none"/>
        </w:rPr>
        <w:instrText xml:space="preserve"> HYPERLINK \l _Toc17101 </w:instrText>
      </w:r>
      <w:r>
        <w:rPr>
          <w:highlight w:val="none"/>
        </w:rPr>
        <w:fldChar w:fldCharType="separate"/>
      </w:r>
      <w:r>
        <w:rPr>
          <w:rFonts w:hint="eastAsia" w:ascii="宋体" w:hAnsi="宋体" w:eastAsia="宋体" w:cs="宋体"/>
          <w:szCs w:val="24"/>
          <w:highlight w:val="none"/>
        </w:rPr>
        <w:t>合同条款前附表</w:t>
      </w:r>
      <w:r>
        <w:rPr>
          <w:highlight w:val="none"/>
        </w:rPr>
        <w:tab/>
      </w:r>
      <w:r>
        <w:rPr>
          <w:highlight w:val="none"/>
        </w:rPr>
        <w:fldChar w:fldCharType="begin"/>
      </w:r>
      <w:r>
        <w:rPr>
          <w:highlight w:val="none"/>
        </w:rPr>
        <w:instrText xml:space="preserve"> PAGEREF _Toc17101 \h </w:instrText>
      </w:r>
      <w:r>
        <w:rPr>
          <w:highlight w:val="none"/>
        </w:rPr>
        <w:fldChar w:fldCharType="separate"/>
      </w:r>
      <w:r>
        <w:rPr>
          <w:highlight w:val="none"/>
        </w:rPr>
        <w:t>33</w:t>
      </w:r>
      <w:r>
        <w:rPr>
          <w:highlight w:val="none"/>
        </w:rPr>
        <w:fldChar w:fldCharType="end"/>
      </w:r>
      <w:r>
        <w:rPr>
          <w:color w:val="auto"/>
          <w:highlight w:val="none"/>
        </w:rPr>
        <w:fldChar w:fldCharType="end"/>
      </w:r>
    </w:p>
    <w:p w14:paraId="60FDA7E4">
      <w:pPr>
        <w:pStyle w:val="16"/>
        <w:tabs>
          <w:tab w:val="right" w:leader="dot" w:pos="8402"/>
        </w:tabs>
        <w:rPr>
          <w:highlight w:val="none"/>
        </w:rPr>
      </w:pPr>
      <w:r>
        <w:rPr>
          <w:color w:val="auto"/>
          <w:highlight w:val="none"/>
        </w:rPr>
        <w:fldChar w:fldCharType="begin"/>
      </w:r>
      <w:r>
        <w:rPr>
          <w:highlight w:val="none"/>
        </w:rPr>
        <w:instrText xml:space="preserve"> HYPERLINK \l _Toc9159 </w:instrText>
      </w:r>
      <w:r>
        <w:rPr>
          <w:highlight w:val="none"/>
        </w:rPr>
        <w:fldChar w:fldCharType="separate"/>
      </w:r>
      <w:r>
        <w:rPr>
          <w:rFonts w:hint="eastAsia" w:ascii="宋体" w:hAnsi="宋体" w:eastAsia="宋体" w:cs="宋体"/>
          <w:highlight w:val="none"/>
        </w:rPr>
        <w:t>一</w:t>
      </w:r>
      <w:r>
        <w:rPr>
          <w:rFonts w:hint="eastAsia" w:ascii="宋体" w:hAnsi="宋体" w:eastAsia="宋体" w:cs="宋体"/>
          <w:highlight w:val="none"/>
          <w:lang w:eastAsia="zh-CN"/>
        </w:rPr>
        <w:t>、</w:t>
      </w:r>
      <w:r>
        <w:rPr>
          <w:rFonts w:hint="eastAsia" w:ascii="宋体" w:hAnsi="宋体" w:eastAsia="宋体" w:cs="宋体"/>
          <w:highlight w:val="none"/>
        </w:rPr>
        <w:t>合  同</w:t>
      </w:r>
      <w:r>
        <w:rPr>
          <w:highlight w:val="none"/>
        </w:rPr>
        <w:tab/>
      </w:r>
      <w:r>
        <w:rPr>
          <w:highlight w:val="none"/>
        </w:rPr>
        <w:fldChar w:fldCharType="begin"/>
      </w:r>
      <w:r>
        <w:rPr>
          <w:highlight w:val="none"/>
        </w:rPr>
        <w:instrText xml:space="preserve"> PAGEREF _Toc9159 \h </w:instrText>
      </w:r>
      <w:r>
        <w:rPr>
          <w:highlight w:val="none"/>
        </w:rPr>
        <w:fldChar w:fldCharType="separate"/>
      </w:r>
      <w:r>
        <w:rPr>
          <w:highlight w:val="none"/>
        </w:rPr>
        <w:t>36</w:t>
      </w:r>
      <w:r>
        <w:rPr>
          <w:highlight w:val="none"/>
        </w:rPr>
        <w:fldChar w:fldCharType="end"/>
      </w:r>
      <w:r>
        <w:rPr>
          <w:color w:val="auto"/>
          <w:highlight w:val="none"/>
        </w:rPr>
        <w:fldChar w:fldCharType="end"/>
      </w:r>
    </w:p>
    <w:p w14:paraId="27A31622">
      <w:pPr>
        <w:pStyle w:val="16"/>
        <w:tabs>
          <w:tab w:val="right" w:leader="dot" w:pos="8402"/>
        </w:tabs>
        <w:rPr>
          <w:highlight w:val="none"/>
        </w:rPr>
      </w:pPr>
      <w:r>
        <w:rPr>
          <w:color w:val="auto"/>
          <w:highlight w:val="none"/>
        </w:rPr>
        <w:fldChar w:fldCharType="begin"/>
      </w:r>
      <w:r>
        <w:rPr>
          <w:highlight w:val="none"/>
        </w:rPr>
        <w:instrText xml:space="preserve"> HYPERLINK \l _Toc21975 </w:instrText>
      </w:r>
      <w:r>
        <w:rPr>
          <w:highlight w:val="none"/>
        </w:rPr>
        <w:fldChar w:fldCharType="separate"/>
      </w:r>
      <w:r>
        <w:rPr>
          <w:rFonts w:hint="eastAsia" w:ascii="宋体" w:hAnsi="宋体" w:eastAsia="宋体" w:cs="宋体"/>
          <w:highlight w:val="none"/>
        </w:rPr>
        <w:t>二</w:t>
      </w:r>
      <w:r>
        <w:rPr>
          <w:rFonts w:hint="eastAsia" w:ascii="宋体" w:hAnsi="宋体" w:eastAsia="宋体" w:cs="宋体"/>
          <w:highlight w:val="none"/>
          <w:lang w:eastAsia="zh-CN"/>
        </w:rPr>
        <w:t>、</w:t>
      </w:r>
      <w:r>
        <w:rPr>
          <w:rFonts w:hint="eastAsia" w:ascii="宋体" w:hAnsi="宋体" w:eastAsia="宋体" w:cs="宋体"/>
          <w:highlight w:val="none"/>
        </w:rPr>
        <w:t>合 同 通 用 条 款</w:t>
      </w:r>
      <w:r>
        <w:rPr>
          <w:highlight w:val="none"/>
        </w:rPr>
        <w:tab/>
      </w:r>
      <w:r>
        <w:rPr>
          <w:highlight w:val="none"/>
        </w:rPr>
        <w:fldChar w:fldCharType="begin"/>
      </w:r>
      <w:r>
        <w:rPr>
          <w:highlight w:val="none"/>
        </w:rPr>
        <w:instrText xml:space="preserve"> PAGEREF _Toc21975 \h </w:instrText>
      </w:r>
      <w:r>
        <w:rPr>
          <w:highlight w:val="none"/>
        </w:rPr>
        <w:fldChar w:fldCharType="separate"/>
      </w:r>
      <w:r>
        <w:rPr>
          <w:highlight w:val="none"/>
        </w:rPr>
        <w:t>38</w:t>
      </w:r>
      <w:r>
        <w:rPr>
          <w:highlight w:val="none"/>
        </w:rPr>
        <w:fldChar w:fldCharType="end"/>
      </w:r>
      <w:r>
        <w:rPr>
          <w:color w:val="auto"/>
          <w:highlight w:val="none"/>
        </w:rPr>
        <w:fldChar w:fldCharType="end"/>
      </w:r>
    </w:p>
    <w:p w14:paraId="363B31F4">
      <w:pPr>
        <w:pStyle w:val="16"/>
        <w:tabs>
          <w:tab w:val="right" w:leader="dot" w:pos="8402"/>
        </w:tabs>
        <w:rPr>
          <w:highlight w:val="none"/>
        </w:rPr>
      </w:pPr>
      <w:r>
        <w:rPr>
          <w:color w:val="auto"/>
          <w:highlight w:val="none"/>
        </w:rPr>
        <w:fldChar w:fldCharType="begin"/>
      </w:r>
      <w:r>
        <w:rPr>
          <w:highlight w:val="none"/>
        </w:rPr>
        <w:instrText xml:space="preserve"> HYPERLINK \l _Toc20510 </w:instrText>
      </w:r>
      <w:r>
        <w:rPr>
          <w:highlight w:val="none"/>
        </w:rPr>
        <w:fldChar w:fldCharType="separate"/>
      </w:r>
      <w:r>
        <w:rPr>
          <w:rFonts w:hint="eastAsia" w:ascii="宋体" w:hAnsi="宋体" w:eastAsia="宋体" w:cs="宋体"/>
          <w:highlight w:val="none"/>
        </w:rPr>
        <w:t>三</w:t>
      </w:r>
      <w:r>
        <w:rPr>
          <w:rFonts w:hint="eastAsia" w:ascii="宋体" w:hAnsi="宋体" w:eastAsia="宋体" w:cs="宋体"/>
          <w:highlight w:val="none"/>
          <w:lang w:eastAsia="zh-CN"/>
        </w:rPr>
        <w:t>、</w:t>
      </w:r>
      <w:r>
        <w:rPr>
          <w:rFonts w:hint="eastAsia" w:ascii="宋体" w:hAnsi="宋体" w:eastAsia="宋体" w:cs="宋体"/>
          <w:highlight w:val="none"/>
        </w:rPr>
        <w:t>招标文件及投标文件（如需要，可另附）</w:t>
      </w:r>
      <w:r>
        <w:rPr>
          <w:highlight w:val="none"/>
        </w:rPr>
        <w:tab/>
      </w:r>
      <w:r>
        <w:rPr>
          <w:highlight w:val="none"/>
        </w:rPr>
        <w:fldChar w:fldCharType="begin"/>
      </w:r>
      <w:r>
        <w:rPr>
          <w:highlight w:val="none"/>
        </w:rPr>
        <w:instrText xml:space="preserve"> PAGEREF _Toc20510 \h </w:instrText>
      </w:r>
      <w:r>
        <w:rPr>
          <w:highlight w:val="none"/>
        </w:rPr>
        <w:fldChar w:fldCharType="separate"/>
      </w:r>
      <w:r>
        <w:rPr>
          <w:highlight w:val="none"/>
        </w:rPr>
        <w:t>45</w:t>
      </w:r>
      <w:r>
        <w:rPr>
          <w:highlight w:val="none"/>
        </w:rPr>
        <w:fldChar w:fldCharType="end"/>
      </w:r>
      <w:r>
        <w:rPr>
          <w:color w:val="auto"/>
          <w:highlight w:val="none"/>
        </w:rPr>
        <w:fldChar w:fldCharType="end"/>
      </w:r>
    </w:p>
    <w:p w14:paraId="1DB2BEA0">
      <w:pPr>
        <w:pStyle w:val="16"/>
        <w:tabs>
          <w:tab w:val="right" w:leader="dot" w:pos="8402"/>
        </w:tabs>
        <w:rPr>
          <w:highlight w:val="none"/>
        </w:rPr>
      </w:pPr>
      <w:r>
        <w:rPr>
          <w:color w:val="auto"/>
          <w:highlight w:val="none"/>
        </w:rPr>
        <w:fldChar w:fldCharType="begin"/>
      </w:r>
      <w:r>
        <w:rPr>
          <w:highlight w:val="none"/>
        </w:rPr>
        <w:instrText xml:space="preserve"> HYPERLINK \l _Toc16783 </w:instrText>
      </w:r>
      <w:r>
        <w:rPr>
          <w:highlight w:val="none"/>
        </w:rPr>
        <w:fldChar w:fldCharType="separate"/>
      </w:r>
      <w:r>
        <w:rPr>
          <w:rFonts w:hint="eastAsia" w:ascii="宋体" w:hAnsi="宋体" w:eastAsia="宋体" w:cs="宋体"/>
          <w:highlight w:val="none"/>
        </w:rPr>
        <w:t>四</w:t>
      </w:r>
      <w:r>
        <w:rPr>
          <w:rFonts w:hint="eastAsia" w:ascii="宋体" w:hAnsi="宋体" w:eastAsia="宋体" w:cs="宋体"/>
          <w:highlight w:val="none"/>
          <w:lang w:eastAsia="zh-CN"/>
        </w:rPr>
        <w:t>、</w:t>
      </w:r>
      <w:r>
        <w:rPr>
          <w:rFonts w:hint="eastAsia" w:ascii="宋体" w:hAnsi="宋体" w:eastAsia="宋体" w:cs="宋体"/>
          <w:highlight w:val="none"/>
        </w:rPr>
        <w:t>报价表（总报价表和分项报价表，如有需要可另附）</w:t>
      </w:r>
      <w:r>
        <w:rPr>
          <w:highlight w:val="none"/>
        </w:rPr>
        <w:tab/>
      </w:r>
      <w:r>
        <w:rPr>
          <w:highlight w:val="none"/>
        </w:rPr>
        <w:fldChar w:fldCharType="begin"/>
      </w:r>
      <w:r>
        <w:rPr>
          <w:highlight w:val="none"/>
        </w:rPr>
        <w:instrText xml:space="preserve"> PAGEREF _Toc16783 \h </w:instrText>
      </w:r>
      <w:r>
        <w:rPr>
          <w:highlight w:val="none"/>
        </w:rPr>
        <w:fldChar w:fldCharType="separate"/>
      </w:r>
      <w:r>
        <w:rPr>
          <w:highlight w:val="none"/>
        </w:rPr>
        <w:t>46</w:t>
      </w:r>
      <w:r>
        <w:rPr>
          <w:highlight w:val="none"/>
        </w:rPr>
        <w:fldChar w:fldCharType="end"/>
      </w:r>
      <w:r>
        <w:rPr>
          <w:color w:val="auto"/>
          <w:highlight w:val="none"/>
        </w:rPr>
        <w:fldChar w:fldCharType="end"/>
      </w:r>
    </w:p>
    <w:p w14:paraId="5FCF9359">
      <w:pPr>
        <w:pStyle w:val="24"/>
        <w:tabs>
          <w:tab w:val="right" w:leader="dot" w:pos="8402"/>
        </w:tabs>
        <w:rPr>
          <w:highlight w:val="none"/>
        </w:rPr>
      </w:pPr>
      <w:r>
        <w:rPr>
          <w:color w:val="auto"/>
          <w:highlight w:val="none"/>
        </w:rPr>
        <w:fldChar w:fldCharType="begin"/>
      </w:r>
      <w:r>
        <w:rPr>
          <w:highlight w:val="none"/>
        </w:rPr>
        <w:instrText xml:space="preserve"> HYPERLINK \l _Toc22362 </w:instrText>
      </w:r>
      <w:r>
        <w:rPr>
          <w:highlight w:val="none"/>
        </w:rPr>
        <w:fldChar w:fldCharType="separate"/>
      </w:r>
      <w:r>
        <w:rPr>
          <w:highlight w:val="none"/>
        </w:rPr>
        <w:t>第五章</w:t>
      </w:r>
      <w:r>
        <w:rPr>
          <w:rFonts w:hint="eastAsia"/>
          <w:highlight w:val="none"/>
          <w:lang w:val="en-US" w:eastAsia="zh-CN"/>
        </w:rPr>
        <w:t xml:space="preserve">  </w:t>
      </w:r>
      <w:r>
        <w:rPr>
          <w:highlight w:val="none"/>
        </w:rPr>
        <w:t>投标文件格式</w:t>
      </w:r>
      <w:r>
        <w:rPr>
          <w:highlight w:val="none"/>
        </w:rPr>
        <w:tab/>
      </w:r>
      <w:r>
        <w:rPr>
          <w:highlight w:val="none"/>
        </w:rPr>
        <w:fldChar w:fldCharType="begin"/>
      </w:r>
      <w:r>
        <w:rPr>
          <w:highlight w:val="none"/>
        </w:rPr>
        <w:instrText xml:space="preserve"> PAGEREF _Toc22362 \h </w:instrText>
      </w:r>
      <w:r>
        <w:rPr>
          <w:highlight w:val="none"/>
        </w:rPr>
        <w:fldChar w:fldCharType="separate"/>
      </w:r>
      <w:r>
        <w:rPr>
          <w:highlight w:val="none"/>
        </w:rPr>
        <w:t>47</w:t>
      </w:r>
      <w:r>
        <w:rPr>
          <w:highlight w:val="none"/>
        </w:rPr>
        <w:fldChar w:fldCharType="end"/>
      </w:r>
      <w:r>
        <w:rPr>
          <w:color w:val="auto"/>
          <w:highlight w:val="none"/>
        </w:rPr>
        <w:fldChar w:fldCharType="end"/>
      </w:r>
    </w:p>
    <w:p w14:paraId="398F8D9C">
      <w:pPr>
        <w:pStyle w:val="16"/>
        <w:tabs>
          <w:tab w:val="right" w:leader="dot" w:pos="8402"/>
        </w:tabs>
        <w:rPr>
          <w:highlight w:val="none"/>
        </w:rPr>
      </w:pPr>
      <w:r>
        <w:rPr>
          <w:color w:val="auto"/>
          <w:highlight w:val="none"/>
        </w:rPr>
        <w:fldChar w:fldCharType="begin"/>
      </w:r>
      <w:r>
        <w:rPr>
          <w:highlight w:val="none"/>
        </w:rPr>
        <w:instrText xml:space="preserve"> HYPERLINK \l _Toc30415 </w:instrText>
      </w:r>
      <w:r>
        <w:rPr>
          <w:highlight w:val="none"/>
        </w:rPr>
        <w:fldChar w:fldCharType="separate"/>
      </w:r>
      <w:r>
        <w:rPr>
          <w:rFonts w:hint="eastAsia" w:asciiTheme="minorEastAsia" w:hAnsiTheme="minorEastAsia" w:eastAsiaTheme="minorEastAsia" w:cstheme="minorEastAsia"/>
          <w:bCs w:val="0"/>
          <w:kern w:val="0"/>
          <w:szCs w:val="32"/>
          <w:highlight w:val="none"/>
        </w:rPr>
        <w:t>商务部分</w:t>
      </w:r>
      <w:r>
        <w:rPr>
          <w:highlight w:val="none"/>
        </w:rPr>
        <w:tab/>
      </w:r>
      <w:r>
        <w:rPr>
          <w:highlight w:val="none"/>
        </w:rPr>
        <w:fldChar w:fldCharType="begin"/>
      </w:r>
      <w:r>
        <w:rPr>
          <w:highlight w:val="none"/>
        </w:rPr>
        <w:instrText xml:space="preserve"> PAGEREF _Toc30415 \h </w:instrText>
      </w:r>
      <w:r>
        <w:rPr>
          <w:highlight w:val="none"/>
        </w:rPr>
        <w:fldChar w:fldCharType="separate"/>
      </w:r>
      <w:r>
        <w:rPr>
          <w:highlight w:val="none"/>
        </w:rPr>
        <w:t>49</w:t>
      </w:r>
      <w:r>
        <w:rPr>
          <w:highlight w:val="none"/>
        </w:rPr>
        <w:fldChar w:fldCharType="end"/>
      </w:r>
      <w:r>
        <w:rPr>
          <w:color w:val="auto"/>
          <w:highlight w:val="none"/>
        </w:rPr>
        <w:fldChar w:fldCharType="end"/>
      </w:r>
    </w:p>
    <w:p w14:paraId="4992275C">
      <w:pPr>
        <w:pStyle w:val="23"/>
        <w:tabs>
          <w:tab w:val="right" w:leader="dot" w:pos="8402"/>
        </w:tabs>
        <w:rPr>
          <w:highlight w:val="none"/>
        </w:rPr>
      </w:pPr>
      <w:r>
        <w:rPr>
          <w:color w:val="auto"/>
          <w:highlight w:val="none"/>
        </w:rPr>
        <w:fldChar w:fldCharType="begin"/>
      </w:r>
      <w:r>
        <w:rPr>
          <w:highlight w:val="none"/>
        </w:rPr>
        <w:instrText xml:space="preserve"> HYPERLINK \l _Toc22624 </w:instrText>
      </w:r>
      <w:r>
        <w:rPr>
          <w:highlight w:val="none"/>
        </w:rPr>
        <w:fldChar w:fldCharType="separate"/>
      </w:r>
      <w:r>
        <w:rPr>
          <w:rFonts w:hint="eastAsia"/>
          <w:highlight w:val="none"/>
        </w:rPr>
        <w:t>格式1  授权委托书</w:t>
      </w:r>
      <w:r>
        <w:rPr>
          <w:highlight w:val="none"/>
        </w:rPr>
        <w:tab/>
      </w:r>
      <w:r>
        <w:rPr>
          <w:highlight w:val="none"/>
        </w:rPr>
        <w:fldChar w:fldCharType="begin"/>
      </w:r>
      <w:r>
        <w:rPr>
          <w:highlight w:val="none"/>
        </w:rPr>
        <w:instrText xml:space="preserve"> PAGEREF _Toc22624 \h </w:instrText>
      </w:r>
      <w:r>
        <w:rPr>
          <w:highlight w:val="none"/>
        </w:rPr>
        <w:fldChar w:fldCharType="separate"/>
      </w:r>
      <w:r>
        <w:rPr>
          <w:highlight w:val="none"/>
        </w:rPr>
        <w:t>50</w:t>
      </w:r>
      <w:r>
        <w:rPr>
          <w:highlight w:val="none"/>
        </w:rPr>
        <w:fldChar w:fldCharType="end"/>
      </w:r>
      <w:r>
        <w:rPr>
          <w:color w:val="auto"/>
          <w:highlight w:val="none"/>
        </w:rPr>
        <w:fldChar w:fldCharType="end"/>
      </w:r>
    </w:p>
    <w:p w14:paraId="52DD1138">
      <w:pPr>
        <w:pStyle w:val="23"/>
        <w:tabs>
          <w:tab w:val="right" w:leader="dot" w:pos="8402"/>
        </w:tabs>
        <w:rPr>
          <w:highlight w:val="none"/>
        </w:rPr>
      </w:pPr>
      <w:r>
        <w:rPr>
          <w:color w:val="auto"/>
          <w:highlight w:val="none"/>
        </w:rPr>
        <w:fldChar w:fldCharType="begin"/>
      </w:r>
      <w:r>
        <w:rPr>
          <w:highlight w:val="none"/>
        </w:rPr>
        <w:instrText xml:space="preserve"> HYPERLINK \l _Toc3217 </w:instrText>
      </w:r>
      <w:r>
        <w:rPr>
          <w:highlight w:val="none"/>
        </w:rPr>
        <w:fldChar w:fldCharType="separate"/>
      </w:r>
      <w:r>
        <w:rPr>
          <w:rFonts w:hint="eastAsia"/>
          <w:highlight w:val="none"/>
        </w:rPr>
        <w:t>格式2  投标函</w:t>
      </w:r>
      <w:r>
        <w:rPr>
          <w:highlight w:val="none"/>
        </w:rPr>
        <w:tab/>
      </w:r>
      <w:r>
        <w:rPr>
          <w:highlight w:val="none"/>
        </w:rPr>
        <w:fldChar w:fldCharType="begin"/>
      </w:r>
      <w:r>
        <w:rPr>
          <w:highlight w:val="none"/>
        </w:rPr>
        <w:instrText xml:space="preserve"> PAGEREF _Toc3217 \h </w:instrText>
      </w:r>
      <w:r>
        <w:rPr>
          <w:highlight w:val="none"/>
        </w:rPr>
        <w:fldChar w:fldCharType="separate"/>
      </w:r>
      <w:r>
        <w:rPr>
          <w:highlight w:val="none"/>
        </w:rPr>
        <w:t>53</w:t>
      </w:r>
      <w:r>
        <w:rPr>
          <w:highlight w:val="none"/>
        </w:rPr>
        <w:fldChar w:fldCharType="end"/>
      </w:r>
      <w:r>
        <w:rPr>
          <w:color w:val="auto"/>
          <w:highlight w:val="none"/>
        </w:rPr>
        <w:fldChar w:fldCharType="end"/>
      </w:r>
    </w:p>
    <w:p w14:paraId="191CACF9">
      <w:pPr>
        <w:pStyle w:val="23"/>
        <w:tabs>
          <w:tab w:val="right" w:leader="dot" w:pos="8402"/>
        </w:tabs>
        <w:rPr>
          <w:highlight w:val="none"/>
        </w:rPr>
      </w:pPr>
      <w:r>
        <w:rPr>
          <w:color w:val="auto"/>
          <w:highlight w:val="none"/>
        </w:rPr>
        <w:fldChar w:fldCharType="begin"/>
      </w:r>
      <w:r>
        <w:rPr>
          <w:highlight w:val="none"/>
        </w:rPr>
        <w:instrText xml:space="preserve"> HYPERLINK \l _Toc23359 </w:instrText>
      </w:r>
      <w:r>
        <w:rPr>
          <w:highlight w:val="none"/>
        </w:rPr>
        <w:fldChar w:fldCharType="separate"/>
      </w:r>
      <w:r>
        <w:rPr>
          <w:rFonts w:hint="eastAsia"/>
          <w:highlight w:val="none"/>
        </w:rPr>
        <w:t>格式3  投标报价表</w:t>
      </w:r>
      <w:r>
        <w:rPr>
          <w:highlight w:val="none"/>
        </w:rPr>
        <w:tab/>
      </w:r>
      <w:r>
        <w:rPr>
          <w:highlight w:val="none"/>
        </w:rPr>
        <w:fldChar w:fldCharType="begin"/>
      </w:r>
      <w:r>
        <w:rPr>
          <w:highlight w:val="none"/>
        </w:rPr>
        <w:instrText xml:space="preserve"> PAGEREF _Toc23359 \h </w:instrText>
      </w:r>
      <w:r>
        <w:rPr>
          <w:highlight w:val="none"/>
        </w:rPr>
        <w:fldChar w:fldCharType="separate"/>
      </w:r>
      <w:r>
        <w:rPr>
          <w:highlight w:val="none"/>
        </w:rPr>
        <w:t>55</w:t>
      </w:r>
      <w:r>
        <w:rPr>
          <w:highlight w:val="none"/>
        </w:rPr>
        <w:fldChar w:fldCharType="end"/>
      </w:r>
      <w:r>
        <w:rPr>
          <w:color w:val="auto"/>
          <w:highlight w:val="none"/>
        </w:rPr>
        <w:fldChar w:fldCharType="end"/>
      </w:r>
    </w:p>
    <w:p w14:paraId="1F893D47">
      <w:pPr>
        <w:pStyle w:val="23"/>
        <w:tabs>
          <w:tab w:val="right" w:leader="dot" w:pos="8402"/>
        </w:tabs>
        <w:rPr>
          <w:highlight w:val="none"/>
        </w:rPr>
      </w:pPr>
      <w:r>
        <w:rPr>
          <w:color w:val="auto"/>
          <w:highlight w:val="none"/>
        </w:rPr>
        <w:fldChar w:fldCharType="begin"/>
      </w:r>
      <w:r>
        <w:rPr>
          <w:highlight w:val="none"/>
        </w:rPr>
        <w:instrText xml:space="preserve"> HYPERLINK \l _Toc2977 </w:instrText>
      </w:r>
      <w:r>
        <w:rPr>
          <w:highlight w:val="none"/>
        </w:rPr>
        <w:fldChar w:fldCharType="separate"/>
      </w:r>
      <w:r>
        <w:rPr>
          <w:rFonts w:hint="eastAsia"/>
          <w:highlight w:val="none"/>
        </w:rPr>
        <w:t>格式</w:t>
      </w:r>
      <w:r>
        <w:rPr>
          <w:rFonts w:hint="eastAsia"/>
          <w:highlight w:val="none"/>
          <w:lang w:val="en-US" w:eastAsia="zh-CN"/>
        </w:rPr>
        <w:t>4</w:t>
      </w:r>
      <w:r>
        <w:rPr>
          <w:rFonts w:hint="eastAsia"/>
          <w:highlight w:val="none"/>
        </w:rPr>
        <w:t xml:space="preserve">  供应商公平参与市场竞争承诺函</w:t>
      </w:r>
      <w:r>
        <w:rPr>
          <w:highlight w:val="none"/>
        </w:rPr>
        <w:tab/>
      </w:r>
      <w:r>
        <w:rPr>
          <w:highlight w:val="none"/>
        </w:rPr>
        <w:fldChar w:fldCharType="begin"/>
      </w:r>
      <w:r>
        <w:rPr>
          <w:highlight w:val="none"/>
        </w:rPr>
        <w:instrText xml:space="preserve"> PAGEREF _Toc2977 \h </w:instrText>
      </w:r>
      <w:r>
        <w:rPr>
          <w:highlight w:val="none"/>
        </w:rPr>
        <w:fldChar w:fldCharType="separate"/>
      </w:r>
      <w:r>
        <w:rPr>
          <w:highlight w:val="none"/>
        </w:rPr>
        <w:t>58</w:t>
      </w:r>
      <w:r>
        <w:rPr>
          <w:highlight w:val="none"/>
        </w:rPr>
        <w:fldChar w:fldCharType="end"/>
      </w:r>
      <w:r>
        <w:rPr>
          <w:color w:val="auto"/>
          <w:highlight w:val="none"/>
        </w:rPr>
        <w:fldChar w:fldCharType="end"/>
      </w:r>
    </w:p>
    <w:p w14:paraId="33D45A0C">
      <w:pPr>
        <w:pStyle w:val="23"/>
        <w:tabs>
          <w:tab w:val="right" w:leader="dot" w:pos="8402"/>
        </w:tabs>
        <w:rPr>
          <w:highlight w:val="none"/>
        </w:rPr>
      </w:pPr>
      <w:r>
        <w:rPr>
          <w:color w:val="auto"/>
          <w:highlight w:val="none"/>
        </w:rPr>
        <w:fldChar w:fldCharType="begin"/>
      </w:r>
      <w:r>
        <w:rPr>
          <w:highlight w:val="none"/>
        </w:rPr>
        <w:instrText xml:space="preserve"> HYPERLINK \l _Toc19115 </w:instrText>
      </w:r>
      <w:r>
        <w:rPr>
          <w:highlight w:val="none"/>
        </w:rPr>
        <w:fldChar w:fldCharType="separate"/>
      </w:r>
      <w:r>
        <w:rPr>
          <w:rFonts w:hint="eastAsia" w:ascii="宋体" w:hAnsi="宋体" w:eastAsia="宋体" w:cs="宋体"/>
          <w:highlight w:val="none"/>
        </w:rPr>
        <w:t>格式</w:t>
      </w:r>
      <w:r>
        <w:rPr>
          <w:rFonts w:hint="eastAsia" w:ascii="宋体" w:hAnsi="宋体" w:eastAsia="宋体" w:cs="宋体"/>
          <w:highlight w:val="none"/>
          <w:lang w:val="en-US" w:eastAsia="zh-CN"/>
        </w:rPr>
        <w:t>5</w:t>
      </w:r>
      <w:r>
        <w:rPr>
          <w:rFonts w:hint="eastAsia" w:ascii="宋体" w:hAnsi="宋体" w:eastAsia="宋体" w:cs="宋体"/>
          <w:highlight w:val="none"/>
        </w:rPr>
        <w:t xml:space="preserve">  商务条款偏离表</w:t>
      </w:r>
      <w:r>
        <w:rPr>
          <w:highlight w:val="none"/>
        </w:rPr>
        <w:tab/>
      </w:r>
      <w:r>
        <w:rPr>
          <w:highlight w:val="none"/>
        </w:rPr>
        <w:fldChar w:fldCharType="begin"/>
      </w:r>
      <w:r>
        <w:rPr>
          <w:highlight w:val="none"/>
        </w:rPr>
        <w:instrText xml:space="preserve"> PAGEREF _Toc19115 \h </w:instrText>
      </w:r>
      <w:r>
        <w:rPr>
          <w:highlight w:val="none"/>
        </w:rPr>
        <w:fldChar w:fldCharType="separate"/>
      </w:r>
      <w:r>
        <w:rPr>
          <w:highlight w:val="none"/>
        </w:rPr>
        <w:t>59</w:t>
      </w:r>
      <w:r>
        <w:rPr>
          <w:highlight w:val="none"/>
        </w:rPr>
        <w:fldChar w:fldCharType="end"/>
      </w:r>
      <w:r>
        <w:rPr>
          <w:color w:val="auto"/>
          <w:highlight w:val="none"/>
        </w:rPr>
        <w:fldChar w:fldCharType="end"/>
      </w:r>
    </w:p>
    <w:p w14:paraId="3823E725">
      <w:pPr>
        <w:pStyle w:val="23"/>
        <w:tabs>
          <w:tab w:val="right" w:leader="dot" w:pos="8402"/>
        </w:tabs>
        <w:rPr>
          <w:highlight w:val="none"/>
        </w:rPr>
      </w:pPr>
      <w:r>
        <w:rPr>
          <w:color w:val="auto"/>
          <w:highlight w:val="none"/>
        </w:rPr>
        <w:fldChar w:fldCharType="begin"/>
      </w:r>
      <w:r>
        <w:rPr>
          <w:highlight w:val="none"/>
        </w:rPr>
        <w:instrText xml:space="preserve"> HYPERLINK \l _Toc27821 </w:instrText>
      </w:r>
      <w:r>
        <w:rPr>
          <w:highlight w:val="none"/>
        </w:rPr>
        <w:fldChar w:fldCharType="separate"/>
      </w:r>
      <w:r>
        <w:rPr>
          <w:rFonts w:hint="eastAsia" w:ascii="宋体" w:hAnsi="宋体" w:eastAsia="宋体" w:cs="宋体"/>
          <w:highlight w:val="none"/>
        </w:rPr>
        <w:t>格式</w:t>
      </w:r>
      <w:r>
        <w:rPr>
          <w:rFonts w:hint="eastAsia" w:ascii="宋体" w:hAnsi="宋体" w:eastAsia="宋体" w:cs="宋体"/>
          <w:highlight w:val="none"/>
          <w:lang w:val="en-US" w:eastAsia="zh-CN"/>
        </w:rPr>
        <w:t>6</w:t>
      </w:r>
      <w:r>
        <w:rPr>
          <w:rFonts w:hint="eastAsia" w:ascii="宋体" w:hAnsi="宋体" w:eastAsia="宋体" w:cs="宋体"/>
          <w:highlight w:val="none"/>
        </w:rPr>
        <w:t xml:space="preserve">  </w:t>
      </w:r>
      <w:r>
        <w:rPr>
          <w:rFonts w:hint="eastAsia" w:ascii="宋体" w:hAnsi="宋体" w:eastAsia="宋体" w:cs="宋体"/>
          <w:highlight w:val="none"/>
          <w:lang w:eastAsia="zh-CN"/>
        </w:rPr>
        <w:t>投标人</w:t>
      </w:r>
      <w:r>
        <w:rPr>
          <w:rFonts w:hint="eastAsia" w:ascii="宋体" w:hAnsi="宋体" w:eastAsia="宋体" w:cs="宋体"/>
          <w:highlight w:val="none"/>
        </w:rPr>
        <w:t>具备投标资格证明文件</w:t>
      </w:r>
      <w:r>
        <w:rPr>
          <w:highlight w:val="none"/>
        </w:rPr>
        <w:tab/>
      </w:r>
      <w:r>
        <w:rPr>
          <w:highlight w:val="none"/>
        </w:rPr>
        <w:fldChar w:fldCharType="begin"/>
      </w:r>
      <w:r>
        <w:rPr>
          <w:highlight w:val="none"/>
        </w:rPr>
        <w:instrText xml:space="preserve"> PAGEREF _Toc27821 \h </w:instrText>
      </w:r>
      <w:r>
        <w:rPr>
          <w:highlight w:val="none"/>
        </w:rPr>
        <w:fldChar w:fldCharType="separate"/>
      </w:r>
      <w:r>
        <w:rPr>
          <w:highlight w:val="none"/>
        </w:rPr>
        <w:t>60</w:t>
      </w:r>
      <w:r>
        <w:rPr>
          <w:highlight w:val="none"/>
        </w:rPr>
        <w:fldChar w:fldCharType="end"/>
      </w:r>
      <w:r>
        <w:rPr>
          <w:color w:val="auto"/>
          <w:highlight w:val="none"/>
        </w:rPr>
        <w:fldChar w:fldCharType="end"/>
      </w:r>
    </w:p>
    <w:p w14:paraId="550D66B7">
      <w:pPr>
        <w:pStyle w:val="23"/>
        <w:tabs>
          <w:tab w:val="right" w:leader="dot" w:pos="8402"/>
        </w:tabs>
        <w:rPr>
          <w:highlight w:val="none"/>
        </w:rPr>
      </w:pPr>
      <w:r>
        <w:rPr>
          <w:color w:val="auto"/>
          <w:highlight w:val="none"/>
        </w:rPr>
        <w:fldChar w:fldCharType="begin"/>
      </w:r>
      <w:r>
        <w:rPr>
          <w:highlight w:val="none"/>
        </w:rPr>
        <w:instrText xml:space="preserve"> HYPERLINK \l _Toc14905 </w:instrText>
      </w:r>
      <w:r>
        <w:rPr>
          <w:highlight w:val="none"/>
        </w:rPr>
        <w:fldChar w:fldCharType="separate"/>
      </w:r>
      <w:r>
        <w:rPr>
          <w:rFonts w:hint="eastAsia" w:ascii="宋体" w:hAnsi="宋体" w:eastAsia="宋体" w:cs="宋体"/>
          <w:highlight w:val="none"/>
        </w:rPr>
        <w:t>格式</w:t>
      </w:r>
      <w:r>
        <w:rPr>
          <w:rFonts w:hint="eastAsia" w:ascii="宋体" w:hAnsi="宋体" w:eastAsia="宋体" w:cs="宋体"/>
          <w:highlight w:val="none"/>
          <w:lang w:val="en-US" w:eastAsia="zh-CN"/>
        </w:rPr>
        <w:t>7</w:t>
      </w:r>
      <w:r>
        <w:rPr>
          <w:rFonts w:hint="eastAsia" w:ascii="宋体" w:hAnsi="宋体" w:eastAsia="宋体" w:cs="宋体"/>
          <w:highlight w:val="none"/>
        </w:rPr>
        <w:t xml:space="preserve">  中小企业声明函</w:t>
      </w:r>
      <w:r>
        <w:rPr>
          <w:highlight w:val="none"/>
        </w:rPr>
        <w:tab/>
      </w:r>
      <w:r>
        <w:rPr>
          <w:highlight w:val="none"/>
        </w:rPr>
        <w:fldChar w:fldCharType="begin"/>
      </w:r>
      <w:r>
        <w:rPr>
          <w:highlight w:val="none"/>
        </w:rPr>
        <w:instrText xml:space="preserve"> PAGEREF _Toc14905 \h </w:instrText>
      </w:r>
      <w:r>
        <w:rPr>
          <w:highlight w:val="none"/>
        </w:rPr>
        <w:fldChar w:fldCharType="separate"/>
      </w:r>
      <w:r>
        <w:rPr>
          <w:highlight w:val="none"/>
        </w:rPr>
        <w:t>65</w:t>
      </w:r>
      <w:r>
        <w:rPr>
          <w:highlight w:val="none"/>
        </w:rPr>
        <w:fldChar w:fldCharType="end"/>
      </w:r>
      <w:r>
        <w:rPr>
          <w:color w:val="auto"/>
          <w:highlight w:val="none"/>
        </w:rPr>
        <w:fldChar w:fldCharType="end"/>
      </w:r>
    </w:p>
    <w:p w14:paraId="6404527A">
      <w:pPr>
        <w:pStyle w:val="23"/>
        <w:tabs>
          <w:tab w:val="right" w:leader="dot" w:pos="8402"/>
        </w:tabs>
        <w:rPr>
          <w:highlight w:val="none"/>
        </w:rPr>
      </w:pPr>
      <w:r>
        <w:rPr>
          <w:color w:val="auto"/>
          <w:highlight w:val="none"/>
        </w:rPr>
        <w:fldChar w:fldCharType="begin"/>
      </w:r>
      <w:r>
        <w:rPr>
          <w:highlight w:val="none"/>
        </w:rPr>
        <w:instrText xml:space="preserve"> HYPERLINK \l _Toc1039 </w:instrText>
      </w:r>
      <w:r>
        <w:rPr>
          <w:highlight w:val="none"/>
        </w:rPr>
        <w:fldChar w:fldCharType="separate"/>
      </w:r>
      <w:r>
        <w:rPr>
          <w:rFonts w:hint="eastAsia" w:ascii="宋体" w:hAnsi="宋体" w:eastAsia="宋体" w:cs="宋体"/>
          <w:highlight w:val="none"/>
        </w:rPr>
        <w:t>格式</w:t>
      </w:r>
      <w:r>
        <w:rPr>
          <w:rFonts w:hint="eastAsia" w:ascii="宋体" w:hAnsi="宋体" w:eastAsia="宋体" w:cs="宋体"/>
          <w:highlight w:val="none"/>
          <w:lang w:val="en-US" w:eastAsia="zh-CN"/>
        </w:rPr>
        <w:t>8</w:t>
      </w:r>
      <w:r>
        <w:rPr>
          <w:rFonts w:hint="eastAsia" w:ascii="宋体" w:hAnsi="宋体" w:eastAsia="宋体" w:cs="宋体"/>
          <w:highlight w:val="none"/>
        </w:rPr>
        <w:t xml:space="preserve">  残疾人福利性单位声明函</w:t>
      </w:r>
      <w:r>
        <w:rPr>
          <w:highlight w:val="none"/>
        </w:rPr>
        <w:tab/>
      </w:r>
      <w:r>
        <w:rPr>
          <w:highlight w:val="none"/>
        </w:rPr>
        <w:fldChar w:fldCharType="begin"/>
      </w:r>
      <w:r>
        <w:rPr>
          <w:highlight w:val="none"/>
        </w:rPr>
        <w:instrText xml:space="preserve"> PAGEREF _Toc1039 \h </w:instrText>
      </w:r>
      <w:r>
        <w:rPr>
          <w:highlight w:val="none"/>
        </w:rPr>
        <w:fldChar w:fldCharType="separate"/>
      </w:r>
      <w:r>
        <w:rPr>
          <w:highlight w:val="none"/>
        </w:rPr>
        <w:t>66</w:t>
      </w:r>
      <w:r>
        <w:rPr>
          <w:highlight w:val="none"/>
        </w:rPr>
        <w:fldChar w:fldCharType="end"/>
      </w:r>
      <w:r>
        <w:rPr>
          <w:color w:val="auto"/>
          <w:highlight w:val="none"/>
        </w:rPr>
        <w:fldChar w:fldCharType="end"/>
      </w:r>
    </w:p>
    <w:p w14:paraId="1A02D067">
      <w:pPr>
        <w:pStyle w:val="23"/>
        <w:tabs>
          <w:tab w:val="right" w:leader="dot" w:pos="8402"/>
        </w:tabs>
        <w:rPr>
          <w:highlight w:val="none"/>
        </w:rPr>
      </w:pPr>
      <w:r>
        <w:rPr>
          <w:color w:val="auto"/>
          <w:highlight w:val="none"/>
        </w:rPr>
        <w:fldChar w:fldCharType="begin"/>
      </w:r>
      <w:r>
        <w:rPr>
          <w:highlight w:val="none"/>
        </w:rPr>
        <w:instrText xml:space="preserve"> HYPERLINK \l _Toc26506 </w:instrText>
      </w:r>
      <w:r>
        <w:rPr>
          <w:highlight w:val="none"/>
        </w:rPr>
        <w:fldChar w:fldCharType="separate"/>
      </w:r>
      <w:r>
        <w:rPr>
          <w:rFonts w:hint="eastAsia" w:ascii="宋体" w:hAnsi="宋体" w:eastAsia="宋体" w:cs="宋体"/>
          <w:highlight w:val="none"/>
        </w:rPr>
        <w:t>格式</w:t>
      </w:r>
      <w:r>
        <w:rPr>
          <w:rFonts w:hint="eastAsia" w:ascii="宋体" w:hAnsi="宋体" w:eastAsia="宋体" w:cs="宋体"/>
          <w:highlight w:val="none"/>
          <w:lang w:val="en-US" w:eastAsia="zh-CN"/>
        </w:rPr>
        <w:t>9</w:t>
      </w:r>
      <w:r>
        <w:rPr>
          <w:rFonts w:hint="eastAsia" w:ascii="宋体" w:hAnsi="宋体" w:eastAsia="宋体" w:cs="宋体"/>
          <w:highlight w:val="none"/>
        </w:rPr>
        <w:t xml:space="preserve">  监狱企业证明</w:t>
      </w:r>
      <w:r>
        <w:rPr>
          <w:highlight w:val="none"/>
        </w:rPr>
        <w:tab/>
      </w:r>
      <w:r>
        <w:rPr>
          <w:highlight w:val="none"/>
        </w:rPr>
        <w:fldChar w:fldCharType="begin"/>
      </w:r>
      <w:r>
        <w:rPr>
          <w:highlight w:val="none"/>
        </w:rPr>
        <w:instrText xml:space="preserve"> PAGEREF _Toc26506 \h </w:instrText>
      </w:r>
      <w:r>
        <w:rPr>
          <w:highlight w:val="none"/>
        </w:rPr>
        <w:fldChar w:fldCharType="separate"/>
      </w:r>
      <w:r>
        <w:rPr>
          <w:highlight w:val="none"/>
        </w:rPr>
        <w:t>66</w:t>
      </w:r>
      <w:r>
        <w:rPr>
          <w:highlight w:val="none"/>
        </w:rPr>
        <w:fldChar w:fldCharType="end"/>
      </w:r>
      <w:r>
        <w:rPr>
          <w:color w:val="auto"/>
          <w:highlight w:val="none"/>
        </w:rPr>
        <w:fldChar w:fldCharType="end"/>
      </w:r>
    </w:p>
    <w:p w14:paraId="0EB87FD5">
      <w:pPr>
        <w:pStyle w:val="23"/>
        <w:tabs>
          <w:tab w:val="right" w:leader="dot" w:pos="8402"/>
        </w:tabs>
        <w:rPr>
          <w:highlight w:val="none"/>
        </w:rPr>
      </w:pPr>
      <w:r>
        <w:rPr>
          <w:color w:val="auto"/>
          <w:highlight w:val="none"/>
        </w:rPr>
        <w:fldChar w:fldCharType="begin"/>
      </w:r>
      <w:r>
        <w:rPr>
          <w:highlight w:val="none"/>
        </w:rPr>
        <w:instrText xml:space="preserve"> HYPERLINK \l _Toc12496 </w:instrText>
      </w:r>
      <w:r>
        <w:rPr>
          <w:highlight w:val="none"/>
        </w:rPr>
        <w:fldChar w:fldCharType="separate"/>
      </w:r>
      <w:r>
        <w:rPr>
          <w:rFonts w:hint="eastAsia" w:ascii="宋体" w:hAnsi="宋体" w:eastAsia="宋体" w:cs="宋体"/>
          <w:highlight w:val="none"/>
        </w:rPr>
        <w:t>格式</w:t>
      </w:r>
      <w:r>
        <w:rPr>
          <w:rFonts w:hint="eastAsia" w:ascii="宋体" w:hAnsi="宋体" w:eastAsia="宋体" w:cs="宋体"/>
          <w:highlight w:val="none"/>
          <w:lang w:val="en-US" w:eastAsia="zh-CN"/>
        </w:rPr>
        <w:t>10</w:t>
      </w:r>
      <w:r>
        <w:rPr>
          <w:rFonts w:hint="eastAsia" w:ascii="宋体" w:hAnsi="宋体" w:eastAsia="宋体" w:cs="宋体"/>
          <w:highlight w:val="none"/>
        </w:rPr>
        <w:t xml:space="preserve">  成功案例一览表</w:t>
      </w:r>
      <w:r>
        <w:rPr>
          <w:highlight w:val="none"/>
        </w:rPr>
        <w:tab/>
      </w:r>
      <w:r>
        <w:rPr>
          <w:highlight w:val="none"/>
        </w:rPr>
        <w:fldChar w:fldCharType="begin"/>
      </w:r>
      <w:r>
        <w:rPr>
          <w:highlight w:val="none"/>
        </w:rPr>
        <w:instrText xml:space="preserve"> PAGEREF _Toc12496 \h </w:instrText>
      </w:r>
      <w:r>
        <w:rPr>
          <w:highlight w:val="none"/>
        </w:rPr>
        <w:fldChar w:fldCharType="separate"/>
      </w:r>
      <w:r>
        <w:rPr>
          <w:highlight w:val="none"/>
        </w:rPr>
        <w:t>67</w:t>
      </w:r>
      <w:r>
        <w:rPr>
          <w:highlight w:val="none"/>
        </w:rPr>
        <w:fldChar w:fldCharType="end"/>
      </w:r>
      <w:r>
        <w:rPr>
          <w:color w:val="auto"/>
          <w:highlight w:val="none"/>
        </w:rPr>
        <w:fldChar w:fldCharType="end"/>
      </w:r>
    </w:p>
    <w:p w14:paraId="65B8417C">
      <w:pPr>
        <w:pStyle w:val="16"/>
        <w:tabs>
          <w:tab w:val="right" w:leader="dot" w:pos="8402"/>
        </w:tabs>
        <w:rPr>
          <w:highlight w:val="none"/>
        </w:rPr>
      </w:pPr>
      <w:r>
        <w:rPr>
          <w:color w:val="auto"/>
          <w:highlight w:val="none"/>
        </w:rPr>
        <w:fldChar w:fldCharType="begin"/>
      </w:r>
      <w:r>
        <w:rPr>
          <w:highlight w:val="none"/>
        </w:rPr>
        <w:instrText xml:space="preserve"> HYPERLINK \l _Toc5579 </w:instrText>
      </w:r>
      <w:r>
        <w:rPr>
          <w:highlight w:val="none"/>
        </w:rPr>
        <w:fldChar w:fldCharType="separate"/>
      </w:r>
      <w:r>
        <w:rPr>
          <w:rFonts w:hint="eastAsia" w:ascii="宋体" w:hAnsi="宋体" w:eastAsia="宋体" w:cs="宋体"/>
          <w:bCs w:val="0"/>
          <w:szCs w:val="32"/>
          <w:highlight w:val="none"/>
        </w:rPr>
        <w:t>技术部分</w:t>
      </w:r>
      <w:r>
        <w:rPr>
          <w:highlight w:val="none"/>
        </w:rPr>
        <w:tab/>
      </w:r>
      <w:r>
        <w:rPr>
          <w:highlight w:val="none"/>
        </w:rPr>
        <w:fldChar w:fldCharType="begin"/>
      </w:r>
      <w:r>
        <w:rPr>
          <w:highlight w:val="none"/>
        </w:rPr>
        <w:instrText xml:space="preserve"> PAGEREF _Toc5579 \h </w:instrText>
      </w:r>
      <w:r>
        <w:rPr>
          <w:highlight w:val="none"/>
        </w:rPr>
        <w:fldChar w:fldCharType="separate"/>
      </w:r>
      <w:r>
        <w:rPr>
          <w:highlight w:val="none"/>
        </w:rPr>
        <w:t>68</w:t>
      </w:r>
      <w:r>
        <w:rPr>
          <w:highlight w:val="none"/>
        </w:rPr>
        <w:fldChar w:fldCharType="end"/>
      </w:r>
      <w:r>
        <w:rPr>
          <w:color w:val="auto"/>
          <w:highlight w:val="none"/>
        </w:rPr>
        <w:fldChar w:fldCharType="end"/>
      </w:r>
    </w:p>
    <w:p w14:paraId="0EF5A50A">
      <w:pPr>
        <w:pStyle w:val="23"/>
        <w:tabs>
          <w:tab w:val="right" w:leader="dot" w:pos="8402"/>
        </w:tabs>
        <w:rPr>
          <w:highlight w:val="none"/>
        </w:rPr>
      </w:pPr>
      <w:r>
        <w:rPr>
          <w:color w:val="auto"/>
          <w:highlight w:val="none"/>
        </w:rPr>
        <w:fldChar w:fldCharType="begin"/>
      </w:r>
      <w:r>
        <w:rPr>
          <w:highlight w:val="none"/>
        </w:rPr>
        <w:instrText xml:space="preserve"> HYPERLINK \l _Toc4260 </w:instrText>
      </w:r>
      <w:r>
        <w:rPr>
          <w:highlight w:val="none"/>
        </w:rPr>
        <w:fldChar w:fldCharType="separate"/>
      </w:r>
      <w:r>
        <w:rPr>
          <w:rFonts w:hint="eastAsia" w:ascii="宋体" w:hAnsi="宋体" w:eastAsia="宋体" w:cs="宋体"/>
          <w:highlight w:val="none"/>
        </w:rPr>
        <w:t>格式</w:t>
      </w:r>
      <w:r>
        <w:rPr>
          <w:rFonts w:hint="eastAsia" w:ascii="宋体" w:hAnsi="宋体" w:eastAsia="宋体" w:cs="宋体"/>
          <w:highlight w:val="none"/>
          <w:lang w:val="en-US" w:eastAsia="zh-CN"/>
        </w:rPr>
        <w:t>11</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 </w:t>
      </w:r>
      <w:r>
        <w:rPr>
          <w:rFonts w:hint="eastAsia" w:ascii="宋体" w:hAnsi="宋体" w:eastAsia="宋体" w:cs="宋体"/>
          <w:highlight w:val="none"/>
        </w:rPr>
        <w:t>技术条款偏离表</w:t>
      </w:r>
      <w:r>
        <w:rPr>
          <w:highlight w:val="none"/>
        </w:rPr>
        <w:tab/>
      </w:r>
      <w:r>
        <w:rPr>
          <w:highlight w:val="none"/>
        </w:rPr>
        <w:fldChar w:fldCharType="begin"/>
      </w:r>
      <w:r>
        <w:rPr>
          <w:highlight w:val="none"/>
        </w:rPr>
        <w:instrText xml:space="preserve"> PAGEREF _Toc4260 \h </w:instrText>
      </w:r>
      <w:r>
        <w:rPr>
          <w:highlight w:val="none"/>
        </w:rPr>
        <w:fldChar w:fldCharType="separate"/>
      </w:r>
      <w:r>
        <w:rPr>
          <w:highlight w:val="none"/>
        </w:rPr>
        <w:t>69</w:t>
      </w:r>
      <w:r>
        <w:rPr>
          <w:highlight w:val="none"/>
        </w:rPr>
        <w:fldChar w:fldCharType="end"/>
      </w:r>
      <w:r>
        <w:rPr>
          <w:color w:val="auto"/>
          <w:highlight w:val="none"/>
        </w:rPr>
        <w:fldChar w:fldCharType="end"/>
      </w:r>
    </w:p>
    <w:p w14:paraId="4FA902A2">
      <w:pPr>
        <w:pStyle w:val="23"/>
        <w:tabs>
          <w:tab w:val="right" w:leader="dot" w:pos="8402"/>
        </w:tabs>
        <w:rPr>
          <w:highlight w:val="none"/>
        </w:rPr>
      </w:pPr>
      <w:r>
        <w:rPr>
          <w:color w:val="auto"/>
          <w:highlight w:val="none"/>
        </w:rPr>
        <w:fldChar w:fldCharType="begin"/>
      </w:r>
      <w:r>
        <w:rPr>
          <w:highlight w:val="none"/>
        </w:rPr>
        <w:instrText xml:space="preserve"> HYPERLINK \l _Toc7727 </w:instrText>
      </w:r>
      <w:r>
        <w:rPr>
          <w:highlight w:val="none"/>
        </w:rPr>
        <w:fldChar w:fldCharType="separate"/>
      </w:r>
      <w:r>
        <w:rPr>
          <w:rFonts w:hint="eastAsia" w:ascii="宋体" w:hAnsi="宋体" w:eastAsia="宋体" w:cs="宋体"/>
          <w:highlight w:val="none"/>
        </w:rPr>
        <w:t>格式</w:t>
      </w:r>
      <w:r>
        <w:rPr>
          <w:rFonts w:hint="eastAsia" w:ascii="宋体" w:hAnsi="宋体" w:eastAsia="宋体" w:cs="宋体"/>
          <w:highlight w:val="none"/>
          <w:lang w:val="en-US" w:eastAsia="zh-CN"/>
        </w:rPr>
        <w:t>12</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 </w:t>
      </w:r>
      <w:r>
        <w:rPr>
          <w:rFonts w:hint="eastAsia" w:ascii="宋体" w:hAnsi="宋体" w:eastAsia="宋体" w:cs="宋体"/>
          <w:highlight w:val="none"/>
        </w:rPr>
        <w:t>服务方案、实施方案及技术方案</w:t>
      </w:r>
      <w:r>
        <w:rPr>
          <w:highlight w:val="none"/>
        </w:rPr>
        <w:tab/>
      </w:r>
      <w:r>
        <w:rPr>
          <w:highlight w:val="none"/>
        </w:rPr>
        <w:fldChar w:fldCharType="begin"/>
      </w:r>
      <w:r>
        <w:rPr>
          <w:highlight w:val="none"/>
        </w:rPr>
        <w:instrText xml:space="preserve"> PAGEREF _Toc7727 \h </w:instrText>
      </w:r>
      <w:r>
        <w:rPr>
          <w:highlight w:val="none"/>
        </w:rPr>
        <w:fldChar w:fldCharType="separate"/>
      </w:r>
      <w:r>
        <w:rPr>
          <w:highlight w:val="none"/>
        </w:rPr>
        <w:t>70</w:t>
      </w:r>
      <w:r>
        <w:rPr>
          <w:highlight w:val="none"/>
        </w:rPr>
        <w:fldChar w:fldCharType="end"/>
      </w:r>
      <w:r>
        <w:rPr>
          <w:color w:val="auto"/>
          <w:highlight w:val="none"/>
        </w:rPr>
        <w:fldChar w:fldCharType="end"/>
      </w:r>
    </w:p>
    <w:p w14:paraId="109D5A0C">
      <w:pPr>
        <w:pStyle w:val="23"/>
        <w:tabs>
          <w:tab w:val="right" w:leader="dot" w:pos="8402"/>
        </w:tabs>
        <w:rPr>
          <w:highlight w:val="none"/>
        </w:rPr>
      </w:pPr>
      <w:r>
        <w:rPr>
          <w:color w:val="auto"/>
          <w:highlight w:val="none"/>
        </w:rPr>
        <w:fldChar w:fldCharType="begin"/>
      </w:r>
      <w:r>
        <w:rPr>
          <w:highlight w:val="none"/>
        </w:rPr>
        <w:instrText xml:space="preserve"> HYPERLINK \l _Toc18678 </w:instrText>
      </w:r>
      <w:r>
        <w:rPr>
          <w:highlight w:val="none"/>
        </w:rPr>
        <w:fldChar w:fldCharType="separate"/>
      </w:r>
      <w:r>
        <w:rPr>
          <w:rFonts w:hint="eastAsia" w:ascii="宋体" w:hAnsi="宋体" w:eastAsia="宋体" w:cs="宋体"/>
          <w:highlight w:val="none"/>
        </w:rPr>
        <w:t>格式1</w:t>
      </w:r>
      <w:r>
        <w:rPr>
          <w:rFonts w:hint="eastAsia" w:ascii="宋体" w:hAnsi="宋体" w:eastAsia="宋体" w:cs="宋体"/>
          <w:highlight w:val="none"/>
          <w:lang w:val="en-US" w:eastAsia="zh-CN"/>
        </w:rPr>
        <w:t>3</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 </w:t>
      </w:r>
      <w:r>
        <w:rPr>
          <w:rFonts w:hint="eastAsia" w:ascii="宋体" w:hAnsi="宋体" w:eastAsia="宋体" w:cs="宋体"/>
          <w:highlight w:val="none"/>
        </w:rPr>
        <w:t>技术力量一览表</w:t>
      </w:r>
      <w:r>
        <w:rPr>
          <w:highlight w:val="none"/>
        </w:rPr>
        <w:tab/>
      </w:r>
      <w:r>
        <w:rPr>
          <w:highlight w:val="none"/>
        </w:rPr>
        <w:fldChar w:fldCharType="begin"/>
      </w:r>
      <w:r>
        <w:rPr>
          <w:highlight w:val="none"/>
        </w:rPr>
        <w:instrText xml:space="preserve"> PAGEREF _Toc18678 \h </w:instrText>
      </w:r>
      <w:r>
        <w:rPr>
          <w:highlight w:val="none"/>
        </w:rPr>
        <w:fldChar w:fldCharType="separate"/>
      </w:r>
      <w:r>
        <w:rPr>
          <w:highlight w:val="none"/>
        </w:rPr>
        <w:t>71</w:t>
      </w:r>
      <w:r>
        <w:rPr>
          <w:highlight w:val="none"/>
        </w:rPr>
        <w:fldChar w:fldCharType="end"/>
      </w:r>
      <w:r>
        <w:rPr>
          <w:color w:val="auto"/>
          <w:highlight w:val="none"/>
        </w:rPr>
        <w:fldChar w:fldCharType="end"/>
      </w:r>
    </w:p>
    <w:p w14:paraId="7C167C76">
      <w:pPr>
        <w:pStyle w:val="23"/>
        <w:tabs>
          <w:tab w:val="right" w:leader="dot" w:pos="8402"/>
        </w:tabs>
        <w:rPr>
          <w:highlight w:val="none"/>
        </w:rPr>
      </w:pPr>
      <w:r>
        <w:rPr>
          <w:color w:val="auto"/>
          <w:highlight w:val="none"/>
        </w:rPr>
        <w:fldChar w:fldCharType="begin"/>
      </w:r>
      <w:r>
        <w:rPr>
          <w:highlight w:val="none"/>
        </w:rPr>
        <w:instrText xml:space="preserve"> HYPERLINK \l _Toc9559 </w:instrText>
      </w:r>
      <w:r>
        <w:rPr>
          <w:highlight w:val="none"/>
        </w:rPr>
        <w:fldChar w:fldCharType="separate"/>
      </w:r>
      <w:r>
        <w:rPr>
          <w:rFonts w:hint="eastAsia" w:ascii="宋体" w:hAnsi="宋体" w:eastAsia="宋体" w:cs="宋体"/>
          <w:highlight w:val="none"/>
        </w:rPr>
        <w:t>格式1</w:t>
      </w:r>
      <w:r>
        <w:rPr>
          <w:rFonts w:hint="eastAsia" w:ascii="宋体" w:hAnsi="宋体" w:eastAsia="宋体" w:cs="宋体"/>
          <w:highlight w:val="none"/>
          <w:lang w:val="en-US" w:eastAsia="zh-CN"/>
        </w:rPr>
        <w:t>4</w:t>
      </w: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 </w:t>
      </w:r>
      <w:r>
        <w:rPr>
          <w:rFonts w:hint="eastAsia" w:ascii="宋体" w:hAnsi="宋体" w:eastAsia="宋体" w:cs="宋体"/>
          <w:highlight w:val="none"/>
        </w:rPr>
        <w:t>技术人员简历表</w:t>
      </w:r>
      <w:r>
        <w:rPr>
          <w:highlight w:val="none"/>
        </w:rPr>
        <w:tab/>
      </w:r>
      <w:r>
        <w:rPr>
          <w:highlight w:val="none"/>
        </w:rPr>
        <w:fldChar w:fldCharType="begin"/>
      </w:r>
      <w:r>
        <w:rPr>
          <w:highlight w:val="none"/>
        </w:rPr>
        <w:instrText xml:space="preserve"> PAGEREF _Toc9559 \h </w:instrText>
      </w:r>
      <w:r>
        <w:rPr>
          <w:highlight w:val="none"/>
        </w:rPr>
        <w:fldChar w:fldCharType="separate"/>
      </w:r>
      <w:r>
        <w:rPr>
          <w:highlight w:val="none"/>
        </w:rPr>
        <w:t>72</w:t>
      </w:r>
      <w:r>
        <w:rPr>
          <w:highlight w:val="none"/>
        </w:rPr>
        <w:fldChar w:fldCharType="end"/>
      </w:r>
      <w:r>
        <w:rPr>
          <w:color w:val="auto"/>
          <w:highlight w:val="none"/>
        </w:rPr>
        <w:fldChar w:fldCharType="end"/>
      </w:r>
    </w:p>
    <w:p w14:paraId="5F8F12D6">
      <w:pPr>
        <w:pStyle w:val="23"/>
        <w:tabs>
          <w:tab w:val="right" w:leader="dot" w:pos="8402"/>
        </w:tabs>
        <w:rPr>
          <w:highlight w:val="none"/>
        </w:rPr>
      </w:pPr>
      <w:r>
        <w:rPr>
          <w:color w:val="auto"/>
          <w:highlight w:val="none"/>
        </w:rPr>
        <w:fldChar w:fldCharType="begin"/>
      </w:r>
      <w:r>
        <w:rPr>
          <w:highlight w:val="none"/>
        </w:rPr>
        <w:instrText xml:space="preserve"> HYPERLINK \l _Toc13637 </w:instrText>
      </w:r>
      <w:r>
        <w:rPr>
          <w:highlight w:val="none"/>
        </w:rPr>
        <w:fldChar w:fldCharType="separate"/>
      </w:r>
      <w:r>
        <w:rPr>
          <w:rFonts w:hint="eastAsia" w:ascii="宋体" w:hAnsi="宋体" w:eastAsia="宋体" w:cs="宋体"/>
          <w:highlight w:val="none"/>
        </w:rPr>
        <w:t>格式1</w:t>
      </w:r>
      <w:r>
        <w:rPr>
          <w:rFonts w:hint="eastAsia" w:ascii="宋体" w:hAnsi="宋体" w:eastAsia="宋体" w:cs="宋体"/>
          <w:highlight w:val="none"/>
          <w:lang w:val="en-US" w:eastAsia="zh-CN"/>
        </w:rPr>
        <w:t xml:space="preserve">5 </w:t>
      </w:r>
      <w:r>
        <w:rPr>
          <w:rFonts w:hint="eastAsia" w:ascii="宋体" w:hAnsi="宋体" w:eastAsia="宋体" w:cs="宋体"/>
          <w:highlight w:val="none"/>
        </w:rPr>
        <w:t xml:space="preserve"> </w:t>
      </w:r>
      <w:r>
        <w:rPr>
          <w:rFonts w:hint="eastAsia" w:ascii="宋体" w:hAnsi="宋体" w:eastAsia="宋体" w:cs="宋体"/>
          <w:highlight w:val="none"/>
          <w:lang w:eastAsia="zh-CN"/>
        </w:rPr>
        <w:t>投标人</w:t>
      </w:r>
      <w:r>
        <w:rPr>
          <w:rFonts w:hint="eastAsia" w:ascii="宋体" w:hAnsi="宋体" w:eastAsia="宋体" w:cs="宋体"/>
          <w:highlight w:val="none"/>
        </w:rPr>
        <w:t>售后服务承诺</w:t>
      </w:r>
      <w:r>
        <w:rPr>
          <w:highlight w:val="none"/>
        </w:rPr>
        <w:tab/>
      </w:r>
      <w:r>
        <w:rPr>
          <w:highlight w:val="none"/>
        </w:rPr>
        <w:fldChar w:fldCharType="begin"/>
      </w:r>
      <w:r>
        <w:rPr>
          <w:highlight w:val="none"/>
        </w:rPr>
        <w:instrText xml:space="preserve"> PAGEREF _Toc13637 \h </w:instrText>
      </w:r>
      <w:r>
        <w:rPr>
          <w:highlight w:val="none"/>
        </w:rPr>
        <w:fldChar w:fldCharType="separate"/>
      </w:r>
      <w:r>
        <w:rPr>
          <w:highlight w:val="none"/>
        </w:rPr>
        <w:t>73</w:t>
      </w:r>
      <w:r>
        <w:rPr>
          <w:highlight w:val="none"/>
        </w:rPr>
        <w:fldChar w:fldCharType="end"/>
      </w:r>
      <w:r>
        <w:rPr>
          <w:color w:val="auto"/>
          <w:highlight w:val="none"/>
        </w:rPr>
        <w:fldChar w:fldCharType="end"/>
      </w:r>
    </w:p>
    <w:p w14:paraId="72046DF7">
      <w:pPr>
        <w:pStyle w:val="24"/>
        <w:tabs>
          <w:tab w:val="right" w:leader="dot" w:pos="8402"/>
        </w:tabs>
        <w:rPr>
          <w:highlight w:val="none"/>
        </w:rPr>
      </w:pPr>
      <w:r>
        <w:rPr>
          <w:color w:val="auto"/>
          <w:highlight w:val="none"/>
        </w:rPr>
        <w:fldChar w:fldCharType="begin"/>
      </w:r>
      <w:r>
        <w:rPr>
          <w:highlight w:val="none"/>
        </w:rPr>
        <w:instrText xml:space="preserve"> HYPERLINK \l _Toc9401 </w:instrText>
      </w:r>
      <w:r>
        <w:rPr>
          <w:highlight w:val="none"/>
        </w:rPr>
        <w:fldChar w:fldCharType="separate"/>
      </w:r>
      <w:r>
        <w:rPr>
          <w:highlight w:val="none"/>
        </w:rPr>
        <w:t>第六章  项目采购需求</w:t>
      </w:r>
      <w:r>
        <w:rPr>
          <w:highlight w:val="none"/>
        </w:rPr>
        <w:tab/>
      </w:r>
      <w:r>
        <w:rPr>
          <w:highlight w:val="none"/>
        </w:rPr>
        <w:fldChar w:fldCharType="begin"/>
      </w:r>
      <w:r>
        <w:rPr>
          <w:highlight w:val="none"/>
        </w:rPr>
        <w:instrText xml:space="preserve"> PAGEREF _Toc9401 \h </w:instrText>
      </w:r>
      <w:r>
        <w:rPr>
          <w:highlight w:val="none"/>
        </w:rPr>
        <w:fldChar w:fldCharType="separate"/>
      </w:r>
      <w:r>
        <w:rPr>
          <w:highlight w:val="none"/>
        </w:rPr>
        <w:t>75</w:t>
      </w:r>
      <w:r>
        <w:rPr>
          <w:highlight w:val="none"/>
        </w:rPr>
        <w:fldChar w:fldCharType="end"/>
      </w:r>
      <w:r>
        <w:rPr>
          <w:color w:val="auto"/>
          <w:highlight w:val="none"/>
        </w:rPr>
        <w:fldChar w:fldCharType="end"/>
      </w:r>
    </w:p>
    <w:p w14:paraId="5C0FEC66">
      <w:pPr>
        <w:pStyle w:val="16"/>
        <w:tabs>
          <w:tab w:val="right" w:leader="dot" w:pos="8402"/>
        </w:tabs>
        <w:rPr>
          <w:rFonts w:hint="eastAsia" w:eastAsia="宋体"/>
          <w:color w:val="auto"/>
          <w:highlight w:val="none"/>
          <w:lang w:val="en-US" w:eastAsia="zh-CN"/>
        </w:rPr>
      </w:pPr>
      <w:r>
        <w:rPr>
          <w:color w:val="auto"/>
          <w:highlight w:val="none"/>
        </w:rPr>
        <w:fldChar w:fldCharType="end"/>
      </w:r>
    </w:p>
    <w:p w14:paraId="7DB38412">
      <w:pPr>
        <w:shd w:val="clear"/>
        <w:rPr>
          <w:color w:val="auto"/>
          <w:highlight w:val="none"/>
        </w:rPr>
      </w:pPr>
    </w:p>
    <w:p w14:paraId="1C117270">
      <w:pPr>
        <w:shd w:val="clear"/>
        <w:rPr>
          <w:color w:val="auto"/>
          <w:highlight w:val="none"/>
        </w:rPr>
      </w:pPr>
    </w:p>
    <w:p w14:paraId="28607ECA">
      <w:pPr>
        <w:shd w:val="clear"/>
        <w:rPr>
          <w:color w:val="auto"/>
          <w:highlight w:val="none"/>
        </w:rPr>
        <w:sectPr>
          <w:footerReference r:id="rId8" w:type="first"/>
          <w:footerReference r:id="rId6" w:type="default"/>
          <w:headerReference r:id="rId5" w:type="even"/>
          <w:footerReference r:id="rId7" w:type="even"/>
          <w:pgSz w:w="11906" w:h="16838"/>
          <w:pgMar w:top="1440" w:right="1752" w:bottom="1440" w:left="1752" w:header="851" w:footer="992" w:gutter="0"/>
          <w:pgNumType w:fmt="decimal" w:start="1"/>
          <w:cols w:space="720" w:num="1"/>
          <w:titlePg/>
          <w:docGrid w:type="lines" w:linePitch="312" w:charSpace="0"/>
        </w:sectPr>
      </w:pPr>
    </w:p>
    <w:p w14:paraId="6DB386E8">
      <w:pPr>
        <w:pStyle w:val="6"/>
        <w:shd w:val="clear"/>
        <w:jc w:val="center"/>
        <w:rPr>
          <w:rFonts w:hint="default"/>
          <w:color w:val="auto"/>
          <w:highlight w:val="none"/>
        </w:rPr>
      </w:pPr>
      <w:bookmarkStart w:id="0" w:name="_Toc30100"/>
      <w:bookmarkStart w:id="1" w:name="_Toc9285"/>
      <w:bookmarkStart w:id="2" w:name="_Toc7315"/>
      <w:r>
        <w:rPr>
          <w:color w:val="auto"/>
          <w:highlight w:val="none"/>
        </w:rPr>
        <w:t>第一章  投标邀请</w:t>
      </w:r>
      <w:bookmarkEnd w:id="0"/>
      <w:bookmarkEnd w:id="1"/>
      <w:bookmarkEnd w:id="2"/>
    </w:p>
    <w:p w14:paraId="45B3510E">
      <w:pPr>
        <w:shd w:val="clear"/>
        <w:rPr>
          <w:b/>
          <w:bCs/>
          <w:color w:val="auto"/>
          <w:highlight w:val="none"/>
        </w:rPr>
      </w:pPr>
      <w:r>
        <w:rPr>
          <w:rFonts w:hint="eastAsia"/>
          <w:b/>
          <w:bCs/>
          <w:color w:val="auto"/>
          <w:highlight w:val="none"/>
        </w:rPr>
        <w:t>项目概况</w:t>
      </w:r>
    </w:p>
    <w:p w14:paraId="779F177A">
      <w:pPr>
        <w:shd w:val="clear"/>
        <w:ind w:firstLine="422" w:firstLineChars="200"/>
        <w:rPr>
          <w:color w:val="auto"/>
          <w:highlight w:val="none"/>
        </w:rPr>
      </w:pPr>
      <w:r>
        <w:rPr>
          <w:rFonts w:hint="eastAsia"/>
          <w:b/>
          <w:bCs/>
          <w:color w:val="auto"/>
          <w:highlight w:val="none"/>
          <w:u w:val="single"/>
          <w:lang w:val="en" w:eastAsia="zh-CN"/>
        </w:rPr>
        <w:t>国家税务总局沭阳县税务局2026年食堂食材配送服务采购项目</w:t>
      </w:r>
      <w:r>
        <w:rPr>
          <w:rFonts w:hint="eastAsia"/>
          <w:color w:val="auto"/>
          <w:highlight w:val="none"/>
        </w:rPr>
        <w:t>的潜在</w:t>
      </w:r>
      <w:r>
        <w:rPr>
          <w:rFonts w:hint="eastAsia"/>
          <w:color w:val="auto"/>
          <w:highlight w:val="none"/>
          <w:lang w:eastAsia="zh-CN"/>
        </w:rPr>
        <w:t>投标人</w:t>
      </w:r>
      <w:r>
        <w:rPr>
          <w:rFonts w:hint="eastAsia"/>
          <w:color w:val="auto"/>
          <w:highlight w:val="none"/>
        </w:rPr>
        <w:t>应在</w:t>
      </w:r>
      <w:r>
        <w:rPr>
          <w:rFonts w:hint="eastAsia"/>
          <w:color w:val="auto"/>
          <w:highlight w:val="none"/>
          <w:lang w:eastAsia="zh-CN"/>
        </w:rPr>
        <w:t>江苏宏壮工程项目管理有限公司</w:t>
      </w:r>
      <w:r>
        <w:rPr>
          <w:rFonts w:hint="eastAsia"/>
          <w:color w:val="auto"/>
          <w:highlight w:val="none"/>
        </w:rPr>
        <w:t>招标文件，并于</w:t>
      </w:r>
      <w:r>
        <w:rPr>
          <w:rFonts w:hint="eastAsia"/>
          <w:b/>
          <w:bCs/>
          <w:color w:val="auto"/>
          <w:highlight w:val="none"/>
          <w:u w:val="single"/>
          <w:lang w:eastAsia="zh-CN"/>
        </w:rPr>
        <w:t>2026</w:t>
      </w:r>
      <w:r>
        <w:rPr>
          <w:rFonts w:hint="eastAsia"/>
          <w:b/>
          <w:bCs/>
          <w:color w:val="auto"/>
          <w:highlight w:val="none"/>
          <w:u w:val="single"/>
        </w:rPr>
        <w:t>年</w:t>
      </w:r>
      <w:r>
        <w:rPr>
          <w:rFonts w:hint="eastAsia"/>
          <w:b/>
          <w:bCs/>
          <w:color w:val="auto"/>
          <w:highlight w:val="none"/>
          <w:u w:val="single"/>
          <w:lang w:val="en-US" w:eastAsia="zh-CN"/>
        </w:rPr>
        <w:t>10</w:t>
      </w:r>
      <w:r>
        <w:rPr>
          <w:rFonts w:hint="eastAsia"/>
          <w:b/>
          <w:bCs/>
          <w:color w:val="auto"/>
          <w:highlight w:val="none"/>
          <w:u w:val="single"/>
        </w:rPr>
        <w:t>月</w:t>
      </w:r>
      <w:r>
        <w:rPr>
          <w:rFonts w:hint="eastAsia"/>
          <w:b/>
          <w:bCs/>
          <w:color w:val="auto"/>
          <w:highlight w:val="none"/>
          <w:u w:val="single"/>
          <w:lang w:val="en-US" w:eastAsia="zh-CN"/>
        </w:rPr>
        <w:t>9日09时30</w:t>
      </w:r>
      <w:r>
        <w:rPr>
          <w:rFonts w:hint="eastAsia"/>
          <w:b/>
          <w:bCs/>
          <w:color w:val="auto"/>
          <w:highlight w:val="none"/>
          <w:u w:val="single"/>
        </w:rPr>
        <w:t>分</w:t>
      </w:r>
      <w:r>
        <w:rPr>
          <w:rFonts w:hint="eastAsia"/>
          <w:bCs/>
          <w:color w:val="auto"/>
          <w:highlight w:val="none"/>
        </w:rPr>
        <w:t>（北京时间）前递交投标</w:t>
      </w:r>
      <w:r>
        <w:rPr>
          <w:bCs/>
          <w:color w:val="auto"/>
          <w:highlight w:val="none"/>
        </w:rPr>
        <w:t>文件</w:t>
      </w:r>
      <w:r>
        <w:rPr>
          <w:rFonts w:hint="eastAsia"/>
          <w:color w:val="auto"/>
          <w:highlight w:val="none"/>
        </w:rPr>
        <w:t>。</w:t>
      </w:r>
    </w:p>
    <w:p w14:paraId="3C8DDB53">
      <w:pPr>
        <w:keepNext w:val="0"/>
        <w:keepLines w:val="0"/>
        <w:pageBreakBefore w:val="0"/>
        <w:widowControl w:val="0"/>
        <w:shd w:val="clear"/>
        <w:kinsoku/>
        <w:wordWrap/>
        <w:overflowPunct/>
        <w:topLinePunct w:val="0"/>
        <w:autoSpaceDE/>
        <w:autoSpaceDN/>
        <w:bidi w:val="0"/>
        <w:adjustRightInd/>
        <w:snapToGrid/>
        <w:spacing w:before="156" w:beforeLines="50" w:after="156" w:afterLines="50"/>
        <w:textAlignment w:val="auto"/>
        <w:outlineLvl w:val="2"/>
        <w:rPr>
          <w:rFonts w:hint="eastAsia" w:ascii="宋体" w:hAnsi="宋体" w:eastAsia="宋体" w:cs="宋体"/>
          <w:b/>
          <w:bCs/>
          <w:color w:val="auto"/>
          <w:szCs w:val="21"/>
          <w:highlight w:val="none"/>
        </w:rPr>
      </w:pPr>
      <w:bookmarkStart w:id="3" w:name="_Toc3863"/>
      <w:bookmarkStart w:id="4" w:name="_Toc13377"/>
      <w:r>
        <w:rPr>
          <w:rFonts w:hint="eastAsia" w:ascii="宋体" w:hAnsi="宋体" w:eastAsia="宋体" w:cs="宋体"/>
          <w:b/>
          <w:bCs/>
          <w:color w:val="auto"/>
          <w:szCs w:val="21"/>
          <w:highlight w:val="none"/>
        </w:rPr>
        <w:t>一、项目基本情况</w:t>
      </w:r>
      <w:bookmarkEnd w:id="3"/>
      <w:bookmarkEnd w:id="4"/>
    </w:p>
    <w:p w14:paraId="3ADFFD74">
      <w:pPr>
        <w:keepNext w:val="0"/>
        <w:keepLines w:val="0"/>
        <w:pageBreakBefore w:val="0"/>
        <w:widowControl w:val="0"/>
        <w:shd w:val="clear"/>
        <w:kinsoku/>
        <w:wordWrap/>
        <w:overflowPunct/>
        <w:topLinePunct/>
        <w:autoSpaceDE w:val="0"/>
        <w:autoSpaceDN w:val="0"/>
        <w:bidi w:val="0"/>
        <w:adjustRightInd/>
        <w:spacing w:line="360" w:lineRule="auto"/>
        <w:textAlignment w:val="auto"/>
        <w:rPr>
          <w:rFonts w:hint="eastAsia"/>
          <w:color w:val="auto"/>
          <w:highlight w:val="none"/>
          <w:lang w:eastAsia="zh-CN"/>
        </w:rPr>
      </w:pPr>
      <w:r>
        <w:rPr>
          <w:rFonts w:hint="eastAsia"/>
          <w:color w:val="auto"/>
          <w:highlight w:val="none"/>
        </w:rPr>
        <w:t>采购人项目编号：</w:t>
      </w:r>
      <w:r>
        <w:rPr>
          <w:rFonts w:hint="eastAsia"/>
          <w:color w:val="auto"/>
          <w:highlight w:val="none"/>
          <w:lang w:eastAsia="zh-CN"/>
        </w:rPr>
        <w:t>JS2026-DLGK-C0214-B00</w:t>
      </w:r>
    </w:p>
    <w:p w14:paraId="5D5F2F97">
      <w:pPr>
        <w:keepNext w:val="0"/>
        <w:keepLines w:val="0"/>
        <w:pageBreakBefore w:val="0"/>
        <w:widowControl w:val="0"/>
        <w:shd w:val="clear"/>
        <w:kinsoku/>
        <w:wordWrap/>
        <w:overflowPunct/>
        <w:topLinePunct/>
        <w:autoSpaceDE w:val="0"/>
        <w:autoSpaceDN w:val="0"/>
        <w:bidi w:val="0"/>
        <w:adjustRightInd/>
        <w:spacing w:line="360" w:lineRule="auto"/>
        <w:textAlignment w:val="auto"/>
        <w:rPr>
          <w:rFonts w:hint="eastAsia"/>
          <w:color w:val="auto"/>
          <w:highlight w:val="none"/>
          <w:lang w:eastAsia="zh-CN"/>
        </w:rPr>
      </w:pPr>
      <w:r>
        <w:rPr>
          <w:rFonts w:hint="eastAsia"/>
          <w:color w:val="auto"/>
          <w:highlight w:val="none"/>
        </w:rPr>
        <w:t>代理机构项目编号：</w:t>
      </w:r>
      <w:r>
        <w:rPr>
          <w:rFonts w:hint="eastAsia"/>
          <w:color w:val="auto"/>
          <w:highlight w:val="none"/>
          <w:lang w:eastAsia="zh-CN"/>
        </w:rPr>
        <w:t>JSHZ[2026]0809号</w:t>
      </w:r>
    </w:p>
    <w:p w14:paraId="2757A8AF">
      <w:pPr>
        <w:keepNext w:val="0"/>
        <w:keepLines w:val="0"/>
        <w:pageBreakBefore w:val="0"/>
        <w:widowControl w:val="0"/>
        <w:shd w:val="clear"/>
        <w:kinsoku/>
        <w:wordWrap/>
        <w:overflowPunct/>
        <w:topLinePunct/>
        <w:autoSpaceDE w:val="0"/>
        <w:autoSpaceDN w:val="0"/>
        <w:bidi w:val="0"/>
        <w:adjustRightInd/>
        <w:spacing w:line="360" w:lineRule="auto"/>
        <w:textAlignment w:val="auto"/>
        <w:rPr>
          <w:rFonts w:hint="default"/>
          <w:color w:val="auto"/>
          <w:highlight w:val="none"/>
          <w:lang w:val="en" w:eastAsia="zh-CN"/>
        </w:rPr>
      </w:pPr>
      <w:r>
        <w:rPr>
          <w:rFonts w:hint="eastAsia"/>
          <w:color w:val="auto"/>
          <w:highlight w:val="none"/>
        </w:rPr>
        <w:t>项目名称：</w:t>
      </w:r>
      <w:r>
        <w:rPr>
          <w:rFonts w:hint="eastAsia"/>
          <w:color w:val="auto"/>
          <w:highlight w:val="none"/>
          <w:lang w:val="en" w:eastAsia="zh-CN"/>
        </w:rPr>
        <w:t>国家税务总局沭阳县税务局2026年食堂食材配送服务采购项目</w:t>
      </w:r>
    </w:p>
    <w:p w14:paraId="73FA8C31">
      <w:pPr>
        <w:keepNext w:val="0"/>
        <w:keepLines w:val="0"/>
        <w:pageBreakBefore w:val="0"/>
        <w:widowControl w:val="0"/>
        <w:shd w:val="clear"/>
        <w:kinsoku/>
        <w:wordWrap/>
        <w:overflowPunct/>
        <w:topLinePunct/>
        <w:autoSpaceDE w:val="0"/>
        <w:autoSpaceDN w:val="0"/>
        <w:bidi w:val="0"/>
        <w:adjustRightInd/>
        <w:spacing w:line="360" w:lineRule="auto"/>
        <w:textAlignment w:val="auto"/>
        <w:rPr>
          <w:rFonts w:hint="eastAsia"/>
          <w:color w:val="auto"/>
          <w:highlight w:val="none"/>
        </w:rPr>
      </w:pPr>
      <w:r>
        <w:rPr>
          <w:rFonts w:hint="eastAsia"/>
          <w:color w:val="auto"/>
          <w:highlight w:val="none"/>
        </w:rPr>
        <w:t>预算金额</w:t>
      </w:r>
      <w:r>
        <w:rPr>
          <w:rFonts w:hint="eastAsia"/>
          <w:color w:val="auto"/>
          <w:highlight w:val="none"/>
          <w:lang w:eastAsia="zh-CN"/>
        </w:rPr>
        <w:t>（</w:t>
      </w:r>
      <w:r>
        <w:rPr>
          <w:rFonts w:hint="eastAsia"/>
          <w:color w:val="auto"/>
          <w:highlight w:val="none"/>
          <w:lang w:val="en-US" w:eastAsia="zh-CN"/>
        </w:rPr>
        <w:t>含税</w:t>
      </w:r>
      <w:r>
        <w:rPr>
          <w:rFonts w:hint="eastAsia"/>
          <w:color w:val="auto"/>
          <w:highlight w:val="none"/>
          <w:lang w:eastAsia="zh-CN"/>
        </w:rPr>
        <w:t>）</w:t>
      </w:r>
      <w:r>
        <w:rPr>
          <w:rFonts w:hint="eastAsia"/>
          <w:color w:val="auto"/>
          <w:highlight w:val="none"/>
        </w:rPr>
        <w:t>：</w:t>
      </w:r>
      <w:r>
        <w:rPr>
          <w:rFonts w:hint="eastAsia"/>
          <w:color w:val="auto"/>
          <w:highlight w:val="none"/>
          <w:lang w:val="en" w:eastAsia="zh-CN"/>
        </w:rPr>
        <w:t>人民币</w:t>
      </w:r>
      <w:r>
        <w:rPr>
          <w:rFonts w:hint="eastAsia"/>
          <w:color w:val="auto"/>
          <w:highlight w:val="none"/>
          <w:lang w:val="en-US" w:eastAsia="zh-CN"/>
        </w:rPr>
        <w:t>256万元</w:t>
      </w:r>
      <w:r>
        <w:rPr>
          <w:rFonts w:hint="eastAsia"/>
          <w:color w:val="auto"/>
          <w:highlight w:val="none"/>
          <w:lang w:val="en" w:eastAsia="zh-CN"/>
        </w:rPr>
        <w:t>，采购食材按实际采购量进行结算，实际执行总金额不超过采购预算。</w:t>
      </w:r>
    </w:p>
    <w:p w14:paraId="2E2A3984">
      <w:pPr>
        <w:keepNext w:val="0"/>
        <w:keepLines w:val="0"/>
        <w:pageBreakBefore w:val="0"/>
        <w:widowControl w:val="0"/>
        <w:shd w:val="clear"/>
        <w:kinsoku/>
        <w:wordWrap/>
        <w:overflowPunct/>
        <w:topLinePunct/>
        <w:autoSpaceDE w:val="0"/>
        <w:autoSpaceDN w:val="0"/>
        <w:bidi w:val="0"/>
        <w:adjustRightInd/>
        <w:spacing w:line="360" w:lineRule="auto"/>
        <w:textAlignment w:val="auto"/>
        <w:rPr>
          <w:rFonts w:hint="eastAsia" w:cs="Times New Roman"/>
          <w:highlight w:val="none"/>
        </w:rPr>
      </w:pPr>
      <w:r>
        <w:rPr>
          <w:rFonts w:hint="eastAsia"/>
          <w:color w:val="auto"/>
          <w:highlight w:val="none"/>
          <w:lang w:val="en" w:eastAsia="zh-CN"/>
        </w:rPr>
        <w:t>最高限价（</w:t>
      </w:r>
      <w:r>
        <w:rPr>
          <w:rFonts w:hint="eastAsia"/>
          <w:color w:val="auto"/>
          <w:highlight w:val="none"/>
          <w:lang w:val="en-US" w:eastAsia="zh-CN"/>
        </w:rPr>
        <w:t>含税</w:t>
      </w:r>
      <w:r>
        <w:rPr>
          <w:rFonts w:hint="eastAsia"/>
          <w:color w:val="auto"/>
          <w:highlight w:val="none"/>
          <w:lang w:val="en" w:eastAsia="zh-CN"/>
        </w:rPr>
        <w:t>）：人民币</w:t>
      </w:r>
      <w:r>
        <w:rPr>
          <w:rFonts w:hint="eastAsia"/>
          <w:color w:val="auto"/>
          <w:highlight w:val="none"/>
          <w:lang w:val="en-US" w:eastAsia="zh-CN"/>
        </w:rPr>
        <w:t>256万元</w:t>
      </w:r>
      <w:r>
        <w:rPr>
          <w:rFonts w:hint="eastAsia"/>
          <w:color w:val="auto"/>
          <w:highlight w:val="none"/>
          <w:lang w:val="en" w:eastAsia="zh-CN"/>
        </w:rPr>
        <w:t>。</w:t>
      </w:r>
      <w:r>
        <w:rPr>
          <w:rFonts w:hint="eastAsia" w:cs="Times New Roman"/>
          <w:highlight w:val="none"/>
        </w:rPr>
        <w:t>本项目按投标费率（折扣）报价，费率最高为100%，投标报价超出规定费率的投标将视为无效投标。</w:t>
      </w:r>
    </w:p>
    <w:p w14:paraId="75A97A0B">
      <w:pPr>
        <w:ind w:firstLine="422" w:firstLineChars="200"/>
        <w:rPr>
          <w:rFonts w:hint="eastAsia" w:cs="Times New Roman"/>
          <w:b/>
          <w:bCs/>
          <w:highlight w:val="none"/>
        </w:rPr>
      </w:pPr>
      <w:r>
        <w:rPr>
          <w:rFonts w:hint="eastAsia" w:cs="Times New Roman"/>
          <w:b/>
          <w:bCs/>
          <w:highlight w:val="none"/>
        </w:rPr>
        <w:t>投标费率（折扣）计算方式：假设商品“宿迁阳光物价网”或“周边大型农贸市场、大型超市”单价为100元，当费率为95%，则结算时该商品单价=100元*95%=95元；当费率为93%，则结算时该商品单价=100元*93%=93元，以此类推。</w:t>
      </w:r>
    </w:p>
    <w:p w14:paraId="11FC1364">
      <w:pPr>
        <w:ind w:firstLine="420" w:firstLineChars="200"/>
        <w:rPr>
          <w:rFonts w:hint="eastAsia"/>
          <w:color w:val="auto"/>
          <w:highlight w:val="none"/>
        </w:rPr>
      </w:pPr>
      <w:r>
        <w:rPr>
          <w:rFonts w:hint="eastAsia" w:cs="Times New Roman"/>
          <w:highlight w:val="none"/>
        </w:rPr>
        <w:t>价格确定：本项目投标报价须以供货当日“宿迁阳光物价网”网址：（http://ygwj.fgw.suqian.gov.cn/） 公布的最新主副食品价格计价进行折扣；如宿迁阳光物价网无网价的产品，以周边大型农贸市场、大型超市的食材价格进行折扣。</w:t>
      </w:r>
    </w:p>
    <w:p w14:paraId="4EC12791">
      <w:pPr>
        <w:rPr>
          <w:rFonts w:hint="eastAsia"/>
          <w:color w:val="auto"/>
          <w:highlight w:val="none"/>
          <w:lang w:val="en-US" w:eastAsia="zh-CN"/>
        </w:rPr>
      </w:pPr>
      <w:r>
        <w:rPr>
          <w:rFonts w:hint="eastAsia"/>
          <w:color w:val="auto"/>
          <w:highlight w:val="none"/>
        </w:rPr>
        <w:t>采购需求：</w:t>
      </w:r>
      <w:r>
        <w:rPr>
          <w:rFonts w:hint="eastAsia"/>
          <w:color w:val="auto"/>
          <w:highlight w:val="none"/>
          <w:lang w:eastAsia="zh-CN"/>
        </w:rPr>
        <w:t>国家税务总局沭阳县税务局2026年食堂食材配送服务采购项目，拟对食堂米、面粉、食用油、干货、调料品、肉类、水产、禽蛋、奶制品、蔬菜、水果、豆制品等进行采购配送服务，总预算：256万元。</w:t>
      </w:r>
      <w:r>
        <w:rPr>
          <w:rFonts w:hint="eastAsia"/>
          <w:color w:val="auto"/>
          <w:highlight w:val="none"/>
          <w:lang w:val="en-US" w:eastAsia="zh-CN"/>
        </w:rPr>
        <w:t>配送地点为国家税务总局沭阳县税务局上海路职工食堂（位于沭城街道上海路）、国家税务总局沭阳县税务局人民路职工食堂（位于沭城街道人民西路）、国家税务总局沭阳县税务局苏州路职工食堂（位于沭城街道苏州路）及国家税务总局沭阳县税务局马厂分局（位于沭阳县马厂镇）、国家税务总局沭阳县税务局塘沟分局（位于沭阳县塘沟镇）、国家税务总局沭阳县税务局陇集分局（位于沭阳县陇集镇）、国家税务总局沭阳县税务局韩山分局（位于沭阳县原官墩乡）、国家税务总局沭阳县税务局华冲分局（位于沭阳县华冲镇）、国家税务总局沭阳县税务局庙头分局（位于沭阳县庙头镇）职工食堂。</w:t>
      </w:r>
    </w:p>
    <w:p w14:paraId="0500038F">
      <w:pPr>
        <w:rPr>
          <w:rFonts w:hint="default"/>
          <w:highlight w:val="none"/>
          <w:lang w:val="en-US" w:eastAsia="zh-CN"/>
        </w:rPr>
      </w:pPr>
      <w:r>
        <w:rPr>
          <w:rFonts w:hint="default"/>
          <w:b/>
          <w:bCs/>
          <w:color w:val="auto"/>
          <w:highlight w:val="none"/>
          <w:lang w:val="en-US" w:eastAsia="zh-CN"/>
        </w:rPr>
        <w:t>★注：本项目服务范围为</w:t>
      </w:r>
      <w:r>
        <w:rPr>
          <w:rFonts w:hint="eastAsia"/>
          <w:b/>
          <w:bCs/>
          <w:color w:val="auto"/>
          <w:highlight w:val="none"/>
          <w:lang w:val="en-US" w:eastAsia="zh-CN"/>
        </w:rPr>
        <w:t>沭阳</w:t>
      </w:r>
      <w:r>
        <w:rPr>
          <w:rFonts w:hint="default"/>
          <w:b/>
          <w:bCs/>
          <w:color w:val="auto"/>
          <w:highlight w:val="none"/>
          <w:lang w:val="en-US" w:eastAsia="zh-CN"/>
        </w:rPr>
        <w:t>县全域（含乡镇），成交供应商须按采购人需要将食材配送至指定地点（提供承诺函），供应商报价应充分考虑配送费用，如因考虑不足造成的一切损失均视为供应商让利行为。</w:t>
      </w:r>
    </w:p>
    <w:p w14:paraId="574B19C5">
      <w:pPr>
        <w:keepNext w:val="0"/>
        <w:keepLines w:val="0"/>
        <w:pageBreakBefore w:val="0"/>
        <w:widowControl w:val="0"/>
        <w:shd w:val="clear"/>
        <w:kinsoku/>
        <w:wordWrap/>
        <w:overflowPunct/>
        <w:topLinePunct/>
        <w:autoSpaceDE w:val="0"/>
        <w:autoSpaceDN w:val="0"/>
        <w:bidi w:val="0"/>
        <w:adjustRightInd/>
        <w:spacing w:line="360" w:lineRule="auto"/>
        <w:textAlignment w:val="auto"/>
        <w:rPr>
          <w:rFonts w:hint="eastAsia" w:cs="Times New Roman"/>
          <w:highlight w:val="none"/>
          <w:lang w:val="en-US" w:eastAsia="zh-CN"/>
        </w:rPr>
      </w:pPr>
      <w:r>
        <w:rPr>
          <w:rFonts w:hint="eastAsia"/>
          <w:color w:val="auto"/>
          <w:highlight w:val="none"/>
        </w:rPr>
        <w:t>合同履行期限：</w:t>
      </w:r>
      <w:r>
        <w:rPr>
          <w:rFonts w:hint="eastAsia" w:cs="Times New Roman"/>
          <w:highlight w:val="none"/>
          <w:lang w:val="en-US" w:eastAsia="zh-CN"/>
        </w:rPr>
        <w:t>一年。</w:t>
      </w:r>
    </w:p>
    <w:p w14:paraId="6A37AEC0">
      <w:pPr>
        <w:keepNext w:val="0"/>
        <w:keepLines w:val="0"/>
        <w:pageBreakBefore w:val="0"/>
        <w:widowControl w:val="0"/>
        <w:shd w:val="clear"/>
        <w:kinsoku/>
        <w:wordWrap/>
        <w:overflowPunct/>
        <w:topLinePunct w:val="0"/>
        <w:autoSpaceDE/>
        <w:autoSpaceDN/>
        <w:bidi w:val="0"/>
        <w:adjustRightInd/>
        <w:snapToGrid/>
        <w:spacing w:before="156" w:beforeLines="50" w:after="156" w:afterLines="50"/>
        <w:textAlignment w:val="auto"/>
        <w:outlineLvl w:val="2"/>
        <w:rPr>
          <w:rFonts w:hint="eastAsia" w:ascii="宋体" w:hAnsi="宋体" w:eastAsia="宋体" w:cs="宋体"/>
          <w:b/>
          <w:bCs/>
          <w:color w:val="auto"/>
          <w:szCs w:val="21"/>
          <w:highlight w:val="none"/>
        </w:rPr>
      </w:pPr>
      <w:bookmarkStart w:id="5" w:name="_Toc11710"/>
      <w:bookmarkStart w:id="6" w:name="_Toc30934"/>
      <w:r>
        <w:rPr>
          <w:rFonts w:hint="eastAsia" w:ascii="宋体" w:hAnsi="宋体" w:eastAsia="宋体" w:cs="宋体"/>
          <w:b/>
          <w:bCs/>
          <w:color w:val="auto"/>
          <w:szCs w:val="21"/>
          <w:highlight w:val="none"/>
        </w:rPr>
        <w:t>二、申请人的资格要求</w:t>
      </w:r>
      <w:bookmarkEnd w:id="5"/>
      <w:bookmarkEnd w:id="6"/>
    </w:p>
    <w:p w14:paraId="18BA9B87">
      <w:pPr>
        <w:shd w:val="clear"/>
        <w:rPr>
          <w:rFonts w:hint="eastAsia" w:eastAsia="宋体"/>
          <w:color w:val="auto"/>
          <w:highlight w:val="none"/>
          <w:lang w:eastAsia="zh-CN"/>
        </w:rPr>
      </w:pPr>
      <w:r>
        <w:rPr>
          <w:rFonts w:hint="eastAsia"/>
          <w:color w:val="auto"/>
          <w:highlight w:val="none"/>
        </w:rPr>
        <w:t>1.满足《中华人民共和国政府采购法》第二十二条规定</w:t>
      </w:r>
      <w:r>
        <w:rPr>
          <w:rFonts w:hint="eastAsia"/>
          <w:color w:val="auto"/>
          <w:highlight w:val="none"/>
          <w:lang w:eastAsia="zh-CN"/>
        </w:rPr>
        <w:t>：</w:t>
      </w:r>
    </w:p>
    <w:p w14:paraId="587A4224">
      <w:pPr>
        <w:shd w:val="clea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eastAsia="zh-CN"/>
          <w14:textFill>
            <w14:solidFill>
              <w14:schemeClr w14:val="tx1"/>
            </w14:solidFill>
          </w14:textFill>
        </w:rPr>
        <w:t>法人或者其他组织的营业执照等证明文件，自然人的身份证明复印件；</w:t>
      </w:r>
    </w:p>
    <w:p w14:paraId="78400E1D">
      <w:pPr>
        <w:shd w:val="clear"/>
        <w:rPr>
          <w:rFonts w:hint="eastAsia"/>
          <w:color w:val="auto"/>
          <w:highlight w:val="none"/>
        </w:rPr>
      </w:pPr>
      <w:r>
        <w:rPr>
          <w:rFonts w:hint="eastAsia"/>
          <w:color w:val="auto"/>
          <w:highlight w:val="none"/>
        </w:rPr>
        <w:t>（2）</w:t>
      </w:r>
      <w:r>
        <w:rPr>
          <w:rFonts w:hint="eastAsia"/>
          <w:color w:val="auto"/>
          <w:highlight w:val="none"/>
          <w:lang w:eastAsia="zh-CN"/>
        </w:rPr>
        <w:t>财务状况</w:t>
      </w:r>
      <w:r>
        <w:rPr>
          <w:rFonts w:hint="eastAsia"/>
          <w:color w:val="auto"/>
          <w:highlight w:val="none"/>
        </w:rPr>
        <w:t>：2024年度或2025年度经会计师事务所审计的财务报告（须提供加盖会计师事务所公章及注册会计师签章的复印件）；没有经审计的财务报告的，也可以提供2025年或2026年任意一个月的财务报表</w:t>
      </w:r>
      <w:r>
        <w:rPr>
          <w:rFonts w:hint="eastAsia"/>
          <w:color w:val="auto"/>
          <w:highlight w:val="none"/>
          <w:lang w:eastAsia="zh-CN"/>
        </w:rPr>
        <w:t>，</w:t>
      </w:r>
      <w:r>
        <w:rPr>
          <w:rFonts w:hint="eastAsia"/>
          <w:color w:val="auto"/>
          <w:highlight w:val="none"/>
        </w:rPr>
        <w:t>或提供距离投标截止时间6个月内基本开户银行出具的资信证明复印件；</w:t>
      </w:r>
    </w:p>
    <w:p w14:paraId="2EF1D7FE">
      <w:pPr>
        <w:shd w:val="clear"/>
        <w:rPr>
          <w:rFonts w:hint="eastAsia"/>
          <w:color w:val="auto"/>
          <w:highlight w:val="none"/>
        </w:rPr>
      </w:pPr>
      <w:r>
        <w:rPr>
          <w:rFonts w:hint="eastAsia"/>
          <w:color w:val="auto"/>
          <w:highlight w:val="none"/>
        </w:rPr>
        <w:t>（3）依法缴纳税收：</w:t>
      </w:r>
      <w:r>
        <w:rPr>
          <w:rFonts w:hint="eastAsia"/>
          <w:color w:val="auto"/>
          <w:highlight w:val="none"/>
          <w:lang w:val="en-US" w:eastAsia="zh-CN"/>
        </w:rPr>
        <w:t>2025</w:t>
      </w:r>
      <w:r>
        <w:rPr>
          <w:rFonts w:hint="eastAsia"/>
          <w:color w:val="auto"/>
          <w:highlight w:val="none"/>
        </w:rPr>
        <w:t>年</w:t>
      </w:r>
      <w:r>
        <w:rPr>
          <w:rFonts w:hint="eastAsia"/>
          <w:color w:val="auto"/>
          <w:highlight w:val="none"/>
          <w:lang w:val="en-US" w:eastAsia="zh-CN"/>
        </w:rPr>
        <w:t>7</w:t>
      </w:r>
      <w:r>
        <w:rPr>
          <w:rFonts w:hint="eastAsia"/>
          <w:color w:val="auto"/>
          <w:highlight w:val="none"/>
        </w:rPr>
        <w:t>月至开标当日任一月份依法缴纳税收</w:t>
      </w:r>
      <w:r>
        <w:rPr>
          <w:rFonts w:hint="eastAsia"/>
          <w:color w:val="auto"/>
          <w:highlight w:val="none"/>
          <w:lang w:eastAsia="zh-CN"/>
        </w:rPr>
        <w:t>（依法缴纳税收材料是指：税务部门出具的税收证明或完税凭证或银行出具的税收缴款证明）的相关材料复印件，如依法免税或不需要纳税的，则应提供相应证明材料复印件（根据国家相关政策免缴或迟缴的</w:t>
      </w:r>
      <w:r>
        <w:rPr>
          <w:rFonts w:hint="eastAsia"/>
          <w:color w:val="auto"/>
          <w:highlight w:val="none"/>
          <w:lang w:val="en-US" w:eastAsia="zh-CN"/>
        </w:rPr>
        <w:t>应</w:t>
      </w:r>
      <w:r>
        <w:rPr>
          <w:rFonts w:hint="eastAsia"/>
          <w:color w:val="auto"/>
          <w:highlight w:val="none"/>
          <w:lang w:eastAsia="zh-CN"/>
        </w:rPr>
        <w:t>提供相关证明材料）</w:t>
      </w:r>
      <w:r>
        <w:rPr>
          <w:rFonts w:hint="eastAsia"/>
          <w:color w:val="auto"/>
          <w:highlight w:val="none"/>
        </w:rPr>
        <w:t>；</w:t>
      </w:r>
    </w:p>
    <w:p w14:paraId="5AD9CC64">
      <w:pPr>
        <w:shd w:val="clear"/>
        <w:rPr>
          <w:rFonts w:hint="eastAsia"/>
          <w:color w:val="auto"/>
          <w:highlight w:val="none"/>
        </w:rPr>
      </w:pPr>
      <w:r>
        <w:rPr>
          <w:rFonts w:hint="eastAsia"/>
          <w:color w:val="auto"/>
          <w:highlight w:val="none"/>
        </w:rPr>
        <w:t>（4）社会保障资金：20</w:t>
      </w:r>
      <w:r>
        <w:rPr>
          <w:rFonts w:hint="eastAsia"/>
          <w:color w:val="auto"/>
          <w:highlight w:val="none"/>
          <w:lang w:val="en-US" w:eastAsia="zh-CN"/>
        </w:rPr>
        <w:t>25</w:t>
      </w:r>
      <w:r>
        <w:rPr>
          <w:rFonts w:hint="eastAsia"/>
          <w:color w:val="auto"/>
          <w:highlight w:val="none"/>
        </w:rPr>
        <w:t>年</w:t>
      </w:r>
      <w:r>
        <w:rPr>
          <w:rFonts w:hint="eastAsia"/>
          <w:color w:val="auto"/>
          <w:highlight w:val="none"/>
          <w:lang w:val="en-US" w:eastAsia="zh-CN"/>
        </w:rPr>
        <w:t>7</w:t>
      </w:r>
      <w:r>
        <w:rPr>
          <w:rFonts w:hint="eastAsia"/>
          <w:color w:val="auto"/>
          <w:highlight w:val="none"/>
        </w:rPr>
        <w:t>月至开标当日任一月份的依法缴纳社会保障资金的相关材料复印件</w:t>
      </w:r>
      <w:r>
        <w:rPr>
          <w:rFonts w:hint="eastAsia"/>
          <w:color w:val="auto"/>
          <w:highlight w:val="none"/>
          <w:lang w:eastAsia="zh-CN"/>
        </w:rPr>
        <w:t>（社会保障资金材料是指：人社部门或税务机关或银行出具的缴纳社保的凭证），如依法不需要缴纳社会保障资金的，则应提供相应证明材料复印件（根据国家相关政策免缴或迟缴的</w:t>
      </w:r>
      <w:r>
        <w:rPr>
          <w:rFonts w:hint="eastAsia"/>
          <w:color w:val="auto"/>
          <w:highlight w:val="none"/>
          <w:lang w:val="en-US" w:eastAsia="zh-CN"/>
        </w:rPr>
        <w:t>应</w:t>
      </w:r>
      <w:r>
        <w:rPr>
          <w:rFonts w:hint="eastAsia"/>
          <w:color w:val="auto"/>
          <w:highlight w:val="none"/>
          <w:lang w:eastAsia="zh-CN"/>
        </w:rPr>
        <w:t>提供相关证明材料）</w:t>
      </w:r>
      <w:r>
        <w:rPr>
          <w:rFonts w:hint="eastAsia"/>
          <w:color w:val="auto"/>
          <w:highlight w:val="none"/>
        </w:rPr>
        <w:t>；</w:t>
      </w:r>
    </w:p>
    <w:p w14:paraId="4229A319">
      <w:pPr>
        <w:shd w:val="clear"/>
        <w:rPr>
          <w:rFonts w:hint="eastAsia"/>
          <w:color w:val="auto"/>
          <w:highlight w:val="none"/>
        </w:rPr>
      </w:pPr>
      <w:r>
        <w:rPr>
          <w:rFonts w:hint="eastAsia"/>
          <w:color w:val="auto"/>
          <w:highlight w:val="none"/>
        </w:rPr>
        <w:t>（5）具备履行合同所必需的设备和专业技术能力的声明或证明材料复印件；</w:t>
      </w:r>
    </w:p>
    <w:p w14:paraId="12776520">
      <w:pPr>
        <w:shd w:val="clear"/>
        <w:rPr>
          <w:rFonts w:hint="eastAsia"/>
          <w:color w:val="auto"/>
          <w:highlight w:val="none"/>
        </w:rPr>
      </w:pPr>
      <w:r>
        <w:rPr>
          <w:rFonts w:hint="eastAsia"/>
          <w:color w:val="auto"/>
          <w:highlight w:val="none"/>
        </w:rPr>
        <w:t>（6）参加政府采购活动前3年内在经营活动中没有重大违法记录的书面声明；</w:t>
      </w:r>
    </w:p>
    <w:p w14:paraId="6409E0E8">
      <w:pPr>
        <w:shd w:val="clear"/>
        <w:rPr>
          <w:color w:val="auto"/>
          <w:highlight w:val="none"/>
        </w:rPr>
      </w:pPr>
      <w:r>
        <w:rPr>
          <w:rFonts w:hint="eastAsia"/>
          <w:color w:val="auto"/>
          <w:highlight w:val="none"/>
        </w:rPr>
        <w:t>（7）具备法律、行政法规规定的其他条件的证明材料：无；</w:t>
      </w:r>
    </w:p>
    <w:p w14:paraId="40B362BC">
      <w:pPr>
        <w:shd w:val="clear"/>
        <w:rPr>
          <w:rFonts w:hint="eastAsia"/>
          <w:color w:val="auto"/>
          <w:highlight w:val="none"/>
        </w:rPr>
      </w:pPr>
      <w:r>
        <w:rPr>
          <w:color w:val="auto"/>
          <w:highlight w:val="none"/>
        </w:rPr>
        <w:t>2</w:t>
      </w:r>
      <w:r>
        <w:rPr>
          <w:rFonts w:hint="eastAsia"/>
          <w:color w:val="auto"/>
          <w:highlight w:val="none"/>
        </w:rPr>
        <w:t>.落实政府采购政策需满足的资格要求：</w:t>
      </w:r>
    </w:p>
    <w:p w14:paraId="575FB628">
      <w:pPr>
        <w:shd w:val="clear" w:color="auto" w:fill="auto"/>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本项目属于面向中小企业预留采购份额项目，预留份额通过获得采购合同的投标人将采购项目中的一定比例分包给一家或者多家中小企业进行，本分包意向协议中预留给中小企业的金额应当不低于总金额的30%，其中预留给小微企业的比例不低于60%。接受分包合同的中小企业和分包企业之间不得存在单位负责人为同一人或者存在直接控股、管理关系。应提供明确以上事项的《分包意向协议》和《中小企业声明函》。</w:t>
      </w:r>
    </w:p>
    <w:p w14:paraId="243B2A28">
      <w:pPr>
        <w:shd w:val="clear" w:color="auto" w:fill="auto"/>
        <w:rPr>
          <w:rFonts w:hint="eastAsia" w:cs="Times New Roman"/>
          <w:b w:val="0"/>
          <w:bCs w:val="0"/>
          <w:color w:val="auto"/>
          <w:highlight w:val="none"/>
          <w:lang w:eastAsia="zh-CN"/>
        </w:rPr>
      </w:pPr>
      <w:r>
        <w:rPr>
          <w:rFonts w:hint="eastAsia" w:cs="Times New Roman"/>
          <w:b w:val="0"/>
          <w:bCs w:val="0"/>
          <w:color w:val="auto"/>
          <w:highlight w:val="none"/>
        </w:rPr>
        <w:t>如果供应商为大型企业，应预留给小微企业，且比例不低于30%。如果供应商为中型企业，预留给小微企业的比例不低于18%。如果供应商为小微企业，视同符合本条资格条件，则不得再进行分包。</w:t>
      </w:r>
      <w:r>
        <w:rPr>
          <w:rFonts w:hint="eastAsia" w:cs="Times New Roman"/>
          <w:b w:val="0"/>
          <w:bCs w:val="0"/>
          <w:color w:val="auto"/>
          <w:highlight w:val="none"/>
          <w:lang w:eastAsia="zh-CN"/>
        </w:rPr>
        <w:t>应</w:t>
      </w:r>
      <w:r>
        <w:rPr>
          <w:rFonts w:hint="eastAsia" w:cs="Times New Roman"/>
          <w:b w:val="0"/>
          <w:bCs w:val="0"/>
          <w:color w:val="auto"/>
          <w:highlight w:val="none"/>
        </w:rPr>
        <w:t>提供明确以上事项的《中小企业声明函》</w:t>
      </w:r>
      <w:r>
        <w:rPr>
          <w:rFonts w:hint="eastAsia" w:cs="Times New Roman"/>
          <w:b w:val="0"/>
          <w:bCs w:val="0"/>
          <w:color w:val="auto"/>
          <w:highlight w:val="none"/>
          <w:lang w:eastAsia="zh-CN"/>
        </w:rPr>
        <w:t>。</w:t>
      </w:r>
    </w:p>
    <w:p w14:paraId="017D6989">
      <w:pPr>
        <w:shd w:val="clear" w:color="auto" w:fill="auto"/>
        <w:rPr>
          <w:rFonts w:hint="eastAsia" w:ascii="宋体" w:hAnsi="宋体" w:eastAsia="宋体" w:cs="宋体"/>
          <w:b w:val="0"/>
          <w:bCs w:val="0"/>
          <w:sz w:val="21"/>
          <w:szCs w:val="21"/>
          <w:highlight w:val="none"/>
          <w:u w:val="none"/>
          <w:lang w:eastAsia="zh-CN"/>
        </w:rPr>
      </w:pPr>
      <w:r>
        <w:rPr>
          <w:rFonts w:hint="eastAsia" w:cs="Times New Roman"/>
          <w:b w:val="0"/>
          <w:bCs w:val="0"/>
          <w:color w:val="auto"/>
          <w:highlight w:val="none"/>
        </w:rPr>
        <w:t>监狱企业视同小型、微型企业，提供由省级以上监狱管理局、戒毒管理局（含新疆生产建设兵团）出具的属于监狱企业的证明文件；残疾人福利性单位视同小型、微型企业，提供《残疾人福利性单位声明函》。</w:t>
      </w:r>
    </w:p>
    <w:p w14:paraId="3D08AAAA">
      <w:pPr>
        <w:shd w:val="clear" w:color="auto" w:fill="auto"/>
        <w:rPr>
          <w:rFonts w:hint="eastAsia" w:eastAsia="宋体" w:cs="Times New Roman"/>
          <w:b w:val="0"/>
          <w:bCs w:val="0"/>
          <w:color w:val="auto"/>
          <w:highlight w:val="none"/>
          <w:lang w:val="en-US" w:eastAsia="zh-CN"/>
        </w:rPr>
      </w:pPr>
      <w:r>
        <w:rPr>
          <w:rFonts w:hint="eastAsia" w:cs="Times New Roman"/>
          <w:b w:val="0"/>
          <w:bCs w:val="0"/>
          <w:color w:val="auto"/>
          <w:highlight w:val="none"/>
          <w:lang w:val="en-US" w:eastAsia="zh-CN"/>
        </w:rPr>
        <w:t>本项目采购标的对应的中小企业划分标准所属行业为：</w:t>
      </w:r>
      <w:r>
        <w:rPr>
          <w:rFonts w:hint="eastAsia" w:cs="Times New Roman"/>
          <w:b w:val="0"/>
          <w:bCs w:val="0"/>
          <w:color w:val="auto"/>
          <w:highlight w:val="none"/>
          <w:u w:val="single"/>
          <w:lang w:val="en-US" w:eastAsia="zh-CN"/>
        </w:rPr>
        <w:t>批发业。</w:t>
      </w:r>
    </w:p>
    <w:p w14:paraId="22A51CD2">
      <w:pPr>
        <w:shd w:val="clear" w:color="auto" w:fill="auto"/>
        <w:rPr>
          <w:rFonts w:hint="eastAsia" w:cs="Times New Roman"/>
          <w:b/>
          <w:bCs/>
          <w:color w:val="000000"/>
          <w:highlight w:val="none"/>
          <w:lang w:eastAsia="zh-CN"/>
        </w:rPr>
      </w:pPr>
      <w:bookmarkStart w:id="7" w:name="_Toc15397"/>
      <w:r>
        <w:rPr>
          <w:rFonts w:hint="default"/>
          <w:color w:val="auto"/>
          <w:highlight w:val="none"/>
          <w:lang w:val="en-US" w:eastAsia="zh-CN"/>
        </w:rPr>
        <w:t>★</w:t>
      </w:r>
      <w:r>
        <w:rPr>
          <w:rFonts w:hint="eastAsia" w:cs="Times New Roman"/>
          <w:b/>
          <w:bCs/>
          <w:color w:val="auto"/>
          <w:highlight w:val="none"/>
        </w:rPr>
        <w:t>3.特定资格要求：</w:t>
      </w:r>
      <w:r>
        <w:rPr>
          <w:rFonts w:hint="eastAsia" w:cs="Times New Roman"/>
          <w:b/>
          <w:bCs/>
          <w:color w:val="000000"/>
          <w:highlight w:val="none"/>
          <w:lang w:eastAsia="zh-CN"/>
        </w:rPr>
        <w:t>供应商具备有效期内的《食品经营许可证》或《食品生产许可证》或食品安全监督管理部门出具的备案证明材料，应提供许可复印件或备案证明材料复印件。</w:t>
      </w:r>
    </w:p>
    <w:p w14:paraId="78245047">
      <w:pPr>
        <w:shd w:val="clear" w:color="auto" w:fill="auto"/>
        <w:rPr>
          <w:rFonts w:cs="Times New Roman"/>
          <w:color w:val="auto"/>
          <w:highlight w:val="none"/>
        </w:rPr>
      </w:pPr>
      <w:r>
        <w:rPr>
          <w:rFonts w:hint="eastAsia" w:cs="Times New Roman"/>
          <w:color w:val="auto"/>
          <w:highlight w:val="none"/>
        </w:rPr>
        <w:t>4.</w:t>
      </w:r>
      <w:bookmarkStart w:id="8" w:name="OLE_LINK2"/>
      <w:r>
        <w:rPr>
          <w:rFonts w:hint="eastAsia" w:cs="Times New Roman"/>
          <w:color w:val="auto"/>
          <w:highlight w:val="none"/>
        </w:rPr>
        <w:t>本项目不接受进口产品投标（注：本文件所称进口产品是指通过中国海关报关验放进入中国境内且产自关境外的产品）</w:t>
      </w:r>
      <w:bookmarkEnd w:id="8"/>
    </w:p>
    <w:p w14:paraId="6ACF1E24">
      <w:pPr>
        <w:shd w:val="clear" w:color="auto" w:fill="auto"/>
        <w:rPr>
          <w:rFonts w:cs="Times New Roman"/>
          <w:color w:val="auto"/>
          <w:highlight w:val="none"/>
        </w:rPr>
      </w:pPr>
      <w:r>
        <w:rPr>
          <w:rFonts w:hint="eastAsia" w:cs="Times New Roman"/>
          <w:color w:val="auto"/>
          <w:highlight w:val="none"/>
        </w:rPr>
        <w:t>5.本项目不接受联合体投标。</w:t>
      </w:r>
    </w:p>
    <w:p w14:paraId="2BDD56EA">
      <w:pPr>
        <w:shd w:val="clear" w:color="auto" w:fill="auto"/>
        <w:rPr>
          <w:rFonts w:cs="Times New Roman"/>
          <w:color w:val="auto"/>
          <w:highlight w:val="none"/>
        </w:rPr>
      </w:pPr>
      <w:r>
        <w:rPr>
          <w:rFonts w:hint="eastAsia" w:cs="Times New Roman"/>
          <w:color w:val="auto"/>
          <w:highlight w:val="none"/>
        </w:rPr>
        <w:t>6.除2情形外</w:t>
      </w:r>
      <w:r>
        <w:rPr>
          <w:rFonts w:hint="eastAsia" w:cs="Times New Roman"/>
          <w:color w:val="auto"/>
          <w:highlight w:val="none"/>
          <w:lang w:eastAsia="zh-CN"/>
        </w:rPr>
        <w:t>，</w:t>
      </w:r>
      <w:r>
        <w:rPr>
          <w:rFonts w:hint="eastAsia" w:cs="Times New Roman"/>
          <w:color w:val="auto"/>
          <w:highlight w:val="none"/>
        </w:rPr>
        <w:t>本项目不得转包或者</w:t>
      </w:r>
      <w:r>
        <w:rPr>
          <w:rFonts w:hint="eastAsia" w:cs="Times New Roman"/>
          <w:color w:val="auto"/>
          <w:highlight w:val="none"/>
          <w:lang w:eastAsia="zh-CN"/>
        </w:rPr>
        <w:t>擅自</w:t>
      </w:r>
      <w:r>
        <w:rPr>
          <w:rFonts w:hint="eastAsia" w:cs="Times New Roman"/>
          <w:color w:val="auto"/>
          <w:highlight w:val="none"/>
        </w:rPr>
        <w:t>分包。</w:t>
      </w:r>
    </w:p>
    <w:p w14:paraId="64A95AAA">
      <w:pPr>
        <w:shd w:val="clear" w:color="auto" w:fill="auto"/>
        <w:rPr>
          <w:rFonts w:cs="Times New Roman"/>
          <w:color w:val="auto"/>
          <w:highlight w:val="none"/>
        </w:rPr>
      </w:pPr>
      <w:r>
        <w:rPr>
          <w:rFonts w:hint="eastAsia" w:cs="Times New Roman"/>
          <w:color w:val="auto"/>
          <w:highlight w:val="none"/>
        </w:rPr>
        <w:t>7.</w:t>
      </w:r>
      <w:r>
        <w:rPr>
          <w:rFonts w:cs="Times New Roman"/>
          <w:color w:val="auto"/>
          <w:highlight w:val="none"/>
        </w:rPr>
        <w:t>第1</w:t>
      </w:r>
      <w:r>
        <w:rPr>
          <w:rFonts w:hint="eastAsia" w:cs="Times New Roman"/>
          <w:color w:val="auto"/>
          <w:highlight w:val="none"/>
        </w:rPr>
        <w:t>.</w:t>
      </w:r>
      <w:r>
        <w:rPr>
          <w:rFonts w:cs="Times New Roman"/>
          <w:color w:val="auto"/>
          <w:highlight w:val="none"/>
        </w:rPr>
        <w:t>（</w:t>
      </w:r>
      <w:r>
        <w:rPr>
          <w:rFonts w:hint="eastAsia" w:cs="Times New Roman"/>
          <w:color w:val="auto"/>
          <w:highlight w:val="none"/>
        </w:rPr>
        <w:t>6</w:t>
      </w:r>
      <w:r>
        <w:rPr>
          <w:rFonts w:cs="Times New Roman"/>
          <w:color w:val="auto"/>
          <w:highlight w:val="none"/>
        </w:rPr>
        <w:t>）条所称重大违法记录，是指</w:t>
      </w:r>
      <w:r>
        <w:rPr>
          <w:rFonts w:hint="eastAsia" w:cs="Times New Roman"/>
          <w:color w:val="auto"/>
          <w:highlight w:val="none"/>
          <w:lang w:eastAsia="zh-CN"/>
        </w:rPr>
        <w:t>投标人</w:t>
      </w:r>
      <w:r>
        <w:rPr>
          <w:rFonts w:cs="Times New Roman"/>
          <w:color w:val="auto"/>
          <w:highlight w:val="none"/>
        </w:rPr>
        <w:t>因违法经营受到刑事处罚或者责令停产停业、吊销许可证或者执照、较大数额罚款等行政处罚。</w:t>
      </w:r>
    </w:p>
    <w:p w14:paraId="34541C5C">
      <w:pPr>
        <w:shd w:val="clear" w:color="auto" w:fill="auto"/>
        <w:rPr>
          <w:rFonts w:cs="Times New Roman"/>
          <w:color w:val="auto"/>
          <w:highlight w:val="none"/>
        </w:rPr>
      </w:pPr>
      <w:r>
        <w:rPr>
          <w:rFonts w:hint="eastAsia" w:cs="Times New Roman"/>
          <w:color w:val="auto"/>
          <w:highlight w:val="none"/>
        </w:rPr>
        <w:t>8.</w:t>
      </w:r>
      <w:r>
        <w:rPr>
          <w:rFonts w:hint="eastAsia" w:cs="Times New Roman"/>
          <w:color w:val="auto"/>
          <w:highlight w:val="none"/>
          <w:lang w:eastAsia="zh-CN"/>
        </w:rPr>
        <w:t>投标人</w:t>
      </w:r>
      <w:r>
        <w:rPr>
          <w:rFonts w:cs="Times New Roman"/>
          <w:color w:val="auto"/>
          <w:highlight w:val="none"/>
        </w:rPr>
        <w:t>在参加政府采购活动前3年内因违法经营被禁止在一定期限内参加政府采购活动，期限届满的，可以参加政府采购活动。</w:t>
      </w:r>
    </w:p>
    <w:p w14:paraId="4E427D72">
      <w:pPr>
        <w:shd w:val="clear" w:color="auto" w:fill="auto"/>
        <w:rPr>
          <w:rFonts w:cs="Times New Roman"/>
          <w:color w:val="auto"/>
          <w:highlight w:val="none"/>
        </w:rPr>
      </w:pPr>
      <w:r>
        <w:rPr>
          <w:rFonts w:hint="eastAsia" w:cs="Times New Roman"/>
          <w:color w:val="auto"/>
          <w:highlight w:val="none"/>
        </w:rPr>
        <w:t>9.</w:t>
      </w:r>
      <w:r>
        <w:rPr>
          <w:rFonts w:cs="Times New Roman"/>
          <w:color w:val="auto"/>
          <w:highlight w:val="none"/>
        </w:rPr>
        <w:t>单位负责人为同一人或者存在直接控股、管理关系的不同</w:t>
      </w:r>
      <w:r>
        <w:rPr>
          <w:rFonts w:hint="eastAsia" w:cs="Times New Roman"/>
          <w:color w:val="auto"/>
          <w:highlight w:val="none"/>
          <w:lang w:eastAsia="zh-CN"/>
        </w:rPr>
        <w:t>投标人</w:t>
      </w:r>
      <w:r>
        <w:rPr>
          <w:rFonts w:cs="Times New Roman"/>
          <w:color w:val="auto"/>
          <w:highlight w:val="none"/>
        </w:rPr>
        <w:t>，不得参加同一合同项下的政府采购活动。</w:t>
      </w:r>
    </w:p>
    <w:p w14:paraId="45AD9EDC">
      <w:pPr>
        <w:shd w:val="clear" w:color="auto" w:fill="auto"/>
        <w:rPr>
          <w:rFonts w:cs="Times New Roman"/>
          <w:color w:val="auto"/>
          <w:highlight w:val="none"/>
        </w:rPr>
      </w:pPr>
      <w:r>
        <w:rPr>
          <w:rFonts w:hint="eastAsia" w:cs="Times New Roman"/>
          <w:color w:val="auto"/>
          <w:highlight w:val="none"/>
          <w:lang w:val="en-US" w:eastAsia="zh-CN"/>
        </w:rPr>
        <w:t>10.</w:t>
      </w:r>
      <w:r>
        <w:rPr>
          <w:rFonts w:cs="Times New Roman"/>
          <w:color w:val="auto"/>
          <w:highlight w:val="none"/>
        </w:rPr>
        <w:t>为采购项目提供整体设计、规范编制或者项目管理、监理、检测等服务的</w:t>
      </w:r>
      <w:r>
        <w:rPr>
          <w:rFonts w:hint="eastAsia" w:cs="Times New Roman"/>
          <w:color w:val="auto"/>
          <w:highlight w:val="none"/>
          <w:lang w:eastAsia="zh-CN"/>
        </w:rPr>
        <w:t>投标人</w:t>
      </w:r>
      <w:r>
        <w:rPr>
          <w:rFonts w:cs="Times New Roman"/>
          <w:color w:val="auto"/>
          <w:highlight w:val="none"/>
        </w:rPr>
        <w:t>，不得再参加该采购项目的其他采购活动。</w:t>
      </w:r>
    </w:p>
    <w:p w14:paraId="4B5D8C06">
      <w:pPr>
        <w:shd w:val="clear" w:color="auto" w:fill="auto"/>
        <w:rPr>
          <w:rFonts w:cs="Times New Roman"/>
          <w:color w:val="auto"/>
          <w:highlight w:val="none"/>
        </w:rPr>
      </w:pPr>
      <w:r>
        <w:rPr>
          <w:rFonts w:hint="eastAsia" w:cs="Times New Roman"/>
          <w:color w:val="auto"/>
          <w:highlight w:val="none"/>
        </w:rPr>
        <w:t>1</w:t>
      </w:r>
      <w:r>
        <w:rPr>
          <w:rFonts w:hint="eastAsia" w:cs="Times New Roman"/>
          <w:color w:val="auto"/>
          <w:highlight w:val="none"/>
          <w:lang w:val="en-US" w:eastAsia="zh-CN"/>
        </w:rPr>
        <w:t>1</w:t>
      </w:r>
      <w:r>
        <w:rPr>
          <w:rFonts w:hint="eastAsia" w:cs="Times New Roman"/>
          <w:color w:val="auto"/>
          <w:highlight w:val="none"/>
        </w:rPr>
        <w:t>.</w:t>
      </w:r>
      <w:r>
        <w:rPr>
          <w:rFonts w:cs="Times New Roman"/>
          <w:color w:val="auto"/>
          <w:highlight w:val="none"/>
        </w:rPr>
        <w:t>拒绝列入失信被执行人、</w:t>
      </w:r>
      <w:r>
        <w:rPr>
          <w:rFonts w:hint="eastAsia" w:cs="Times New Roman"/>
          <w:color w:val="auto"/>
          <w:highlight w:val="none"/>
          <w:lang w:eastAsia="zh-CN"/>
        </w:rPr>
        <w:t>重大税收违法失信主体</w:t>
      </w:r>
      <w:r>
        <w:rPr>
          <w:rFonts w:cs="Times New Roman"/>
          <w:color w:val="auto"/>
          <w:highlight w:val="none"/>
        </w:rPr>
        <w:t>、政府采购严重违法失信行为记录名单的</w:t>
      </w:r>
      <w:r>
        <w:rPr>
          <w:rFonts w:hint="eastAsia" w:cs="Times New Roman"/>
          <w:color w:val="auto"/>
          <w:highlight w:val="none"/>
          <w:lang w:eastAsia="zh-CN"/>
        </w:rPr>
        <w:t>投标人</w:t>
      </w:r>
      <w:r>
        <w:rPr>
          <w:rFonts w:cs="Times New Roman"/>
          <w:color w:val="auto"/>
          <w:highlight w:val="none"/>
        </w:rPr>
        <w:t>参与政府采购活动。</w:t>
      </w:r>
      <w:r>
        <w:rPr>
          <w:rFonts w:hint="eastAsia" w:cs="Times New Roman"/>
          <w:color w:val="auto"/>
          <w:highlight w:val="none"/>
          <w:lang w:eastAsia="zh-CN"/>
        </w:rPr>
        <w:t>采购人、</w:t>
      </w:r>
      <w:r>
        <w:rPr>
          <w:rFonts w:cs="Times New Roman"/>
          <w:color w:val="auto"/>
          <w:highlight w:val="none"/>
        </w:rPr>
        <w:t>采购代理机构将在开标结束后，通过“中国政府采购网”、“信用中国”网站渠道查询</w:t>
      </w:r>
      <w:r>
        <w:rPr>
          <w:rFonts w:hint="eastAsia" w:cs="Times New Roman"/>
          <w:color w:val="auto"/>
          <w:highlight w:val="none"/>
          <w:lang w:eastAsia="zh-CN"/>
        </w:rPr>
        <w:t>投标人</w:t>
      </w:r>
      <w:r>
        <w:rPr>
          <w:rFonts w:cs="Times New Roman"/>
          <w:color w:val="auto"/>
          <w:highlight w:val="none"/>
        </w:rPr>
        <w:t>信用记录并保存。</w:t>
      </w:r>
    </w:p>
    <w:p w14:paraId="19AC0291">
      <w:pPr>
        <w:keepNext w:val="0"/>
        <w:keepLines w:val="0"/>
        <w:pageBreakBefore w:val="0"/>
        <w:widowControl w:val="0"/>
        <w:shd w:val="clear"/>
        <w:kinsoku/>
        <w:wordWrap/>
        <w:overflowPunct/>
        <w:topLinePunct w:val="0"/>
        <w:autoSpaceDE/>
        <w:autoSpaceDN/>
        <w:bidi w:val="0"/>
        <w:adjustRightInd/>
        <w:snapToGrid/>
        <w:spacing w:before="156" w:beforeLines="50" w:after="156" w:afterLines="50"/>
        <w:textAlignment w:val="auto"/>
        <w:outlineLvl w:val="2"/>
        <w:rPr>
          <w:rFonts w:hint="eastAsia" w:ascii="宋体" w:hAnsi="宋体" w:eastAsia="宋体" w:cs="宋体"/>
          <w:b/>
          <w:bCs/>
          <w:color w:val="auto"/>
          <w:szCs w:val="21"/>
          <w:highlight w:val="none"/>
        </w:rPr>
      </w:pPr>
      <w:bookmarkStart w:id="9" w:name="_Toc8488"/>
      <w:r>
        <w:rPr>
          <w:rFonts w:hint="eastAsia" w:ascii="宋体" w:hAnsi="宋体" w:eastAsia="宋体" w:cs="宋体"/>
          <w:b/>
          <w:bCs/>
          <w:color w:val="auto"/>
          <w:szCs w:val="21"/>
          <w:highlight w:val="none"/>
        </w:rPr>
        <w:t>三、获取招标文件</w:t>
      </w:r>
      <w:bookmarkEnd w:id="7"/>
      <w:bookmarkEnd w:id="9"/>
    </w:p>
    <w:p w14:paraId="4E21DCB1">
      <w:pPr>
        <w:rPr>
          <w:rFonts w:hint="eastAsia" w:cs="Times New Roman"/>
          <w:highlight w:val="none"/>
        </w:rPr>
      </w:pPr>
      <w:bookmarkStart w:id="10" w:name="OLE_LINK4"/>
      <w:bookmarkStart w:id="11" w:name="_Toc13055"/>
      <w:r>
        <w:rPr>
          <w:rFonts w:hint="eastAsia" w:cs="Times New Roman"/>
          <w:highlight w:val="none"/>
        </w:rPr>
        <w:t>时间：</w:t>
      </w:r>
      <w:r>
        <w:rPr>
          <w:rFonts w:hint="eastAsia" w:cs="Times New Roman"/>
          <w:highlight w:val="none"/>
          <w:lang w:val="en-US" w:eastAsia="zh-CN"/>
        </w:rPr>
        <w:t>2026</w:t>
      </w:r>
      <w:r>
        <w:rPr>
          <w:rFonts w:hint="eastAsia" w:cs="Times New Roman"/>
          <w:highlight w:val="none"/>
        </w:rPr>
        <w:t>年</w:t>
      </w:r>
      <w:r>
        <w:rPr>
          <w:rFonts w:hint="eastAsia" w:cs="Times New Roman"/>
          <w:highlight w:val="none"/>
          <w:lang w:val="en-US" w:eastAsia="zh-CN"/>
        </w:rPr>
        <w:t>9</w:t>
      </w:r>
      <w:r>
        <w:rPr>
          <w:rFonts w:hint="eastAsia" w:cs="Times New Roman"/>
          <w:highlight w:val="none"/>
        </w:rPr>
        <w:t>月</w:t>
      </w:r>
      <w:r>
        <w:rPr>
          <w:rFonts w:hint="eastAsia" w:cs="Times New Roman"/>
          <w:highlight w:val="none"/>
          <w:lang w:val="en-US" w:eastAsia="zh-CN"/>
        </w:rPr>
        <w:t>14</w:t>
      </w:r>
      <w:r>
        <w:rPr>
          <w:rFonts w:hint="eastAsia" w:cs="Times New Roman"/>
          <w:highlight w:val="none"/>
        </w:rPr>
        <w:t>日至20</w:t>
      </w:r>
      <w:r>
        <w:rPr>
          <w:rFonts w:hint="eastAsia" w:cs="Times New Roman"/>
          <w:highlight w:val="none"/>
          <w:lang w:val="en-US" w:eastAsia="zh-CN"/>
        </w:rPr>
        <w:t>26</w:t>
      </w:r>
      <w:r>
        <w:rPr>
          <w:rFonts w:hint="eastAsia" w:cs="Times New Roman"/>
          <w:highlight w:val="none"/>
        </w:rPr>
        <w:t>年</w:t>
      </w:r>
      <w:r>
        <w:rPr>
          <w:rFonts w:hint="eastAsia" w:cs="Times New Roman"/>
          <w:highlight w:val="none"/>
          <w:lang w:val="en-US" w:eastAsia="zh-CN"/>
        </w:rPr>
        <w:t>9</w:t>
      </w:r>
      <w:r>
        <w:rPr>
          <w:rFonts w:hint="eastAsia" w:cs="Times New Roman"/>
          <w:highlight w:val="none"/>
        </w:rPr>
        <w:t>月</w:t>
      </w:r>
      <w:r>
        <w:rPr>
          <w:rFonts w:hint="eastAsia" w:cs="Times New Roman"/>
          <w:highlight w:val="none"/>
          <w:lang w:val="en-US" w:eastAsia="zh-CN"/>
        </w:rPr>
        <w:t>18</w:t>
      </w:r>
      <w:r>
        <w:rPr>
          <w:rFonts w:hint="eastAsia" w:cs="Times New Roman"/>
          <w:highlight w:val="none"/>
        </w:rPr>
        <w:t>日，每天上午9:00至12:00 ，下午14:30至18</w:t>
      </w:r>
      <w:r>
        <w:rPr>
          <w:rFonts w:hint="eastAsia" w:cs="Times New Roman"/>
          <w:highlight w:val="none"/>
          <w:lang w:val="en-US" w:eastAsia="zh-CN"/>
        </w:rPr>
        <w:t>:</w:t>
      </w:r>
      <w:r>
        <w:rPr>
          <w:rFonts w:hint="eastAsia" w:cs="Times New Roman"/>
          <w:highlight w:val="none"/>
        </w:rPr>
        <w:t>00（北京时间，</w:t>
      </w:r>
      <w:r>
        <w:rPr>
          <w:rFonts w:cs="Times New Roman"/>
          <w:highlight w:val="none"/>
        </w:rPr>
        <w:t>法定节假日</w:t>
      </w:r>
      <w:r>
        <w:rPr>
          <w:rFonts w:hint="eastAsia" w:cs="Times New Roman"/>
          <w:highlight w:val="none"/>
        </w:rPr>
        <w:t>除外）。</w:t>
      </w:r>
    </w:p>
    <w:p w14:paraId="6D80218C">
      <w:pPr>
        <w:rPr>
          <w:rFonts w:hint="eastAsia" w:cs="Times New Roman"/>
          <w:highlight w:val="none"/>
        </w:rPr>
      </w:pPr>
      <w:r>
        <w:rPr>
          <w:rFonts w:hint="eastAsia" w:cs="Times New Roman"/>
          <w:highlight w:val="none"/>
        </w:rPr>
        <w:t>地点：</w:t>
      </w:r>
      <w:r>
        <w:rPr>
          <w:rFonts w:hint="eastAsia" w:cs="Times New Roman"/>
          <w:highlight w:val="none"/>
          <w:lang w:eastAsia="zh-CN"/>
        </w:rPr>
        <w:t>宿迁市宿城区中港雅典城A2#铺03江苏宏壮工程项目管理有限公司</w:t>
      </w:r>
      <w:r>
        <w:rPr>
          <w:rFonts w:hint="eastAsia" w:cs="Times New Roman"/>
          <w:highlight w:val="none"/>
        </w:rPr>
        <w:t>。</w:t>
      </w:r>
    </w:p>
    <w:p w14:paraId="17224BC9">
      <w:pPr>
        <w:rPr>
          <w:rFonts w:hint="eastAsia" w:cs="Times New Roman"/>
          <w:highlight w:val="none"/>
        </w:rPr>
      </w:pPr>
      <w:r>
        <w:rPr>
          <w:rFonts w:hint="eastAsia" w:cs="Times New Roman"/>
          <w:highlight w:val="none"/>
        </w:rPr>
        <w:t>方式：现场或微信获取（联系人：</w:t>
      </w:r>
      <w:r>
        <w:rPr>
          <w:rFonts w:hint="eastAsia" w:cs="Times New Roman"/>
          <w:highlight w:val="none"/>
          <w:lang w:eastAsia="zh-CN"/>
        </w:rPr>
        <w:t>康宇</w:t>
      </w:r>
      <w:r>
        <w:rPr>
          <w:rFonts w:hint="eastAsia" w:cs="Times New Roman"/>
          <w:highlight w:val="none"/>
        </w:rPr>
        <w:t>，联系方式：</w:t>
      </w:r>
      <w:r>
        <w:rPr>
          <w:rFonts w:hint="eastAsia" w:cs="Times New Roman"/>
          <w:highlight w:val="none"/>
          <w:lang w:eastAsia="zh-CN"/>
        </w:rPr>
        <w:t>15950608601</w:t>
      </w:r>
      <w:r>
        <w:rPr>
          <w:rFonts w:hint="eastAsia" w:cs="Times New Roman"/>
          <w:highlight w:val="none"/>
        </w:rPr>
        <w:t>）。</w:t>
      </w:r>
    </w:p>
    <w:p w14:paraId="505B1FBC">
      <w:pPr>
        <w:rPr>
          <w:rFonts w:hint="eastAsia" w:cs="Times New Roman"/>
          <w:highlight w:val="none"/>
        </w:rPr>
      </w:pPr>
      <w:r>
        <w:rPr>
          <w:rFonts w:hint="eastAsia" w:cs="Times New Roman"/>
          <w:highlight w:val="none"/>
        </w:rPr>
        <w:t>售价：300元/本。</w:t>
      </w:r>
    </w:p>
    <w:bookmarkEnd w:id="10"/>
    <w:p w14:paraId="08FADAB1">
      <w:pPr>
        <w:keepNext w:val="0"/>
        <w:keepLines w:val="0"/>
        <w:pageBreakBefore w:val="0"/>
        <w:widowControl w:val="0"/>
        <w:shd w:val="clear"/>
        <w:kinsoku/>
        <w:wordWrap/>
        <w:overflowPunct/>
        <w:topLinePunct w:val="0"/>
        <w:autoSpaceDE/>
        <w:autoSpaceDN/>
        <w:bidi w:val="0"/>
        <w:adjustRightInd/>
        <w:snapToGrid/>
        <w:spacing w:before="156" w:beforeLines="50" w:after="156" w:afterLines="50"/>
        <w:textAlignment w:val="auto"/>
        <w:outlineLvl w:val="2"/>
        <w:rPr>
          <w:rFonts w:hint="eastAsia" w:ascii="宋体" w:hAnsi="宋体" w:eastAsia="宋体" w:cs="宋体"/>
          <w:b/>
          <w:bCs/>
          <w:color w:val="auto"/>
          <w:szCs w:val="21"/>
          <w:highlight w:val="none"/>
        </w:rPr>
      </w:pPr>
      <w:bookmarkStart w:id="12" w:name="_Toc26107"/>
      <w:r>
        <w:rPr>
          <w:rFonts w:hint="eastAsia" w:ascii="宋体" w:hAnsi="宋体" w:eastAsia="宋体" w:cs="宋体"/>
          <w:b/>
          <w:bCs/>
          <w:color w:val="auto"/>
          <w:szCs w:val="21"/>
          <w:highlight w:val="none"/>
        </w:rPr>
        <w:t>四、提交投标文件截止时间、开标时间和地点</w:t>
      </w:r>
      <w:bookmarkEnd w:id="11"/>
      <w:bookmarkEnd w:id="12"/>
    </w:p>
    <w:p w14:paraId="01AEA7C4">
      <w:pPr>
        <w:rPr>
          <w:rFonts w:cs="Times New Roman"/>
          <w:highlight w:val="none"/>
        </w:rPr>
      </w:pPr>
      <w:bookmarkStart w:id="13" w:name="_Toc1230"/>
      <w:r>
        <w:rPr>
          <w:rFonts w:hint="eastAsia" w:cs="Times New Roman"/>
          <w:highlight w:val="none"/>
        </w:rPr>
        <w:t>时间：</w:t>
      </w:r>
      <w:r>
        <w:rPr>
          <w:rFonts w:hint="eastAsia" w:cs="Times New Roman"/>
          <w:highlight w:val="none"/>
          <w:lang w:val="en-US" w:eastAsia="zh-CN"/>
        </w:rPr>
        <w:t>2026</w:t>
      </w:r>
      <w:r>
        <w:rPr>
          <w:rFonts w:hint="eastAsia" w:cs="Times New Roman"/>
          <w:highlight w:val="none"/>
        </w:rPr>
        <w:t>年</w:t>
      </w:r>
      <w:r>
        <w:rPr>
          <w:rFonts w:hint="eastAsia" w:cs="Times New Roman"/>
          <w:highlight w:val="none"/>
          <w:lang w:val="en-US" w:eastAsia="zh-CN"/>
        </w:rPr>
        <w:t>10</w:t>
      </w:r>
      <w:r>
        <w:rPr>
          <w:rFonts w:hint="eastAsia" w:cs="Times New Roman"/>
          <w:highlight w:val="none"/>
        </w:rPr>
        <w:t>月</w:t>
      </w:r>
      <w:r>
        <w:rPr>
          <w:rFonts w:hint="eastAsia" w:cs="Times New Roman"/>
          <w:highlight w:val="none"/>
          <w:lang w:val="en-US" w:eastAsia="zh-CN"/>
        </w:rPr>
        <w:t>9</w:t>
      </w:r>
      <w:r>
        <w:rPr>
          <w:rFonts w:hint="eastAsia" w:cs="Times New Roman"/>
          <w:highlight w:val="none"/>
        </w:rPr>
        <w:t>日</w:t>
      </w:r>
      <w:r>
        <w:rPr>
          <w:rFonts w:hint="eastAsia" w:cs="Times New Roman"/>
          <w:highlight w:val="none"/>
          <w:lang w:val="en-US" w:eastAsia="zh-CN"/>
        </w:rPr>
        <w:t>0</w:t>
      </w:r>
      <w:r>
        <w:rPr>
          <w:rFonts w:hint="eastAsia" w:cs="Times New Roman"/>
          <w:highlight w:val="none"/>
        </w:rPr>
        <w:t>9点30分（北京时间）</w:t>
      </w:r>
    </w:p>
    <w:p w14:paraId="0C00B186">
      <w:pPr>
        <w:rPr>
          <w:rFonts w:cs="Times New Roman"/>
          <w:bCs/>
          <w:highlight w:val="none"/>
          <w:u w:val="single"/>
        </w:rPr>
      </w:pPr>
      <w:r>
        <w:rPr>
          <w:rFonts w:hint="eastAsia" w:cs="Times New Roman"/>
          <w:highlight w:val="none"/>
        </w:rPr>
        <w:t>地点：</w:t>
      </w:r>
      <w:r>
        <w:rPr>
          <w:rFonts w:hint="eastAsia" w:cs="Times New Roman"/>
          <w:highlight w:val="none"/>
          <w:lang w:eastAsia="zh-CN"/>
        </w:rPr>
        <w:t>宿迁市宿城区中港雅典城A2#铺03江苏宏壮工程项目管理有限公司</w:t>
      </w:r>
      <w:r>
        <w:rPr>
          <w:rFonts w:hint="eastAsia" w:cs="Times New Roman"/>
          <w:highlight w:val="none"/>
        </w:rPr>
        <w:t>。</w:t>
      </w:r>
    </w:p>
    <w:p w14:paraId="22984CC6">
      <w:pPr>
        <w:keepNext w:val="0"/>
        <w:keepLines w:val="0"/>
        <w:pageBreakBefore w:val="0"/>
        <w:widowControl w:val="0"/>
        <w:shd w:val="clear"/>
        <w:kinsoku/>
        <w:wordWrap/>
        <w:overflowPunct/>
        <w:topLinePunct w:val="0"/>
        <w:autoSpaceDE/>
        <w:autoSpaceDN/>
        <w:bidi w:val="0"/>
        <w:adjustRightInd/>
        <w:snapToGrid/>
        <w:spacing w:before="156" w:beforeLines="50" w:after="156" w:afterLines="50"/>
        <w:textAlignment w:val="auto"/>
        <w:outlineLvl w:val="2"/>
        <w:rPr>
          <w:rFonts w:hint="eastAsia" w:ascii="宋体" w:hAnsi="宋体" w:eastAsia="宋体" w:cs="宋体"/>
          <w:b/>
          <w:bCs/>
          <w:color w:val="auto"/>
          <w:szCs w:val="21"/>
          <w:highlight w:val="none"/>
        </w:rPr>
      </w:pPr>
      <w:bookmarkStart w:id="14" w:name="_Toc15937"/>
      <w:r>
        <w:rPr>
          <w:rFonts w:hint="eastAsia" w:ascii="宋体" w:hAnsi="宋体" w:eastAsia="宋体" w:cs="宋体"/>
          <w:b/>
          <w:bCs/>
          <w:color w:val="auto"/>
          <w:szCs w:val="21"/>
          <w:highlight w:val="none"/>
        </w:rPr>
        <w:t>五、公告期限</w:t>
      </w:r>
      <w:bookmarkEnd w:id="13"/>
      <w:bookmarkEnd w:id="14"/>
    </w:p>
    <w:p w14:paraId="77124B09">
      <w:pPr>
        <w:shd w:val="clear"/>
        <w:rPr>
          <w:color w:val="auto"/>
          <w:highlight w:val="none"/>
        </w:rPr>
      </w:pPr>
      <w:r>
        <w:rPr>
          <w:rFonts w:hint="eastAsia"/>
          <w:color w:val="auto"/>
          <w:highlight w:val="none"/>
        </w:rPr>
        <w:t>自本公告发布之日起5个工作日。</w:t>
      </w:r>
    </w:p>
    <w:p w14:paraId="0403588B">
      <w:pPr>
        <w:keepNext w:val="0"/>
        <w:keepLines w:val="0"/>
        <w:pageBreakBefore w:val="0"/>
        <w:widowControl w:val="0"/>
        <w:shd w:val="clear"/>
        <w:kinsoku/>
        <w:wordWrap/>
        <w:overflowPunct/>
        <w:topLinePunct w:val="0"/>
        <w:autoSpaceDE/>
        <w:autoSpaceDN/>
        <w:bidi w:val="0"/>
        <w:adjustRightInd/>
        <w:snapToGrid/>
        <w:spacing w:before="156" w:beforeLines="50" w:after="156" w:afterLines="50"/>
        <w:textAlignment w:val="auto"/>
        <w:outlineLvl w:val="2"/>
        <w:rPr>
          <w:rFonts w:hint="eastAsia" w:ascii="宋体" w:hAnsi="宋体" w:eastAsia="宋体" w:cs="宋体"/>
          <w:b/>
          <w:bCs/>
          <w:color w:val="auto"/>
          <w:szCs w:val="21"/>
          <w:highlight w:val="none"/>
        </w:rPr>
      </w:pPr>
      <w:bookmarkStart w:id="15" w:name="_Toc30050"/>
      <w:bookmarkStart w:id="16" w:name="_Toc16956"/>
      <w:r>
        <w:rPr>
          <w:rFonts w:hint="eastAsia" w:ascii="宋体" w:hAnsi="宋体" w:eastAsia="宋体" w:cs="宋体"/>
          <w:b/>
          <w:bCs/>
          <w:color w:val="auto"/>
          <w:szCs w:val="21"/>
          <w:highlight w:val="none"/>
        </w:rPr>
        <w:t>六、其他补充事宜</w:t>
      </w:r>
      <w:bookmarkEnd w:id="15"/>
      <w:bookmarkEnd w:id="16"/>
    </w:p>
    <w:p w14:paraId="4A9FFCC0">
      <w:pPr>
        <w:shd w:val="clear"/>
        <w:rPr>
          <w:color w:val="auto"/>
          <w:highlight w:val="none"/>
        </w:rPr>
      </w:pPr>
      <w:r>
        <w:rPr>
          <w:rFonts w:hint="eastAsia"/>
          <w:color w:val="auto"/>
          <w:highlight w:val="none"/>
        </w:rPr>
        <w:t>无。</w:t>
      </w:r>
    </w:p>
    <w:p w14:paraId="5A503CB6">
      <w:pPr>
        <w:keepNext w:val="0"/>
        <w:keepLines w:val="0"/>
        <w:pageBreakBefore w:val="0"/>
        <w:widowControl w:val="0"/>
        <w:shd w:val="clear"/>
        <w:kinsoku/>
        <w:wordWrap/>
        <w:overflowPunct/>
        <w:topLinePunct w:val="0"/>
        <w:autoSpaceDE/>
        <w:autoSpaceDN/>
        <w:bidi w:val="0"/>
        <w:adjustRightInd/>
        <w:snapToGrid/>
        <w:spacing w:before="156" w:beforeLines="50" w:after="156" w:afterLines="50"/>
        <w:textAlignment w:val="auto"/>
        <w:outlineLvl w:val="2"/>
        <w:rPr>
          <w:rFonts w:hint="eastAsia" w:ascii="宋体" w:hAnsi="宋体" w:eastAsia="宋体" w:cs="宋体"/>
          <w:b/>
          <w:bCs/>
          <w:color w:val="auto"/>
          <w:szCs w:val="21"/>
          <w:highlight w:val="none"/>
        </w:rPr>
      </w:pPr>
      <w:bookmarkStart w:id="17" w:name="_Toc12179"/>
      <w:bookmarkStart w:id="18" w:name="_Toc13209"/>
      <w:r>
        <w:rPr>
          <w:rFonts w:hint="eastAsia" w:ascii="宋体" w:hAnsi="宋体" w:eastAsia="宋体" w:cs="宋体"/>
          <w:b/>
          <w:bCs/>
          <w:color w:val="auto"/>
          <w:szCs w:val="21"/>
          <w:highlight w:val="none"/>
        </w:rPr>
        <w:t>七、对本次招标提出询问，请按以下方式联系</w:t>
      </w:r>
      <w:bookmarkEnd w:id="17"/>
      <w:bookmarkEnd w:id="18"/>
    </w:p>
    <w:p w14:paraId="5F7DB715">
      <w:pPr>
        <w:rPr>
          <w:rFonts w:cs="Times New Roman"/>
          <w:highlight w:val="none"/>
        </w:rPr>
      </w:pPr>
      <w:bookmarkStart w:id="19" w:name="_Toc31766"/>
      <w:bookmarkStart w:id="20" w:name="_Toc24903"/>
      <w:r>
        <w:rPr>
          <w:rFonts w:hint="eastAsia" w:cs="Times New Roman"/>
          <w:highlight w:val="none"/>
        </w:rPr>
        <w:t>1.采购人信息</w:t>
      </w:r>
    </w:p>
    <w:p w14:paraId="1D090D54">
      <w:pPr>
        <w:rPr>
          <w:rFonts w:hint="eastAsia" w:eastAsia="宋体" w:cs="Times New Roman"/>
          <w:highlight w:val="none"/>
          <w:lang w:eastAsia="zh-CN"/>
        </w:rPr>
      </w:pPr>
      <w:r>
        <w:rPr>
          <w:rFonts w:hint="eastAsia" w:cs="Times New Roman"/>
          <w:highlight w:val="none"/>
        </w:rPr>
        <w:t>名称：</w:t>
      </w:r>
      <w:r>
        <w:rPr>
          <w:rFonts w:hint="eastAsia" w:cs="Times New Roman"/>
          <w:highlight w:val="none"/>
          <w:lang w:eastAsia="zh-CN"/>
        </w:rPr>
        <w:t>国家税务总局沭阳县税务局</w:t>
      </w:r>
    </w:p>
    <w:p w14:paraId="135D5CD8">
      <w:pPr>
        <w:rPr>
          <w:rFonts w:hint="eastAsia" w:eastAsia="宋体" w:cs="Times New Roman"/>
          <w:highlight w:val="none"/>
          <w:lang w:eastAsia="zh-CN"/>
        </w:rPr>
      </w:pPr>
      <w:r>
        <w:rPr>
          <w:rFonts w:hint="eastAsia" w:cs="Times New Roman"/>
          <w:highlight w:val="none"/>
        </w:rPr>
        <w:t>地址：</w:t>
      </w:r>
      <w:r>
        <w:rPr>
          <w:rFonts w:hint="eastAsia" w:cs="Times New Roman"/>
          <w:highlight w:val="none"/>
          <w:lang w:eastAsia="zh-CN"/>
        </w:rPr>
        <w:t>沭阳县上海中路82号</w:t>
      </w:r>
    </w:p>
    <w:p w14:paraId="7344F10B">
      <w:pPr>
        <w:rPr>
          <w:rFonts w:cs="Times New Roman"/>
          <w:highlight w:val="none"/>
        </w:rPr>
      </w:pPr>
      <w:r>
        <w:rPr>
          <w:rFonts w:hint="eastAsia" w:cs="Times New Roman"/>
          <w:highlight w:val="none"/>
        </w:rPr>
        <w:t>联系</w:t>
      </w:r>
      <w:r>
        <w:rPr>
          <w:rFonts w:hint="eastAsia" w:cs="宋体"/>
          <w:highlight w:val="none"/>
        </w:rPr>
        <w:t>方式</w:t>
      </w:r>
      <w:r>
        <w:rPr>
          <w:rFonts w:hint="eastAsia" w:cs="Times New Roman"/>
          <w:highlight w:val="none"/>
        </w:rPr>
        <w:t>：</w:t>
      </w:r>
    </w:p>
    <w:p w14:paraId="7917271C">
      <w:pPr>
        <w:rPr>
          <w:rFonts w:hint="default"/>
          <w:color w:val="auto"/>
          <w:highlight w:val="none"/>
          <w:lang w:val="en-US" w:eastAsia="zh-CN"/>
        </w:rPr>
      </w:pPr>
      <w:r>
        <w:rPr>
          <w:rFonts w:hint="eastAsia"/>
          <w:color w:val="auto"/>
          <w:highlight w:val="none"/>
          <w:lang w:eastAsia="zh-CN"/>
        </w:rPr>
        <w:t>黄老师（商务）：0527-</w:t>
      </w:r>
      <w:r>
        <w:rPr>
          <w:rFonts w:hint="eastAsia"/>
          <w:color w:val="auto"/>
          <w:highlight w:val="none"/>
          <w:lang w:val="en-US" w:eastAsia="zh-CN"/>
        </w:rPr>
        <w:t>80819939</w:t>
      </w:r>
    </w:p>
    <w:p w14:paraId="2AA27EEB">
      <w:pPr>
        <w:rPr>
          <w:rFonts w:hint="default"/>
          <w:color w:val="auto"/>
          <w:highlight w:val="none"/>
          <w:lang w:val="en-US" w:eastAsia="zh-CN"/>
        </w:rPr>
      </w:pPr>
      <w:r>
        <w:rPr>
          <w:rFonts w:hint="eastAsia"/>
          <w:color w:val="auto"/>
          <w:highlight w:val="none"/>
          <w:lang w:val="zh-CN" w:eastAsia="zh-CN"/>
        </w:rPr>
        <w:t>葛老师（技术）：0527-</w:t>
      </w:r>
      <w:r>
        <w:rPr>
          <w:rFonts w:hint="eastAsia"/>
          <w:color w:val="auto"/>
          <w:highlight w:val="none"/>
          <w:lang w:val="en-US" w:eastAsia="zh-CN"/>
        </w:rPr>
        <w:t>80819008</w:t>
      </w:r>
    </w:p>
    <w:p w14:paraId="00E22241">
      <w:pPr>
        <w:rPr>
          <w:rFonts w:cs="Times New Roman"/>
          <w:highlight w:val="none"/>
        </w:rPr>
      </w:pPr>
      <w:r>
        <w:rPr>
          <w:rFonts w:hint="eastAsia" w:cs="Times New Roman"/>
          <w:highlight w:val="none"/>
        </w:rPr>
        <w:t>2.采购代理机构信息</w:t>
      </w:r>
    </w:p>
    <w:p w14:paraId="32EF9514">
      <w:pPr>
        <w:rPr>
          <w:rFonts w:hint="eastAsia" w:eastAsia="宋体" w:cs="Times New Roman"/>
          <w:highlight w:val="none"/>
          <w:lang w:eastAsia="zh-CN"/>
        </w:rPr>
      </w:pPr>
      <w:r>
        <w:rPr>
          <w:rFonts w:hint="eastAsia" w:cs="宋体"/>
          <w:highlight w:val="none"/>
        </w:rPr>
        <w:t>名称</w:t>
      </w:r>
      <w:r>
        <w:rPr>
          <w:rFonts w:hint="eastAsia" w:cs="Times New Roman"/>
          <w:highlight w:val="none"/>
        </w:rPr>
        <w:t>：</w:t>
      </w:r>
      <w:r>
        <w:rPr>
          <w:rFonts w:hint="eastAsia" w:cs="Times New Roman"/>
          <w:highlight w:val="none"/>
          <w:lang w:eastAsia="zh-CN"/>
        </w:rPr>
        <w:t>江苏宏壮工程项目管理有限公司</w:t>
      </w:r>
    </w:p>
    <w:p w14:paraId="35A4E9EE">
      <w:pPr>
        <w:rPr>
          <w:rFonts w:hint="eastAsia" w:eastAsia="宋体" w:cs="Times New Roman"/>
          <w:highlight w:val="none"/>
          <w:lang w:eastAsia="zh-CN"/>
        </w:rPr>
      </w:pPr>
      <w:r>
        <w:rPr>
          <w:rFonts w:hint="eastAsia" w:cs="宋体"/>
          <w:highlight w:val="none"/>
        </w:rPr>
        <w:t>地址</w:t>
      </w:r>
      <w:r>
        <w:rPr>
          <w:rFonts w:hint="eastAsia" w:cs="Times New Roman"/>
          <w:highlight w:val="none"/>
        </w:rPr>
        <w:t>：</w:t>
      </w:r>
      <w:r>
        <w:rPr>
          <w:rFonts w:hint="eastAsia" w:cs="Times New Roman"/>
          <w:highlight w:val="none"/>
          <w:lang w:eastAsia="zh-CN"/>
        </w:rPr>
        <w:t>宿迁市宿城区中港雅典城A2#铺03江苏宏壮工程项目管理有限公司</w:t>
      </w:r>
    </w:p>
    <w:p w14:paraId="68510EAB">
      <w:pPr>
        <w:rPr>
          <w:rFonts w:hint="eastAsia" w:eastAsia="宋体" w:cs="Times New Roman"/>
          <w:highlight w:val="none"/>
          <w:lang w:eastAsia="zh-CN"/>
        </w:rPr>
      </w:pPr>
      <w:r>
        <w:rPr>
          <w:rFonts w:hint="eastAsia" w:cs="Times New Roman"/>
          <w:highlight w:val="none"/>
        </w:rPr>
        <w:t>联系方式：</w:t>
      </w:r>
      <w:r>
        <w:rPr>
          <w:rFonts w:hint="eastAsia" w:cs="Times New Roman"/>
          <w:highlight w:val="none"/>
          <w:lang w:eastAsia="zh-CN"/>
        </w:rPr>
        <w:t>康宇</w:t>
      </w:r>
      <w:r>
        <w:rPr>
          <w:rFonts w:hint="eastAsia" w:cs="Times New Roman"/>
          <w:highlight w:val="none"/>
        </w:rPr>
        <w:t>，</w:t>
      </w:r>
      <w:r>
        <w:rPr>
          <w:rFonts w:hint="eastAsia" w:cs="Times New Roman"/>
          <w:highlight w:val="none"/>
          <w:lang w:eastAsia="zh-CN"/>
        </w:rPr>
        <w:t>15950608601</w:t>
      </w:r>
    </w:p>
    <w:p w14:paraId="026A5200">
      <w:pPr>
        <w:rPr>
          <w:rFonts w:cs="Times New Roman"/>
          <w:highlight w:val="none"/>
          <w:u w:val="single"/>
        </w:rPr>
      </w:pPr>
      <w:r>
        <w:rPr>
          <w:rFonts w:hint="eastAsia" w:cs="Times New Roman"/>
          <w:highlight w:val="none"/>
        </w:rPr>
        <w:t>3.项目</w:t>
      </w:r>
      <w:r>
        <w:rPr>
          <w:rFonts w:cs="Times New Roman"/>
          <w:highlight w:val="none"/>
        </w:rPr>
        <w:t>联系方式</w:t>
      </w:r>
    </w:p>
    <w:p w14:paraId="3AD07FFE">
      <w:pPr>
        <w:rPr>
          <w:rFonts w:hint="eastAsia" w:eastAsia="宋体" w:cs="Times New Roman"/>
          <w:highlight w:val="none"/>
          <w:lang w:eastAsia="zh-CN"/>
        </w:rPr>
      </w:pPr>
      <w:r>
        <w:rPr>
          <w:rFonts w:hint="eastAsia" w:cs="Times New Roman"/>
          <w:highlight w:val="none"/>
        </w:rPr>
        <w:t>项目联系人：</w:t>
      </w:r>
      <w:r>
        <w:rPr>
          <w:rFonts w:hint="eastAsia" w:cs="Times New Roman"/>
          <w:highlight w:val="none"/>
          <w:lang w:eastAsia="zh-CN"/>
        </w:rPr>
        <w:t>康宇</w:t>
      </w:r>
    </w:p>
    <w:p w14:paraId="1822E752">
      <w:pPr>
        <w:rPr>
          <w:rFonts w:hint="eastAsia" w:eastAsia="宋体"/>
          <w:highlight w:val="none"/>
          <w:lang w:eastAsia="zh-CN"/>
        </w:rPr>
        <w:sectPr>
          <w:footerReference r:id="rId10" w:type="first"/>
          <w:footerReference r:id="rId9" w:type="default"/>
          <w:pgSz w:w="11906" w:h="16838"/>
          <w:pgMar w:top="1440" w:right="1752" w:bottom="1440" w:left="1752" w:header="851" w:footer="992" w:gutter="0"/>
          <w:pgNumType w:start="1"/>
          <w:cols w:space="720" w:num="1"/>
          <w:titlePg/>
          <w:docGrid w:type="lines" w:linePitch="312" w:charSpace="0"/>
        </w:sectPr>
      </w:pPr>
      <w:r>
        <w:rPr>
          <w:rFonts w:hint="eastAsia" w:cs="宋体"/>
          <w:highlight w:val="none"/>
        </w:rPr>
        <w:t>电话</w:t>
      </w:r>
      <w:r>
        <w:rPr>
          <w:rFonts w:hint="eastAsia" w:cs="Times New Roman"/>
          <w:highlight w:val="none"/>
        </w:rPr>
        <w:t>：</w:t>
      </w:r>
      <w:r>
        <w:rPr>
          <w:rFonts w:hint="eastAsia" w:cs="Times New Roman"/>
          <w:highlight w:val="none"/>
          <w:lang w:eastAsia="zh-CN"/>
        </w:rPr>
        <w:t>15950608601</w:t>
      </w:r>
    </w:p>
    <w:p w14:paraId="5BBCFC42">
      <w:pPr>
        <w:pStyle w:val="6"/>
        <w:shd w:val="clear"/>
        <w:jc w:val="center"/>
        <w:rPr>
          <w:rFonts w:hint="default"/>
          <w:color w:val="auto"/>
          <w:highlight w:val="none"/>
        </w:rPr>
      </w:pPr>
      <w:bookmarkStart w:id="21" w:name="_Toc9174"/>
      <w:r>
        <w:rPr>
          <w:color w:val="auto"/>
          <w:highlight w:val="none"/>
        </w:rPr>
        <w:t>第二章</w:t>
      </w:r>
      <w:r>
        <w:rPr>
          <w:rFonts w:hint="eastAsia"/>
          <w:color w:val="auto"/>
          <w:highlight w:val="none"/>
          <w:lang w:val="en-US" w:eastAsia="zh-CN"/>
        </w:rPr>
        <w:t xml:space="preserve">  </w:t>
      </w:r>
      <w:r>
        <w:rPr>
          <w:color w:val="auto"/>
          <w:highlight w:val="none"/>
        </w:rPr>
        <w:t>投标人须知</w:t>
      </w:r>
      <w:bookmarkEnd w:id="19"/>
      <w:bookmarkEnd w:id="20"/>
      <w:bookmarkEnd w:id="21"/>
    </w:p>
    <w:p w14:paraId="076BE30C">
      <w:pPr>
        <w:shd w:val="clear"/>
        <w:rPr>
          <w:color w:val="auto"/>
          <w:highlight w:val="none"/>
        </w:rPr>
      </w:pPr>
      <w:r>
        <w:rPr>
          <w:rFonts w:hint="eastAsia"/>
          <w:color w:val="auto"/>
          <w:highlight w:val="none"/>
        </w:rPr>
        <w:t>投标人须知前附表</w:t>
      </w:r>
    </w:p>
    <w:tbl>
      <w:tblPr>
        <w:tblStyle w:val="27"/>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521"/>
        <w:gridCol w:w="1421"/>
        <w:gridCol w:w="5783"/>
      </w:tblGrid>
      <w:tr w14:paraId="06CAA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tcBorders>
              <w:top w:val="single" w:color="auto" w:sz="4" w:space="0"/>
              <w:left w:val="single" w:color="auto" w:sz="4" w:space="0"/>
              <w:bottom w:val="single" w:color="auto" w:sz="4" w:space="0"/>
              <w:right w:val="single" w:color="auto" w:sz="4" w:space="0"/>
            </w:tcBorders>
            <w:noWrap/>
            <w:vAlign w:val="center"/>
          </w:tcPr>
          <w:p w14:paraId="12F939D0">
            <w:pPr>
              <w:shd w:val="clear"/>
              <w:jc w:val="center"/>
              <w:rPr>
                <w:b/>
                <w:bCs/>
                <w:color w:val="auto"/>
                <w:highlight w:val="none"/>
              </w:rPr>
            </w:pPr>
            <w:r>
              <w:rPr>
                <w:b/>
                <w:bCs/>
                <w:color w:val="auto"/>
                <w:highlight w:val="none"/>
              </w:rPr>
              <w:t>序 号</w:t>
            </w:r>
          </w:p>
        </w:tc>
        <w:tc>
          <w:tcPr>
            <w:tcW w:w="1521" w:type="dxa"/>
            <w:tcBorders>
              <w:top w:val="single" w:color="auto" w:sz="4" w:space="0"/>
              <w:left w:val="single" w:color="auto" w:sz="4" w:space="0"/>
              <w:bottom w:val="single" w:color="auto" w:sz="4" w:space="0"/>
              <w:right w:val="single" w:color="auto" w:sz="4" w:space="0"/>
            </w:tcBorders>
            <w:noWrap/>
            <w:vAlign w:val="center"/>
          </w:tcPr>
          <w:p w14:paraId="57C67AF2">
            <w:pPr>
              <w:shd w:val="clear"/>
              <w:jc w:val="center"/>
              <w:rPr>
                <w:b/>
                <w:bCs/>
                <w:color w:val="auto"/>
                <w:highlight w:val="none"/>
              </w:rPr>
            </w:pPr>
            <w:r>
              <w:rPr>
                <w:b/>
                <w:bCs/>
                <w:color w:val="auto"/>
                <w:highlight w:val="none"/>
              </w:rPr>
              <w:t>类  别</w:t>
            </w: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00719F4D">
            <w:pPr>
              <w:shd w:val="clear"/>
              <w:jc w:val="center"/>
              <w:rPr>
                <w:b/>
                <w:bCs/>
                <w:color w:val="auto"/>
                <w:highlight w:val="none"/>
              </w:rPr>
            </w:pPr>
            <w:r>
              <w:rPr>
                <w:b/>
                <w:bCs/>
                <w:color w:val="auto"/>
                <w:highlight w:val="none"/>
              </w:rPr>
              <w:t>内     容</w:t>
            </w:r>
          </w:p>
        </w:tc>
      </w:tr>
      <w:tr w14:paraId="45BFA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restart"/>
            <w:tcBorders>
              <w:top w:val="single" w:color="auto" w:sz="4" w:space="0"/>
              <w:left w:val="single" w:color="auto" w:sz="4" w:space="0"/>
              <w:right w:val="single" w:color="auto" w:sz="4" w:space="0"/>
            </w:tcBorders>
            <w:noWrap/>
            <w:vAlign w:val="center"/>
          </w:tcPr>
          <w:p w14:paraId="43BEB1F7">
            <w:pPr>
              <w:shd w:val="clear"/>
              <w:jc w:val="center"/>
              <w:rPr>
                <w:color w:val="auto"/>
                <w:highlight w:val="none"/>
              </w:rPr>
            </w:pPr>
            <w:r>
              <w:rPr>
                <w:color w:val="auto"/>
                <w:highlight w:val="none"/>
              </w:rPr>
              <w:t>1</w:t>
            </w:r>
          </w:p>
        </w:tc>
        <w:tc>
          <w:tcPr>
            <w:tcW w:w="1521" w:type="dxa"/>
            <w:vMerge w:val="restart"/>
            <w:tcBorders>
              <w:top w:val="single" w:color="auto" w:sz="4" w:space="0"/>
              <w:left w:val="single" w:color="auto" w:sz="4" w:space="0"/>
              <w:right w:val="single" w:color="auto" w:sz="4" w:space="0"/>
            </w:tcBorders>
            <w:noWrap/>
            <w:vAlign w:val="center"/>
          </w:tcPr>
          <w:p w14:paraId="21577997">
            <w:pPr>
              <w:shd w:val="clear"/>
              <w:jc w:val="center"/>
              <w:rPr>
                <w:b/>
                <w:color w:val="auto"/>
                <w:highlight w:val="none"/>
              </w:rPr>
            </w:pPr>
            <w:r>
              <w:rPr>
                <w:color w:val="auto"/>
                <w:highlight w:val="none"/>
              </w:rPr>
              <w:t>项目名称、编号、预算及最高限价</w:t>
            </w: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5BD3064D">
            <w:pPr>
              <w:shd w:val="clear"/>
              <w:rPr>
                <w:rFonts w:hint="eastAsia" w:ascii="Times New Roman" w:hAnsi="Times New Roman" w:eastAsia="宋体"/>
                <w:b/>
                <w:color w:val="auto"/>
                <w:highlight w:val="none"/>
                <w:lang w:eastAsia="zh-CN"/>
              </w:rPr>
            </w:pPr>
            <w:r>
              <w:rPr>
                <w:rFonts w:ascii="Times New Roman" w:hAnsi="Times New Roman"/>
                <w:color w:val="auto"/>
                <w:highlight w:val="none"/>
              </w:rPr>
              <w:t>项目名称：</w:t>
            </w:r>
            <w:r>
              <w:rPr>
                <w:rFonts w:hint="eastAsia"/>
                <w:color w:val="auto"/>
                <w:highlight w:val="none"/>
                <w:lang w:eastAsia="zh-CN"/>
              </w:rPr>
              <w:t>国家税务总局沭阳县税务局2026年食堂食材配送服务采购项目</w:t>
            </w:r>
          </w:p>
        </w:tc>
      </w:tr>
      <w:tr w14:paraId="3F409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continue"/>
            <w:tcBorders>
              <w:left w:val="single" w:color="auto" w:sz="4" w:space="0"/>
              <w:right w:val="single" w:color="auto" w:sz="4" w:space="0"/>
            </w:tcBorders>
            <w:noWrap/>
            <w:vAlign w:val="center"/>
          </w:tcPr>
          <w:p w14:paraId="37948018">
            <w:pPr>
              <w:shd w:val="clear"/>
              <w:jc w:val="center"/>
              <w:rPr>
                <w:color w:val="auto"/>
                <w:highlight w:val="none"/>
              </w:rPr>
            </w:pPr>
          </w:p>
        </w:tc>
        <w:tc>
          <w:tcPr>
            <w:tcW w:w="1521" w:type="dxa"/>
            <w:vMerge w:val="continue"/>
            <w:tcBorders>
              <w:left w:val="single" w:color="auto" w:sz="4" w:space="0"/>
              <w:right w:val="single" w:color="auto" w:sz="4" w:space="0"/>
            </w:tcBorders>
            <w:noWrap/>
            <w:vAlign w:val="center"/>
          </w:tcPr>
          <w:p w14:paraId="44986E51">
            <w:pPr>
              <w:shd w:val="clear"/>
              <w:jc w:val="center"/>
              <w:rPr>
                <w:color w:val="auto"/>
                <w:highlight w:val="none"/>
              </w:rPr>
            </w:pP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20268A98">
            <w:pPr>
              <w:shd w:val="clea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采购人项目编号：</w:t>
            </w:r>
            <w:r>
              <w:rPr>
                <w:rFonts w:hint="eastAsia"/>
                <w:color w:val="000000" w:themeColor="text1"/>
                <w:highlight w:val="none"/>
                <w:lang w:eastAsia="zh-CN"/>
                <w14:textFill>
                  <w14:solidFill>
                    <w14:schemeClr w14:val="tx1"/>
                  </w14:solidFill>
                </w14:textFill>
              </w:rPr>
              <w:t>JS2026-DLGK-C0214-B00</w:t>
            </w:r>
          </w:p>
          <w:p w14:paraId="7FBC8CD0">
            <w:pPr>
              <w:shd w:val="clear"/>
              <w:rPr>
                <w:rFonts w:hint="eastAsia" w:eastAsia="宋体"/>
                <w:color w:val="auto"/>
                <w:highlight w:val="none"/>
                <w:lang w:eastAsia="zh-CN"/>
              </w:rPr>
            </w:pPr>
            <w:r>
              <w:rPr>
                <w:rFonts w:hint="eastAsia"/>
                <w:color w:val="000000" w:themeColor="text1"/>
                <w:highlight w:val="none"/>
                <w14:textFill>
                  <w14:solidFill>
                    <w14:schemeClr w14:val="tx1"/>
                  </w14:solidFill>
                </w14:textFill>
              </w:rPr>
              <w:t>代理机构项目编号：</w:t>
            </w:r>
            <w:r>
              <w:rPr>
                <w:rFonts w:hint="eastAsia"/>
                <w:color w:val="000000" w:themeColor="text1"/>
                <w:highlight w:val="none"/>
                <w:lang w:eastAsia="zh-CN"/>
                <w14:textFill>
                  <w14:solidFill>
                    <w14:schemeClr w14:val="tx1"/>
                  </w14:solidFill>
                </w14:textFill>
              </w:rPr>
              <w:t>JSHZ[2026]0809号</w:t>
            </w:r>
          </w:p>
        </w:tc>
      </w:tr>
      <w:tr w14:paraId="70063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continue"/>
            <w:tcBorders>
              <w:left w:val="single" w:color="auto" w:sz="4" w:space="0"/>
              <w:right w:val="single" w:color="auto" w:sz="4" w:space="0"/>
            </w:tcBorders>
            <w:noWrap/>
            <w:vAlign w:val="center"/>
          </w:tcPr>
          <w:p w14:paraId="52EAA3A0">
            <w:pPr>
              <w:shd w:val="clear"/>
              <w:jc w:val="center"/>
              <w:rPr>
                <w:color w:val="auto"/>
                <w:highlight w:val="none"/>
              </w:rPr>
            </w:pPr>
          </w:p>
        </w:tc>
        <w:tc>
          <w:tcPr>
            <w:tcW w:w="1521" w:type="dxa"/>
            <w:vMerge w:val="continue"/>
            <w:tcBorders>
              <w:left w:val="single" w:color="auto" w:sz="4" w:space="0"/>
              <w:right w:val="single" w:color="auto" w:sz="4" w:space="0"/>
            </w:tcBorders>
            <w:noWrap/>
            <w:vAlign w:val="center"/>
          </w:tcPr>
          <w:p w14:paraId="54EC91E1">
            <w:pPr>
              <w:shd w:val="clear"/>
              <w:jc w:val="center"/>
              <w:rPr>
                <w:color w:val="auto"/>
                <w:highlight w:val="none"/>
              </w:rPr>
            </w:pP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44482335">
            <w:pPr>
              <w:shd w:val="clear"/>
              <w:rPr>
                <w:rFonts w:hint="default" w:eastAsia="宋体"/>
                <w:color w:val="auto"/>
                <w:highlight w:val="none"/>
                <w:lang w:val="en-US" w:eastAsia="zh-CN"/>
              </w:rPr>
            </w:pPr>
            <w:r>
              <w:rPr>
                <w:rFonts w:hint="eastAsia"/>
                <w:color w:val="auto"/>
                <w:highlight w:val="none"/>
              </w:rPr>
              <w:t>项目预算</w:t>
            </w:r>
            <w:r>
              <w:rPr>
                <w:rFonts w:hint="eastAsia"/>
                <w:color w:val="auto"/>
                <w:highlight w:val="none"/>
                <w:lang w:eastAsia="zh-CN"/>
              </w:rPr>
              <w:t>（</w:t>
            </w:r>
            <w:r>
              <w:rPr>
                <w:rFonts w:hint="eastAsia"/>
                <w:color w:val="auto"/>
                <w:highlight w:val="none"/>
                <w:lang w:val="en-US" w:eastAsia="zh-CN"/>
              </w:rPr>
              <w:t>含税</w:t>
            </w:r>
            <w:r>
              <w:rPr>
                <w:rFonts w:hint="eastAsia"/>
                <w:color w:val="auto"/>
                <w:highlight w:val="none"/>
                <w:lang w:eastAsia="zh-CN"/>
              </w:rPr>
              <w:t>）</w:t>
            </w:r>
            <w:r>
              <w:rPr>
                <w:rFonts w:hint="eastAsia"/>
                <w:color w:val="auto"/>
                <w:highlight w:val="none"/>
              </w:rPr>
              <w:t>：</w:t>
            </w:r>
            <w:r>
              <w:rPr>
                <w:rFonts w:hint="eastAsia"/>
                <w:color w:val="auto"/>
                <w:highlight w:val="none"/>
                <w:lang w:val="en-US" w:eastAsia="zh-CN"/>
              </w:rPr>
              <w:t>256万元。</w:t>
            </w:r>
          </w:p>
        </w:tc>
      </w:tr>
      <w:tr w14:paraId="09946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continue"/>
            <w:tcBorders>
              <w:left w:val="single" w:color="auto" w:sz="4" w:space="0"/>
              <w:bottom w:val="single" w:color="auto" w:sz="4" w:space="0"/>
              <w:right w:val="single" w:color="auto" w:sz="4" w:space="0"/>
            </w:tcBorders>
            <w:noWrap/>
            <w:vAlign w:val="center"/>
          </w:tcPr>
          <w:p w14:paraId="489B72B8">
            <w:pPr>
              <w:shd w:val="clear"/>
              <w:jc w:val="center"/>
              <w:rPr>
                <w:color w:val="auto"/>
                <w:highlight w:val="none"/>
              </w:rPr>
            </w:pPr>
          </w:p>
        </w:tc>
        <w:tc>
          <w:tcPr>
            <w:tcW w:w="1521" w:type="dxa"/>
            <w:vMerge w:val="continue"/>
            <w:tcBorders>
              <w:left w:val="single" w:color="auto" w:sz="4" w:space="0"/>
              <w:bottom w:val="single" w:color="auto" w:sz="4" w:space="0"/>
              <w:right w:val="single" w:color="auto" w:sz="4" w:space="0"/>
            </w:tcBorders>
            <w:noWrap/>
            <w:vAlign w:val="center"/>
          </w:tcPr>
          <w:p w14:paraId="35EC63CF">
            <w:pPr>
              <w:shd w:val="clear"/>
              <w:jc w:val="center"/>
              <w:rPr>
                <w:color w:val="auto"/>
                <w:highlight w:val="none"/>
              </w:rPr>
            </w:pP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05D50F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highlight w:val="none"/>
              </w:rPr>
            </w:pPr>
            <w:r>
              <w:rPr>
                <w:rFonts w:ascii="Times New Roman" w:hAnsi="Times New Roman"/>
                <w:color w:val="auto"/>
                <w:highlight w:val="none"/>
              </w:rPr>
              <w:t>最高限价</w:t>
            </w:r>
            <w:r>
              <w:rPr>
                <w:rFonts w:hint="eastAsia"/>
                <w:color w:val="auto"/>
                <w:highlight w:val="none"/>
                <w:lang w:eastAsia="zh-CN"/>
              </w:rPr>
              <w:t>（</w:t>
            </w:r>
            <w:r>
              <w:rPr>
                <w:rFonts w:hint="eastAsia"/>
                <w:color w:val="auto"/>
                <w:highlight w:val="none"/>
                <w:lang w:val="en-US" w:eastAsia="zh-CN"/>
              </w:rPr>
              <w:t>含税</w:t>
            </w:r>
            <w:r>
              <w:rPr>
                <w:rFonts w:hint="eastAsia"/>
                <w:color w:val="auto"/>
                <w:highlight w:val="none"/>
                <w:lang w:eastAsia="zh-CN"/>
              </w:rPr>
              <w:t>）</w:t>
            </w:r>
            <w:r>
              <w:rPr>
                <w:rFonts w:ascii="Times New Roman" w:hAnsi="Times New Roman"/>
                <w:color w:val="auto"/>
                <w:highlight w:val="none"/>
              </w:rPr>
              <w:t>：</w:t>
            </w:r>
            <w:r>
              <w:rPr>
                <w:rFonts w:hint="eastAsia" w:ascii="宋体" w:hAnsi="宋体" w:cs="宋体"/>
                <w:kern w:val="0"/>
                <w:szCs w:val="21"/>
                <w:highlight w:val="none"/>
                <w:lang w:val="en-US" w:eastAsia="zh-CN"/>
              </w:rPr>
              <w:t>256万元。</w:t>
            </w:r>
          </w:p>
          <w:p w14:paraId="2143F846">
            <w:pPr>
              <w:keepNext w:val="0"/>
              <w:keepLines w:val="0"/>
              <w:pageBreakBefore w:val="0"/>
              <w:widowControl w:val="0"/>
              <w:shd w:val="clear"/>
              <w:kinsoku/>
              <w:wordWrap/>
              <w:overflowPunct/>
              <w:bidi w:val="0"/>
              <w:adjustRightInd/>
              <w:snapToGrid/>
              <w:spacing w:line="360" w:lineRule="auto"/>
              <w:textAlignment w:val="auto"/>
              <w:rPr>
                <w:color w:val="auto"/>
                <w:highlight w:val="none"/>
              </w:rPr>
            </w:pPr>
            <w:r>
              <w:rPr>
                <w:rFonts w:hint="eastAsia" w:ascii="宋体" w:hAnsi="宋体" w:cs="宋体"/>
                <w:kern w:val="0"/>
                <w:szCs w:val="21"/>
                <w:highlight w:val="none"/>
              </w:rPr>
              <w:t>本项目按投标费率（折扣）报价，费率最高为100%，投标报价超出规定费率的投标将视为无效投标。</w:t>
            </w:r>
          </w:p>
        </w:tc>
      </w:tr>
      <w:tr w14:paraId="1833C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tcBorders>
              <w:top w:val="single" w:color="auto" w:sz="4" w:space="0"/>
              <w:left w:val="single" w:color="auto" w:sz="4" w:space="0"/>
              <w:bottom w:val="single" w:color="auto" w:sz="4" w:space="0"/>
              <w:right w:val="single" w:color="auto" w:sz="4" w:space="0"/>
            </w:tcBorders>
            <w:noWrap/>
            <w:vAlign w:val="center"/>
          </w:tcPr>
          <w:p w14:paraId="2B2A5857">
            <w:pPr>
              <w:shd w:val="clear"/>
              <w:jc w:val="center"/>
              <w:rPr>
                <w:color w:val="auto"/>
                <w:highlight w:val="none"/>
              </w:rPr>
            </w:pPr>
            <w:r>
              <w:rPr>
                <w:color w:val="auto"/>
                <w:highlight w:val="none"/>
              </w:rPr>
              <w:t>2</w:t>
            </w:r>
          </w:p>
        </w:tc>
        <w:tc>
          <w:tcPr>
            <w:tcW w:w="1521" w:type="dxa"/>
            <w:tcBorders>
              <w:top w:val="single" w:color="auto" w:sz="4" w:space="0"/>
              <w:left w:val="single" w:color="auto" w:sz="4" w:space="0"/>
              <w:bottom w:val="single" w:color="auto" w:sz="4" w:space="0"/>
              <w:right w:val="single" w:color="auto" w:sz="4" w:space="0"/>
            </w:tcBorders>
            <w:noWrap/>
            <w:vAlign w:val="center"/>
          </w:tcPr>
          <w:p w14:paraId="7AAD7730">
            <w:pPr>
              <w:shd w:val="clear"/>
              <w:jc w:val="center"/>
              <w:rPr>
                <w:color w:val="auto"/>
                <w:highlight w:val="none"/>
              </w:rPr>
            </w:pPr>
            <w:r>
              <w:rPr>
                <w:color w:val="auto"/>
                <w:highlight w:val="none"/>
              </w:rPr>
              <w:t>采购需求</w:t>
            </w: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7399D83C">
            <w:pPr>
              <w:shd w:val="clear"/>
              <w:rPr>
                <w:color w:val="auto"/>
                <w:highlight w:val="none"/>
              </w:rPr>
            </w:pPr>
            <w:r>
              <w:rPr>
                <w:color w:val="auto"/>
                <w:highlight w:val="none"/>
              </w:rPr>
              <w:t>详见《招标文件（技术部分）》</w:t>
            </w:r>
          </w:p>
        </w:tc>
      </w:tr>
      <w:tr w14:paraId="3B3C1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tcBorders>
              <w:top w:val="single" w:color="auto" w:sz="4" w:space="0"/>
              <w:left w:val="single" w:color="auto" w:sz="4" w:space="0"/>
              <w:bottom w:val="single" w:color="auto" w:sz="4" w:space="0"/>
              <w:right w:val="single" w:color="auto" w:sz="4" w:space="0"/>
            </w:tcBorders>
            <w:noWrap/>
            <w:vAlign w:val="center"/>
          </w:tcPr>
          <w:p w14:paraId="585985B5">
            <w:pPr>
              <w:shd w:val="clear"/>
              <w:jc w:val="center"/>
              <w:rPr>
                <w:color w:val="auto"/>
                <w:highlight w:val="none"/>
              </w:rPr>
            </w:pPr>
            <w:r>
              <w:rPr>
                <w:color w:val="auto"/>
                <w:highlight w:val="none"/>
              </w:rPr>
              <w:t>3</w:t>
            </w:r>
          </w:p>
        </w:tc>
        <w:tc>
          <w:tcPr>
            <w:tcW w:w="1521" w:type="dxa"/>
            <w:tcBorders>
              <w:top w:val="single" w:color="auto" w:sz="4" w:space="0"/>
              <w:left w:val="single" w:color="auto" w:sz="4" w:space="0"/>
              <w:bottom w:val="single" w:color="auto" w:sz="4" w:space="0"/>
              <w:right w:val="single" w:color="auto" w:sz="4" w:space="0"/>
            </w:tcBorders>
            <w:noWrap/>
            <w:vAlign w:val="center"/>
          </w:tcPr>
          <w:p w14:paraId="7C21B5B8">
            <w:pPr>
              <w:shd w:val="clear"/>
              <w:jc w:val="center"/>
              <w:rPr>
                <w:color w:val="auto"/>
                <w:highlight w:val="none"/>
              </w:rPr>
            </w:pPr>
            <w:r>
              <w:rPr>
                <w:color w:val="auto"/>
                <w:highlight w:val="none"/>
              </w:rPr>
              <w:t>项目属性和类别</w:t>
            </w: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0C76A916">
            <w:pPr>
              <w:shd w:val="clear"/>
              <w:rPr>
                <w:b/>
                <w:color w:val="000000" w:themeColor="text1"/>
                <w:highlight w:val="none"/>
                <w14:textFill>
                  <w14:solidFill>
                    <w14:schemeClr w14:val="tx1"/>
                  </w14:solidFill>
                </w14:textFill>
              </w:rPr>
            </w:pPr>
            <w:r>
              <w:rPr>
                <w:b/>
                <w:color w:val="auto"/>
                <w:highlight w:val="none"/>
              </w:rPr>
              <w:t>项目属性：</w:t>
            </w:r>
            <w:r>
              <w:rPr>
                <w:color w:val="000000" w:themeColor="text1"/>
                <w:highlight w:val="none"/>
                <w14:textFill>
                  <w14:solidFill>
                    <w14:schemeClr w14:val="tx1"/>
                  </w14:solidFill>
                </w14:textFill>
              </w:rPr>
              <w:sym w:font="Wingdings 2" w:char="00A3"/>
            </w:r>
            <w:r>
              <w:rPr>
                <w:color w:val="000000" w:themeColor="text1"/>
                <w:highlight w:val="none"/>
                <w14:textFill>
                  <w14:solidFill>
                    <w14:schemeClr w14:val="tx1"/>
                  </w14:solidFill>
                </w14:textFill>
              </w:rPr>
              <w:t>货物</w:t>
            </w:r>
            <w:r>
              <w:rPr>
                <w:color w:val="0000FF"/>
                <w:highlight w:val="none"/>
              </w:rPr>
              <w:t xml:space="preserve"> </w:t>
            </w:r>
            <w:r>
              <w:rPr>
                <w:color w:val="auto"/>
                <w:highlight w:val="none"/>
              </w:rPr>
              <w:t xml:space="preserve">          </w:t>
            </w:r>
            <w:r>
              <w:rPr>
                <w:color w:val="000000" w:themeColor="text1"/>
                <w:highlight w:val="none"/>
                <w14:textFill>
                  <w14:solidFill>
                    <w14:schemeClr w14:val="tx1"/>
                  </w14:solidFill>
                </w14:textFill>
              </w:rPr>
              <w:sym w:font="Wingdings 2" w:char="0052"/>
            </w:r>
            <w:r>
              <w:rPr>
                <w:color w:val="000000" w:themeColor="text1"/>
                <w:highlight w:val="none"/>
                <w14:textFill>
                  <w14:solidFill>
                    <w14:schemeClr w14:val="tx1"/>
                  </w14:solidFill>
                </w14:textFill>
              </w:rPr>
              <w:t>服务</w:t>
            </w:r>
          </w:p>
          <w:p w14:paraId="2129F056">
            <w:pPr>
              <w:shd w:val="clear"/>
              <w:rPr>
                <w:color w:val="auto"/>
                <w:highlight w:val="none"/>
              </w:rPr>
            </w:pPr>
            <w:r>
              <w:rPr>
                <w:b/>
                <w:bCs/>
                <w:color w:val="000000" w:themeColor="text1"/>
                <w:highlight w:val="none"/>
                <w14:textFill>
                  <w14:solidFill>
                    <w14:schemeClr w14:val="tx1"/>
                  </w14:solidFill>
                </w14:textFill>
              </w:rPr>
              <w:t>项目类别：</w:t>
            </w:r>
            <w:r>
              <w:rPr>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sym w:font="Wingdings 2" w:char="00A3"/>
            </w:r>
            <w:r>
              <w:rPr>
                <w:color w:val="000000" w:themeColor="text1"/>
                <w:highlight w:val="none"/>
                <w14:textFill>
                  <w14:solidFill>
                    <w14:schemeClr w14:val="tx1"/>
                  </w14:solidFill>
                </w14:textFill>
              </w:rPr>
              <w:t xml:space="preserve">信息化项目     </w:t>
            </w:r>
            <w:r>
              <w:rPr>
                <w:color w:val="000000" w:themeColor="text1"/>
                <w:highlight w:val="none"/>
                <w14:textFill>
                  <w14:solidFill>
                    <w14:schemeClr w14:val="tx1"/>
                  </w14:solidFill>
                </w14:textFill>
              </w:rPr>
              <w:sym w:font="Wingdings 2" w:char="0052"/>
            </w:r>
            <w:r>
              <w:rPr>
                <w:color w:val="000000" w:themeColor="text1"/>
                <w:highlight w:val="none"/>
                <w14:textFill>
                  <w14:solidFill>
                    <w14:schemeClr w14:val="tx1"/>
                  </w14:solidFill>
                </w14:textFill>
              </w:rPr>
              <w:t>非信息化项目</w:t>
            </w:r>
          </w:p>
        </w:tc>
      </w:tr>
      <w:tr w14:paraId="52BD7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tcBorders>
              <w:top w:val="single" w:color="auto" w:sz="4" w:space="0"/>
              <w:left w:val="single" w:color="auto" w:sz="4" w:space="0"/>
              <w:bottom w:val="single" w:color="auto" w:sz="4" w:space="0"/>
              <w:right w:val="single" w:color="auto" w:sz="4" w:space="0"/>
            </w:tcBorders>
            <w:noWrap/>
            <w:vAlign w:val="center"/>
          </w:tcPr>
          <w:p w14:paraId="3A96144B">
            <w:pPr>
              <w:shd w:val="clear"/>
              <w:jc w:val="center"/>
              <w:rPr>
                <w:color w:val="auto"/>
                <w:highlight w:val="none"/>
              </w:rPr>
            </w:pPr>
            <w:r>
              <w:rPr>
                <w:color w:val="auto"/>
                <w:highlight w:val="none"/>
              </w:rPr>
              <w:t>4</w:t>
            </w:r>
          </w:p>
        </w:tc>
        <w:tc>
          <w:tcPr>
            <w:tcW w:w="1521" w:type="dxa"/>
            <w:tcBorders>
              <w:top w:val="single" w:color="auto" w:sz="4" w:space="0"/>
              <w:left w:val="single" w:color="auto" w:sz="4" w:space="0"/>
              <w:bottom w:val="single" w:color="auto" w:sz="4" w:space="0"/>
              <w:right w:val="single" w:color="auto" w:sz="4" w:space="0"/>
            </w:tcBorders>
            <w:noWrap/>
            <w:vAlign w:val="center"/>
          </w:tcPr>
          <w:p w14:paraId="5E03616F">
            <w:pPr>
              <w:shd w:val="clear"/>
              <w:jc w:val="center"/>
              <w:rPr>
                <w:color w:val="auto"/>
                <w:highlight w:val="none"/>
              </w:rPr>
            </w:pPr>
            <w:r>
              <w:rPr>
                <w:color w:val="auto"/>
                <w:highlight w:val="none"/>
              </w:rPr>
              <w:t>采购人</w:t>
            </w: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021DB578">
            <w:pPr>
              <w:rPr>
                <w:rFonts w:hint="eastAsia" w:eastAsia="宋体" w:cs="Times New Roman"/>
                <w:highlight w:val="none"/>
                <w:lang w:eastAsia="zh-CN"/>
              </w:rPr>
            </w:pPr>
            <w:r>
              <w:rPr>
                <w:rFonts w:hint="eastAsia" w:cs="Times New Roman"/>
                <w:highlight w:val="none"/>
              </w:rPr>
              <w:t>名 称：</w:t>
            </w:r>
            <w:r>
              <w:rPr>
                <w:rFonts w:hint="eastAsia" w:cs="Times New Roman"/>
                <w:highlight w:val="none"/>
                <w:lang w:eastAsia="zh-CN"/>
              </w:rPr>
              <w:t>国家税务总局沭阳县税务局</w:t>
            </w:r>
          </w:p>
          <w:p w14:paraId="072569AA">
            <w:pPr>
              <w:rPr>
                <w:rFonts w:hint="eastAsia" w:eastAsia="宋体" w:cs="Times New Roman"/>
                <w:highlight w:val="none"/>
                <w:lang w:eastAsia="zh-CN"/>
              </w:rPr>
            </w:pPr>
            <w:r>
              <w:rPr>
                <w:rFonts w:hint="eastAsia" w:cs="Times New Roman"/>
                <w:highlight w:val="none"/>
              </w:rPr>
              <w:t>地 址：</w:t>
            </w:r>
            <w:r>
              <w:rPr>
                <w:rFonts w:hint="eastAsia" w:cs="Times New Roman"/>
                <w:highlight w:val="none"/>
                <w:lang w:eastAsia="zh-CN"/>
              </w:rPr>
              <w:t>沭阳县上海中路82号</w:t>
            </w:r>
          </w:p>
          <w:p w14:paraId="7EF33B3C">
            <w:pPr>
              <w:rPr>
                <w:rFonts w:cs="Times New Roman"/>
                <w:highlight w:val="none"/>
              </w:rPr>
            </w:pPr>
            <w:r>
              <w:rPr>
                <w:rFonts w:hint="eastAsia" w:cs="Times New Roman"/>
                <w:highlight w:val="none"/>
              </w:rPr>
              <w:t>联系</w:t>
            </w:r>
            <w:r>
              <w:rPr>
                <w:rFonts w:hint="eastAsia" w:cs="宋体"/>
                <w:highlight w:val="none"/>
              </w:rPr>
              <w:t>方式</w:t>
            </w:r>
            <w:r>
              <w:rPr>
                <w:rFonts w:hint="eastAsia" w:cs="Times New Roman"/>
                <w:highlight w:val="none"/>
              </w:rPr>
              <w:t>：</w:t>
            </w:r>
          </w:p>
          <w:p w14:paraId="65424A5A">
            <w:pPr>
              <w:pStyle w:val="38"/>
              <w:shd w:val="clear"/>
              <w:ind w:firstLine="0" w:firstLineChars="0"/>
              <w:rPr>
                <w:rFonts w:hint="default" w:eastAsia="宋体"/>
                <w:color w:val="auto"/>
                <w:highlight w:val="none"/>
                <w:lang w:val="en-US" w:eastAsia="zh-CN"/>
              </w:rPr>
            </w:pPr>
            <w:r>
              <w:rPr>
                <w:rFonts w:hint="default" w:eastAsia="宋体"/>
                <w:color w:val="auto"/>
                <w:highlight w:val="none"/>
                <w:lang w:val="en-US" w:eastAsia="zh-CN"/>
              </w:rPr>
              <w:t>黄老师（商务）：0527-80819939</w:t>
            </w:r>
          </w:p>
          <w:p w14:paraId="6825553D">
            <w:pPr>
              <w:pStyle w:val="38"/>
              <w:shd w:val="clear"/>
              <w:ind w:firstLine="0" w:firstLineChars="0"/>
              <w:rPr>
                <w:rFonts w:hint="default" w:eastAsia="宋体"/>
                <w:color w:val="auto"/>
                <w:highlight w:val="none"/>
                <w:lang w:val="en-US" w:eastAsia="zh-CN"/>
              </w:rPr>
            </w:pPr>
            <w:r>
              <w:rPr>
                <w:rFonts w:hint="eastAsia"/>
                <w:color w:val="auto"/>
                <w:highlight w:val="none"/>
                <w:lang w:val="en-US" w:eastAsia="zh-CN"/>
              </w:rPr>
              <w:t>葛老师</w:t>
            </w:r>
            <w:r>
              <w:rPr>
                <w:rFonts w:hint="default" w:eastAsia="宋体"/>
                <w:color w:val="auto"/>
                <w:highlight w:val="none"/>
                <w:lang w:val="en-US" w:eastAsia="zh-CN"/>
              </w:rPr>
              <w:t>（技术）：0527-80819008</w:t>
            </w:r>
          </w:p>
        </w:tc>
      </w:tr>
      <w:tr w14:paraId="697C1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tcBorders>
              <w:top w:val="single" w:color="auto" w:sz="4" w:space="0"/>
              <w:left w:val="single" w:color="auto" w:sz="4" w:space="0"/>
              <w:bottom w:val="single" w:color="auto" w:sz="4" w:space="0"/>
              <w:right w:val="single" w:color="auto" w:sz="4" w:space="0"/>
            </w:tcBorders>
            <w:noWrap/>
            <w:vAlign w:val="center"/>
          </w:tcPr>
          <w:p w14:paraId="17E88EAD">
            <w:pPr>
              <w:shd w:val="clear"/>
              <w:jc w:val="center"/>
              <w:rPr>
                <w:color w:val="auto"/>
                <w:highlight w:val="none"/>
              </w:rPr>
            </w:pPr>
            <w:r>
              <w:rPr>
                <w:color w:val="auto"/>
                <w:highlight w:val="none"/>
              </w:rPr>
              <w:t>5</w:t>
            </w:r>
          </w:p>
        </w:tc>
        <w:tc>
          <w:tcPr>
            <w:tcW w:w="1521" w:type="dxa"/>
            <w:tcBorders>
              <w:top w:val="single" w:color="auto" w:sz="4" w:space="0"/>
              <w:left w:val="single" w:color="auto" w:sz="4" w:space="0"/>
              <w:bottom w:val="single" w:color="auto" w:sz="4" w:space="0"/>
              <w:right w:val="single" w:color="auto" w:sz="4" w:space="0"/>
            </w:tcBorders>
            <w:noWrap/>
            <w:vAlign w:val="center"/>
          </w:tcPr>
          <w:p w14:paraId="69C60CD2">
            <w:pPr>
              <w:shd w:val="clear"/>
              <w:jc w:val="center"/>
              <w:rPr>
                <w:color w:val="auto"/>
                <w:highlight w:val="none"/>
              </w:rPr>
            </w:pPr>
            <w:r>
              <w:rPr>
                <w:color w:val="auto"/>
                <w:highlight w:val="none"/>
              </w:rPr>
              <w:t>采购代理机构</w:t>
            </w: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33A0DEDE">
            <w:pPr>
              <w:rPr>
                <w:rFonts w:hint="eastAsia" w:eastAsia="宋体" w:cs="Times New Roman"/>
                <w:highlight w:val="none"/>
                <w:lang w:eastAsia="zh-CN"/>
              </w:rPr>
            </w:pPr>
            <w:r>
              <w:rPr>
                <w:rFonts w:hint="eastAsia" w:cs="宋体"/>
                <w:highlight w:val="none"/>
              </w:rPr>
              <w:t>名  称</w:t>
            </w:r>
            <w:r>
              <w:rPr>
                <w:rFonts w:hint="eastAsia" w:cs="Times New Roman"/>
                <w:highlight w:val="none"/>
              </w:rPr>
              <w:t>：</w:t>
            </w:r>
            <w:r>
              <w:rPr>
                <w:rFonts w:hint="eastAsia" w:cs="Times New Roman"/>
                <w:highlight w:val="none"/>
                <w:lang w:eastAsia="zh-CN"/>
              </w:rPr>
              <w:t>江苏宏壮工程项目管理有限公司</w:t>
            </w:r>
          </w:p>
          <w:p w14:paraId="6F023E6E">
            <w:pPr>
              <w:rPr>
                <w:rFonts w:hint="eastAsia" w:eastAsia="宋体" w:cs="Times New Roman"/>
                <w:highlight w:val="none"/>
                <w:lang w:eastAsia="zh-CN"/>
              </w:rPr>
            </w:pPr>
            <w:r>
              <w:rPr>
                <w:rFonts w:hint="eastAsia" w:cs="宋体"/>
                <w:highlight w:val="none"/>
              </w:rPr>
              <w:t>地　址</w:t>
            </w:r>
            <w:r>
              <w:rPr>
                <w:rFonts w:hint="eastAsia" w:cs="Times New Roman"/>
                <w:highlight w:val="none"/>
              </w:rPr>
              <w:t>：</w:t>
            </w:r>
            <w:r>
              <w:rPr>
                <w:rFonts w:hint="eastAsia" w:cs="Times New Roman"/>
                <w:highlight w:val="none"/>
                <w:lang w:eastAsia="zh-CN"/>
              </w:rPr>
              <w:t>宿迁市宿城区中港雅典城A2#铺03江苏宏壮工程项目管理有限公司</w:t>
            </w:r>
          </w:p>
          <w:p w14:paraId="53A09EC7">
            <w:pPr>
              <w:rPr>
                <w:rFonts w:hint="eastAsia" w:eastAsia="宋体" w:cs="Times New Roman"/>
                <w:highlight w:val="none"/>
                <w:lang w:eastAsia="zh-CN"/>
              </w:rPr>
            </w:pPr>
            <w:r>
              <w:rPr>
                <w:rFonts w:hint="eastAsia" w:cs="Times New Roman"/>
                <w:highlight w:val="none"/>
              </w:rPr>
              <w:t>联系方式：</w:t>
            </w:r>
            <w:r>
              <w:rPr>
                <w:rFonts w:hint="eastAsia" w:cs="Times New Roman"/>
                <w:highlight w:val="none"/>
                <w:lang w:eastAsia="zh-CN"/>
              </w:rPr>
              <w:t>康宇</w:t>
            </w:r>
            <w:r>
              <w:rPr>
                <w:rFonts w:hint="eastAsia" w:cs="Times New Roman"/>
                <w:highlight w:val="none"/>
              </w:rPr>
              <w:t>，</w:t>
            </w:r>
            <w:r>
              <w:rPr>
                <w:rFonts w:hint="eastAsia" w:cs="Times New Roman"/>
                <w:highlight w:val="none"/>
                <w:lang w:eastAsia="zh-CN"/>
              </w:rPr>
              <w:t>15950608601</w:t>
            </w:r>
          </w:p>
          <w:p w14:paraId="71BD349E">
            <w:pPr>
              <w:rPr>
                <w:rFonts w:cs="Times New Roman"/>
                <w:highlight w:val="none"/>
                <w:u w:val="single"/>
              </w:rPr>
            </w:pPr>
            <w:r>
              <w:rPr>
                <w:rFonts w:hint="eastAsia" w:cs="Times New Roman"/>
                <w:highlight w:val="none"/>
              </w:rPr>
              <w:t>3.项目</w:t>
            </w:r>
            <w:r>
              <w:rPr>
                <w:rFonts w:cs="Times New Roman"/>
                <w:highlight w:val="none"/>
              </w:rPr>
              <w:t>联系方式</w:t>
            </w:r>
          </w:p>
          <w:p w14:paraId="4402DA60">
            <w:pPr>
              <w:rPr>
                <w:rFonts w:hint="eastAsia" w:eastAsia="宋体" w:cs="Times New Roman"/>
                <w:highlight w:val="none"/>
                <w:lang w:eastAsia="zh-CN"/>
              </w:rPr>
            </w:pPr>
            <w:r>
              <w:rPr>
                <w:rFonts w:hint="eastAsia" w:cs="Times New Roman"/>
                <w:highlight w:val="none"/>
              </w:rPr>
              <w:t>项目联系人：</w:t>
            </w:r>
            <w:r>
              <w:rPr>
                <w:rFonts w:hint="eastAsia" w:cs="Times New Roman"/>
                <w:highlight w:val="none"/>
                <w:lang w:eastAsia="zh-CN"/>
              </w:rPr>
              <w:t>康宇</w:t>
            </w:r>
          </w:p>
          <w:p w14:paraId="30AEAEF1">
            <w:pPr>
              <w:shd w:val="clear"/>
              <w:rPr>
                <w:rFonts w:hint="eastAsia" w:eastAsia="宋体"/>
                <w:color w:val="auto"/>
                <w:highlight w:val="none"/>
                <w:lang w:eastAsia="zh-CN"/>
              </w:rPr>
            </w:pPr>
            <w:r>
              <w:rPr>
                <w:rFonts w:hint="eastAsia" w:cs="宋体"/>
                <w:highlight w:val="none"/>
              </w:rPr>
              <w:t>电　话</w:t>
            </w:r>
            <w:r>
              <w:rPr>
                <w:rFonts w:hint="eastAsia" w:cs="Times New Roman"/>
                <w:highlight w:val="none"/>
              </w:rPr>
              <w:t>：</w:t>
            </w:r>
            <w:r>
              <w:rPr>
                <w:rFonts w:hint="eastAsia" w:cs="Times New Roman"/>
                <w:highlight w:val="none"/>
                <w:lang w:eastAsia="zh-CN"/>
              </w:rPr>
              <w:t>15950608601</w:t>
            </w:r>
          </w:p>
        </w:tc>
      </w:tr>
      <w:tr w14:paraId="4EAC4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tcBorders>
              <w:top w:val="single" w:color="auto" w:sz="4" w:space="0"/>
              <w:left w:val="single" w:color="auto" w:sz="4" w:space="0"/>
              <w:bottom w:val="single" w:color="auto" w:sz="4" w:space="0"/>
              <w:right w:val="single" w:color="auto" w:sz="4" w:space="0"/>
            </w:tcBorders>
            <w:noWrap/>
            <w:vAlign w:val="center"/>
          </w:tcPr>
          <w:p w14:paraId="22545654">
            <w:pPr>
              <w:shd w:val="clear"/>
              <w:jc w:val="center"/>
              <w:rPr>
                <w:color w:val="auto"/>
                <w:highlight w:val="none"/>
              </w:rPr>
            </w:pPr>
            <w:r>
              <w:rPr>
                <w:color w:val="auto"/>
                <w:highlight w:val="none"/>
              </w:rPr>
              <w:t>6</w:t>
            </w:r>
          </w:p>
        </w:tc>
        <w:tc>
          <w:tcPr>
            <w:tcW w:w="1521" w:type="dxa"/>
            <w:tcBorders>
              <w:top w:val="single" w:color="auto" w:sz="4" w:space="0"/>
              <w:left w:val="single" w:color="auto" w:sz="4" w:space="0"/>
              <w:bottom w:val="single" w:color="auto" w:sz="4" w:space="0"/>
              <w:right w:val="single" w:color="auto" w:sz="4" w:space="0"/>
            </w:tcBorders>
            <w:noWrap/>
            <w:vAlign w:val="center"/>
          </w:tcPr>
          <w:p w14:paraId="2FF3663F">
            <w:pPr>
              <w:shd w:val="clear"/>
              <w:jc w:val="center"/>
              <w:rPr>
                <w:color w:val="auto"/>
                <w:highlight w:val="none"/>
              </w:rPr>
            </w:pPr>
            <w:r>
              <w:rPr>
                <w:color w:val="auto"/>
                <w:highlight w:val="none"/>
              </w:rPr>
              <w:t>投标人资格要求</w:t>
            </w: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5E5D29AF">
            <w:pPr>
              <w:shd w:val="clear"/>
              <w:rPr>
                <w:color w:val="auto"/>
                <w:highlight w:val="none"/>
                <w:lang w:val="zh-CN"/>
              </w:rPr>
            </w:pPr>
            <w:r>
              <w:rPr>
                <w:color w:val="auto"/>
                <w:highlight w:val="none"/>
                <w:lang w:val="zh-CN"/>
              </w:rPr>
              <w:t>1.符合国家</w:t>
            </w:r>
            <w:r>
              <w:rPr>
                <w:color w:val="auto"/>
                <w:highlight w:val="none"/>
              </w:rPr>
              <w:t>有关</w:t>
            </w:r>
            <w:r>
              <w:rPr>
                <w:color w:val="auto"/>
                <w:highlight w:val="none"/>
                <w:lang w:val="zh-CN"/>
              </w:rPr>
              <w:t>法律规定，在中国境内（指关境内）注册。</w:t>
            </w:r>
          </w:p>
          <w:p w14:paraId="2A5A6633">
            <w:pPr>
              <w:shd w:val="clear"/>
              <w:rPr>
                <w:rFonts w:hint="eastAsia" w:eastAsia="宋体"/>
                <w:color w:val="auto"/>
                <w:highlight w:val="none"/>
                <w:lang w:eastAsia="zh-CN"/>
              </w:rPr>
            </w:pPr>
            <w:r>
              <w:rPr>
                <w:color w:val="auto"/>
                <w:highlight w:val="none"/>
                <w:lang w:val="zh-CN"/>
              </w:rPr>
              <w:t>2.</w:t>
            </w:r>
            <w:r>
              <w:rPr>
                <w:rFonts w:hint="eastAsia"/>
                <w:color w:val="auto"/>
                <w:highlight w:val="none"/>
              </w:rPr>
              <w:t>满足《中华人民共和国政府采购法》第二十二条规定</w:t>
            </w:r>
            <w:r>
              <w:rPr>
                <w:rFonts w:hint="eastAsia"/>
                <w:color w:val="auto"/>
                <w:highlight w:val="none"/>
                <w:lang w:eastAsia="zh-CN"/>
              </w:rPr>
              <w:t>：</w:t>
            </w:r>
          </w:p>
          <w:p w14:paraId="4329C50A">
            <w:pPr>
              <w:shd w:val="clear"/>
              <w:rPr>
                <w:rFonts w:hint="eastAsia" w:eastAsia="宋体"/>
                <w:color w:val="auto"/>
                <w:highlight w:val="none"/>
                <w:lang w:eastAsia="zh-CN"/>
              </w:rPr>
            </w:pPr>
            <w:r>
              <w:rPr>
                <w:rFonts w:hint="eastAsia"/>
                <w:color w:val="auto"/>
                <w:highlight w:val="none"/>
              </w:rPr>
              <w:t>（1）</w:t>
            </w:r>
            <w:r>
              <w:rPr>
                <w:rFonts w:hint="eastAsia"/>
                <w:color w:val="auto"/>
                <w:highlight w:val="none"/>
                <w:lang w:eastAsia="zh-CN"/>
              </w:rPr>
              <w:t>法人或者其他组织的营业执照等证明文件，自然人的身份证明复印件；</w:t>
            </w:r>
          </w:p>
          <w:p w14:paraId="42F93BAE">
            <w:pPr>
              <w:shd w:val="clear"/>
              <w:rPr>
                <w:rFonts w:hint="eastAsia"/>
                <w:color w:val="auto"/>
                <w:highlight w:val="none"/>
                <w:lang w:val="en-US" w:eastAsia="zh-CN"/>
              </w:rPr>
            </w:pPr>
            <w:r>
              <w:rPr>
                <w:rFonts w:hint="eastAsia"/>
                <w:color w:val="auto"/>
                <w:highlight w:val="none"/>
              </w:rPr>
              <w:t>（2）</w:t>
            </w:r>
            <w:r>
              <w:rPr>
                <w:rFonts w:hint="eastAsia"/>
                <w:color w:val="auto"/>
                <w:highlight w:val="none"/>
                <w:lang w:eastAsia="zh-CN"/>
              </w:rPr>
              <w:t>财务状况</w:t>
            </w:r>
            <w:r>
              <w:rPr>
                <w:rFonts w:hint="eastAsia"/>
                <w:color w:val="auto"/>
                <w:highlight w:val="none"/>
              </w:rPr>
              <w:t>：</w:t>
            </w:r>
            <w:r>
              <w:rPr>
                <w:rFonts w:hint="eastAsia"/>
                <w:color w:val="auto"/>
                <w:highlight w:val="none"/>
                <w:lang w:val="en-US" w:eastAsia="zh-CN"/>
              </w:rPr>
              <w:t>2024年度或2025年度经会计师事务所审计的财务报告（须提供加盖会计师事务所公章及注册会计师签章的复印件）；没有经审计的财务报告的，也可以提供2025年或2026年任意一个月的财务报表，或提供距离投标截止时间6个月内基本开户银行出具的资信证明复印件；</w:t>
            </w:r>
          </w:p>
          <w:p w14:paraId="6BE3BCB7">
            <w:pPr>
              <w:shd w:val="clear"/>
              <w:rPr>
                <w:rFonts w:hint="eastAsia"/>
                <w:color w:val="auto"/>
                <w:highlight w:val="none"/>
              </w:rPr>
            </w:pPr>
            <w:r>
              <w:rPr>
                <w:rFonts w:hint="eastAsia"/>
                <w:color w:val="auto"/>
                <w:highlight w:val="none"/>
              </w:rPr>
              <w:t>（3）依法缴纳税收：</w:t>
            </w:r>
            <w:r>
              <w:rPr>
                <w:rFonts w:hint="eastAsia"/>
                <w:color w:val="auto"/>
                <w:highlight w:val="none"/>
                <w:lang w:val="en-US" w:eastAsia="zh-CN"/>
              </w:rPr>
              <w:t>2025</w:t>
            </w:r>
            <w:r>
              <w:rPr>
                <w:rFonts w:hint="eastAsia"/>
                <w:color w:val="auto"/>
                <w:highlight w:val="none"/>
              </w:rPr>
              <w:t>年</w:t>
            </w:r>
            <w:r>
              <w:rPr>
                <w:rFonts w:hint="eastAsia"/>
                <w:color w:val="auto"/>
                <w:highlight w:val="none"/>
                <w:lang w:val="en-US" w:eastAsia="zh-CN"/>
              </w:rPr>
              <w:t>7</w:t>
            </w:r>
            <w:r>
              <w:rPr>
                <w:rFonts w:hint="eastAsia"/>
                <w:color w:val="auto"/>
                <w:highlight w:val="none"/>
              </w:rPr>
              <w:t>月至开标当日任一月份依法缴纳税收（依法缴纳税收材料是指：税务部门出具的税收证明或完税凭证或银行出具的税收缴款证明）的相关材料复印件，如依法免税或不需要纳税的，则应提供相应证明材料复印件（根据国家相关政策免缴或迟缴的应提供相关证明材料）；</w:t>
            </w:r>
          </w:p>
          <w:p w14:paraId="710BA072">
            <w:pPr>
              <w:shd w:val="clear"/>
              <w:rPr>
                <w:rFonts w:hint="eastAsia"/>
                <w:color w:val="auto"/>
                <w:highlight w:val="none"/>
              </w:rPr>
            </w:pPr>
            <w:r>
              <w:rPr>
                <w:rFonts w:hint="eastAsia"/>
                <w:color w:val="auto"/>
                <w:highlight w:val="none"/>
              </w:rPr>
              <w:t>（4）社会保障资金：</w:t>
            </w:r>
            <w:r>
              <w:rPr>
                <w:rFonts w:hint="eastAsia"/>
                <w:color w:val="auto"/>
                <w:highlight w:val="none"/>
                <w:lang w:val="en-US" w:eastAsia="zh-CN"/>
              </w:rPr>
              <w:t>2025</w:t>
            </w:r>
            <w:r>
              <w:rPr>
                <w:rFonts w:hint="eastAsia"/>
                <w:color w:val="auto"/>
                <w:highlight w:val="none"/>
              </w:rPr>
              <w:t>年</w:t>
            </w:r>
            <w:r>
              <w:rPr>
                <w:rFonts w:hint="eastAsia"/>
                <w:color w:val="auto"/>
                <w:highlight w:val="none"/>
                <w:lang w:val="en-US" w:eastAsia="zh-CN"/>
              </w:rPr>
              <w:t>7</w:t>
            </w:r>
            <w:r>
              <w:rPr>
                <w:rFonts w:hint="eastAsia"/>
                <w:color w:val="auto"/>
                <w:highlight w:val="none"/>
              </w:rPr>
              <w:t>月至开标当日任一月份的依法缴纳社会保障资金的相关材料复印件（社会保障资金材料是指：人社部门或税务机关或银行出具的缴纳社保的凭证），如依法不需要缴纳社会保障资金的，则应提供相应证明材料复印件（根据国家相关政策免缴或迟缴的应提供相关证明材料）；</w:t>
            </w:r>
          </w:p>
          <w:p w14:paraId="635AF5F2">
            <w:pPr>
              <w:shd w:val="clear"/>
              <w:rPr>
                <w:rFonts w:hint="eastAsia"/>
                <w:color w:val="auto"/>
                <w:highlight w:val="none"/>
              </w:rPr>
            </w:pPr>
            <w:r>
              <w:rPr>
                <w:rFonts w:hint="eastAsia"/>
                <w:color w:val="auto"/>
                <w:highlight w:val="none"/>
              </w:rPr>
              <w:t>（5）具备履行合同所必需的设备和专业技术能力的声明或证明材料复印件；</w:t>
            </w:r>
          </w:p>
          <w:p w14:paraId="3AE147F8">
            <w:pPr>
              <w:shd w:val="clear"/>
              <w:rPr>
                <w:rFonts w:hint="eastAsia"/>
                <w:color w:val="auto"/>
                <w:highlight w:val="none"/>
              </w:rPr>
            </w:pPr>
            <w:r>
              <w:rPr>
                <w:rFonts w:hint="eastAsia"/>
                <w:color w:val="auto"/>
                <w:highlight w:val="none"/>
              </w:rPr>
              <w:t>（6）参加政府采购活动前3年内在经营活动中没有重大违法记录的书面声明；</w:t>
            </w:r>
          </w:p>
          <w:p w14:paraId="137684EE">
            <w:pPr>
              <w:shd w:val="clear"/>
              <w:rPr>
                <w:rFonts w:hint="eastAsia"/>
                <w:color w:val="auto"/>
                <w:highlight w:val="none"/>
              </w:rPr>
            </w:pPr>
            <w:r>
              <w:rPr>
                <w:rFonts w:hint="eastAsia"/>
                <w:color w:val="auto"/>
                <w:highlight w:val="none"/>
              </w:rPr>
              <w:t>（7）具备法律、行政法规规定的其他条件的证明材料：无；</w:t>
            </w:r>
          </w:p>
          <w:p w14:paraId="351EBC93">
            <w:pPr>
              <w:shd w:val="clear"/>
              <w:rPr>
                <w:rFonts w:hint="eastAsia"/>
                <w:color w:val="auto"/>
                <w:highlight w:val="none"/>
              </w:rPr>
            </w:pPr>
            <w:r>
              <w:rPr>
                <w:rFonts w:hint="eastAsia"/>
                <w:color w:val="auto"/>
                <w:highlight w:val="none"/>
                <w:lang w:val="en-US" w:eastAsia="zh-CN"/>
              </w:rPr>
              <w:t>3</w:t>
            </w:r>
            <w:r>
              <w:rPr>
                <w:rFonts w:hint="eastAsia"/>
                <w:color w:val="auto"/>
                <w:highlight w:val="none"/>
              </w:rPr>
              <w:t>.落实政府采购政策需满足的资格要求：</w:t>
            </w:r>
          </w:p>
          <w:p w14:paraId="6E8AC378">
            <w:pPr>
              <w:shd w:val="clear" w:color="auto" w:fill="auto"/>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lang w:val="en-US" w:eastAsia="zh-CN"/>
              </w:rPr>
              <w:t>本项目</w:t>
            </w:r>
            <w:r>
              <w:rPr>
                <w:rFonts w:hint="eastAsia" w:ascii="宋体" w:hAnsi="宋体" w:eastAsia="宋体" w:cs="宋体"/>
                <w:b w:val="0"/>
                <w:bCs w:val="0"/>
                <w:color w:val="auto"/>
                <w:sz w:val="21"/>
                <w:szCs w:val="21"/>
                <w:highlight w:val="none"/>
                <w:u w:val="none"/>
                <w:lang w:val="en-US" w:eastAsia="zh-CN"/>
              </w:rPr>
              <w:t>属于面向中小企业预留采购份额项目，预留份额通过获得采购合同的投标人将采购项目中的一定比例分包给一家或者多家中小企业进行，</w:t>
            </w:r>
            <w:r>
              <w:rPr>
                <w:rFonts w:hint="eastAsia" w:ascii="宋体" w:hAnsi="宋体" w:eastAsia="宋体" w:cs="宋体"/>
                <w:b/>
                <w:bCs/>
                <w:color w:val="auto"/>
                <w:sz w:val="21"/>
                <w:szCs w:val="21"/>
                <w:highlight w:val="none"/>
                <w:u w:val="none"/>
                <w:lang w:val="en-US" w:eastAsia="zh-CN"/>
              </w:rPr>
              <w:t>本分包意向协议中预留给中小企业的金额应当不低于总金额的30%，其中预留给小微企业的比例不低于60%。</w:t>
            </w:r>
            <w:r>
              <w:rPr>
                <w:rFonts w:hint="eastAsia" w:ascii="宋体" w:hAnsi="宋体" w:eastAsia="宋体" w:cs="宋体"/>
                <w:b w:val="0"/>
                <w:bCs w:val="0"/>
                <w:color w:val="auto"/>
                <w:sz w:val="21"/>
                <w:szCs w:val="21"/>
                <w:highlight w:val="none"/>
                <w:u w:val="none"/>
                <w:lang w:val="en-US" w:eastAsia="zh-CN"/>
              </w:rPr>
              <w:t>接受分包合同的中小企业和分包企业之间不得存在单位负责人为同一人或者存在直接控股、管理关系。</w:t>
            </w:r>
            <w:r>
              <w:rPr>
                <w:rFonts w:hint="eastAsia" w:ascii="宋体" w:hAnsi="宋体" w:eastAsia="宋体" w:cs="宋体"/>
                <w:b/>
                <w:bCs/>
                <w:color w:val="auto"/>
                <w:sz w:val="21"/>
                <w:szCs w:val="21"/>
                <w:highlight w:val="none"/>
                <w:u w:val="none"/>
                <w:lang w:val="en-US" w:eastAsia="zh-CN"/>
              </w:rPr>
              <w:t>应提供明确以上事项的《分包意向协议》和《中小企业声明函》。</w:t>
            </w:r>
          </w:p>
          <w:p w14:paraId="590AB162">
            <w:pPr>
              <w:shd w:val="clear" w:color="auto" w:fill="auto"/>
              <w:rPr>
                <w:rFonts w:hint="eastAsia" w:cs="Times New Roman"/>
                <w:b/>
                <w:bCs/>
                <w:color w:val="auto"/>
                <w:highlight w:val="none"/>
                <w:lang w:eastAsia="zh-CN"/>
              </w:rPr>
            </w:pPr>
            <w:r>
              <w:rPr>
                <w:rFonts w:hint="eastAsia" w:cs="Times New Roman"/>
                <w:b/>
                <w:bCs/>
                <w:color w:val="auto"/>
                <w:highlight w:val="none"/>
              </w:rPr>
              <w:t>如果供应商为大型企业，应预留给小微企业，且比例不低于30%。如果供应商为中型企业，预留给小微企业的比例不低于18%。如果供应商为小微企业，视同符合本条资格条件，则不得再进行分包。</w:t>
            </w:r>
            <w:r>
              <w:rPr>
                <w:rFonts w:hint="eastAsia" w:cs="Times New Roman"/>
                <w:b/>
                <w:bCs/>
                <w:color w:val="auto"/>
                <w:highlight w:val="none"/>
                <w:lang w:eastAsia="zh-CN"/>
              </w:rPr>
              <w:t>应</w:t>
            </w:r>
            <w:r>
              <w:rPr>
                <w:rFonts w:hint="eastAsia" w:cs="Times New Roman"/>
                <w:b/>
                <w:bCs/>
                <w:color w:val="auto"/>
                <w:highlight w:val="none"/>
              </w:rPr>
              <w:t>提供明确以上事项的《中小企业声明函》</w:t>
            </w:r>
            <w:r>
              <w:rPr>
                <w:rFonts w:hint="eastAsia" w:cs="Times New Roman"/>
                <w:b/>
                <w:bCs/>
                <w:color w:val="auto"/>
                <w:highlight w:val="none"/>
                <w:lang w:eastAsia="zh-CN"/>
              </w:rPr>
              <w:t>。</w:t>
            </w:r>
          </w:p>
          <w:p w14:paraId="5F3ACA97">
            <w:pPr>
              <w:shd w:val="clear" w:color="auto" w:fill="auto"/>
              <w:rPr>
                <w:rFonts w:hint="eastAsia" w:ascii="宋体" w:hAnsi="宋体" w:eastAsia="宋体" w:cs="宋体"/>
                <w:b w:val="0"/>
                <w:bCs w:val="0"/>
                <w:sz w:val="21"/>
                <w:szCs w:val="21"/>
                <w:highlight w:val="none"/>
                <w:u w:val="none"/>
                <w:lang w:val="en-US" w:eastAsia="zh-CN"/>
              </w:rPr>
            </w:pPr>
            <w:r>
              <w:rPr>
                <w:rFonts w:hint="eastAsia" w:cs="Times New Roman"/>
                <w:b w:val="0"/>
                <w:bCs w:val="0"/>
                <w:color w:val="auto"/>
                <w:highlight w:val="none"/>
              </w:rPr>
              <w:t>监狱企业视同小型、微型企业，提供由省级以上监狱管理局、戒毒管理局（含新疆生产建设兵团）出具的属于监狱企业的证明文件；残疾人福利性单位视同小型、微型企业，提供《残疾人福利性单位声明函》。</w:t>
            </w:r>
          </w:p>
          <w:p w14:paraId="7EE89ABF">
            <w:pPr>
              <w:shd w:val="clear" w:color="auto" w:fill="auto"/>
              <w:rPr>
                <w:rFonts w:hint="eastAsia" w:eastAsia="宋体" w:cs="Times New Roman"/>
                <w:b w:val="0"/>
                <w:bCs w:val="0"/>
                <w:color w:val="auto"/>
                <w:highlight w:val="none"/>
                <w:lang w:val="en-US" w:eastAsia="zh-CN"/>
              </w:rPr>
            </w:pPr>
            <w:r>
              <w:rPr>
                <w:rFonts w:hint="eastAsia" w:cs="Times New Roman"/>
                <w:b w:val="0"/>
                <w:bCs w:val="0"/>
                <w:color w:val="auto"/>
                <w:highlight w:val="none"/>
                <w:lang w:val="en-US" w:eastAsia="zh-CN"/>
              </w:rPr>
              <w:t>本项目采购标的对应的中小企业划分标准所属行业为：</w:t>
            </w:r>
            <w:r>
              <w:rPr>
                <w:rFonts w:hint="eastAsia" w:cs="Times New Roman"/>
                <w:b/>
                <w:bCs/>
                <w:color w:val="auto"/>
                <w:highlight w:val="none"/>
                <w:lang w:val="en-US" w:eastAsia="zh-CN"/>
              </w:rPr>
              <w:t>批发业。</w:t>
            </w:r>
          </w:p>
          <w:p w14:paraId="3ECEF770">
            <w:pPr>
              <w:shd w:val="clear" w:color="auto" w:fill="auto"/>
              <w:rPr>
                <w:rFonts w:hint="eastAsia" w:cs="Times New Roman"/>
                <w:b/>
                <w:bCs/>
                <w:color w:val="000000"/>
                <w:highlight w:val="none"/>
                <w:lang w:eastAsia="zh-CN"/>
              </w:rPr>
            </w:pPr>
            <w:r>
              <w:rPr>
                <w:rFonts w:hint="eastAsia"/>
                <w:color w:val="auto"/>
                <w:highlight w:val="none"/>
                <w:lang w:val="en-US" w:eastAsia="zh-CN"/>
              </w:rPr>
              <w:t>4</w:t>
            </w:r>
            <w:r>
              <w:rPr>
                <w:rFonts w:hint="eastAsia"/>
                <w:color w:val="auto"/>
                <w:highlight w:val="none"/>
              </w:rPr>
              <w:t>.</w:t>
            </w:r>
            <w:r>
              <w:rPr>
                <w:rFonts w:hint="eastAsia" w:cs="Times New Roman"/>
                <w:b/>
                <w:bCs/>
                <w:color w:val="auto"/>
                <w:highlight w:val="none"/>
              </w:rPr>
              <w:t>特定资格要求：</w:t>
            </w:r>
            <w:r>
              <w:rPr>
                <w:rFonts w:hint="eastAsia" w:cs="Times New Roman"/>
                <w:b/>
                <w:bCs/>
                <w:color w:val="000000"/>
                <w:highlight w:val="none"/>
                <w:lang w:eastAsia="zh-CN"/>
              </w:rPr>
              <w:t>供应商具备有效期内的《食品经营许可证》或《食品生产许可证》或食品安全监督管理部门出具的备案证明材料，应提供许可复印件或备案证明材料复印件。</w:t>
            </w:r>
          </w:p>
          <w:p w14:paraId="44872AA4">
            <w:pPr>
              <w:shd w:val="clear" w:color="auto" w:fill="auto"/>
              <w:rPr>
                <w:rFonts w:cs="Times New Roman"/>
                <w:color w:val="auto"/>
                <w:highlight w:val="none"/>
              </w:rPr>
            </w:pPr>
            <w:r>
              <w:rPr>
                <w:rFonts w:hint="eastAsia" w:cs="Times New Roman"/>
                <w:color w:val="auto"/>
                <w:highlight w:val="none"/>
                <w:lang w:val="en-US" w:eastAsia="zh-CN"/>
              </w:rPr>
              <w:t>5</w:t>
            </w:r>
            <w:r>
              <w:rPr>
                <w:rFonts w:hint="eastAsia" w:cs="Times New Roman"/>
                <w:color w:val="auto"/>
                <w:highlight w:val="none"/>
              </w:rPr>
              <w:t>.本项目不接受进口产品投标（注：本文件所称进口产品是指通过中国海关报关验放进入中国境内且产自关境外的产品）</w:t>
            </w:r>
          </w:p>
          <w:p w14:paraId="3F9FEA2E">
            <w:pPr>
              <w:shd w:val="clear" w:color="auto" w:fill="auto"/>
              <w:rPr>
                <w:rFonts w:cs="Times New Roman"/>
                <w:color w:val="auto"/>
                <w:highlight w:val="none"/>
              </w:rPr>
            </w:pPr>
            <w:r>
              <w:rPr>
                <w:rFonts w:hint="eastAsia" w:cs="Times New Roman"/>
                <w:color w:val="auto"/>
                <w:highlight w:val="none"/>
                <w:lang w:val="en-US" w:eastAsia="zh-CN"/>
              </w:rPr>
              <w:t>6</w:t>
            </w:r>
            <w:r>
              <w:rPr>
                <w:rFonts w:hint="eastAsia" w:cs="Times New Roman"/>
                <w:color w:val="auto"/>
                <w:highlight w:val="none"/>
              </w:rPr>
              <w:t>.本项目不接受联合体投标。</w:t>
            </w:r>
          </w:p>
          <w:p w14:paraId="113D58E7">
            <w:pPr>
              <w:shd w:val="clear" w:color="auto" w:fill="auto"/>
              <w:rPr>
                <w:rFonts w:cs="Times New Roman"/>
                <w:color w:val="auto"/>
                <w:highlight w:val="none"/>
              </w:rPr>
            </w:pPr>
            <w:r>
              <w:rPr>
                <w:rFonts w:hint="eastAsia" w:cs="Times New Roman"/>
                <w:color w:val="auto"/>
                <w:highlight w:val="none"/>
                <w:lang w:val="en-US" w:eastAsia="zh-CN"/>
              </w:rPr>
              <w:t>7</w:t>
            </w:r>
            <w:r>
              <w:rPr>
                <w:rFonts w:hint="eastAsia" w:cs="Times New Roman"/>
                <w:color w:val="auto"/>
                <w:highlight w:val="none"/>
              </w:rPr>
              <w:t>.除</w:t>
            </w:r>
            <w:r>
              <w:rPr>
                <w:rFonts w:hint="eastAsia" w:cs="Times New Roman"/>
                <w:color w:val="auto"/>
                <w:highlight w:val="none"/>
                <w:lang w:val="en-US" w:eastAsia="zh-CN"/>
              </w:rPr>
              <w:t>3</w:t>
            </w:r>
            <w:r>
              <w:rPr>
                <w:rFonts w:hint="eastAsia" w:cs="Times New Roman"/>
                <w:color w:val="auto"/>
                <w:highlight w:val="none"/>
              </w:rPr>
              <w:t>情形外</w:t>
            </w:r>
            <w:r>
              <w:rPr>
                <w:rFonts w:hint="eastAsia" w:cs="Times New Roman"/>
                <w:color w:val="auto"/>
                <w:highlight w:val="none"/>
                <w:lang w:eastAsia="zh-CN"/>
              </w:rPr>
              <w:t>，</w:t>
            </w:r>
            <w:r>
              <w:rPr>
                <w:rFonts w:hint="eastAsia" w:cs="Times New Roman"/>
                <w:color w:val="auto"/>
                <w:highlight w:val="none"/>
              </w:rPr>
              <w:t>本项目不得转包或者</w:t>
            </w:r>
            <w:r>
              <w:rPr>
                <w:rFonts w:hint="eastAsia" w:cs="Times New Roman"/>
                <w:color w:val="auto"/>
                <w:highlight w:val="none"/>
                <w:lang w:eastAsia="zh-CN"/>
              </w:rPr>
              <w:t>擅自</w:t>
            </w:r>
            <w:r>
              <w:rPr>
                <w:rFonts w:hint="eastAsia" w:cs="Times New Roman"/>
                <w:color w:val="auto"/>
                <w:highlight w:val="none"/>
              </w:rPr>
              <w:t>分包。</w:t>
            </w:r>
          </w:p>
          <w:p w14:paraId="7D33662E">
            <w:pPr>
              <w:shd w:val="clear" w:color="auto" w:fill="auto"/>
              <w:rPr>
                <w:rFonts w:cs="Times New Roman"/>
                <w:color w:val="auto"/>
                <w:highlight w:val="none"/>
              </w:rPr>
            </w:pPr>
            <w:r>
              <w:rPr>
                <w:rFonts w:hint="eastAsia" w:cs="Times New Roman"/>
                <w:color w:val="auto"/>
                <w:highlight w:val="none"/>
                <w:lang w:val="en-US" w:eastAsia="zh-CN"/>
              </w:rPr>
              <w:t>8</w:t>
            </w:r>
            <w:r>
              <w:rPr>
                <w:rFonts w:hint="eastAsia" w:cs="Times New Roman"/>
                <w:color w:val="auto"/>
                <w:highlight w:val="none"/>
              </w:rPr>
              <w:t>.</w:t>
            </w:r>
            <w:r>
              <w:rPr>
                <w:rFonts w:cs="Times New Roman"/>
                <w:color w:val="auto"/>
                <w:highlight w:val="none"/>
              </w:rPr>
              <w:t>第</w:t>
            </w:r>
            <w:r>
              <w:rPr>
                <w:rFonts w:hint="eastAsia" w:cs="Times New Roman"/>
                <w:color w:val="auto"/>
                <w:highlight w:val="none"/>
                <w:lang w:val="en-US" w:eastAsia="zh-CN"/>
              </w:rPr>
              <w:t>2</w:t>
            </w:r>
            <w:r>
              <w:rPr>
                <w:rFonts w:hint="eastAsia" w:cs="Times New Roman"/>
                <w:color w:val="auto"/>
                <w:highlight w:val="none"/>
              </w:rPr>
              <w:t>.</w:t>
            </w:r>
            <w:r>
              <w:rPr>
                <w:rFonts w:cs="Times New Roman"/>
                <w:color w:val="auto"/>
                <w:highlight w:val="none"/>
              </w:rPr>
              <w:t>（</w:t>
            </w:r>
            <w:r>
              <w:rPr>
                <w:rFonts w:hint="eastAsia" w:cs="Times New Roman"/>
                <w:color w:val="auto"/>
                <w:highlight w:val="none"/>
              </w:rPr>
              <w:t>6</w:t>
            </w:r>
            <w:r>
              <w:rPr>
                <w:rFonts w:cs="Times New Roman"/>
                <w:color w:val="auto"/>
                <w:highlight w:val="none"/>
              </w:rPr>
              <w:t>）条所称重大违法记录，是指</w:t>
            </w:r>
            <w:r>
              <w:rPr>
                <w:rFonts w:hint="eastAsia" w:cs="Times New Roman"/>
                <w:color w:val="auto"/>
                <w:highlight w:val="none"/>
                <w:lang w:eastAsia="zh-CN"/>
              </w:rPr>
              <w:t>投标人</w:t>
            </w:r>
            <w:r>
              <w:rPr>
                <w:rFonts w:cs="Times New Roman"/>
                <w:color w:val="auto"/>
                <w:highlight w:val="none"/>
              </w:rPr>
              <w:t>因违法经营受到刑事处罚或者责令停产停业、吊销许可证或者执照、较大数额罚款等行政处罚。</w:t>
            </w:r>
          </w:p>
          <w:p w14:paraId="67265B2C">
            <w:pPr>
              <w:shd w:val="clear" w:color="auto" w:fill="auto"/>
              <w:rPr>
                <w:rFonts w:cs="Times New Roman"/>
                <w:color w:val="auto"/>
                <w:highlight w:val="none"/>
              </w:rPr>
            </w:pPr>
            <w:r>
              <w:rPr>
                <w:rFonts w:hint="eastAsia" w:cs="Times New Roman"/>
                <w:color w:val="auto"/>
                <w:highlight w:val="none"/>
                <w:lang w:val="en-US" w:eastAsia="zh-CN"/>
              </w:rPr>
              <w:t>9</w:t>
            </w:r>
            <w:r>
              <w:rPr>
                <w:rFonts w:hint="eastAsia" w:cs="Times New Roman"/>
                <w:color w:val="auto"/>
                <w:highlight w:val="none"/>
              </w:rPr>
              <w:t>.</w:t>
            </w:r>
            <w:r>
              <w:rPr>
                <w:rFonts w:hint="eastAsia" w:cs="Times New Roman"/>
                <w:color w:val="auto"/>
                <w:highlight w:val="none"/>
                <w:lang w:eastAsia="zh-CN"/>
              </w:rPr>
              <w:t>投标人</w:t>
            </w:r>
            <w:r>
              <w:rPr>
                <w:rFonts w:cs="Times New Roman"/>
                <w:color w:val="auto"/>
                <w:highlight w:val="none"/>
              </w:rPr>
              <w:t>在参加政府采购活动前3年内因违法经营被禁止在一定期限内参加政府采购活动，期限届满的，可以参加政府采购活动。</w:t>
            </w:r>
          </w:p>
          <w:p w14:paraId="0DCFEDA4">
            <w:pPr>
              <w:shd w:val="clear" w:color="auto" w:fill="auto"/>
              <w:rPr>
                <w:rFonts w:cs="Times New Roman"/>
                <w:color w:val="auto"/>
                <w:highlight w:val="none"/>
              </w:rPr>
            </w:pPr>
            <w:r>
              <w:rPr>
                <w:rFonts w:hint="eastAsia" w:cs="Times New Roman"/>
                <w:color w:val="auto"/>
                <w:highlight w:val="none"/>
                <w:lang w:val="en-US" w:eastAsia="zh-CN"/>
              </w:rPr>
              <w:t>10</w:t>
            </w:r>
            <w:r>
              <w:rPr>
                <w:rFonts w:hint="eastAsia" w:cs="Times New Roman"/>
                <w:color w:val="auto"/>
                <w:highlight w:val="none"/>
              </w:rPr>
              <w:t>.</w:t>
            </w:r>
            <w:r>
              <w:rPr>
                <w:rFonts w:cs="Times New Roman"/>
                <w:color w:val="auto"/>
                <w:highlight w:val="none"/>
              </w:rPr>
              <w:t>单位负责人为同一人或者存在直接控股、管理关系的不同</w:t>
            </w:r>
            <w:r>
              <w:rPr>
                <w:rFonts w:hint="eastAsia" w:cs="Times New Roman"/>
                <w:color w:val="auto"/>
                <w:highlight w:val="none"/>
                <w:lang w:eastAsia="zh-CN"/>
              </w:rPr>
              <w:t>投标人</w:t>
            </w:r>
            <w:r>
              <w:rPr>
                <w:rFonts w:cs="Times New Roman"/>
                <w:color w:val="auto"/>
                <w:highlight w:val="none"/>
              </w:rPr>
              <w:t>，不得参加同一合同项下的政府采购活动。</w:t>
            </w:r>
          </w:p>
          <w:p w14:paraId="44BC73DA">
            <w:pPr>
              <w:shd w:val="clear" w:color="auto" w:fill="auto"/>
              <w:rPr>
                <w:rFonts w:cs="Times New Roman"/>
                <w:color w:val="auto"/>
                <w:highlight w:val="none"/>
              </w:rPr>
            </w:pPr>
            <w:r>
              <w:rPr>
                <w:rFonts w:hint="eastAsia" w:cs="Times New Roman"/>
                <w:color w:val="auto"/>
                <w:highlight w:val="none"/>
                <w:lang w:val="en-US" w:eastAsia="zh-CN"/>
              </w:rPr>
              <w:t>11.</w:t>
            </w:r>
            <w:r>
              <w:rPr>
                <w:rFonts w:cs="Times New Roman"/>
                <w:color w:val="auto"/>
                <w:highlight w:val="none"/>
              </w:rPr>
              <w:t>为采购项目提供整体设计、规范编制或者项目管理、监理、检测等服务的</w:t>
            </w:r>
            <w:r>
              <w:rPr>
                <w:rFonts w:hint="eastAsia" w:cs="Times New Roman"/>
                <w:color w:val="auto"/>
                <w:highlight w:val="none"/>
                <w:lang w:eastAsia="zh-CN"/>
              </w:rPr>
              <w:t>投标人</w:t>
            </w:r>
            <w:r>
              <w:rPr>
                <w:rFonts w:cs="Times New Roman"/>
                <w:color w:val="auto"/>
                <w:highlight w:val="none"/>
              </w:rPr>
              <w:t>，不得再参加该采购项目的其他采购活动。</w:t>
            </w:r>
          </w:p>
          <w:p w14:paraId="042594C2">
            <w:pPr>
              <w:shd w:val="clear" w:color="auto" w:fill="auto"/>
              <w:rPr>
                <w:color w:val="auto"/>
                <w:highlight w:val="none"/>
              </w:rPr>
            </w:pPr>
            <w:r>
              <w:rPr>
                <w:rFonts w:hint="eastAsia" w:cs="Times New Roman"/>
                <w:color w:val="auto"/>
                <w:highlight w:val="none"/>
                <w:lang w:val="en-US" w:eastAsia="zh-CN"/>
              </w:rPr>
              <w:t>12</w:t>
            </w:r>
            <w:r>
              <w:rPr>
                <w:rFonts w:hint="eastAsia" w:cs="Times New Roman"/>
                <w:color w:val="auto"/>
                <w:highlight w:val="none"/>
              </w:rPr>
              <w:t>.</w:t>
            </w:r>
            <w:r>
              <w:rPr>
                <w:rFonts w:cs="Times New Roman"/>
                <w:color w:val="auto"/>
                <w:highlight w:val="none"/>
              </w:rPr>
              <w:t>拒绝列入失信被执行人、</w:t>
            </w:r>
            <w:r>
              <w:rPr>
                <w:rFonts w:hint="eastAsia" w:cs="Times New Roman"/>
                <w:color w:val="auto"/>
                <w:highlight w:val="none"/>
                <w:lang w:eastAsia="zh-CN"/>
              </w:rPr>
              <w:t>重大税收违法失信主体</w:t>
            </w:r>
            <w:r>
              <w:rPr>
                <w:rFonts w:cs="Times New Roman"/>
                <w:color w:val="auto"/>
                <w:highlight w:val="none"/>
              </w:rPr>
              <w:t>、政府采购严重违法失信行为记录名单的</w:t>
            </w:r>
            <w:r>
              <w:rPr>
                <w:rFonts w:hint="eastAsia" w:cs="Times New Roman"/>
                <w:color w:val="auto"/>
                <w:highlight w:val="none"/>
                <w:lang w:eastAsia="zh-CN"/>
              </w:rPr>
              <w:t>投标人</w:t>
            </w:r>
            <w:r>
              <w:rPr>
                <w:rFonts w:cs="Times New Roman"/>
                <w:color w:val="auto"/>
                <w:highlight w:val="none"/>
              </w:rPr>
              <w:t>参与政府采购活动。</w:t>
            </w:r>
            <w:r>
              <w:rPr>
                <w:rFonts w:hint="eastAsia" w:cs="Times New Roman"/>
                <w:color w:val="auto"/>
                <w:highlight w:val="none"/>
                <w:lang w:eastAsia="zh-CN"/>
              </w:rPr>
              <w:t>采购人、</w:t>
            </w:r>
            <w:r>
              <w:rPr>
                <w:rFonts w:cs="Times New Roman"/>
                <w:color w:val="auto"/>
                <w:highlight w:val="none"/>
              </w:rPr>
              <w:t>采购代理机构将在开标结束后，通过“中国政府采购网”、“信用中国”网站渠道查询</w:t>
            </w:r>
            <w:r>
              <w:rPr>
                <w:rFonts w:hint="eastAsia" w:cs="Times New Roman"/>
                <w:color w:val="auto"/>
                <w:highlight w:val="none"/>
                <w:lang w:eastAsia="zh-CN"/>
              </w:rPr>
              <w:t>投标人</w:t>
            </w:r>
            <w:r>
              <w:rPr>
                <w:rFonts w:cs="Times New Roman"/>
                <w:color w:val="auto"/>
                <w:highlight w:val="none"/>
              </w:rPr>
              <w:t>信用记录并保存。</w:t>
            </w:r>
          </w:p>
        </w:tc>
      </w:tr>
      <w:tr w14:paraId="14B07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tcBorders>
              <w:top w:val="single" w:color="auto" w:sz="4" w:space="0"/>
              <w:left w:val="single" w:color="auto" w:sz="4" w:space="0"/>
              <w:bottom w:val="single" w:color="auto" w:sz="4" w:space="0"/>
              <w:right w:val="single" w:color="auto" w:sz="4" w:space="0"/>
            </w:tcBorders>
            <w:noWrap/>
            <w:vAlign w:val="center"/>
          </w:tcPr>
          <w:p w14:paraId="78EAF26D">
            <w:pPr>
              <w:shd w:val="clear"/>
              <w:jc w:val="center"/>
              <w:rPr>
                <w:color w:val="auto"/>
                <w:highlight w:val="none"/>
              </w:rPr>
            </w:pPr>
            <w:r>
              <w:rPr>
                <w:color w:val="auto"/>
                <w:highlight w:val="none"/>
              </w:rPr>
              <w:t>7</w:t>
            </w:r>
          </w:p>
        </w:tc>
        <w:tc>
          <w:tcPr>
            <w:tcW w:w="1521" w:type="dxa"/>
            <w:tcBorders>
              <w:top w:val="single" w:color="auto" w:sz="4" w:space="0"/>
              <w:left w:val="single" w:color="auto" w:sz="4" w:space="0"/>
              <w:bottom w:val="single" w:color="auto" w:sz="4" w:space="0"/>
              <w:right w:val="single" w:color="auto" w:sz="4" w:space="0"/>
            </w:tcBorders>
            <w:noWrap/>
            <w:vAlign w:val="center"/>
          </w:tcPr>
          <w:p w14:paraId="2638D3D4">
            <w:pPr>
              <w:shd w:val="clear"/>
              <w:jc w:val="center"/>
              <w:rPr>
                <w:color w:val="auto"/>
                <w:highlight w:val="none"/>
              </w:rPr>
            </w:pPr>
            <w:r>
              <w:rPr>
                <w:color w:val="auto"/>
                <w:highlight w:val="none"/>
              </w:rPr>
              <w:t>是否接受联合体投标</w:t>
            </w: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3883DEE6">
            <w:pPr>
              <w:shd w:val="clear"/>
              <w:rPr>
                <w:color w:val="auto"/>
                <w:highlight w:val="none"/>
              </w:rPr>
            </w:pPr>
            <w:r>
              <w:rPr>
                <w:color w:val="auto"/>
                <w:highlight w:val="none"/>
              </w:rPr>
              <w:sym w:font="Wingdings 2" w:char="0052"/>
            </w:r>
            <w:r>
              <w:rPr>
                <w:color w:val="auto"/>
                <w:highlight w:val="none"/>
              </w:rPr>
              <w:t>不接受</w:t>
            </w:r>
          </w:p>
          <w:p w14:paraId="7932705C">
            <w:pPr>
              <w:shd w:val="clear"/>
              <w:rPr>
                <w:color w:val="auto"/>
                <w:highlight w:val="none"/>
              </w:rPr>
            </w:pPr>
            <w:r>
              <w:rPr>
                <w:color w:val="auto"/>
                <w:highlight w:val="none"/>
              </w:rPr>
              <w:sym w:font="Wingdings 2" w:char="00A3"/>
            </w:r>
            <w:r>
              <w:rPr>
                <w:color w:val="auto"/>
                <w:highlight w:val="none"/>
              </w:rPr>
              <w:t>接受（接受联合体投标且投标人为联合体的，投标人应提供联合体协议；否则无须提供。）</w:t>
            </w:r>
          </w:p>
        </w:tc>
      </w:tr>
      <w:tr w14:paraId="0B0DC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tcBorders>
              <w:top w:val="single" w:color="auto" w:sz="4" w:space="0"/>
              <w:left w:val="single" w:color="auto" w:sz="4" w:space="0"/>
              <w:bottom w:val="single" w:color="auto" w:sz="4" w:space="0"/>
              <w:right w:val="single" w:color="auto" w:sz="4" w:space="0"/>
            </w:tcBorders>
            <w:noWrap/>
            <w:vAlign w:val="center"/>
          </w:tcPr>
          <w:p w14:paraId="6BCDD00B">
            <w:pPr>
              <w:shd w:val="clear"/>
              <w:jc w:val="center"/>
              <w:rPr>
                <w:color w:val="auto"/>
                <w:highlight w:val="none"/>
              </w:rPr>
            </w:pPr>
            <w:r>
              <w:rPr>
                <w:color w:val="auto"/>
                <w:highlight w:val="none"/>
              </w:rPr>
              <w:t>8</w:t>
            </w:r>
          </w:p>
        </w:tc>
        <w:tc>
          <w:tcPr>
            <w:tcW w:w="1521" w:type="dxa"/>
            <w:tcBorders>
              <w:top w:val="single" w:color="auto" w:sz="4" w:space="0"/>
              <w:left w:val="single" w:color="auto" w:sz="4" w:space="0"/>
              <w:bottom w:val="single" w:color="auto" w:sz="4" w:space="0"/>
              <w:right w:val="single" w:color="auto" w:sz="4" w:space="0"/>
            </w:tcBorders>
            <w:noWrap/>
            <w:vAlign w:val="center"/>
          </w:tcPr>
          <w:p w14:paraId="6FA302BB">
            <w:pPr>
              <w:shd w:val="clear"/>
              <w:jc w:val="center"/>
              <w:rPr>
                <w:color w:val="auto"/>
                <w:highlight w:val="none"/>
              </w:rPr>
            </w:pPr>
            <w:r>
              <w:rPr>
                <w:color w:val="auto"/>
                <w:highlight w:val="none"/>
              </w:rPr>
              <w:t>采购标的对应的中小企业划分标准所属行业</w:t>
            </w: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7B7DF4F3">
            <w:pPr>
              <w:shd w:val="clea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所属行业：</w:t>
            </w:r>
            <w:r>
              <w:rPr>
                <w:rFonts w:hint="eastAsia"/>
                <w:color w:val="000000" w:themeColor="text1"/>
                <w:highlight w:val="none"/>
                <w:u w:val="single"/>
                <w:lang w:val="en-US" w:eastAsia="zh-CN"/>
                <w14:textFill>
                  <w14:solidFill>
                    <w14:schemeClr w14:val="tx1"/>
                  </w14:solidFill>
                </w14:textFill>
              </w:rPr>
              <w:t>批发</w:t>
            </w:r>
            <w:r>
              <w:rPr>
                <w:rFonts w:hint="eastAsia"/>
                <w:color w:val="000000" w:themeColor="text1"/>
                <w:highlight w:val="none"/>
                <w:u w:val="single"/>
                <w14:textFill>
                  <w14:solidFill>
                    <w14:schemeClr w14:val="tx1"/>
                  </w14:solidFill>
                </w14:textFill>
              </w:rPr>
              <w:t>业</w:t>
            </w:r>
            <w:r>
              <w:rPr>
                <w:rFonts w:hint="eastAsia"/>
                <w:color w:val="000000" w:themeColor="text1"/>
                <w:highlight w:val="none"/>
                <w14:textFill>
                  <w14:solidFill>
                    <w14:schemeClr w14:val="tx1"/>
                  </w14:solidFill>
                </w14:textFill>
              </w:rPr>
              <w:t>。</w:t>
            </w:r>
          </w:p>
          <w:p w14:paraId="5ED3ED31">
            <w:pPr>
              <w:shd w:val="clear"/>
              <w:rPr>
                <w:color w:val="auto"/>
                <w:highlight w:val="none"/>
              </w:rPr>
            </w:pPr>
            <w:r>
              <w:rPr>
                <w:rFonts w:hint="eastAsia"/>
                <w:color w:val="auto"/>
                <w:highlight w:val="none"/>
              </w:rPr>
              <w:t>中小企业划分标准</w:t>
            </w:r>
            <w:r>
              <w:rPr>
                <w:rFonts w:hint="eastAsia"/>
                <w:color w:val="auto"/>
                <w:highlight w:val="none"/>
                <w:lang w:eastAsia="zh-CN"/>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tc>
      </w:tr>
      <w:tr w14:paraId="3212D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tcBorders>
              <w:top w:val="single" w:color="auto" w:sz="4" w:space="0"/>
              <w:left w:val="single" w:color="auto" w:sz="4" w:space="0"/>
              <w:bottom w:val="single" w:color="auto" w:sz="4" w:space="0"/>
              <w:right w:val="single" w:color="auto" w:sz="4" w:space="0"/>
            </w:tcBorders>
            <w:noWrap/>
            <w:vAlign w:val="center"/>
          </w:tcPr>
          <w:p w14:paraId="6A9A731E">
            <w:pPr>
              <w:shd w:val="clear"/>
              <w:jc w:val="center"/>
              <w:rPr>
                <w:color w:val="auto"/>
                <w:highlight w:val="none"/>
              </w:rPr>
            </w:pPr>
            <w:r>
              <w:rPr>
                <w:color w:val="auto"/>
                <w:highlight w:val="none"/>
              </w:rPr>
              <w:t>9</w:t>
            </w:r>
          </w:p>
        </w:tc>
        <w:tc>
          <w:tcPr>
            <w:tcW w:w="1521" w:type="dxa"/>
            <w:tcBorders>
              <w:top w:val="single" w:color="auto" w:sz="4" w:space="0"/>
              <w:left w:val="single" w:color="auto" w:sz="4" w:space="0"/>
              <w:bottom w:val="single" w:color="auto" w:sz="4" w:space="0"/>
              <w:right w:val="single" w:color="auto" w:sz="4" w:space="0"/>
            </w:tcBorders>
            <w:noWrap/>
            <w:vAlign w:val="center"/>
          </w:tcPr>
          <w:p w14:paraId="5FDEC752">
            <w:pPr>
              <w:shd w:val="clear"/>
              <w:jc w:val="center"/>
              <w:rPr>
                <w:color w:val="auto"/>
                <w:highlight w:val="none"/>
              </w:rPr>
            </w:pPr>
            <w:r>
              <w:rPr>
                <w:color w:val="auto"/>
                <w:highlight w:val="none"/>
              </w:rPr>
              <w:t>非主体、非关键性工作分包</w:t>
            </w:r>
          </w:p>
        </w:tc>
        <w:tc>
          <w:tcPr>
            <w:tcW w:w="7204" w:type="dxa"/>
            <w:gridSpan w:val="2"/>
            <w:tcBorders>
              <w:top w:val="single" w:color="auto" w:sz="4" w:space="0"/>
              <w:left w:val="single" w:color="auto" w:sz="4" w:space="0"/>
              <w:bottom w:val="single" w:color="auto" w:sz="4" w:space="0"/>
              <w:right w:val="single" w:color="auto" w:sz="4" w:space="0"/>
            </w:tcBorders>
            <w:noWrap/>
            <w:vAlign w:val="center"/>
          </w:tcPr>
          <w:p w14:paraId="353BF41B">
            <w:pPr>
              <w:shd w:val="clear"/>
              <w:rPr>
                <w:color w:val="auto"/>
                <w:highlight w:val="none"/>
              </w:rPr>
            </w:pPr>
            <w:r>
              <w:rPr>
                <w:color w:val="auto"/>
                <w:highlight w:val="none"/>
              </w:rPr>
              <w:t>是否允许中标人将本项目的非主体、非关键性工作进行分包：</w:t>
            </w:r>
          </w:p>
          <w:p w14:paraId="7464480E">
            <w:pPr>
              <w:shd w:val="clear"/>
              <w:rPr>
                <w:rFonts w:hint="eastAsia"/>
                <w:b/>
                <w:bCs/>
                <w:color w:val="auto"/>
                <w:highlight w:val="none"/>
                <w:lang w:eastAsia="zh-CN"/>
              </w:rPr>
            </w:pPr>
            <w:r>
              <w:rPr>
                <w:rFonts w:hint="eastAsia"/>
                <w:b/>
                <w:bCs/>
                <w:color w:val="auto"/>
                <w:highlight w:val="none"/>
                <w:lang w:eastAsia="zh-CN"/>
              </w:rPr>
              <w:t>☑</w:t>
            </w:r>
            <w:r>
              <w:rPr>
                <w:b/>
                <w:bCs/>
                <w:color w:val="auto"/>
                <w:highlight w:val="none"/>
              </w:rPr>
              <w:t>允许</w:t>
            </w:r>
            <w:r>
              <w:rPr>
                <w:rFonts w:hint="eastAsia"/>
                <w:b/>
                <w:bCs/>
                <w:color w:val="auto"/>
                <w:highlight w:val="none"/>
                <w:lang w:eastAsia="zh-CN"/>
              </w:rPr>
              <w:t>：</w:t>
            </w:r>
          </w:p>
          <w:p w14:paraId="68871A20">
            <w:pPr>
              <w:shd w:val="clear" w:color="auto" w:fill="auto"/>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lang w:val="en-US" w:eastAsia="zh-CN"/>
              </w:rPr>
              <w:t>本项目</w:t>
            </w:r>
            <w:r>
              <w:rPr>
                <w:rFonts w:hint="eastAsia" w:ascii="宋体" w:hAnsi="宋体" w:eastAsia="宋体" w:cs="宋体"/>
                <w:b w:val="0"/>
                <w:bCs w:val="0"/>
                <w:color w:val="auto"/>
                <w:sz w:val="21"/>
                <w:szCs w:val="21"/>
                <w:highlight w:val="none"/>
                <w:u w:val="none"/>
                <w:lang w:val="en-US" w:eastAsia="zh-CN"/>
              </w:rPr>
              <w:t>属于面向中小企业预留采购份额项目，预留份额通过获得采购合同的投标人将采购项目中的一定比例分包给一家或者多家中小企业进行，</w:t>
            </w:r>
            <w:r>
              <w:rPr>
                <w:rFonts w:hint="eastAsia" w:ascii="宋体" w:hAnsi="宋体" w:eastAsia="宋体" w:cs="宋体"/>
                <w:b/>
                <w:bCs/>
                <w:color w:val="auto"/>
                <w:sz w:val="21"/>
                <w:szCs w:val="21"/>
                <w:highlight w:val="none"/>
                <w:u w:val="none"/>
                <w:lang w:val="en-US" w:eastAsia="zh-CN"/>
              </w:rPr>
              <w:t>本分包意向协议中预留给中小企业的金额应当不低于总金额的30%，其中预留给小微企业的比例不低于60%。</w:t>
            </w:r>
            <w:r>
              <w:rPr>
                <w:rFonts w:hint="eastAsia" w:ascii="宋体" w:hAnsi="宋体" w:eastAsia="宋体" w:cs="宋体"/>
                <w:b w:val="0"/>
                <w:bCs w:val="0"/>
                <w:color w:val="auto"/>
                <w:sz w:val="21"/>
                <w:szCs w:val="21"/>
                <w:highlight w:val="none"/>
                <w:u w:val="none"/>
                <w:lang w:val="en-US" w:eastAsia="zh-CN"/>
              </w:rPr>
              <w:t>接受分包合同的中小企业和分包企业之间不得存在单位负责人为同一人或者存在直接控股、管理关系。</w:t>
            </w:r>
            <w:r>
              <w:rPr>
                <w:rFonts w:hint="eastAsia" w:ascii="宋体" w:hAnsi="宋体" w:eastAsia="宋体" w:cs="宋体"/>
                <w:b/>
                <w:bCs/>
                <w:color w:val="auto"/>
                <w:sz w:val="21"/>
                <w:szCs w:val="21"/>
                <w:highlight w:val="none"/>
                <w:u w:val="none"/>
                <w:lang w:val="en-US" w:eastAsia="zh-CN"/>
              </w:rPr>
              <w:t>应提供明确以上事项的《分包意向协议》和《中小企业声明函》。</w:t>
            </w:r>
          </w:p>
          <w:p w14:paraId="11D9715E">
            <w:pPr>
              <w:shd w:val="clear" w:color="auto" w:fill="auto"/>
              <w:rPr>
                <w:rFonts w:hint="eastAsia" w:cs="Times New Roman"/>
                <w:b/>
                <w:bCs/>
                <w:color w:val="auto"/>
                <w:highlight w:val="none"/>
                <w:lang w:eastAsia="zh-CN"/>
              </w:rPr>
            </w:pPr>
            <w:r>
              <w:rPr>
                <w:rFonts w:hint="eastAsia" w:cs="Times New Roman"/>
                <w:b/>
                <w:bCs/>
                <w:color w:val="auto"/>
                <w:highlight w:val="none"/>
              </w:rPr>
              <w:t>如果供应商为大型企业，应预留给小微企业，且比例不低于30%。如果供应商为中型企业，预留给小微企业的比例不低于18%。如果供应商为小微企业，视同符合本条资格条件，则不得再进行分包。</w:t>
            </w:r>
            <w:r>
              <w:rPr>
                <w:rFonts w:hint="eastAsia" w:cs="Times New Roman"/>
                <w:b/>
                <w:bCs/>
                <w:color w:val="auto"/>
                <w:highlight w:val="none"/>
                <w:lang w:eastAsia="zh-CN"/>
              </w:rPr>
              <w:t>应</w:t>
            </w:r>
            <w:r>
              <w:rPr>
                <w:rFonts w:hint="eastAsia" w:cs="Times New Roman"/>
                <w:b/>
                <w:bCs/>
                <w:color w:val="auto"/>
                <w:highlight w:val="none"/>
              </w:rPr>
              <w:t>提供明确以上事项的《中小企业声明函》</w:t>
            </w:r>
            <w:r>
              <w:rPr>
                <w:rFonts w:hint="eastAsia" w:cs="Times New Roman"/>
                <w:b/>
                <w:bCs/>
                <w:color w:val="auto"/>
                <w:highlight w:val="none"/>
                <w:lang w:eastAsia="zh-CN"/>
              </w:rPr>
              <w:t>。</w:t>
            </w:r>
          </w:p>
          <w:p w14:paraId="63A724A7">
            <w:pPr>
              <w:shd w:val="clear" w:color="auto" w:fill="auto"/>
              <w:rPr>
                <w:rFonts w:hint="eastAsia" w:ascii="宋体" w:hAnsi="宋体" w:eastAsia="宋体" w:cs="宋体"/>
                <w:b w:val="0"/>
                <w:bCs w:val="0"/>
                <w:sz w:val="21"/>
                <w:szCs w:val="21"/>
                <w:highlight w:val="none"/>
                <w:u w:val="none"/>
                <w:lang w:val="en-US" w:eastAsia="zh-CN"/>
              </w:rPr>
            </w:pPr>
            <w:r>
              <w:rPr>
                <w:rFonts w:hint="eastAsia" w:cs="Times New Roman"/>
                <w:b w:val="0"/>
                <w:bCs w:val="0"/>
                <w:color w:val="auto"/>
                <w:highlight w:val="none"/>
              </w:rPr>
              <w:t>监狱企业视同小型、微型企业，提供由省级以上监狱管理局、戒毒管理局（含新疆生产建设兵团）出具的属于监狱企业的证明文件；残疾人福利性单位视同小型、微型企业，提供《残疾人福利性单位声明函》。</w:t>
            </w:r>
          </w:p>
          <w:p w14:paraId="7B903D36">
            <w:pPr>
              <w:shd w:val="clear" w:color="auto" w:fill="auto"/>
              <w:rPr>
                <w:rFonts w:hint="eastAsia" w:eastAsia="宋体"/>
                <w:color w:val="auto"/>
                <w:highlight w:val="none"/>
                <w:lang w:eastAsia="zh-CN"/>
              </w:rPr>
            </w:pPr>
            <w:r>
              <w:rPr>
                <w:rFonts w:hint="eastAsia" w:cs="Times New Roman"/>
                <w:b w:val="0"/>
                <w:bCs w:val="0"/>
                <w:color w:val="auto"/>
                <w:highlight w:val="none"/>
                <w:lang w:val="en-US" w:eastAsia="zh-CN"/>
              </w:rPr>
              <w:t>本项目采购标的对应的中小企业划分标准所属行业为：</w:t>
            </w:r>
            <w:r>
              <w:rPr>
                <w:rFonts w:hint="eastAsia" w:cs="Times New Roman"/>
                <w:b/>
                <w:bCs/>
                <w:color w:val="auto"/>
                <w:highlight w:val="none"/>
                <w:lang w:val="en-US" w:eastAsia="zh-CN"/>
              </w:rPr>
              <w:t>批发业。</w:t>
            </w:r>
          </w:p>
        </w:tc>
      </w:tr>
      <w:tr w14:paraId="4FF5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0457B4C3">
            <w:pPr>
              <w:shd w:val="clear"/>
              <w:jc w:val="center"/>
              <w:rPr>
                <w:color w:val="auto"/>
                <w:highlight w:val="none"/>
              </w:rPr>
            </w:pPr>
            <w:r>
              <w:rPr>
                <w:color w:val="auto"/>
                <w:highlight w:val="none"/>
              </w:rPr>
              <w:t>10</w:t>
            </w:r>
          </w:p>
        </w:tc>
        <w:tc>
          <w:tcPr>
            <w:tcW w:w="1521" w:type="dxa"/>
            <w:noWrap/>
            <w:vAlign w:val="center"/>
          </w:tcPr>
          <w:p w14:paraId="038EC604">
            <w:pPr>
              <w:shd w:val="clear"/>
              <w:jc w:val="center"/>
              <w:rPr>
                <w:color w:val="auto"/>
                <w:highlight w:val="none"/>
              </w:rPr>
            </w:pPr>
            <w:r>
              <w:rPr>
                <w:color w:val="auto"/>
                <w:highlight w:val="none"/>
              </w:rPr>
              <w:t>核心产品</w:t>
            </w:r>
          </w:p>
        </w:tc>
        <w:tc>
          <w:tcPr>
            <w:tcW w:w="7204" w:type="dxa"/>
            <w:gridSpan w:val="2"/>
            <w:noWrap/>
            <w:vAlign w:val="center"/>
          </w:tcPr>
          <w:p w14:paraId="04BBE7BA">
            <w:pPr>
              <w:shd w:val="clear"/>
              <w:rPr>
                <w:color w:val="auto"/>
                <w:highlight w:val="none"/>
              </w:rPr>
            </w:pPr>
            <w:r>
              <w:rPr>
                <w:color w:val="auto"/>
                <w:highlight w:val="none"/>
              </w:rPr>
              <w:t>货物类项目填写此栏</w:t>
            </w:r>
          </w:p>
          <w:p w14:paraId="29586828">
            <w:pPr>
              <w:shd w:val="clear"/>
              <w:rPr>
                <w:color w:val="auto"/>
                <w:highlight w:val="none"/>
              </w:rPr>
            </w:pPr>
            <w:r>
              <w:rPr>
                <w:color w:val="auto"/>
                <w:highlight w:val="none"/>
              </w:rPr>
              <w:sym w:font="Wingdings 2" w:char="0052"/>
            </w:r>
            <w:r>
              <w:rPr>
                <w:color w:val="auto"/>
                <w:highlight w:val="none"/>
              </w:rPr>
              <w:t>无</w:t>
            </w:r>
          </w:p>
          <w:p w14:paraId="5CEE0A53">
            <w:pPr>
              <w:shd w:val="clear"/>
              <w:rPr>
                <w:color w:val="auto"/>
                <w:highlight w:val="none"/>
              </w:rPr>
            </w:pPr>
            <w:r>
              <w:rPr>
                <w:color w:val="auto"/>
                <w:highlight w:val="none"/>
              </w:rPr>
              <w:sym w:font="Wingdings 2" w:char="F0A3"/>
            </w:r>
            <w:r>
              <w:rPr>
                <w:color w:val="auto"/>
                <w:highlight w:val="none"/>
              </w:rPr>
              <w:t>有</w:t>
            </w:r>
          </w:p>
          <w:p w14:paraId="69A58E61">
            <w:pPr>
              <w:shd w:val="clear"/>
              <w:rPr>
                <w:color w:val="auto"/>
                <w:highlight w:val="none"/>
                <w:u w:val="single"/>
              </w:rPr>
            </w:pPr>
            <w:r>
              <w:rPr>
                <w:color w:val="auto"/>
                <w:highlight w:val="none"/>
              </w:rPr>
              <w:t>产品名称：</w:t>
            </w:r>
          </w:p>
          <w:p w14:paraId="50063DF4">
            <w:pPr>
              <w:shd w:val="clear"/>
              <w:rPr>
                <w:color w:val="auto"/>
                <w:highlight w:val="none"/>
                <w:lang w:val="zh-CN"/>
              </w:rPr>
            </w:pPr>
            <w:r>
              <w:rPr>
                <w:color w:val="auto"/>
                <w:highlight w:val="none"/>
                <w:lang w:val="zh-CN"/>
              </w:rPr>
              <w:t>采用最低评标价法的采购项目，提供相同品牌产品的不同投标人参加同一合同项下投标的，以其中通过资格审查、符合性审查且报价最低的参加评标；报价相同的，由采购人或者采购人委托评标委员会按照的方式确定一个参加评标的投标人，招标文件未规定的采取随机抽取方式确定，其他投标无效。</w:t>
            </w:r>
          </w:p>
          <w:p w14:paraId="08A5D575">
            <w:pPr>
              <w:shd w:val="clear"/>
              <w:rPr>
                <w:color w:val="auto"/>
                <w:highlight w:val="none"/>
                <w:u w:val="single"/>
              </w:rPr>
            </w:pPr>
            <w:r>
              <w:rPr>
                <w:color w:val="auto"/>
                <w:highlight w:val="none"/>
                <w:lang w:val="zh-CN"/>
              </w:rPr>
              <w:t>采用综合评分法的采购项目，多家投标人提供的核心产品品牌相同，且通过资格审查、符合性审查的，按一家投标人计算，评审后得分最高的同品牌投标人获得中标人推荐资格，（</w:t>
            </w:r>
            <w:r>
              <w:rPr>
                <w:color w:val="auto"/>
                <w:highlight w:val="none"/>
              </w:rPr>
              <w:t>评审得分相同的，由采购人或者采购人委托评标委员会按照的方式确定一个投标人获得中标人推荐资格，招标文件未规定的采取随机抽取方式确定</w:t>
            </w:r>
            <w:r>
              <w:rPr>
                <w:color w:val="auto"/>
                <w:highlight w:val="none"/>
                <w:lang w:val="zh-CN"/>
              </w:rPr>
              <w:t>），其他同品牌投标人不作为中标候选人。</w:t>
            </w:r>
          </w:p>
        </w:tc>
      </w:tr>
      <w:tr w14:paraId="05409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306DFA84">
            <w:pPr>
              <w:shd w:val="clear"/>
              <w:jc w:val="center"/>
              <w:rPr>
                <w:color w:val="auto"/>
                <w:highlight w:val="none"/>
              </w:rPr>
            </w:pPr>
            <w:r>
              <w:rPr>
                <w:color w:val="auto"/>
                <w:highlight w:val="none"/>
              </w:rPr>
              <w:t>11</w:t>
            </w:r>
          </w:p>
        </w:tc>
        <w:tc>
          <w:tcPr>
            <w:tcW w:w="1521" w:type="dxa"/>
            <w:noWrap/>
            <w:vAlign w:val="center"/>
          </w:tcPr>
          <w:p w14:paraId="6DD379D9">
            <w:pPr>
              <w:shd w:val="clear"/>
              <w:jc w:val="center"/>
              <w:rPr>
                <w:color w:val="auto"/>
                <w:highlight w:val="none"/>
              </w:rPr>
            </w:pPr>
            <w:r>
              <w:rPr>
                <w:color w:val="auto"/>
                <w:highlight w:val="none"/>
              </w:rPr>
              <w:t>采购进口产品</w:t>
            </w:r>
          </w:p>
        </w:tc>
        <w:tc>
          <w:tcPr>
            <w:tcW w:w="7204" w:type="dxa"/>
            <w:gridSpan w:val="2"/>
            <w:noWrap/>
            <w:vAlign w:val="center"/>
          </w:tcPr>
          <w:p w14:paraId="3871293C">
            <w:pPr>
              <w:shd w:val="clear"/>
              <w:rPr>
                <w:color w:val="auto"/>
                <w:highlight w:val="none"/>
              </w:rPr>
            </w:pPr>
            <w:r>
              <w:rPr>
                <w:color w:val="auto"/>
                <w:highlight w:val="none"/>
              </w:rPr>
              <w:sym w:font="Wingdings 2" w:char="0052"/>
            </w:r>
            <w:r>
              <w:rPr>
                <w:color w:val="auto"/>
                <w:highlight w:val="none"/>
              </w:rPr>
              <w:t>本采购项目拒绝进口产品参加投标</w:t>
            </w:r>
          </w:p>
          <w:p w14:paraId="6FC81756">
            <w:pPr>
              <w:shd w:val="clear"/>
              <w:rPr>
                <w:color w:val="auto"/>
                <w:highlight w:val="none"/>
              </w:rPr>
            </w:pPr>
            <w:r>
              <w:rPr>
                <w:rFonts w:hint="eastAsia"/>
                <w:color w:val="auto"/>
                <w:highlight w:val="none"/>
                <w:lang w:eastAsia="zh-CN"/>
              </w:rPr>
              <w:t>□</w:t>
            </w:r>
            <w:r>
              <w:rPr>
                <w:color w:val="auto"/>
                <w:highlight w:val="none"/>
              </w:rPr>
              <w:t>本采购项目已经财政部审核同意购买进口产品</w:t>
            </w:r>
          </w:p>
          <w:p w14:paraId="76416E58">
            <w:pPr>
              <w:shd w:val="clear"/>
              <w:rPr>
                <w:color w:val="auto"/>
                <w:highlight w:val="none"/>
              </w:rPr>
            </w:pPr>
            <w:r>
              <w:rPr>
                <w:rFonts w:hint="eastAsia"/>
                <w:color w:val="auto"/>
                <w:highlight w:val="none"/>
                <w:lang w:eastAsia="zh-CN"/>
              </w:rPr>
              <w:t>□</w:t>
            </w:r>
            <w:r>
              <w:rPr>
                <w:color w:val="auto"/>
                <w:highlight w:val="none"/>
              </w:rPr>
              <w:t>其他____________</w:t>
            </w:r>
          </w:p>
        </w:tc>
      </w:tr>
      <w:tr w14:paraId="21C05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3A6DA61D">
            <w:pPr>
              <w:shd w:val="clear"/>
              <w:jc w:val="center"/>
              <w:rPr>
                <w:color w:val="auto"/>
                <w:highlight w:val="none"/>
              </w:rPr>
            </w:pPr>
            <w:r>
              <w:rPr>
                <w:color w:val="auto"/>
                <w:highlight w:val="none"/>
              </w:rPr>
              <w:t>12</w:t>
            </w:r>
          </w:p>
        </w:tc>
        <w:tc>
          <w:tcPr>
            <w:tcW w:w="1521" w:type="dxa"/>
            <w:noWrap/>
            <w:vAlign w:val="center"/>
          </w:tcPr>
          <w:p w14:paraId="3710BAB6">
            <w:pPr>
              <w:shd w:val="clear"/>
              <w:jc w:val="center"/>
              <w:rPr>
                <w:b/>
                <w:color w:val="auto"/>
                <w:highlight w:val="none"/>
              </w:rPr>
            </w:pPr>
            <w:r>
              <w:rPr>
                <w:color w:val="auto"/>
                <w:highlight w:val="none"/>
              </w:rPr>
              <w:t>信息发布媒体</w:t>
            </w:r>
          </w:p>
        </w:tc>
        <w:tc>
          <w:tcPr>
            <w:tcW w:w="7204" w:type="dxa"/>
            <w:gridSpan w:val="2"/>
            <w:noWrap/>
            <w:vAlign w:val="center"/>
          </w:tcPr>
          <w:p w14:paraId="50AAC923">
            <w:pPr>
              <w:shd w:val="clear"/>
              <w:rPr>
                <w:rFonts w:hint="eastAsia" w:ascii="Times New Roman" w:hAnsi="Times New Roman" w:eastAsia="宋体"/>
                <w:color w:val="auto"/>
                <w:szCs w:val="21"/>
                <w:highlight w:val="none"/>
                <w:lang w:eastAsia="zh-CN"/>
              </w:rPr>
            </w:pPr>
            <w:r>
              <w:rPr>
                <w:rFonts w:hint="eastAsia" w:ascii="宋体" w:hAnsi="宋体" w:cs="宋体"/>
                <w:kern w:val="0"/>
                <w:szCs w:val="21"/>
                <w:highlight w:val="none"/>
              </w:rPr>
              <w:t>中国政府采购网（</w:t>
            </w:r>
            <w:r>
              <w:rPr>
                <w:rFonts w:hint="eastAsia" w:ascii="宋体" w:hAnsi="宋体" w:cs="宋体"/>
                <w:kern w:val="0"/>
                <w:szCs w:val="21"/>
                <w:highlight w:val="none"/>
              </w:rPr>
              <w:fldChar w:fldCharType="begin"/>
            </w:r>
            <w:r>
              <w:rPr>
                <w:rFonts w:hint="eastAsia" w:ascii="宋体" w:hAnsi="宋体" w:cs="宋体"/>
                <w:kern w:val="0"/>
                <w:szCs w:val="21"/>
                <w:highlight w:val="none"/>
              </w:rPr>
              <w:instrText xml:space="preserve"> HYPERLINK "http://www.ccgp.gov.cn" </w:instrText>
            </w:r>
            <w:r>
              <w:rPr>
                <w:rFonts w:hint="eastAsia" w:ascii="宋体" w:hAnsi="宋体" w:cs="宋体"/>
                <w:kern w:val="0"/>
                <w:szCs w:val="21"/>
                <w:highlight w:val="none"/>
              </w:rPr>
              <w:fldChar w:fldCharType="separate"/>
            </w:r>
            <w:r>
              <w:rPr>
                <w:rFonts w:hint="eastAsia" w:ascii="宋体" w:hAnsi="宋体" w:cs="宋体"/>
                <w:kern w:val="0"/>
                <w:szCs w:val="21"/>
                <w:highlight w:val="none"/>
              </w:rPr>
              <w:t>www.ccgp.gov.cn</w:t>
            </w:r>
            <w:r>
              <w:rPr>
                <w:rFonts w:hint="eastAsia" w:ascii="宋体" w:hAnsi="宋体" w:cs="宋体"/>
                <w:kern w:val="0"/>
                <w:szCs w:val="21"/>
                <w:highlight w:val="none"/>
              </w:rPr>
              <w:fldChar w:fldCharType="end"/>
            </w:r>
            <w:r>
              <w:rPr>
                <w:rFonts w:hint="eastAsia" w:ascii="宋体" w:hAnsi="宋体" w:cs="宋体"/>
                <w:kern w:val="0"/>
                <w:szCs w:val="21"/>
                <w:highlight w:val="none"/>
              </w:rPr>
              <w:t>）</w:t>
            </w:r>
          </w:p>
        </w:tc>
      </w:tr>
      <w:tr w14:paraId="634E6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3EA27D4E">
            <w:pPr>
              <w:shd w:val="clear"/>
              <w:jc w:val="center"/>
              <w:rPr>
                <w:color w:val="auto"/>
                <w:highlight w:val="none"/>
              </w:rPr>
            </w:pPr>
            <w:r>
              <w:rPr>
                <w:color w:val="auto"/>
                <w:highlight w:val="none"/>
              </w:rPr>
              <w:t>13</w:t>
            </w:r>
          </w:p>
        </w:tc>
        <w:tc>
          <w:tcPr>
            <w:tcW w:w="1521" w:type="dxa"/>
            <w:noWrap/>
            <w:vAlign w:val="center"/>
          </w:tcPr>
          <w:p w14:paraId="6D3283CD">
            <w:pPr>
              <w:shd w:val="clear"/>
              <w:jc w:val="center"/>
              <w:rPr>
                <w:color w:val="auto"/>
                <w:highlight w:val="none"/>
              </w:rPr>
            </w:pPr>
            <w:r>
              <w:rPr>
                <w:color w:val="auto"/>
                <w:highlight w:val="none"/>
              </w:rPr>
              <w:t>获取招标文件</w:t>
            </w:r>
          </w:p>
          <w:p w14:paraId="43153A12">
            <w:pPr>
              <w:shd w:val="clear"/>
              <w:jc w:val="center"/>
              <w:rPr>
                <w:color w:val="auto"/>
                <w:highlight w:val="none"/>
              </w:rPr>
            </w:pPr>
            <w:r>
              <w:rPr>
                <w:color w:val="auto"/>
                <w:highlight w:val="none"/>
              </w:rPr>
              <w:t>时间、地点和</w:t>
            </w:r>
          </w:p>
          <w:p w14:paraId="784237C7">
            <w:pPr>
              <w:shd w:val="clear"/>
              <w:jc w:val="center"/>
              <w:rPr>
                <w:color w:val="auto"/>
                <w:highlight w:val="none"/>
              </w:rPr>
            </w:pPr>
            <w:r>
              <w:rPr>
                <w:color w:val="auto"/>
                <w:highlight w:val="none"/>
              </w:rPr>
              <w:t>方式等</w:t>
            </w:r>
          </w:p>
        </w:tc>
        <w:tc>
          <w:tcPr>
            <w:tcW w:w="7204" w:type="dxa"/>
            <w:gridSpan w:val="2"/>
            <w:noWrap/>
            <w:vAlign w:val="center"/>
          </w:tcPr>
          <w:p w14:paraId="2FAFDA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highlight w:val="none"/>
              </w:rPr>
            </w:pPr>
            <w:r>
              <w:rPr>
                <w:rFonts w:hint="eastAsia" w:ascii="宋体" w:hAnsi="宋体" w:cs="宋体"/>
                <w:kern w:val="0"/>
                <w:szCs w:val="21"/>
                <w:highlight w:val="none"/>
              </w:rPr>
              <w:t>1.时间：20</w:t>
            </w:r>
            <w:r>
              <w:rPr>
                <w:rFonts w:hint="eastAsia" w:ascii="宋体" w:hAnsi="宋体" w:cs="宋体"/>
                <w:kern w:val="0"/>
                <w:szCs w:val="21"/>
                <w:highlight w:val="none"/>
                <w:lang w:val="en-US" w:eastAsia="zh-CN"/>
              </w:rPr>
              <w:t>26</w:t>
            </w:r>
            <w:r>
              <w:rPr>
                <w:rFonts w:hint="eastAsia" w:ascii="宋体" w:hAnsi="宋体" w:cs="宋体"/>
                <w:kern w:val="0"/>
                <w:szCs w:val="21"/>
                <w:highlight w:val="none"/>
              </w:rPr>
              <w:t>年</w:t>
            </w:r>
            <w:r>
              <w:rPr>
                <w:rFonts w:hint="eastAsia" w:ascii="宋体" w:hAnsi="宋体" w:cs="宋体"/>
                <w:kern w:val="0"/>
                <w:szCs w:val="21"/>
                <w:highlight w:val="none"/>
                <w:lang w:val="en-US" w:eastAsia="zh-CN"/>
              </w:rPr>
              <w:t>9</w:t>
            </w:r>
            <w:r>
              <w:rPr>
                <w:rFonts w:hint="eastAsia" w:ascii="宋体" w:hAnsi="宋体" w:cs="宋体"/>
                <w:kern w:val="0"/>
                <w:szCs w:val="21"/>
                <w:highlight w:val="none"/>
              </w:rPr>
              <w:t>月</w:t>
            </w:r>
            <w:r>
              <w:rPr>
                <w:rFonts w:hint="eastAsia" w:ascii="宋体" w:hAnsi="宋体" w:cs="宋体"/>
                <w:kern w:val="0"/>
                <w:szCs w:val="21"/>
                <w:highlight w:val="none"/>
                <w:lang w:val="en-US" w:eastAsia="zh-CN"/>
              </w:rPr>
              <w:t>14</w:t>
            </w:r>
            <w:r>
              <w:rPr>
                <w:rFonts w:hint="eastAsia" w:ascii="宋体" w:hAnsi="宋体" w:cs="宋体"/>
                <w:kern w:val="0"/>
                <w:szCs w:val="21"/>
                <w:highlight w:val="none"/>
              </w:rPr>
              <w:t>日至202</w:t>
            </w:r>
            <w:r>
              <w:rPr>
                <w:rFonts w:hint="eastAsia" w:ascii="宋体" w:hAnsi="宋体" w:cs="宋体"/>
                <w:kern w:val="0"/>
                <w:szCs w:val="21"/>
                <w:highlight w:val="none"/>
                <w:lang w:val="en-US" w:eastAsia="zh-CN"/>
              </w:rPr>
              <w:t>6</w:t>
            </w:r>
            <w:r>
              <w:rPr>
                <w:rFonts w:hint="eastAsia" w:ascii="宋体" w:hAnsi="宋体" w:cs="宋体"/>
                <w:kern w:val="0"/>
                <w:szCs w:val="21"/>
                <w:highlight w:val="none"/>
              </w:rPr>
              <w:t>年</w:t>
            </w:r>
            <w:r>
              <w:rPr>
                <w:rFonts w:hint="eastAsia" w:ascii="宋体" w:hAnsi="宋体" w:cs="宋体"/>
                <w:kern w:val="0"/>
                <w:szCs w:val="21"/>
                <w:highlight w:val="none"/>
                <w:lang w:val="en-US" w:eastAsia="zh-CN"/>
              </w:rPr>
              <w:t>9</w:t>
            </w:r>
            <w:r>
              <w:rPr>
                <w:rFonts w:hint="eastAsia" w:ascii="宋体" w:hAnsi="宋体" w:cs="宋体"/>
                <w:kern w:val="0"/>
                <w:szCs w:val="21"/>
                <w:highlight w:val="none"/>
              </w:rPr>
              <w:t>月</w:t>
            </w:r>
            <w:r>
              <w:rPr>
                <w:rFonts w:hint="eastAsia" w:ascii="宋体" w:hAnsi="宋体" w:cs="宋体"/>
                <w:kern w:val="0"/>
                <w:szCs w:val="21"/>
                <w:highlight w:val="none"/>
                <w:lang w:val="en-US" w:eastAsia="zh-CN"/>
              </w:rPr>
              <w:t>18</w:t>
            </w:r>
            <w:r>
              <w:rPr>
                <w:rFonts w:hint="eastAsia" w:ascii="宋体" w:hAnsi="宋体" w:cs="宋体"/>
                <w:kern w:val="0"/>
                <w:szCs w:val="21"/>
                <w:highlight w:val="none"/>
              </w:rPr>
              <w:t>日，每天上午9:00至12:00 ，下午14:30至18</w:t>
            </w:r>
            <w:r>
              <w:rPr>
                <w:rFonts w:hint="eastAsia" w:ascii="宋体" w:hAnsi="宋体" w:cs="宋体"/>
                <w:kern w:val="0"/>
                <w:szCs w:val="21"/>
                <w:highlight w:val="none"/>
                <w:lang w:val="en-US" w:eastAsia="zh-CN"/>
              </w:rPr>
              <w:t>:</w:t>
            </w:r>
            <w:r>
              <w:rPr>
                <w:rFonts w:hint="eastAsia" w:ascii="宋体" w:hAnsi="宋体" w:cs="宋体"/>
                <w:kern w:val="0"/>
                <w:szCs w:val="21"/>
                <w:highlight w:val="none"/>
              </w:rPr>
              <w:t>00（北京时间，法定节假日除外）。</w:t>
            </w:r>
            <w:bookmarkStart w:id="183" w:name="_GoBack"/>
            <w:bookmarkEnd w:id="183"/>
          </w:p>
          <w:p w14:paraId="5A755AB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highlight w:val="none"/>
              </w:rPr>
            </w:pPr>
            <w:r>
              <w:rPr>
                <w:rFonts w:hint="eastAsia" w:ascii="宋体" w:hAnsi="宋体" w:cs="宋体"/>
                <w:kern w:val="0"/>
                <w:szCs w:val="21"/>
                <w:highlight w:val="none"/>
              </w:rPr>
              <w:t>2.地点：</w:t>
            </w:r>
            <w:r>
              <w:rPr>
                <w:rFonts w:hint="eastAsia" w:ascii="宋体" w:hAnsi="宋体" w:cs="宋体"/>
                <w:kern w:val="0"/>
                <w:szCs w:val="21"/>
                <w:highlight w:val="none"/>
                <w:lang w:eastAsia="zh-CN"/>
              </w:rPr>
              <w:t>宿迁市宿城区中港雅典城A2#铺03江苏宏壮工程项目管理有限公司</w:t>
            </w:r>
            <w:r>
              <w:rPr>
                <w:rFonts w:hint="eastAsia" w:ascii="宋体" w:hAnsi="宋体" w:cs="宋体"/>
                <w:kern w:val="0"/>
                <w:szCs w:val="21"/>
                <w:highlight w:val="none"/>
              </w:rPr>
              <w:t>。</w:t>
            </w:r>
          </w:p>
          <w:p w14:paraId="56469A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highlight w:val="none"/>
              </w:rPr>
            </w:pPr>
            <w:r>
              <w:rPr>
                <w:rFonts w:hint="eastAsia" w:ascii="宋体" w:hAnsi="宋体" w:cs="宋体"/>
                <w:kern w:val="0"/>
                <w:szCs w:val="21"/>
                <w:highlight w:val="none"/>
              </w:rPr>
              <w:t>3.方式：现场或微信获取（联系人：</w:t>
            </w:r>
            <w:r>
              <w:rPr>
                <w:rFonts w:hint="eastAsia" w:ascii="宋体" w:hAnsi="宋体" w:cs="宋体"/>
                <w:kern w:val="0"/>
                <w:szCs w:val="21"/>
                <w:highlight w:val="none"/>
                <w:lang w:eastAsia="zh-CN"/>
              </w:rPr>
              <w:t>康宇</w:t>
            </w:r>
            <w:r>
              <w:rPr>
                <w:rFonts w:hint="eastAsia" w:ascii="宋体" w:hAnsi="宋体" w:cs="宋体"/>
                <w:kern w:val="0"/>
                <w:szCs w:val="21"/>
                <w:highlight w:val="none"/>
              </w:rPr>
              <w:t>，联系方式：</w:t>
            </w:r>
            <w:r>
              <w:rPr>
                <w:rFonts w:hint="eastAsia" w:ascii="宋体" w:hAnsi="宋体" w:cs="宋体"/>
                <w:kern w:val="0"/>
                <w:szCs w:val="21"/>
                <w:highlight w:val="none"/>
                <w:lang w:eastAsia="zh-CN"/>
              </w:rPr>
              <w:t>15950608601</w:t>
            </w:r>
            <w:r>
              <w:rPr>
                <w:rFonts w:hint="eastAsia" w:ascii="宋体" w:hAnsi="宋体" w:cs="宋体"/>
                <w:kern w:val="0"/>
                <w:szCs w:val="21"/>
                <w:highlight w:val="none"/>
              </w:rPr>
              <w:t>）。</w:t>
            </w:r>
          </w:p>
          <w:p w14:paraId="33FC8A80">
            <w:pPr>
              <w:keepNext w:val="0"/>
              <w:keepLines w:val="0"/>
              <w:pageBreakBefore w:val="0"/>
              <w:widowControl w:val="0"/>
              <w:shd w:val="clear"/>
              <w:kinsoku/>
              <w:wordWrap/>
              <w:overflowPunct/>
              <w:bidi w:val="0"/>
              <w:adjustRightInd/>
              <w:snapToGrid/>
              <w:spacing w:line="360" w:lineRule="auto"/>
              <w:textAlignment w:val="auto"/>
              <w:rPr>
                <w:rFonts w:hint="eastAsia" w:eastAsia="宋体"/>
                <w:color w:val="auto"/>
                <w:highlight w:val="none"/>
                <w:lang w:eastAsia="zh-CN"/>
              </w:rPr>
            </w:pPr>
            <w:r>
              <w:rPr>
                <w:rFonts w:hint="eastAsia" w:ascii="宋体" w:hAnsi="宋体" w:cs="宋体"/>
                <w:kern w:val="0"/>
                <w:szCs w:val="21"/>
                <w:highlight w:val="none"/>
              </w:rPr>
              <w:t>4.售价：300元/本。</w:t>
            </w:r>
          </w:p>
        </w:tc>
      </w:tr>
      <w:tr w14:paraId="72F13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6517AD5D">
            <w:pPr>
              <w:shd w:val="clear"/>
              <w:jc w:val="center"/>
              <w:rPr>
                <w:color w:val="auto"/>
                <w:highlight w:val="none"/>
              </w:rPr>
            </w:pPr>
            <w:r>
              <w:rPr>
                <w:color w:val="auto"/>
                <w:highlight w:val="none"/>
              </w:rPr>
              <w:t>14</w:t>
            </w:r>
          </w:p>
        </w:tc>
        <w:tc>
          <w:tcPr>
            <w:tcW w:w="1521" w:type="dxa"/>
            <w:noWrap/>
            <w:vAlign w:val="center"/>
          </w:tcPr>
          <w:p w14:paraId="0512D148">
            <w:pPr>
              <w:shd w:val="clear"/>
              <w:jc w:val="center"/>
              <w:rPr>
                <w:color w:val="auto"/>
                <w:highlight w:val="none"/>
              </w:rPr>
            </w:pPr>
            <w:r>
              <w:rPr>
                <w:color w:val="auto"/>
                <w:highlight w:val="none"/>
              </w:rPr>
              <w:t>现场考察/踏勘</w:t>
            </w:r>
          </w:p>
        </w:tc>
        <w:tc>
          <w:tcPr>
            <w:tcW w:w="7204" w:type="dxa"/>
            <w:gridSpan w:val="2"/>
            <w:noWrap/>
            <w:vAlign w:val="center"/>
          </w:tcPr>
          <w:p w14:paraId="2D48442E">
            <w:pPr>
              <w:shd w:val="clear"/>
              <w:rPr>
                <w:color w:val="auto"/>
                <w:highlight w:val="none"/>
              </w:rPr>
            </w:pPr>
            <w:r>
              <w:rPr>
                <w:rFonts w:hint="eastAsia" w:ascii="宋体" w:hAnsi="宋体"/>
                <w:color w:val="auto"/>
                <w:highlight w:val="none"/>
              </w:rPr>
              <w:sym w:font="Wingdings 2" w:char="F052"/>
            </w:r>
            <w:r>
              <w:rPr>
                <w:color w:val="auto"/>
                <w:highlight w:val="none"/>
              </w:rPr>
              <w:t>不组织现场考察/踏勘</w:t>
            </w:r>
          </w:p>
          <w:p w14:paraId="49EA63EB">
            <w:pPr>
              <w:shd w:val="clear"/>
              <w:rPr>
                <w:color w:val="auto"/>
                <w:highlight w:val="none"/>
              </w:rPr>
            </w:pPr>
            <w:r>
              <w:rPr>
                <w:color w:val="auto"/>
                <w:highlight w:val="none"/>
              </w:rPr>
              <w:sym w:font="Wingdings 2" w:char="F0A3"/>
            </w:r>
            <w:r>
              <w:rPr>
                <w:color w:val="auto"/>
                <w:highlight w:val="none"/>
              </w:rPr>
              <w:t>组织现场考察/踏勘：</w:t>
            </w:r>
          </w:p>
          <w:p w14:paraId="3A43C4DE">
            <w:pPr>
              <w:shd w:val="clear"/>
              <w:rPr>
                <w:bCs/>
                <w:color w:val="auto"/>
                <w:highlight w:val="none"/>
              </w:rPr>
            </w:pPr>
            <w:r>
              <w:rPr>
                <w:b/>
                <w:color w:val="auto"/>
                <w:highlight w:val="none"/>
              </w:rPr>
              <w:t>时间：</w:t>
            </w:r>
            <w:r>
              <w:rPr>
                <w:bCs/>
                <w:color w:val="auto"/>
                <w:highlight w:val="none"/>
              </w:rPr>
              <w:t>年月日午</w:t>
            </w:r>
            <w:r>
              <w:rPr>
                <w:color w:val="auto"/>
                <w:highlight w:val="none"/>
              </w:rPr>
              <w:t>（北京时间）</w:t>
            </w:r>
          </w:p>
          <w:p w14:paraId="1B67D8EA">
            <w:pPr>
              <w:shd w:val="clear"/>
              <w:rPr>
                <w:color w:val="auto"/>
                <w:highlight w:val="none"/>
              </w:rPr>
            </w:pPr>
            <w:r>
              <w:rPr>
                <w:color w:val="auto"/>
                <w:highlight w:val="none"/>
              </w:rPr>
              <w:t>地点：</w:t>
            </w:r>
          </w:p>
          <w:p w14:paraId="27065CDB">
            <w:pPr>
              <w:shd w:val="clear"/>
              <w:rPr>
                <w:bCs/>
                <w:color w:val="auto"/>
                <w:highlight w:val="none"/>
              </w:rPr>
            </w:pPr>
            <w:r>
              <w:rPr>
                <w:color w:val="auto"/>
                <w:highlight w:val="none"/>
              </w:rPr>
              <w:t>联系人：</w:t>
            </w:r>
          </w:p>
          <w:p w14:paraId="7F0835DC">
            <w:pPr>
              <w:shd w:val="clear"/>
              <w:rPr>
                <w:bCs/>
                <w:color w:val="auto"/>
                <w:highlight w:val="none"/>
                <w:u w:val="single"/>
              </w:rPr>
            </w:pPr>
            <w:r>
              <w:rPr>
                <w:color w:val="auto"/>
                <w:highlight w:val="none"/>
              </w:rPr>
              <w:t>联系电话：</w:t>
            </w:r>
          </w:p>
          <w:p w14:paraId="2BA3CCF8">
            <w:pPr>
              <w:shd w:val="clear"/>
              <w:rPr>
                <w:color w:val="auto"/>
                <w:highlight w:val="none"/>
              </w:rPr>
            </w:pPr>
            <w:r>
              <w:rPr>
                <w:color w:val="auto"/>
                <w:highlight w:val="none"/>
              </w:rPr>
              <w:t>要求：</w:t>
            </w:r>
          </w:p>
        </w:tc>
      </w:tr>
      <w:tr w14:paraId="04508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773D2C2F">
            <w:pPr>
              <w:shd w:val="clear"/>
              <w:jc w:val="center"/>
              <w:rPr>
                <w:color w:val="auto"/>
                <w:highlight w:val="none"/>
              </w:rPr>
            </w:pPr>
            <w:r>
              <w:rPr>
                <w:color w:val="auto"/>
                <w:highlight w:val="none"/>
              </w:rPr>
              <w:t>15</w:t>
            </w:r>
          </w:p>
        </w:tc>
        <w:tc>
          <w:tcPr>
            <w:tcW w:w="1521" w:type="dxa"/>
            <w:noWrap/>
            <w:vAlign w:val="center"/>
          </w:tcPr>
          <w:p w14:paraId="76F9CA26">
            <w:pPr>
              <w:shd w:val="clear"/>
              <w:jc w:val="center"/>
              <w:rPr>
                <w:color w:val="auto"/>
                <w:highlight w:val="none"/>
              </w:rPr>
            </w:pPr>
            <w:r>
              <w:rPr>
                <w:color w:val="auto"/>
                <w:highlight w:val="none"/>
              </w:rPr>
              <w:t>样品</w:t>
            </w:r>
          </w:p>
        </w:tc>
        <w:tc>
          <w:tcPr>
            <w:tcW w:w="7204" w:type="dxa"/>
            <w:gridSpan w:val="2"/>
            <w:noWrap/>
            <w:vAlign w:val="center"/>
          </w:tcPr>
          <w:p w14:paraId="1A0263B7">
            <w:pPr>
              <w:shd w:val="clear"/>
              <w:rPr>
                <w:color w:val="auto"/>
                <w:highlight w:val="none"/>
              </w:rPr>
            </w:pPr>
            <w:r>
              <w:rPr>
                <w:color w:val="auto"/>
                <w:highlight w:val="none"/>
              </w:rPr>
              <w:sym w:font="Wingdings 2" w:char="0052"/>
            </w:r>
            <w:r>
              <w:rPr>
                <w:color w:val="auto"/>
                <w:highlight w:val="none"/>
              </w:rPr>
              <w:t>不要求提供</w:t>
            </w:r>
          </w:p>
          <w:p w14:paraId="7CFF628F">
            <w:pPr>
              <w:shd w:val="clear"/>
              <w:rPr>
                <w:color w:val="auto"/>
                <w:highlight w:val="none"/>
              </w:rPr>
            </w:pPr>
            <w:r>
              <w:rPr>
                <w:color w:val="auto"/>
                <w:highlight w:val="none"/>
              </w:rPr>
              <w:sym w:font="Wingdings 2" w:char="00A3"/>
            </w:r>
            <w:r>
              <w:rPr>
                <w:color w:val="auto"/>
                <w:highlight w:val="none"/>
              </w:rPr>
              <w:t>要求提供：</w:t>
            </w:r>
          </w:p>
          <w:p w14:paraId="7FEFCF36">
            <w:pPr>
              <w:shd w:val="clear"/>
              <w:rPr>
                <w:color w:val="auto"/>
                <w:highlight w:val="none"/>
              </w:rPr>
            </w:pPr>
            <w:r>
              <w:rPr>
                <w:color w:val="auto"/>
                <w:highlight w:val="none"/>
              </w:rPr>
              <w:t>1.样品制作的标准和要求：</w:t>
            </w:r>
          </w:p>
          <w:p w14:paraId="5D1BD8BA">
            <w:pPr>
              <w:shd w:val="clear"/>
              <w:rPr>
                <w:color w:val="auto"/>
                <w:highlight w:val="none"/>
              </w:rPr>
            </w:pPr>
            <w:r>
              <w:rPr>
                <w:color w:val="auto"/>
                <w:highlight w:val="none"/>
              </w:rPr>
              <w:t>2.样品检测报告：(</w:t>
            </w:r>
            <w:r>
              <w:rPr>
                <w:rFonts w:hint="eastAsia"/>
                <w:color w:val="auto"/>
                <w:highlight w:val="none"/>
                <w:lang w:eastAsia="zh-CN"/>
              </w:rPr>
              <w:t>□</w:t>
            </w:r>
            <w:r>
              <w:rPr>
                <w:color w:val="auto"/>
                <w:highlight w:val="none"/>
              </w:rPr>
              <w:t>否；</w:t>
            </w:r>
            <w:r>
              <w:rPr>
                <w:rFonts w:hint="eastAsia"/>
                <w:color w:val="auto"/>
                <w:highlight w:val="none"/>
                <w:lang w:eastAsia="zh-CN"/>
              </w:rPr>
              <w:t>□</w:t>
            </w:r>
            <w:r>
              <w:rPr>
                <w:color w:val="auto"/>
                <w:highlight w:val="none"/>
              </w:rPr>
              <w:t>是，检测机构的要求、检测内容、检测报告的提供方式详见第六章项目采购需求)</w:t>
            </w:r>
          </w:p>
          <w:p w14:paraId="0A4E6570">
            <w:pPr>
              <w:shd w:val="clear"/>
              <w:rPr>
                <w:color w:val="auto"/>
                <w:highlight w:val="none"/>
              </w:rPr>
            </w:pPr>
            <w:r>
              <w:rPr>
                <w:color w:val="auto"/>
                <w:highlight w:val="none"/>
              </w:rPr>
              <w:t>3.样品的评审方法及评审标准：内容详见第三章评标办法及标准</w:t>
            </w:r>
            <w:r>
              <w:rPr>
                <w:rFonts w:hint="eastAsia"/>
                <w:color w:val="auto"/>
                <w:highlight w:val="none"/>
              </w:rPr>
              <w:t>。</w:t>
            </w:r>
          </w:p>
        </w:tc>
      </w:tr>
      <w:tr w14:paraId="65022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restart"/>
            <w:noWrap/>
            <w:vAlign w:val="center"/>
          </w:tcPr>
          <w:p w14:paraId="023FFD1E">
            <w:pPr>
              <w:shd w:val="clear"/>
              <w:jc w:val="center"/>
              <w:rPr>
                <w:color w:val="auto"/>
                <w:highlight w:val="none"/>
              </w:rPr>
            </w:pPr>
            <w:r>
              <w:rPr>
                <w:color w:val="auto"/>
                <w:highlight w:val="none"/>
              </w:rPr>
              <w:t>16</w:t>
            </w:r>
          </w:p>
        </w:tc>
        <w:tc>
          <w:tcPr>
            <w:tcW w:w="1521" w:type="dxa"/>
            <w:vMerge w:val="restart"/>
            <w:noWrap/>
            <w:vAlign w:val="center"/>
          </w:tcPr>
          <w:p w14:paraId="742C6C30">
            <w:pPr>
              <w:shd w:val="clear"/>
              <w:jc w:val="center"/>
              <w:rPr>
                <w:color w:val="auto"/>
                <w:highlight w:val="none"/>
              </w:rPr>
            </w:pPr>
            <w:r>
              <w:rPr>
                <w:color w:val="auto"/>
                <w:highlight w:val="none"/>
              </w:rPr>
              <w:t>投标文件组成</w:t>
            </w:r>
          </w:p>
        </w:tc>
        <w:tc>
          <w:tcPr>
            <w:tcW w:w="1421" w:type="dxa"/>
            <w:vMerge w:val="restart"/>
            <w:noWrap/>
            <w:vAlign w:val="center"/>
          </w:tcPr>
          <w:p w14:paraId="5290CD13">
            <w:pPr>
              <w:shd w:val="clear"/>
              <w:jc w:val="center"/>
              <w:rPr>
                <w:bCs/>
                <w:color w:val="auto"/>
                <w:highlight w:val="none"/>
              </w:rPr>
            </w:pPr>
            <w:r>
              <w:rPr>
                <w:color w:val="auto"/>
                <w:highlight w:val="none"/>
              </w:rPr>
              <w:t>商务部</w:t>
            </w:r>
            <w:r>
              <w:rPr>
                <w:bCs/>
                <w:color w:val="auto"/>
                <w:highlight w:val="none"/>
              </w:rPr>
              <w:t>分</w:t>
            </w:r>
          </w:p>
        </w:tc>
        <w:tc>
          <w:tcPr>
            <w:tcW w:w="5783" w:type="dxa"/>
            <w:noWrap/>
            <w:vAlign w:val="center"/>
          </w:tcPr>
          <w:p w14:paraId="37BE5EB8">
            <w:pPr>
              <w:shd w:val="clear"/>
              <w:rPr>
                <w:rFonts w:eastAsia="宋体" w:cs="Times New Roman"/>
                <w:color w:val="auto"/>
                <w:highlight w:val="none"/>
              </w:rPr>
            </w:pPr>
            <w:r>
              <w:rPr>
                <w:rFonts w:eastAsia="宋体" w:cs="Times New Roman"/>
                <w:color w:val="auto"/>
                <w:highlight w:val="none"/>
              </w:rPr>
              <w:t>一、资格证明文件：</w:t>
            </w:r>
          </w:p>
          <w:p w14:paraId="740A9CA0">
            <w:pPr>
              <w:shd w:val="clear"/>
              <w:rPr>
                <w:rFonts w:hint="eastAsia" w:ascii="Calibri" w:hAnsi="Calibri" w:eastAsia="宋体" w:cs="Times New Roman"/>
                <w:color w:val="auto"/>
                <w:highlight w:val="none"/>
                <w:lang w:eastAsia="zh-CN"/>
              </w:rPr>
            </w:pPr>
            <w:r>
              <w:rPr>
                <w:rFonts w:ascii="Calibri" w:hAnsi="Calibri" w:eastAsia="宋体" w:cs="Times New Roman"/>
                <w:color w:val="auto"/>
                <w:highlight w:val="none"/>
              </w:rPr>
              <w:t>★</w:t>
            </w:r>
            <w:r>
              <w:rPr>
                <w:rFonts w:hint="eastAsia" w:cs="Times New Roman"/>
                <w:color w:val="auto"/>
                <w:highlight w:val="none"/>
                <w:lang w:val="en-US" w:eastAsia="zh-CN"/>
              </w:rPr>
              <w:t>1.</w:t>
            </w:r>
            <w:r>
              <w:rPr>
                <w:rFonts w:hint="eastAsia" w:cs="Times New Roman"/>
                <w:color w:val="auto"/>
                <w:highlight w:val="none"/>
                <w:lang w:eastAsia="zh-CN"/>
              </w:rPr>
              <w:t>法人或者其他组织的营业执照等证明文件，自然人的身份证明复印件；</w:t>
            </w:r>
          </w:p>
          <w:p w14:paraId="6C840FFD">
            <w:pPr>
              <w:shd w:val="clear"/>
              <w:rPr>
                <w:rFonts w:hint="eastAsia" w:ascii="Calibri" w:hAnsi="Calibri" w:eastAsia="宋体" w:cs="Times New Roman"/>
                <w:color w:val="auto"/>
                <w:highlight w:val="none"/>
              </w:rPr>
            </w:pPr>
            <w:r>
              <w:rPr>
                <w:rFonts w:ascii="Calibri" w:hAnsi="Calibri" w:eastAsia="宋体" w:cs="Times New Roman"/>
                <w:color w:val="auto"/>
                <w:highlight w:val="none"/>
              </w:rPr>
              <w:t>★</w:t>
            </w:r>
            <w:r>
              <w:rPr>
                <w:rFonts w:hint="eastAsia" w:cs="Times New Roman"/>
                <w:color w:val="auto"/>
                <w:highlight w:val="none"/>
                <w:lang w:val="en-US" w:eastAsia="zh-CN"/>
              </w:rPr>
              <w:t>2.</w:t>
            </w:r>
            <w:r>
              <w:rPr>
                <w:rFonts w:hint="eastAsia" w:cs="Times New Roman"/>
                <w:color w:val="auto"/>
                <w:highlight w:val="none"/>
                <w:lang w:eastAsia="zh-CN"/>
              </w:rPr>
              <w:t>财务状况</w:t>
            </w:r>
            <w:r>
              <w:rPr>
                <w:rFonts w:hint="eastAsia" w:ascii="Calibri" w:hAnsi="Calibri" w:eastAsia="宋体" w:cs="Times New Roman"/>
                <w:color w:val="auto"/>
                <w:highlight w:val="none"/>
              </w:rPr>
              <w:t>：</w:t>
            </w:r>
            <w:r>
              <w:rPr>
                <w:rFonts w:hint="eastAsia" w:cs="Times New Roman"/>
                <w:color w:val="auto"/>
                <w:highlight w:val="none"/>
                <w:lang w:val="en-US" w:eastAsia="zh-CN"/>
              </w:rPr>
              <w:t>2024年度或2025年度经会计师事务所审计的财务报告（须提供加盖会计师事务所公章及注册会计师签章的复印件）；没有经审计的财务报告的，也可以提供2025年或2026年任意一个月的财务报表，或提供距离投标截止时间6个月内基本开户银行出具的资信证明复印件；</w:t>
            </w:r>
          </w:p>
          <w:p w14:paraId="38AAD914">
            <w:pPr>
              <w:shd w:val="clear"/>
              <w:rPr>
                <w:rFonts w:hint="eastAsia" w:ascii="Calibri" w:hAnsi="Calibri" w:eastAsia="宋体" w:cs="Times New Roman"/>
                <w:color w:val="auto"/>
                <w:highlight w:val="none"/>
              </w:rPr>
            </w:pPr>
            <w:r>
              <w:rPr>
                <w:rFonts w:ascii="Calibri" w:hAnsi="Calibri" w:eastAsia="宋体" w:cs="Times New Roman"/>
                <w:color w:val="auto"/>
                <w:highlight w:val="none"/>
              </w:rPr>
              <w:t>★</w:t>
            </w:r>
            <w:r>
              <w:rPr>
                <w:rFonts w:hint="eastAsia" w:cs="Times New Roman"/>
                <w:color w:val="auto"/>
                <w:highlight w:val="none"/>
                <w:lang w:val="en-US" w:eastAsia="zh-CN"/>
              </w:rPr>
              <w:t>3.</w:t>
            </w:r>
            <w:r>
              <w:rPr>
                <w:rFonts w:hint="eastAsia" w:ascii="Calibri" w:hAnsi="Calibri" w:eastAsia="宋体" w:cs="Times New Roman"/>
                <w:color w:val="auto"/>
                <w:highlight w:val="none"/>
              </w:rPr>
              <w:t>依法缴纳税收：</w:t>
            </w:r>
            <w:r>
              <w:rPr>
                <w:rFonts w:hint="eastAsia" w:cs="Times New Roman"/>
                <w:color w:val="auto"/>
                <w:highlight w:val="none"/>
                <w:lang w:val="en-US" w:eastAsia="zh-CN"/>
              </w:rPr>
              <w:t>2025</w:t>
            </w:r>
            <w:r>
              <w:rPr>
                <w:rFonts w:hint="eastAsia" w:ascii="Calibri" w:hAnsi="Calibri" w:eastAsia="宋体" w:cs="Times New Roman"/>
                <w:color w:val="auto"/>
                <w:highlight w:val="none"/>
              </w:rPr>
              <w:t>年</w:t>
            </w:r>
            <w:r>
              <w:rPr>
                <w:rFonts w:hint="eastAsia" w:cs="Times New Roman"/>
                <w:color w:val="auto"/>
                <w:highlight w:val="none"/>
                <w:lang w:val="en-US" w:eastAsia="zh-CN"/>
              </w:rPr>
              <w:t>7</w:t>
            </w:r>
            <w:r>
              <w:rPr>
                <w:rFonts w:hint="eastAsia" w:ascii="Calibri" w:hAnsi="Calibri" w:eastAsia="宋体" w:cs="Times New Roman"/>
                <w:color w:val="auto"/>
                <w:highlight w:val="none"/>
              </w:rPr>
              <w:t>月至开标当日任一月份依法缴纳税收（依法缴纳税收材料是指：税务部门出具的税收证明或完税凭证或银行出具的税收缴款证明）的相关材料复印件，如依法免税或不需要纳税的，则应提供相应证明材料复印件（根据国家相关政策免缴或迟缴的应提供相关证明材料）；</w:t>
            </w:r>
          </w:p>
          <w:p w14:paraId="5407CD92">
            <w:pPr>
              <w:shd w:val="clear"/>
              <w:rPr>
                <w:rFonts w:hint="eastAsia" w:ascii="Calibri" w:hAnsi="Calibri" w:eastAsia="宋体" w:cs="Times New Roman"/>
                <w:color w:val="auto"/>
                <w:highlight w:val="none"/>
              </w:rPr>
            </w:pPr>
            <w:r>
              <w:rPr>
                <w:rFonts w:ascii="Calibri" w:hAnsi="Calibri" w:eastAsia="宋体" w:cs="Times New Roman"/>
                <w:color w:val="auto"/>
                <w:highlight w:val="none"/>
              </w:rPr>
              <w:t>★</w:t>
            </w:r>
            <w:r>
              <w:rPr>
                <w:rFonts w:hint="eastAsia" w:cs="Times New Roman"/>
                <w:color w:val="auto"/>
                <w:highlight w:val="none"/>
                <w:lang w:val="en-US" w:eastAsia="zh-CN"/>
              </w:rPr>
              <w:t>4.</w:t>
            </w:r>
            <w:r>
              <w:rPr>
                <w:rFonts w:hint="eastAsia" w:ascii="Calibri" w:hAnsi="Calibri" w:eastAsia="宋体" w:cs="Times New Roman"/>
                <w:color w:val="auto"/>
                <w:highlight w:val="none"/>
              </w:rPr>
              <w:t>社会保障资金：</w:t>
            </w:r>
            <w:r>
              <w:rPr>
                <w:rFonts w:hint="eastAsia" w:cs="Times New Roman"/>
                <w:color w:val="auto"/>
                <w:highlight w:val="none"/>
                <w:lang w:val="en-US" w:eastAsia="zh-CN"/>
              </w:rPr>
              <w:t>2025</w:t>
            </w:r>
            <w:r>
              <w:rPr>
                <w:rFonts w:hint="eastAsia" w:ascii="Calibri" w:hAnsi="Calibri" w:eastAsia="宋体" w:cs="Times New Roman"/>
                <w:color w:val="auto"/>
                <w:highlight w:val="none"/>
              </w:rPr>
              <w:t>年</w:t>
            </w:r>
            <w:r>
              <w:rPr>
                <w:rFonts w:hint="eastAsia" w:cs="Times New Roman"/>
                <w:color w:val="auto"/>
                <w:highlight w:val="none"/>
                <w:lang w:val="en-US" w:eastAsia="zh-CN"/>
              </w:rPr>
              <w:t>7</w:t>
            </w:r>
            <w:r>
              <w:rPr>
                <w:rFonts w:hint="eastAsia" w:ascii="Calibri" w:hAnsi="Calibri" w:eastAsia="宋体" w:cs="Times New Roman"/>
                <w:color w:val="auto"/>
                <w:highlight w:val="none"/>
              </w:rPr>
              <w:t>月至开标当日任一月份的依法缴纳社会保障资金的相关材料复印件（社会保障资金材料是指：人社部门或税务机关或银行出具的缴纳社保的凭证），如依法不需要缴纳社会保障资金的，则应提供相应证明材料复印件（根据国家相关政策免缴或迟缴的应提供相关证明材料）；</w:t>
            </w:r>
          </w:p>
          <w:p w14:paraId="0598D103">
            <w:pPr>
              <w:shd w:val="clear"/>
              <w:rPr>
                <w:rFonts w:hint="eastAsia" w:ascii="Calibri" w:hAnsi="Calibri" w:eastAsia="宋体" w:cs="Times New Roman"/>
                <w:color w:val="auto"/>
                <w:highlight w:val="none"/>
              </w:rPr>
            </w:pPr>
            <w:r>
              <w:rPr>
                <w:rFonts w:ascii="Calibri" w:hAnsi="Calibri" w:eastAsia="宋体" w:cs="Times New Roman"/>
                <w:color w:val="auto"/>
                <w:highlight w:val="none"/>
              </w:rPr>
              <w:t>★</w:t>
            </w:r>
            <w:r>
              <w:rPr>
                <w:rFonts w:hint="eastAsia" w:cs="Times New Roman"/>
                <w:color w:val="auto"/>
                <w:highlight w:val="none"/>
                <w:lang w:val="en-US" w:eastAsia="zh-CN"/>
              </w:rPr>
              <w:t>5.</w:t>
            </w:r>
            <w:r>
              <w:rPr>
                <w:rFonts w:hint="eastAsia" w:ascii="Calibri" w:hAnsi="Calibri" w:eastAsia="宋体" w:cs="Times New Roman"/>
                <w:color w:val="auto"/>
                <w:highlight w:val="none"/>
              </w:rPr>
              <w:t>具备履行合同所必需的设备和专业技术能力的声明或证明材料复印件；</w:t>
            </w:r>
          </w:p>
          <w:p w14:paraId="282E7B7C">
            <w:pPr>
              <w:shd w:val="clear"/>
              <w:rPr>
                <w:rFonts w:hint="eastAsia" w:ascii="Calibri" w:hAnsi="Calibri" w:eastAsia="宋体" w:cs="Times New Roman"/>
                <w:color w:val="auto"/>
                <w:highlight w:val="none"/>
              </w:rPr>
            </w:pPr>
            <w:r>
              <w:rPr>
                <w:rFonts w:ascii="Calibri" w:hAnsi="Calibri" w:eastAsia="宋体" w:cs="Times New Roman"/>
                <w:color w:val="auto"/>
                <w:highlight w:val="none"/>
              </w:rPr>
              <w:t>★</w:t>
            </w:r>
            <w:r>
              <w:rPr>
                <w:rFonts w:hint="eastAsia" w:cs="Times New Roman"/>
                <w:color w:val="auto"/>
                <w:highlight w:val="none"/>
                <w:lang w:val="en-US" w:eastAsia="zh-CN"/>
              </w:rPr>
              <w:t>6.</w:t>
            </w:r>
            <w:r>
              <w:rPr>
                <w:rFonts w:hint="eastAsia" w:ascii="Calibri" w:hAnsi="Calibri" w:eastAsia="宋体" w:cs="Times New Roman"/>
                <w:color w:val="auto"/>
                <w:highlight w:val="none"/>
              </w:rPr>
              <w:t>参加政府采购活动前3年内在经营活动中没有重大违法记录的书面声明；</w:t>
            </w:r>
          </w:p>
          <w:p w14:paraId="1F1812BB">
            <w:pPr>
              <w:shd w:val="clear"/>
              <w:rPr>
                <w:rFonts w:hint="eastAsia" w:ascii="Calibri" w:hAnsi="Calibri" w:eastAsia="宋体" w:cs="Times New Roman"/>
                <w:color w:val="auto"/>
                <w:highlight w:val="none"/>
              </w:rPr>
            </w:pPr>
            <w:r>
              <w:rPr>
                <w:rFonts w:hint="eastAsia" w:cs="Times New Roman"/>
                <w:color w:val="auto"/>
                <w:highlight w:val="none"/>
                <w:lang w:val="en-US" w:eastAsia="zh-CN"/>
              </w:rPr>
              <w:t>7.</w:t>
            </w:r>
            <w:r>
              <w:rPr>
                <w:rFonts w:hint="eastAsia" w:ascii="Calibri" w:hAnsi="Calibri" w:eastAsia="宋体" w:cs="Times New Roman"/>
                <w:color w:val="auto"/>
                <w:highlight w:val="none"/>
              </w:rPr>
              <w:t>具备法律、行政法规规定的其他条件的证明材料：无；</w:t>
            </w:r>
          </w:p>
          <w:p w14:paraId="7C404FA1">
            <w:pPr>
              <w:shd w:val="clear" w:color="auto" w:fill="auto"/>
              <w:rPr>
                <w:rFonts w:hint="eastAsia" w:cs="Times New Roman"/>
                <w:b/>
                <w:bCs/>
                <w:color w:val="000000"/>
                <w:highlight w:val="none"/>
                <w:lang w:eastAsia="zh-CN"/>
              </w:rPr>
            </w:pPr>
            <w:r>
              <w:rPr>
                <w:rFonts w:ascii="Calibri" w:hAnsi="Calibri" w:eastAsia="宋体" w:cs="Times New Roman"/>
                <w:color w:val="auto"/>
                <w:highlight w:val="none"/>
              </w:rPr>
              <w:t>★</w:t>
            </w:r>
            <w:r>
              <w:rPr>
                <w:rFonts w:hint="eastAsia" w:cs="Times New Roman"/>
                <w:color w:val="auto"/>
                <w:highlight w:val="none"/>
                <w:lang w:val="en-US" w:eastAsia="zh-CN"/>
              </w:rPr>
              <w:t>8.</w:t>
            </w:r>
            <w:r>
              <w:rPr>
                <w:rFonts w:hint="eastAsia" w:ascii="Calibri" w:hAnsi="Calibri" w:eastAsia="宋体" w:cs="Times New Roman"/>
                <w:b/>
                <w:bCs/>
                <w:color w:val="auto"/>
                <w:highlight w:val="none"/>
              </w:rPr>
              <w:t>特定资格要求：</w:t>
            </w:r>
            <w:r>
              <w:rPr>
                <w:rFonts w:hint="eastAsia" w:cs="Times New Roman"/>
                <w:b/>
                <w:bCs/>
                <w:color w:val="000000"/>
                <w:highlight w:val="none"/>
                <w:lang w:eastAsia="zh-CN"/>
              </w:rPr>
              <w:t>供应商具备有效期内的《食品经营许可证》或《食品生产许可证》或食品安全监督管理部门出具的备案证明材料，应提供许可复印件或备案证明材料复印件。</w:t>
            </w:r>
          </w:p>
          <w:p w14:paraId="536551A7">
            <w:pPr>
              <w:shd w:val="clear" w:color="auto" w:fill="auto"/>
              <w:rPr>
                <w:rFonts w:hint="eastAsia" w:ascii="宋体" w:hAnsi="宋体" w:eastAsia="宋体" w:cs="宋体"/>
                <w:b/>
                <w:bCs/>
                <w:color w:val="auto"/>
                <w:sz w:val="21"/>
                <w:szCs w:val="21"/>
                <w:highlight w:val="none"/>
                <w:u w:val="none"/>
              </w:rPr>
            </w:pPr>
            <w:r>
              <w:rPr>
                <w:rFonts w:hint="eastAsia"/>
                <w:color w:val="auto"/>
                <w:highlight w:val="none"/>
              </w:rPr>
              <w:t>★</w:t>
            </w:r>
            <w:r>
              <w:rPr>
                <w:rFonts w:hint="eastAsia"/>
                <w:color w:val="auto"/>
                <w:highlight w:val="none"/>
                <w:lang w:val="en-US" w:eastAsia="zh-CN"/>
              </w:rPr>
              <w:t>9.</w:t>
            </w:r>
            <w:r>
              <w:rPr>
                <w:rFonts w:hint="eastAsia" w:ascii="宋体" w:hAnsi="宋体" w:eastAsia="宋体" w:cs="宋体"/>
                <w:b/>
                <w:bCs/>
                <w:color w:val="auto"/>
                <w:sz w:val="21"/>
                <w:szCs w:val="21"/>
                <w:highlight w:val="none"/>
                <w:u w:val="none"/>
                <w:lang w:val="en-US" w:eastAsia="zh-CN"/>
              </w:rPr>
              <w:t>本项目</w:t>
            </w:r>
            <w:r>
              <w:rPr>
                <w:rFonts w:hint="eastAsia" w:ascii="宋体" w:hAnsi="宋体" w:eastAsia="宋体" w:cs="宋体"/>
                <w:b w:val="0"/>
                <w:bCs w:val="0"/>
                <w:color w:val="auto"/>
                <w:sz w:val="21"/>
                <w:szCs w:val="21"/>
                <w:highlight w:val="none"/>
                <w:u w:val="none"/>
                <w:lang w:val="en-US" w:eastAsia="zh-CN"/>
              </w:rPr>
              <w:t>属于面向中小企业预留采购份额项目，预留份额通过获得采购合同的投标人将采购项目中的一定比例分包给一家或者多家中小企业进行，</w:t>
            </w:r>
            <w:r>
              <w:rPr>
                <w:rFonts w:hint="eastAsia" w:ascii="宋体" w:hAnsi="宋体" w:eastAsia="宋体" w:cs="宋体"/>
                <w:b/>
                <w:bCs/>
                <w:color w:val="auto"/>
                <w:sz w:val="21"/>
                <w:szCs w:val="21"/>
                <w:highlight w:val="none"/>
                <w:u w:val="none"/>
                <w:lang w:val="en-US" w:eastAsia="zh-CN"/>
              </w:rPr>
              <w:t>本分包意向协议中预留给中小企业的金额应当不低于总金额的30%，其中预留给小微企业的比例不低于60%。</w:t>
            </w:r>
            <w:r>
              <w:rPr>
                <w:rFonts w:hint="eastAsia" w:ascii="宋体" w:hAnsi="宋体" w:eastAsia="宋体" w:cs="宋体"/>
                <w:b w:val="0"/>
                <w:bCs w:val="0"/>
                <w:color w:val="auto"/>
                <w:sz w:val="21"/>
                <w:szCs w:val="21"/>
                <w:highlight w:val="none"/>
                <w:u w:val="none"/>
                <w:lang w:val="en-US" w:eastAsia="zh-CN"/>
              </w:rPr>
              <w:t>接受分包合同的中小企业和分包企业之间不得存在单位负责人为同一人或者存在直接控股、管理关系。</w:t>
            </w:r>
            <w:r>
              <w:rPr>
                <w:rFonts w:hint="eastAsia" w:ascii="宋体" w:hAnsi="宋体" w:eastAsia="宋体" w:cs="宋体"/>
                <w:b/>
                <w:bCs/>
                <w:color w:val="auto"/>
                <w:sz w:val="21"/>
                <w:szCs w:val="21"/>
                <w:highlight w:val="none"/>
                <w:u w:val="none"/>
                <w:lang w:val="en-US" w:eastAsia="zh-CN"/>
              </w:rPr>
              <w:t>应提供明确以上事项的《分包意向协议》和《中小企业声明函》。</w:t>
            </w:r>
          </w:p>
          <w:p w14:paraId="121A7672">
            <w:pPr>
              <w:shd w:val="clear" w:color="auto" w:fill="auto"/>
              <w:rPr>
                <w:rFonts w:hint="eastAsia" w:cs="Times New Roman"/>
                <w:b/>
                <w:bCs/>
                <w:color w:val="auto"/>
                <w:highlight w:val="none"/>
                <w:lang w:eastAsia="zh-CN"/>
              </w:rPr>
            </w:pPr>
            <w:r>
              <w:rPr>
                <w:rFonts w:hint="eastAsia" w:cs="Times New Roman"/>
                <w:b/>
                <w:bCs/>
                <w:color w:val="auto"/>
                <w:highlight w:val="none"/>
              </w:rPr>
              <w:t>如果供应商为大型企业，应预留给小微企业，且比例不低于30%。如果供应商为中型企业，预留给小微企业的比例不低于18%。如果供应商为小微企业，视同符合本条资格条件，则不得再进行分包。</w:t>
            </w:r>
            <w:r>
              <w:rPr>
                <w:rFonts w:hint="eastAsia" w:cs="Times New Roman"/>
                <w:b/>
                <w:bCs/>
                <w:color w:val="auto"/>
                <w:highlight w:val="none"/>
                <w:lang w:eastAsia="zh-CN"/>
              </w:rPr>
              <w:t>应</w:t>
            </w:r>
            <w:r>
              <w:rPr>
                <w:rFonts w:hint="eastAsia" w:cs="Times New Roman"/>
                <w:b/>
                <w:bCs/>
                <w:color w:val="auto"/>
                <w:highlight w:val="none"/>
              </w:rPr>
              <w:t>提供明确以上事项的《中小企业声明函》</w:t>
            </w:r>
            <w:r>
              <w:rPr>
                <w:rFonts w:hint="eastAsia" w:cs="Times New Roman"/>
                <w:b/>
                <w:bCs/>
                <w:color w:val="auto"/>
                <w:highlight w:val="none"/>
                <w:lang w:eastAsia="zh-CN"/>
              </w:rPr>
              <w:t>。</w:t>
            </w:r>
          </w:p>
          <w:p w14:paraId="0695EFDB">
            <w:pPr>
              <w:shd w:val="clear" w:color="auto" w:fill="auto"/>
              <w:rPr>
                <w:rFonts w:hint="default" w:eastAsia="宋体" w:cs="Times New Roman"/>
                <w:color w:val="auto"/>
                <w:highlight w:val="none"/>
                <w:lang w:val="en-US" w:eastAsia="zh-CN"/>
              </w:rPr>
            </w:pPr>
            <w:r>
              <w:rPr>
                <w:rFonts w:hint="eastAsia" w:cs="Times New Roman"/>
                <w:b w:val="0"/>
                <w:bCs w:val="0"/>
                <w:color w:val="auto"/>
                <w:highlight w:val="none"/>
              </w:rPr>
              <w:t>监狱企业视同小型、微型企业，提供由省级以上监狱管理局、戒毒管理局（含新疆生产建设兵团）出具的属于监狱企业的证明文件；残疾人福利性单位视同小型、微型企业，提供《残疾人福利性单位声明函》。</w:t>
            </w:r>
          </w:p>
        </w:tc>
      </w:tr>
      <w:tr w14:paraId="0BBF2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continue"/>
            <w:noWrap/>
            <w:vAlign w:val="center"/>
          </w:tcPr>
          <w:p w14:paraId="4B0BA068">
            <w:pPr>
              <w:shd w:val="clear"/>
              <w:jc w:val="center"/>
              <w:rPr>
                <w:color w:val="auto"/>
                <w:highlight w:val="none"/>
              </w:rPr>
            </w:pPr>
          </w:p>
        </w:tc>
        <w:tc>
          <w:tcPr>
            <w:tcW w:w="1521" w:type="dxa"/>
            <w:vMerge w:val="continue"/>
            <w:noWrap/>
            <w:vAlign w:val="center"/>
          </w:tcPr>
          <w:p w14:paraId="13B9AF72">
            <w:pPr>
              <w:shd w:val="clear"/>
              <w:jc w:val="center"/>
              <w:rPr>
                <w:color w:val="auto"/>
                <w:highlight w:val="none"/>
              </w:rPr>
            </w:pPr>
          </w:p>
        </w:tc>
        <w:tc>
          <w:tcPr>
            <w:tcW w:w="1421" w:type="dxa"/>
            <w:vMerge w:val="continue"/>
            <w:noWrap/>
            <w:vAlign w:val="center"/>
          </w:tcPr>
          <w:p w14:paraId="4195CE55">
            <w:pPr>
              <w:shd w:val="clear"/>
              <w:rPr>
                <w:color w:val="auto"/>
                <w:highlight w:val="none"/>
              </w:rPr>
            </w:pPr>
          </w:p>
        </w:tc>
        <w:tc>
          <w:tcPr>
            <w:tcW w:w="5783" w:type="dxa"/>
            <w:noWrap/>
            <w:vAlign w:val="center"/>
          </w:tcPr>
          <w:p w14:paraId="78A1E31B">
            <w:pPr>
              <w:shd w:val="clear"/>
              <w:rPr>
                <w:bCs/>
                <w:color w:val="auto"/>
                <w:highlight w:val="none"/>
              </w:rPr>
            </w:pPr>
            <w:r>
              <w:rPr>
                <w:bCs/>
                <w:color w:val="auto"/>
                <w:highlight w:val="none"/>
              </w:rPr>
              <w:t>二、</w:t>
            </w:r>
            <w:r>
              <w:rPr>
                <w:color w:val="auto"/>
                <w:highlight w:val="none"/>
              </w:rPr>
              <w:t>开标一览表</w:t>
            </w:r>
            <w:r>
              <w:rPr>
                <w:bCs/>
                <w:color w:val="auto"/>
                <w:highlight w:val="none"/>
              </w:rPr>
              <w:t>：</w:t>
            </w:r>
          </w:p>
          <w:p w14:paraId="44DF224A">
            <w:pPr>
              <w:shd w:val="clear"/>
              <w:rPr>
                <w:color w:val="auto"/>
                <w:highlight w:val="none"/>
              </w:rPr>
            </w:pPr>
            <w:r>
              <w:rPr>
                <w:rFonts w:hint="eastAsia"/>
                <w:color w:val="auto"/>
                <w:highlight w:val="none"/>
              </w:rPr>
              <w:t>★</w:t>
            </w:r>
            <w:r>
              <w:rPr>
                <w:color w:val="auto"/>
                <w:highlight w:val="none"/>
              </w:rPr>
              <w:t>1.投标报价表；</w:t>
            </w:r>
          </w:p>
        </w:tc>
      </w:tr>
      <w:tr w14:paraId="47B29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continue"/>
            <w:noWrap/>
            <w:vAlign w:val="center"/>
          </w:tcPr>
          <w:p w14:paraId="69D93244">
            <w:pPr>
              <w:shd w:val="clear"/>
              <w:jc w:val="center"/>
              <w:rPr>
                <w:color w:val="auto"/>
                <w:highlight w:val="none"/>
              </w:rPr>
            </w:pPr>
          </w:p>
        </w:tc>
        <w:tc>
          <w:tcPr>
            <w:tcW w:w="1521" w:type="dxa"/>
            <w:vMerge w:val="continue"/>
            <w:noWrap/>
            <w:vAlign w:val="center"/>
          </w:tcPr>
          <w:p w14:paraId="56089EB4">
            <w:pPr>
              <w:shd w:val="clear"/>
              <w:jc w:val="center"/>
              <w:rPr>
                <w:color w:val="auto"/>
                <w:highlight w:val="none"/>
              </w:rPr>
            </w:pPr>
          </w:p>
        </w:tc>
        <w:tc>
          <w:tcPr>
            <w:tcW w:w="1421" w:type="dxa"/>
            <w:vMerge w:val="continue"/>
            <w:noWrap/>
            <w:vAlign w:val="center"/>
          </w:tcPr>
          <w:p w14:paraId="244DAD49">
            <w:pPr>
              <w:shd w:val="clear"/>
              <w:rPr>
                <w:color w:val="auto"/>
                <w:highlight w:val="none"/>
              </w:rPr>
            </w:pPr>
          </w:p>
        </w:tc>
        <w:tc>
          <w:tcPr>
            <w:tcW w:w="5783" w:type="dxa"/>
            <w:noWrap/>
            <w:vAlign w:val="center"/>
          </w:tcPr>
          <w:p w14:paraId="404DED4B">
            <w:pPr>
              <w:shd w:val="clear"/>
              <w:rPr>
                <w:color w:val="auto"/>
                <w:highlight w:val="none"/>
              </w:rPr>
            </w:pPr>
            <w:r>
              <w:rPr>
                <w:color w:val="auto"/>
                <w:highlight w:val="none"/>
              </w:rPr>
              <w:t>三、其他文件及资料：</w:t>
            </w:r>
          </w:p>
          <w:p w14:paraId="0055E2B7">
            <w:pPr>
              <w:shd w:val="clear"/>
              <w:rPr>
                <w:i w:val="0"/>
                <w:iCs w:val="0"/>
                <w:color w:val="auto"/>
                <w:highlight w:val="none"/>
              </w:rPr>
            </w:pPr>
            <w:r>
              <w:rPr>
                <w:rFonts w:hint="eastAsia"/>
                <w:color w:val="auto"/>
                <w:highlight w:val="none"/>
              </w:rPr>
              <w:t>★</w:t>
            </w:r>
            <w:r>
              <w:rPr>
                <w:rFonts w:hint="eastAsia"/>
                <w:i w:val="0"/>
                <w:iCs w:val="0"/>
                <w:color w:val="auto"/>
                <w:highlight w:val="none"/>
                <w:lang w:val="en-US" w:eastAsia="zh-CN"/>
              </w:rPr>
              <w:t>1.</w:t>
            </w:r>
            <w:r>
              <w:rPr>
                <w:i w:val="0"/>
                <w:iCs w:val="0"/>
                <w:color w:val="auto"/>
                <w:highlight w:val="none"/>
              </w:rPr>
              <w:t>授权委托书（参考投标文件格式1）；</w:t>
            </w:r>
          </w:p>
          <w:p w14:paraId="3C337F8A">
            <w:pPr>
              <w:shd w:val="clear"/>
              <w:rPr>
                <w:i w:val="0"/>
                <w:iCs w:val="0"/>
                <w:color w:val="auto"/>
                <w:highlight w:val="none"/>
              </w:rPr>
            </w:pPr>
            <w:r>
              <w:rPr>
                <w:rFonts w:hint="eastAsia"/>
                <w:color w:val="auto"/>
                <w:highlight w:val="none"/>
              </w:rPr>
              <w:t>★</w:t>
            </w:r>
            <w:r>
              <w:rPr>
                <w:rFonts w:hint="eastAsia"/>
                <w:color w:val="auto"/>
                <w:highlight w:val="none"/>
                <w:lang w:val="en-US" w:eastAsia="zh-CN"/>
              </w:rPr>
              <w:t>2.</w:t>
            </w:r>
            <w:r>
              <w:rPr>
                <w:i w:val="0"/>
                <w:iCs w:val="0"/>
                <w:color w:val="auto"/>
                <w:highlight w:val="none"/>
              </w:rPr>
              <w:t>投标函（参考投标文件格式2）；</w:t>
            </w:r>
          </w:p>
          <w:p w14:paraId="5F66AE73">
            <w:pPr>
              <w:shd w:val="clear"/>
              <w:rPr>
                <w:i w:val="0"/>
                <w:iCs w:val="0"/>
                <w:color w:val="auto"/>
                <w:highlight w:val="none"/>
              </w:rPr>
            </w:pPr>
            <w:r>
              <w:rPr>
                <w:rFonts w:hint="eastAsia"/>
                <w:color w:val="auto"/>
                <w:highlight w:val="none"/>
              </w:rPr>
              <w:t>★</w:t>
            </w:r>
            <w:r>
              <w:rPr>
                <w:rFonts w:hint="eastAsia"/>
                <w:color w:val="auto"/>
                <w:highlight w:val="none"/>
                <w:lang w:val="en-US" w:eastAsia="zh-CN"/>
              </w:rPr>
              <w:t>3.</w:t>
            </w:r>
            <w:r>
              <w:rPr>
                <w:rFonts w:hint="eastAsia"/>
                <w:i w:val="0"/>
                <w:iCs w:val="0"/>
                <w:color w:val="auto"/>
                <w:highlight w:val="none"/>
              </w:rPr>
              <w:t>供应商公平参与市场竞争承诺函</w:t>
            </w:r>
            <w:r>
              <w:rPr>
                <w:i w:val="0"/>
                <w:iCs w:val="0"/>
                <w:color w:val="auto"/>
                <w:highlight w:val="none"/>
              </w:rPr>
              <w:t>（参考投标文件格式</w:t>
            </w:r>
            <w:r>
              <w:rPr>
                <w:rFonts w:hint="eastAsia"/>
                <w:i w:val="0"/>
                <w:iCs w:val="0"/>
                <w:color w:val="auto"/>
                <w:highlight w:val="none"/>
                <w:lang w:val="en-US" w:eastAsia="zh-CN"/>
              </w:rPr>
              <w:t>4</w:t>
            </w:r>
            <w:r>
              <w:rPr>
                <w:i w:val="0"/>
                <w:iCs w:val="0"/>
                <w:color w:val="auto"/>
                <w:highlight w:val="none"/>
              </w:rPr>
              <w:t>）；</w:t>
            </w:r>
          </w:p>
          <w:p w14:paraId="6AE8D0AC">
            <w:pPr>
              <w:shd w:val="clear"/>
              <w:rPr>
                <w:color w:val="auto"/>
                <w:highlight w:val="none"/>
              </w:rPr>
            </w:pPr>
            <w:r>
              <w:rPr>
                <w:rFonts w:hint="eastAsia"/>
                <w:color w:val="auto"/>
                <w:highlight w:val="none"/>
                <w:lang w:val="en-US" w:eastAsia="zh-CN"/>
              </w:rPr>
              <w:t>4.</w:t>
            </w:r>
            <w:r>
              <w:rPr>
                <w:color w:val="auto"/>
                <w:highlight w:val="none"/>
              </w:rPr>
              <w:t>商务条款偏离表；</w:t>
            </w:r>
          </w:p>
          <w:p w14:paraId="0CCCC75C">
            <w:pPr>
              <w:shd w:val="clear"/>
              <w:rPr>
                <w:rFonts w:hint="eastAsia" w:eastAsia="宋体"/>
                <w:color w:val="auto"/>
                <w:highlight w:val="none"/>
                <w:lang w:eastAsia="zh-CN"/>
              </w:rPr>
            </w:pPr>
            <w:r>
              <w:rPr>
                <w:rFonts w:hint="eastAsia"/>
                <w:color w:val="auto"/>
                <w:highlight w:val="none"/>
                <w:lang w:val="en-US" w:eastAsia="zh-CN"/>
              </w:rPr>
              <w:t>5.</w:t>
            </w:r>
            <w:r>
              <w:rPr>
                <w:color w:val="auto"/>
                <w:highlight w:val="none"/>
              </w:rPr>
              <w:t>投标人认为需要提供的</w:t>
            </w:r>
            <w:r>
              <w:rPr>
                <w:rFonts w:hint="eastAsia"/>
                <w:color w:val="auto"/>
                <w:highlight w:val="none"/>
              </w:rPr>
              <w:t>其他</w:t>
            </w:r>
            <w:r>
              <w:rPr>
                <w:color w:val="auto"/>
                <w:highlight w:val="none"/>
              </w:rPr>
              <w:t>说明和资料</w:t>
            </w:r>
            <w:r>
              <w:rPr>
                <w:rFonts w:hint="eastAsia"/>
                <w:color w:val="auto"/>
                <w:highlight w:val="none"/>
                <w:lang w:eastAsia="zh-CN"/>
              </w:rPr>
              <w:t>。</w:t>
            </w:r>
          </w:p>
        </w:tc>
      </w:tr>
      <w:tr w14:paraId="4EFBA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continue"/>
            <w:noWrap/>
            <w:vAlign w:val="center"/>
          </w:tcPr>
          <w:p w14:paraId="6BE07B52">
            <w:pPr>
              <w:shd w:val="clear"/>
              <w:jc w:val="center"/>
              <w:rPr>
                <w:color w:val="auto"/>
                <w:highlight w:val="none"/>
              </w:rPr>
            </w:pPr>
          </w:p>
        </w:tc>
        <w:tc>
          <w:tcPr>
            <w:tcW w:w="1521" w:type="dxa"/>
            <w:vMerge w:val="continue"/>
            <w:noWrap/>
            <w:vAlign w:val="center"/>
          </w:tcPr>
          <w:p w14:paraId="10729CEC">
            <w:pPr>
              <w:shd w:val="clear"/>
              <w:jc w:val="center"/>
              <w:rPr>
                <w:color w:val="auto"/>
                <w:highlight w:val="none"/>
              </w:rPr>
            </w:pPr>
          </w:p>
        </w:tc>
        <w:tc>
          <w:tcPr>
            <w:tcW w:w="1421" w:type="dxa"/>
            <w:noWrap/>
            <w:vAlign w:val="center"/>
          </w:tcPr>
          <w:p w14:paraId="1C8CC182">
            <w:pPr>
              <w:shd w:val="clear"/>
              <w:jc w:val="center"/>
              <w:rPr>
                <w:bCs/>
                <w:color w:val="auto"/>
                <w:highlight w:val="none"/>
              </w:rPr>
            </w:pPr>
            <w:r>
              <w:rPr>
                <w:color w:val="auto"/>
                <w:highlight w:val="none"/>
              </w:rPr>
              <w:t>技术部分</w:t>
            </w:r>
          </w:p>
        </w:tc>
        <w:tc>
          <w:tcPr>
            <w:tcW w:w="5783" w:type="dxa"/>
            <w:noWrap/>
            <w:vAlign w:val="center"/>
          </w:tcPr>
          <w:p w14:paraId="5262BA5F">
            <w:pPr>
              <w:shd w:val="clear"/>
              <w:rPr>
                <w:color w:val="auto"/>
                <w:highlight w:val="none"/>
              </w:rPr>
            </w:pPr>
            <w:r>
              <w:rPr>
                <w:color w:val="auto"/>
                <w:highlight w:val="none"/>
              </w:rPr>
              <w:t>1.技术条款偏离表；</w:t>
            </w:r>
          </w:p>
          <w:p w14:paraId="4FF3D7F4">
            <w:pPr>
              <w:shd w:val="clear"/>
              <w:rPr>
                <w:bCs/>
                <w:color w:val="auto"/>
                <w:highlight w:val="none"/>
              </w:rPr>
            </w:pPr>
            <w:r>
              <w:rPr>
                <w:color w:val="auto"/>
                <w:highlight w:val="none"/>
              </w:rPr>
              <w:t>2.服务方案；</w:t>
            </w:r>
          </w:p>
          <w:p w14:paraId="3A91AE8D">
            <w:pPr>
              <w:shd w:val="clear"/>
              <w:rPr>
                <w:rFonts w:hint="eastAsia" w:eastAsia="宋体"/>
                <w:color w:val="auto"/>
                <w:highlight w:val="none"/>
                <w:lang w:eastAsia="zh-CN"/>
              </w:rPr>
            </w:pPr>
            <w:r>
              <w:rPr>
                <w:color w:val="auto"/>
                <w:highlight w:val="none"/>
              </w:rPr>
              <w:t>3.投标人认为需要提供的</w:t>
            </w:r>
            <w:r>
              <w:rPr>
                <w:rFonts w:hint="eastAsia"/>
                <w:color w:val="auto"/>
                <w:highlight w:val="none"/>
              </w:rPr>
              <w:t>其他</w:t>
            </w:r>
            <w:r>
              <w:rPr>
                <w:color w:val="auto"/>
                <w:highlight w:val="none"/>
              </w:rPr>
              <w:t>说明和资料</w:t>
            </w:r>
            <w:r>
              <w:rPr>
                <w:rFonts w:hint="eastAsia"/>
                <w:color w:val="auto"/>
                <w:highlight w:val="none"/>
                <w:lang w:eastAsia="zh-CN"/>
              </w:rPr>
              <w:t>。</w:t>
            </w:r>
          </w:p>
        </w:tc>
      </w:tr>
      <w:tr w14:paraId="75905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continue"/>
            <w:noWrap/>
            <w:vAlign w:val="center"/>
          </w:tcPr>
          <w:p w14:paraId="1C6E2BD3">
            <w:pPr>
              <w:shd w:val="clear"/>
              <w:jc w:val="center"/>
              <w:rPr>
                <w:color w:val="auto"/>
                <w:highlight w:val="none"/>
              </w:rPr>
            </w:pPr>
          </w:p>
        </w:tc>
        <w:tc>
          <w:tcPr>
            <w:tcW w:w="1521" w:type="dxa"/>
            <w:vMerge w:val="continue"/>
            <w:noWrap/>
            <w:vAlign w:val="center"/>
          </w:tcPr>
          <w:p w14:paraId="58361A5E">
            <w:pPr>
              <w:shd w:val="clear"/>
              <w:jc w:val="center"/>
              <w:rPr>
                <w:color w:val="auto"/>
                <w:highlight w:val="none"/>
              </w:rPr>
            </w:pPr>
          </w:p>
        </w:tc>
        <w:tc>
          <w:tcPr>
            <w:tcW w:w="7204" w:type="dxa"/>
            <w:gridSpan w:val="2"/>
            <w:noWrap/>
            <w:vAlign w:val="center"/>
          </w:tcPr>
          <w:p w14:paraId="7DF03056">
            <w:pPr>
              <w:shd w:val="clear"/>
              <w:rPr>
                <w:color w:val="auto"/>
                <w:highlight w:val="none"/>
              </w:rPr>
            </w:pPr>
            <w:r>
              <w:rPr>
                <w:color w:val="auto"/>
                <w:highlight w:val="none"/>
              </w:rPr>
              <w:t>1.以上带</w:t>
            </w:r>
            <w:r>
              <w:rPr>
                <w:rFonts w:ascii="Segoe UI Symbol" w:hAnsi="Segoe UI Symbol" w:cs="Segoe UI Symbol"/>
                <w:color w:val="auto"/>
                <w:highlight w:val="none"/>
              </w:rPr>
              <w:t>★</w:t>
            </w:r>
            <w:r>
              <w:rPr>
                <w:color w:val="auto"/>
                <w:highlight w:val="none"/>
              </w:rPr>
              <w:t>的文件及资料未提供或提供的无效，则投标无效。</w:t>
            </w:r>
          </w:p>
        </w:tc>
      </w:tr>
      <w:tr w14:paraId="5B160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4D0FA469">
            <w:pPr>
              <w:shd w:val="clear"/>
              <w:jc w:val="center"/>
              <w:rPr>
                <w:color w:val="auto"/>
                <w:highlight w:val="none"/>
              </w:rPr>
            </w:pPr>
            <w:r>
              <w:rPr>
                <w:color w:val="auto"/>
                <w:highlight w:val="none"/>
              </w:rPr>
              <w:t>17</w:t>
            </w:r>
          </w:p>
        </w:tc>
        <w:tc>
          <w:tcPr>
            <w:tcW w:w="1521" w:type="dxa"/>
            <w:noWrap/>
            <w:vAlign w:val="center"/>
          </w:tcPr>
          <w:p w14:paraId="35307A01">
            <w:pPr>
              <w:shd w:val="clear"/>
              <w:jc w:val="center"/>
              <w:rPr>
                <w:color w:val="auto"/>
                <w:highlight w:val="none"/>
              </w:rPr>
            </w:pPr>
            <w:r>
              <w:rPr>
                <w:color w:val="auto"/>
                <w:highlight w:val="none"/>
              </w:rPr>
              <w:t>投标有效期</w:t>
            </w:r>
          </w:p>
        </w:tc>
        <w:tc>
          <w:tcPr>
            <w:tcW w:w="7204" w:type="dxa"/>
            <w:gridSpan w:val="2"/>
            <w:noWrap/>
            <w:vAlign w:val="center"/>
          </w:tcPr>
          <w:p w14:paraId="31B19606">
            <w:pPr>
              <w:shd w:val="clear"/>
              <w:rPr>
                <w:color w:val="auto"/>
                <w:highlight w:val="none"/>
              </w:rPr>
            </w:pPr>
            <w:r>
              <w:rPr>
                <w:color w:val="auto"/>
                <w:highlight w:val="none"/>
              </w:rPr>
              <w:t>从提交投标文件的截止之日起计算</w:t>
            </w:r>
            <w:r>
              <w:rPr>
                <w:rFonts w:hint="eastAsia"/>
                <w:color w:val="auto"/>
                <w:highlight w:val="none"/>
                <w:u w:val="none"/>
              </w:rPr>
              <w:t>60个</w:t>
            </w:r>
            <w:r>
              <w:rPr>
                <w:color w:val="auto"/>
                <w:highlight w:val="none"/>
              </w:rPr>
              <w:t>日历日。</w:t>
            </w:r>
          </w:p>
        </w:tc>
      </w:tr>
      <w:tr w14:paraId="38F3B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522E97F0">
            <w:pPr>
              <w:shd w:val="clear"/>
              <w:jc w:val="center"/>
              <w:rPr>
                <w:color w:val="auto"/>
                <w:highlight w:val="none"/>
              </w:rPr>
            </w:pPr>
            <w:r>
              <w:rPr>
                <w:color w:val="auto"/>
                <w:highlight w:val="none"/>
              </w:rPr>
              <w:t>18</w:t>
            </w:r>
          </w:p>
        </w:tc>
        <w:tc>
          <w:tcPr>
            <w:tcW w:w="1521" w:type="dxa"/>
            <w:noWrap/>
            <w:vAlign w:val="center"/>
          </w:tcPr>
          <w:p w14:paraId="33F4B96B">
            <w:pPr>
              <w:shd w:val="clear"/>
              <w:jc w:val="center"/>
              <w:rPr>
                <w:color w:val="auto"/>
                <w:highlight w:val="none"/>
              </w:rPr>
            </w:pPr>
            <w:r>
              <w:rPr>
                <w:color w:val="auto"/>
                <w:highlight w:val="none"/>
              </w:rPr>
              <w:t>提交投标文件方式、截止时间、开标时间、地点</w:t>
            </w:r>
          </w:p>
        </w:tc>
        <w:tc>
          <w:tcPr>
            <w:tcW w:w="7204" w:type="dxa"/>
            <w:gridSpan w:val="2"/>
            <w:noWrap/>
            <w:vAlign w:val="center"/>
          </w:tcPr>
          <w:p w14:paraId="00B5F607">
            <w:pPr>
              <w:keepNext w:val="0"/>
              <w:keepLines w:val="0"/>
              <w:pageBreakBefore w:val="0"/>
              <w:widowControl w:val="0"/>
              <w:shd w:val="clear"/>
              <w:kinsoku/>
              <w:wordWrap/>
              <w:overflowPunct/>
              <w:bidi w:val="0"/>
              <w:adjustRightInd/>
              <w:snapToGrid/>
              <w:spacing w:line="360" w:lineRule="auto"/>
              <w:textAlignment w:val="auto"/>
              <w:rPr>
                <w:color w:val="auto"/>
                <w:highlight w:val="none"/>
                <w:u w:val="none"/>
              </w:rPr>
            </w:pPr>
            <w:r>
              <w:rPr>
                <w:color w:val="auto"/>
                <w:highlight w:val="none"/>
                <w:u w:val="none"/>
              </w:rPr>
              <w:t>提交方式：</w:t>
            </w:r>
            <w:r>
              <w:rPr>
                <w:rFonts w:hint="eastAsia"/>
                <w:color w:val="auto"/>
                <w:highlight w:val="none"/>
                <w:u w:val="none"/>
                <w:lang w:val="en-US" w:eastAsia="zh-CN"/>
              </w:rPr>
              <w:t>密封</w:t>
            </w:r>
            <w:r>
              <w:rPr>
                <w:color w:val="auto"/>
                <w:highlight w:val="none"/>
                <w:u w:val="none"/>
              </w:rPr>
              <w:t>纸质文件提交</w:t>
            </w:r>
          </w:p>
          <w:p w14:paraId="1817A2D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highlight w:val="none"/>
              </w:rPr>
            </w:pPr>
            <w:r>
              <w:rPr>
                <w:rFonts w:hint="eastAsia" w:ascii="宋体" w:hAnsi="宋体" w:cs="宋体"/>
                <w:kern w:val="0"/>
                <w:szCs w:val="21"/>
                <w:highlight w:val="none"/>
              </w:rPr>
              <w:t>投标截止时间和开标时间：</w:t>
            </w:r>
            <w:r>
              <w:rPr>
                <w:rFonts w:hint="eastAsia" w:ascii="宋体" w:hAnsi="宋体" w:cs="宋体"/>
                <w:kern w:val="0"/>
                <w:szCs w:val="21"/>
                <w:highlight w:val="none"/>
                <w:lang w:val="en-US" w:eastAsia="zh-CN"/>
              </w:rPr>
              <w:t>2026</w:t>
            </w:r>
            <w:r>
              <w:rPr>
                <w:rFonts w:hint="eastAsia" w:ascii="宋体" w:hAnsi="宋体" w:cs="宋体"/>
                <w:kern w:val="0"/>
                <w:szCs w:val="21"/>
                <w:highlight w:val="none"/>
              </w:rPr>
              <w:t>年</w:t>
            </w:r>
            <w:r>
              <w:rPr>
                <w:rFonts w:hint="eastAsia" w:ascii="宋体" w:hAnsi="宋体" w:cs="宋体"/>
                <w:kern w:val="0"/>
                <w:szCs w:val="21"/>
                <w:highlight w:val="none"/>
                <w:lang w:val="en-US" w:eastAsia="zh-CN"/>
              </w:rPr>
              <w:t>10</w:t>
            </w:r>
            <w:r>
              <w:rPr>
                <w:rFonts w:hint="eastAsia" w:ascii="宋体" w:hAnsi="宋体" w:cs="宋体"/>
                <w:kern w:val="0"/>
                <w:szCs w:val="21"/>
                <w:highlight w:val="none"/>
              </w:rPr>
              <w:t>月</w:t>
            </w:r>
            <w:r>
              <w:rPr>
                <w:rFonts w:hint="eastAsia" w:ascii="宋体" w:hAnsi="宋体" w:cs="宋体"/>
                <w:kern w:val="0"/>
                <w:szCs w:val="21"/>
                <w:highlight w:val="none"/>
                <w:lang w:val="en-US" w:eastAsia="zh-CN"/>
              </w:rPr>
              <w:t>9</w:t>
            </w:r>
            <w:r>
              <w:rPr>
                <w:rFonts w:hint="eastAsia" w:ascii="宋体" w:hAnsi="宋体" w:cs="宋体"/>
                <w:kern w:val="0"/>
                <w:szCs w:val="21"/>
                <w:highlight w:val="none"/>
              </w:rPr>
              <w:t>日9点30分（北京时间）</w:t>
            </w:r>
          </w:p>
          <w:p w14:paraId="73D6B0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highlight w:val="none"/>
              </w:rPr>
            </w:pPr>
            <w:r>
              <w:rPr>
                <w:rFonts w:hint="eastAsia" w:ascii="宋体" w:hAnsi="宋体" w:cs="宋体"/>
                <w:kern w:val="0"/>
                <w:szCs w:val="21"/>
                <w:highlight w:val="none"/>
              </w:rPr>
              <w:t>开标方式：线下开标</w:t>
            </w:r>
          </w:p>
          <w:p w14:paraId="14C7A8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highlight w:val="none"/>
              </w:rPr>
            </w:pPr>
            <w:r>
              <w:rPr>
                <w:rFonts w:hint="eastAsia" w:ascii="宋体" w:hAnsi="宋体" w:cs="宋体"/>
                <w:kern w:val="0"/>
                <w:szCs w:val="21"/>
                <w:highlight w:val="none"/>
              </w:rPr>
              <w:t>提交投标文件地点：</w:t>
            </w:r>
            <w:r>
              <w:rPr>
                <w:rFonts w:hint="eastAsia" w:ascii="宋体" w:hAnsi="宋体" w:cs="宋体"/>
                <w:kern w:val="0"/>
                <w:szCs w:val="21"/>
                <w:highlight w:val="none"/>
                <w:lang w:eastAsia="zh-CN"/>
              </w:rPr>
              <w:t>江苏宏壮工程项目管理有限公司</w:t>
            </w:r>
            <w:r>
              <w:rPr>
                <w:rFonts w:hint="eastAsia" w:ascii="宋体" w:hAnsi="宋体" w:cs="宋体"/>
                <w:kern w:val="0"/>
                <w:szCs w:val="21"/>
                <w:highlight w:val="none"/>
              </w:rPr>
              <w:t>会议室（</w:t>
            </w:r>
            <w:r>
              <w:rPr>
                <w:rFonts w:hint="eastAsia" w:ascii="宋体" w:hAnsi="宋体" w:cs="宋体"/>
                <w:kern w:val="0"/>
                <w:szCs w:val="21"/>
                <w:highlight w:val="none"/>
                <w:lang w:eastAsia="zh-CN"/>
              </w:rPr>
              <w:t>宿迁市宿城区中港雅典城A2#铺03江苏宏壮工程项目管理有限公司</w:t>
            </w:r>
            <w:r>
              <w:rPr>
                <w:rFonts w:hint="eastAsia" w:ascii="宋体" w:hAnsi="宋体" w:cs="宋体"/>
                <w:kern w:val="0"/>
                <w:szCs w:val="21"/>
                <w:highlight w:val="none"/>
              </w:rPr>
              <w:t>）</w:t>
            </w:r>
          </w:p>
          <w:p w14:paraId="57CCAEC8">
            <w:pPr>
              <w:keepNext w:val="0"/>
              <w:keepLines w:val="0"/>
              <w:pageBreakBefore w:val="0"/>
              <w:widowControl w:val="0"/>
              <w:shd w:val="clear"/>
              <w:kinsoku/>
              <w:wordWrap/>
              <w:overflowPunct/>
              <w:bidi w:val="0"/>
              <w:adjustRightInd/>
              <w:snapToGrid/>
              <w:spacing w:line="360" w:lineRule="auto"/>
              <w:textAlignment w:val="auto"/>
              <w:rPr>
                <w:rFonts w:hint="default" w:eastAsia="宋体"/>
                <w:color w:val="auto"/>
                <w:highlight w:val="none"/>
                <w:lang w:val="en-US" w:eastAsia="zh-CN"/>
              </w:rPr>
            </w:pPr>
            <w:r>
              <w:rPr>
                <w:rFonts w:hint="eastAsia" w:ascii="宋体" w:hAnsi="宋体" w:cs="宋体"/>
                <w:kern w:val="0"/>
                <w:szCs w:val="21"/>
                <w:highlight w:val="none"/>
              </w:rPr>
              <w:t>开标地点：</w:t>
            </w:r>
            <w:r>
              <w:rPr>
                <w:rFonts w:hint="eastAsia" w:ascii="宋体" w:hAnsi="宋体" w:cs="宋体"/>
                <w:kern w:val="0"/>
                <w:szCs w:val="21"/>
                <w:highlight w:val="none"/>
                <w:lang w:eastAsia="zh-CN"/>
              </w:rPr>
              <w:t>江苏宏壮工程项目管理有限公司</w:t>
            </w:r>
            <w:r>
              <w:rPr>
                <w:rFonts w:hint="eastAsia" w:ascii="宋体" w:hAnsi="宋体" w:cs="宋体"/>
                <w:kern w:val="0"/>
                <w:szCs w:val="21"/>
                <w:highlight w:val="none"/>
              </w:rPr>
              <w:t>会议室（</w:t>
            </w:r>
            <w:r>
              <w:rPr>
                <w:rFonts w:hint="eastAsia" w:ascii="宋体" w:hAnsi="宋体" w:cs="宋体"/>
                <w:kern w:val="0"/>
                <w:szCs w:val="21"/>
                <w:highlight w:val="none"/>
                <w:lang w:eastAsia="zh-CN"/>
              </w:rPr>
              <w:t>宿迁市宿城区中港雅典城A2#铺03江苏宏壮工程项目管理有限公司</w:t>
            </w:r>
            <w:r>
              <w:rPr>
                <w:rFonts w:hint="eastAsia" w:ascii="宋体" w:hAnsi="宋体" w:cs="宋体"/>
                <w:kern w:val="0"/>
                <w:szCs w:val="21"/>
                <w:highlight w:val="none"/>
              </w:rPr>
              <w:t>）</w:t>
            </w:r>
          </w:p>
        </w:tc>
      </w:tr>
      <w:tr w14:paraId="26AE0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53F8319D">
            <w:pPr>
              <w:shd w:val="clear"/>
              <w:jc w:val="center"/>
              <w:rPr>
                <w:color w:val="auto"/>
                <w:highlight w:val="none"/>
              </w:rPr>
            </w:pPr>
            <w:r>
              <w:rPr>
                <w:color w:val="auto"/>
                <w:highlight w:val="none"/>
              </w:rPr>
              <w:t>19</w:t>
            </w:r>
          </w:p>
        </w:tc>
        <w:tc>
          <w:tcPr>
            <w:tcW w:w="1521" w:type="dxa"/>
            <w:noWrap/>
            <w:vAlign w:val="center"/>
          </w:tcPr>
          <w:p w14:paraId="4102CA91">
            <w:pPr>
              <w:shd w:val="clear"/>
              <w:jc w:val="center"/>
              <w:rPr>
                <w:b/>
                <w:color w:val="auto"/>
                <w:highlight w:val="none"/>
              </w:rPr>
            </w:pPr>
            <w:r>
              <w:rPr>
                <w:color w:val="auto"/>
                <w:highlight w:val="none"/>
              </w:rPr>
              <w:t>投标保证金</w:t>
            </w:r>
          </w:p>
        </w:tc>
        <w:tc>
          <w:tcPr>
            <w:tcW w:w="7204" w:type="dxa"/>
            <w:gridSpan w:val="2"/>
            <w:noWrap/>
            <w:vAlign w:val="center"/>
          </w:tcPr>
          <w:p w14:paraId="448119E1">
            <w:pPr>
              <w:shd w:val="clear"/>
              <w:rPr>
                <w:snapToGrid w:val="0"/>
                <w:color w:val="auto"/>
                <w:highlight w:val="none"/>
                <w:lang w:val="zh-CN"/>
              </w:rPr>
            </w:pPr>
            <w:r>
              <w:rPr>
                <w:color w:val="auto"/>
                <w:highlight w:val="none"/>
              </w:rPr>
              <w:sym w:font="Wingdings 2" w:char="0052"/>
            </w:r>
            <w:r>
              <w:rPr>
                <w:color w:val="auto"/>
                <w:highlight w:val="none"/>
              </w:rPr>
              <w:t>不要求提供</w:t>
            </w:r>
          </w:p>
          <w:p w14:paraId="37DFC6AE">
            <w:pPr>
              <w:shd w:val="clear"/>
              <w:rPr>
                <w:color w:val="auto"/>
                <w:highlight w:val="none"/>
              </w:rPr>
            </w:pPr>
            <w:r>
              <w:rPr>
                <w:color w:val="auto"/>
                <w:highlight w:val="none"/>
              </w:rPr>
              <w:sym w:font="Wingdings 2" w:char="F0A3"/>
            </w:r>
            <w:r>
              <w:rPr>
                <w:color w:val="auto"/>
                <w:highlight w:val="none"/>
              </w:rPr>
              <w:t>要求提供：</w:t>
            </w:r>
          </w:p>
          <w:p w14:paraId="679227F0">
            <w:pPr>
              <w:shd w:val="clear"/>
              <w:rPr>
                <w:color w:val="auto"/>
                <w:highlight w:val="none"/>
              </w:rPr>
            </w:pPr>
            <w:r>
              <w:rPr>
                <w:color w:val="auto"/>
                <w:highlight w:val="none"/>
              </w:rPr>
              <w:t>（1）金额：人民币元。</w:t>
            </w:r>
          </w:p>
          <w:p w14:paraId="5BE13AF2">
            <w:pPr>
              <w:shd w:val="clear"/>
              <w:rPr>
                <w:color w:val="auto"/>
                <w:highlight w:val="none"/>
              </w:rPr>
            </w:pPr>
            <w:r>
              <w:rPr>
                <w:color w:val="auto"/>
                <w:highlight w:val="none"/>
              </w:rPr>
              <w:t>（2）提交方式：</w:t>
            </w:r>
          </w:p>
          <w:p w14:paraId="135B9C00">
            <w:pPr>
              <w:shd w:val="clear"/>
              <w:rPr>
                <w:color w:val="auto"/>
                <w:highlight w:val="none"/>
                <w:u w:val="single"/>
              </w:rPr>
            </w:pPr>
            <w:r>
              <w:rPr>
                <w:color w:val="auto"/>
                <w:highlight w:val="none"/>
              </w:rPr>
              <w:t>收款账户：</w:t>
            </w:r>
          </w:p>
          <w:p w14:paraId="571AAB73">
            <w:pPr>
              <w:shd w:val="clear"/>
              <w:rPr>
                <w:color w:val="auto"/>
                <w:highlight w:val="none"/>
                <w:u w:val="single"/>
              </w:rPr>
            </w:pPr>
            <w:r>
              <w:rPr>
                <w:color w:val="auto"/>
                <w:highlight w:val="none"/>
              </w:rPr>
              <w:t>开户银行：</w:t>
            </w:r>
          </w:p>
          <w:p w14:paraId="4BB74D7B">
            <w:pPr>
              <w:shd w:val="clear"/>
              <w:rPr>
                <w:b/>
                <w:color w:val="auto"/>
                <w:highlight w:val="none"/>
              </w:rPr>
            </w:pPr>
            <w:r>
              <w:rPr>
                <w:color w:val="auto"/>
                <w:highlight w:val="none"/>
              </w:rPr>
              <w:t>银行账户：</w:t>
            </w:r>
          </w:p>
        </w:tc>
      </w:tr>
      <w:tr w14:paraId="47448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restart"/>
            <w:noWrap/>
            <w:vAlign w:val="center"/>
          </w:tcPr>
          <w:p w14:paraId="54DC010B">
            <w:pPr>
              <w:shd w:val="clear"/>
              <w:jc w:val="center"/>
              <w:rPr>
                <w:color w:val="auto"/>
                <w:highlight w:val="none"/>
              </w:rPr>
            </w:pPr>
            <w:r>
              <w:rPr>
                <w:color w:val="auto"/>
                <w:highlight w:val="none"/>
              </w:rPr>
              <w:t>20</w:t>
            </w:r>
          </w:p>
        </w:tc>
        <w:tc>
          <w:tcPr>
            <w:tcW w:w="1521" w:type="dxa"/>
            <w:vMerge w:val="restart"/>
            <w:noWrap/>
            <w:vAlign w:val="center"/>
          </w:tcPr>
          <w:p w14:paraId="1926C91F">
            <w:pPr>
              <w:shd w:val="clear"/>
              <w:jc w:val="center"/>
              <w:rPr>
                <w:color w:val="auto"/>
                <w:highlight w:val="none"/>
              </w:rPr>
            </w:pPr>
            <w:r>
              <w:rPr>
                <w:color w:val="auto"/>
                <w:highlight w:val="none"/>
              </w:rPr>
              <w:t>不予退还投标保证金的情形</w:t>
            </w:r>
            <w:r>
              <w:rPr>
                <w:rFonts w:hint="eastAsia"/>
                <w:color w:val="auto"/>
                <w:highlight w:val="none"/>
              </w:rPr>
              <w:t>（本项目不交保证金）</w:t>
            </w:r>
          </w:p>
        </w:tc>
        <w:tc>
          <w:tcPr>
            <w:tcW w:w="7204" w:type="dxa"/>
            <w:gridSpan w:val="2"/>
            <w:noWrap/>
            <w:vAlign w:val="center"/>
          </w:tcPr>
          <w:p w14:paraId="666CD3C2">
            <w:pPr>
              <w:shd w:val="clear"/>
              <w:rPr>
                <w:color w:val="auto"/>
                <w:highlight w:val="none"/>
              </w:rPr>
            </w:pPr>
            <w:r>
              <w:rPr>
                <w:color w:val="auto"/>
                <w:highlight w:val="none"/>
              </w:rPr>
              <w:t>有下列情形之一的，投标保证金将不予退还：</w:t>
            </w:r>
          </w:p>
          <w:p w14:paraId="1F0C5D9E">
            <w:pPr>
              <w:shd w:val="clear"/>
              <w:rPr>
                <w:color w:val="auto"/>
                <w:highlight w:val="none"/>
              </w:rPr>
            </w:pPr>
            <w:r>
              <w:rPr>
                <w:color w:val="auto"/>
                <w:highlight w:val="none"/>
              </w:rPr>
              <w:t>（1）投标人串通投标或有视为串通投标情形之一的；</w:t>
            </w:r>
          </w:p>
          <w:p w14:paraId="6AEA1532">
            <w:pPr>
              <w:shd w:val="clear"/>
              <w:rPr>
                <w:color w:val="auto"/>
                <w:highlight w:val="none"/>
              </w:rPr>
            </w:pPr>
            <w:r>
              <w:rPr>
                <w:color w:val="auto"/>
                <w:highlight w:val="none"/>
              </w:rPr>
              <w:t>（2）投标人提供虚假材料；</w:t>
            </w:r>
          </w:p>
          <w:p w14:paraId="6866CBFA">
            <w:pPr>
              <w:shd w:val="clear"/>
              <w:rPr>
                <w:color w:val="auto"/>
                <w:highlight w:val="none"/>
              </w:rPr>
            </w:pPr>
            <w:r>
              <w:rPr>
                <w:color w:val="auto"/>
                <w:highlight w:val="none"/>
              </w:rPr>
              <w:t>（3）投标人采取不正当手段诋毁、排挤其他投标人；</w:t>
            </w:r>
          </w:p>
          <w:p w14:paraId="4FD54969">
            <w:pPr>
              <w:shd w:val="clear"/>
              <w:rPr>
                <w:color w:val="auto"/>
                <w:highlight w:val="none"/>
              </w:rPr>
            </w:pPr>
            <w:r>
              <w:rPr>
                <w:color w:val="auto"/>
                <w:highlight w:val="none"/>
              </w:rPr>
              <w:t>（4）投标截止时间后，投标人在投标有效期内撤销投标文件；</w:t>
            </w:r>
          </w:p>
          <w:p w14:paraId="237225E6">
            <w:pPr>
              <w:shd w:val="clear"/>
              <w:rPr>
                <w:color w:val="auto"/>
                <w:highlight w:val="none"/>
              </w:rPr>
            </w:pPr>
            <w:r>
              <w:rPr>
                <w:color w:val="auto"/>
                <w:highlight w:val="none"/>
              </w:rPr>
              <w:t>（5）中标人有下列情形之一的：</w:t>
            </w:r>
          </w:p>
          <w:p w14:paraId="3514E42A">
            <w:pPr>
              <w:shd w:val="clear"/>
              <w:rPr>
                <w:color w:val="auto"/>
                <w:highlight w:val="none"/>
              </w:rPr>
            </w:pPr>
            <w:r>
              <w:rPr>
                <w:color w:val="auto"/>
                <w:highlight w:val="none"/>
              </w:rPr>
              <w:t>a.除不可抗力外，因中标人自身原因未在中标通知书要求的期限内与采购人签订政府采购合同；</w:t>
            </w:r>
          </w:p>
          <w:p w14:paraId="0B31EE4B">
            <w:pPr>
              <w:shd w:val="clear"/>
              <w:rPr>
                <w:color w:val="auto"/>
                <w:highlight w:val="none"/>
              </w:rPr>
            </w:pPr>
            <w:r>
              <w:rPr>
                <w:color w:val="auto"/>
                <w:highlight w:val="none"/>
              </w:rPr>
              <w:t>b.未按照招标文件、投标文件的约定签订政府采购合同或提交履约保证金。</w:t>
            </w:r>
          </w:p>
          <w:p w14:paraId="3340C650">
            <w:pPr>
              <w:shd w:val="clear"/>
              <w:rPr>
                <w:color w:val="auto"/>
                <w:highlight w:val="none"/>
              </w:rPr>
            </w:pPr>
            <w:r>
              <w:rPr>
                <w:color w:val="auto"/>
                <w:highlight w:val="none"/>
              </w:rPr>
              <w:t>注：若上述投标保证金不予退还情形给采购人（采购代理机构）造成损失，则投标人还要承担相应的赔偿责任。</w:t>
            </w:r>
          </w:p>
        </w:tc>
      </w:tr>
      <w:tr w14:paraId="5735A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continue"/>
            <w:noWrap/>
            <w:vAlign w:val="center"/>
          </w:tcPr>
          <w:p w14:paraId="37CCB9AA">
            <w:pPr>
              <w:shd w:val="clear"/>
              <w:jc w:val="center"/>
              <w:rPr>
                <w:color w:val="auto"/>
                <w:highlight w:val="none"/>
              </w:rPr>
            </w:pPr>
          </w:p>
        </w:tc>
        <w:tc>
          <w:tcPr>
            <w:tcW w:w="1521" w:type="dxa"/>
            <w:vMerge w:val="continue"/>
            <w:noWrap/>
            <w:vAlign w:val="center"/>
          </w:tcPr>
          <w:p w14:paraId="34896C83">
            <w:pPr>
              <w:shd w:val="clear"/>
              <w:jc w:val="center"/>
              <w:rPr>
                <w:color w:val="auto"/>
                <w:highlight w:val="none"/>
              </w:rPr>
            </w:pPr>
          </w:p>
        </w:tc>
        <w:tc>
          <w:tcPr>
            <w:tcW w:w="7204" w:type="dxa"/>
            <w:gridSpan w:val="2"/>
            <w:noWrap/>
            <w:vAlign w:val="center"/>
          </w:tcPr>
          <w:p w14:paraId="33E4D0C1">
            <w:pPr>
              <w:shd w:val="clear"/>
              <w:rPr>
                <w:color w:val="auto"/>
                <w:highlight w:val="none"/>
              </w:rPr>
            </w:pPr>
            <w:r>
              <w:rPr>
                <w:color w:val="auto"/>
                <w:highlight w:val="none"/>
              </w:rPr>
              <w:t>其他不予退还投标保证金的情形：</w:t>
            </w:r>
            <w:r>
              <w:rPr>
                <w:rFonts w:hint="eastAsia"/>
                <w:color w:val="auto"/>
                <w:highlight w:val="none"/>
                <w:u w:val="single"/>
              </w:rPr>
              <w:t>/</w:t>
            </w:r>
          </w:p>
        </w:tc>
      </w:tr>
      <w:tr w14:paraId="4908C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302E5C9C">
            <w:pPr>
              <w:shd w:val="clear"/>
              <w:jc w:val="center"/>
              <w:rPr>
                <w:color w:val="auto"/>
                <w:highlight w:val="none"/>
              </w:rPr>
            </w:pPr>
            <w:r>
              <w:rPr>
                <w:color w:val="auto"/>
                <w:highlight w:val="none"/>
              </w:rPr>
              <w:t>21</w:t>
            </w:r>
          </w:p>
        </w:tc>
        <w:tc>
          <w:tcPr>
            <w:tcW w:w="1521" w:type="dxa"/>
            <w:noWrap/>
            <w:vAlign w:val="center"/>
          </w:tcPr>
          <w:p w14:paraId="5901EBDD">
            <w:pPr>
              <w:shd w:val="clear"/>
              <w:jc w:val="center"/>
              <w:rPr>
                <w:b/>
                <w:color w:val="auto"/>
                <w:highlight w:val="none"/>
              </w:rPr>
            </w:pPr>
            <w:r>
              <w:rPr>
                <w:color w:val="auto"/>
                <w:highlight w:val="none"/>
              </w:rPr>
              <w:t>信用记录审查</w:t>
            </w:r>
          </w:p>
        </w:tc>
        <w:tc>
          <w:tcPr>
            <w:tcW w:w="7204" w:type="dxa"/>
            <w:gridSpan w:val="2"/>
            <w:noWrap/>
            <w:vAlign w:val="center"/>
          </w:tcPr>
          <w:p w14:paraId="451E3D3D">
            <w:pPr>
              <w:shd w:val="clear"/>
              <w:rPr>
                <w:snapToGrid w:val="0"/>
                <w:color w:val="auto"/>
                <w:highlight w:val="none"/>
              </w:rPr>
            </w:pPr>
            <w:r>
              <w:rPr>
                <w:color w:val="auto"/>
                <w:highlight w:val="none"/>
              </w:rPr>
              <w:t>根据《财政部关于在政府采购活动中查询及使用信用记录有关问题的通知》（财库〔2016〕125号）规定，开标结束后，采购人、采购代理机构将通过“信用中国”网站（www.creditchina.gov.cn）、中国政府采购网（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color w:val="auto"/>
                <w:highlight w:val="none"/>
              </w:rPr>
              <w:t>www.ccgp.gov.cn</w:t>
            </w:r>
            <w:r>
              <w:rPr>
                <w:color w:val="auto"/>
                <w:highlight w:val="none"/>
              </w:rPr>
              <w:fldChar w:fldCharType="end"/>
            </w:r>
            <w:r>
              <w:rPr>
                <w:color w:val="auto"/>
                <w:highlight w:val="none"/>
              </w:rPr>
              <w:t>），对投标人截止到投标截止时间的信用记录进行审查，对列入失信被执行人、</w:t>
            </w:r>
            <w:r>
              <w:rPr>
                <w:rFonts w:hint="eastAsia"/>
                <w:color w:val="auto"/>
                <w:highlight w:val="none"/>
                <w:lang w:eastAsia="zh-CN"/>
              </w:rPr>
              <w:t>重大税收违法失信主体</w:t>
            </w:r>
            <w:r>
              <w:rPr>
                <w:color w:val="auto"/>
                <w:highlight w:val="none"/>
              </w:rPr>
              <w:t>、政府采购严重违法失信行为记录名单及其他不符合《中华人民共和国政府采购法》第二十二条规定条件的投标人，其投标将被拒绝。</w:t>
            </w:r>
          </w:p>
          <w:p w14:paraId="384FFF53">
            <w:pPr>
              <w:shd w:val="clear"/>
              <w:rPr>
                <w:color w:val="auto"/>
                <w:highlight w:val="none"/>
              </w:rPr>
            </w:pPr>
            <w:r>
              <w:rPr>
                <w:color w:val="auto"/>
                <w:highlight w:val="none"/>
              </w:rPr>
              <w:t>本次查询的信用记录仅限于本项目使用，查询结果将留存在采购档案中。</w:t>
            </w:r>
          </w:p>
          <w:p w14:paraId="65210C91">
            <w:pPr>
              <w:shd w:val="clear"/>
              <w:rPr>
                <w:color w:val="auto"/>
                <w:highlight w:val="none"/>
              </w:rPr>
            </w:pPr>
            <w:r>
              <w:rPr>
                <w:color w:val="auto"/>
                <w:highlight w:val="none"/>
              </w:rPr>
              <w:t>在上述指定网站不能查询信用信息的投标人，</w:t>
            </w:r>
            <w:r>
              <w:rPr>
                <w:rFonts w:hint="eastAsia"/>
                <w:color w:val="auto"/>
                <w:highlight w:val="none"/>
              </w:rPr>
              <w:t>投标人</w:t>
            </w:r>
            <w:r>
              <w:rPr>
                <w:color w:val="auto"/>
                <w:highlight w:val="none"/>
              </w:rPr>
              <w:t>应</w:t>
            </w:r>
            <w:r>
              <w:rPr>
                <w:rFonts w:hint="eastAsia"/>
                <w:color w:val="auto"/>
                <w:highlight w:val="none"/>
              </w:rPr>
              <w:t>在投标文件中</w:t>
            </w:r>
            <w:r>
              <w:rPr>
                <w:color w:val="auto"/>
                <w:highlight w:val="none"/>
              </w:rPr>
              <w:t>提供相关证明材料（原件加盖公章）。</w:t>
            </w:r>
          </w:p>
        </w:tc>
      </w:tr>
      <w:tr w14:paraId="57F67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1C59835F">
            <w:pPr>
              <w:shd w:val="clear"/>
              <w:jc w:val="center"/>
              <w:rPr>
                <w:color w:val="auto"/>
                <w:highlight w:val="none"/>
              </w:rPr>
            </w:pPr>
            <w:r>
              <w:rPr>
                <w:color w:val="auto"/>
                <w:highlight w:val="none"/>
              </w:rPr>
              <w:t>22</w:t>
            </w:r>
          </w:p>
        </w:tc>
        <w:tc>
          <w:tcPr>
            <w:tcW w:w="1521" w:type="dxa"/>
            <w:noWrap/>
            <w:vAlign w:val="center"/>
          </w:tcPr>
          <w:p w14:paraId="2BF4A7F4">
            <w:pPr>
              <w:shd w:val="clear"/>
              <w:jc w:val="center"/>
              <w:rPr>
                <w:color w:val="auto"/>
                <w:highlight w:val="none"/>
              </w:rPr>
            </w:pPr>
            <w:r>
              <w:rPr>
                <w:color w:val="auto"/>
                <w:highlight w:val="none"/>
              </w:rPr>
              <w:t>支持中小型</w:t>
            </w:r>
          </w:p>
          <w:p w14:paraId="07D68F4B">
            <w:pPr>
              <w:shd w:val="clear"/>
              <w:jc w:val="center"/>
              <w:rPr>
                <w:b/>
                <w:color w:val="auto"/>
                <w:highlight w:val="none"/>
              </w:rPr>
            </w:pPr>
            <w:r>
              <w:rPr>
                <w:color w:val="auto"/>
                <w:highlight w:val="none"/>
              </w:rPr>
              <w:t>企业发展</w:t>
            </w:r>
          </w:p>
        </w:tc>
        <w:tc>
          <w:tcPr>
            <w:tcW w:w="7204" w:type="dxa"/>
            <w:gridSpan w:val="2"/>
            <w:noWrap/>
            <w:vAlign w:val="center"/>
          </w:tcPr>
          <w:p w14:paraId="26AC6ED5">
            <w:pPr>
              <w:shd w:val="clear"/>
              <w:rPr>
                <w:color w:val="auto"/>
                <w:highlight w:val="none"/>
              </w:rPr>
            </w:pPr>
            <w:r>
              <w:rPr>
                <w:color w:val="auto"/>
                <w:highlight w:val="none"/>
              </w:rPr>
              <w:t>根据《政府采购促进中小企业发展管理办法》（财库〔2020〕46号）</w:t>
            </w:r>
            <w:r>
              <w:rPr>
                <w:rFonts w:hint="eastAsia"/>
                <w:color w:val="auto"/>
                <w:highlight w:val="none"/>
                <w:lang w:eastAsia="zh-CN"/>
              </w:rPr>
              <w:t>、</w:t>
            </w:r>
            <w:r>
              <w:rPr>
                <w:rFonts w:hint="eastAsia"/>
                <w:color w:val="auto"/>
                <w:highlight w:val="none"/>
              </w:rPr>
              <w:t>《关于进一步加大政府采购支持中小企业力度的通知》（财库（2022）19号）</w:t>
            </w:r>
            <w:r>
              <w:rPr>
                <w:color w:val="auto"/>
                <w:highlight w:val="none"/>
              </w:rPr>
              <w:t>，鼓励中小企业参加本项目采购活动。</w:t>
            </w:r>
          </w:p>
          <w:p w14:paraId="2F478443">
            <w:pPr>
              <w:shd w:val="clear"/>
              <w:rPr>
                <w:color w:val="auto"/>
                <w:highlight w:val="none"/>
              </w:rPr>
            </w:pPr>
            <w:r>
              <w:rPr>
                <w:color w:val="auto"/>
                <w:highlight w:val="none"/>
              </w:rPr>
              <w:t>在货物采购项目中，满足所有标的均由中小企业制造，即所有标的均由中小企业生产且使用该中小企业商号或者注册商标的，可享受中小企业扶持政策。</w:t>
            </w:r>
          </w:p>
          <w:p w14:paraId="0B7FDF9E">
            <w:pPr>
              <w:shd w:val="clear"/>
              <w:rPr>
                <w:color w:val="auto"/>
                <w:highlight w:val="none"/>
              </w:rPr>
            </w:pPr>
            <w:r>
              <w:rPr>
                <w:color w:val="auto"/>
                <w:highlight w:val="none"/>
              </w:rPr>
              <w:t>在服务采购项目中，满足服务由中小企业承接，即提供服务的人员为中小企业依照《中华人民共和国劳动合同法》订立劳动合同的从业人员的，可享受中小企业扶持政策。</w:t>
            </w:r>
          </w:p>
          <w:p w14:paraId="52789D4A">
            <w:pPr>
              <w:shd w:val="clear"/>
              <w:rPr>
                <w:color w:val="auto"/>
                <w:highlight w:val="none"/>
              </w:rPr>
            </w:pPr>
            <w:r>
              <w:rPr>
                <w:color w:val="auto"/>
                <w:highlight w:val="none"/>
              </w:rPr>
              <w:t>本项目：</w:t>
            </w:r>
          </w:p>
          <w:p w14:paraId="5E2CB387">
            <w:pPr>
              <w:shd w:val="clear"/>
              <w:rPr>
                <w:color w:val="auto"/>
                <w:highlight w:val="none"/>
              </w:rPr>
            </w:pPr>
            <w:r>
              <w:rPr>
                <w:rFonts w:hint="eastAsia"/>
                <w:color w:val="auto"/>
                <w:highlight w:val="none"/>
                <w:lang w:eastAsia="zh-CN"/>
              </w:rPr>
              <w:t>☑</w:t>
            </w:r>
            <w:r>
              <w:rPr>
                <w:color w:val="auto"/>
                <w:highlight w:val="none"/>
              </w:rPr>
              <w:t>预留份额面向中小企业采购项目（说明：</w:t>
            </w:r>
          </w:p>
          <w:p w14:paraId="6209E147">
            <w:pPr>
              <w:shd w:val="clear" w:color="auto" w:fill="auto"/>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lang w:val="en-US" w:eastAsia="zh-CN"/>
              </w:rPr>
              <w:t>本项目</w:t>
            </w:r>
            <w:r>
              <w:rPr>
                <w:rFonts w:hint="eastAsia" w:ascii="宋体" w:hAnsi="宋体" w:eastAsia="宋体" w:cs="宋体"/>
                <w:b w:val="0"/>
                <w:bCs w:val="0"/>
                <w:color w:val="auto"/>
                <w:sz w:val="21"/>
                <w:szCs w:val="21"/>
                <w:highlight w:val="none"/>
                <w:u w:val="none"/>
                <w:lang w:val="en-US" w:eastAsia="zh-CN"/>
              </w:rPr>
              <w:t>属于面向中小企业预留采购份额项目，预留份额通过获得采购合同的投标人将采购项目中的一定比例分包给一家或者多家中小企业进行，</w:t>
            </w:r>
            <w:r>
              <w:rPr>
                <w:rFonts w:hint="eastAsia" w:ascii="宋体" w:hAnsi="宋体" w:eastAsia="宋体" w:cs="宋体"/>
                <w:b/>
                <w:bCs/>
                <w:color w:val="auto"/>
                <w:sz w:val="21"/>
                <w:szCs w:val="21"/>
                <w:highlight w:val="none"/>
                <w:u w:val="none"/>
                <w:lang w:val="en-US" w:eastAsia="zh-CN"/>
              </w:rPr>
              <w:t>本分包意向协议中预留给中小企业的金额应当不低于总金额的30%，其中预留给小微企业的比例不低于60%。</w:t>
            </w:r>
            <w:r>
              <w:rPr>
                <w:rFonts w:hint="eastAsia" w:ascii="宋体" w:hAnsi="宋体" w:eastAsia="宋体" w:cs="宋体"/>
                <w:b w:val="0"/>
                <w:bCs w:val="0"/>
                <w:color w:val="auto"/>
                <w:sz w:val="21"/>
                <w:szCs w:val="21"/>
                <w:highlight w:val="none"/>
                <w:u w:val="none"/>
                <w:lang w:val="en-US" w:eastAsia="zh-CN"/>
              </w:rPr>
              <w:t>接受分包合同的中小企业和分包企业之间不得存在单位负责人为同一人或者存在直接控股、管理关系。</w:t>
            </w:r>
            <w:r>
              <w:rPr>
                <w:rFonts w:hint="eastAsia" w:ascii="宋体" w:hAnsi="宋体" w:eastAsia="宋体" w:cs="宋体"/>
                <w:b/>
                <w:bCs/>
                <w:color w:val="auto"/>
                <w:sz w:val="21"/>
                <w:szCs w:val="21"/>
                <w:highlight w:val="none"/>
                <w:u w:val="none"/>
                <w:lang w:val="en-US" w:eastAsia="zh-CN"/>
              </w:rPr>
              <w:t>应提供明确以上事项的《分包意向协议》和《中小企业声明函》。</w:t>
            </w:r>
          </w:p>
          <w:p w14:paraId="25ABDFE0">
            <w:pPr>
              <w:shd w:val="clear" w:color="auto" w:fill="auto"/>
              <w:rPr>
                <w:rFonts w:hint="eastAsia" w:cs="Times New Roman"/>
                <w:b/>
                <w:bCs/>
                <w:color w:val="auto"/>
                <w:highlight w:val="none"/>
                <w:lang w:eastAsia="zh-CN"/>
              </w:rPr>
            </w:pPr>
            <w:r>
              <w:rPr>
                <w:rFonts w:hint="eastAsia" w:cs="Times New Roman"/>
                <w:b/>
                <w:bCs/>
                <w:color w:val="auto"/>
                <w:highlight w:val="none"/>
              </w:rPr>
              <w:t>如果供应商为大型企业，应预留给小微企业，且比例不低于30%。如果供应商为中型企业，预留给小微企业的比例不低于18%。如果供应商为小微企业，视同符合本条资格条件，则不得再进行分包。</w:t>
            </w:r>
            <w:r>
              <w:rPr>
                <w:rFonts w:hint="eastAsia" w:cs="Times New Roman"/>
                <w:b/>
                <w:bCs/>
                <w:color w:val="auto"/>
                <w:highlight w:val="none"/>
                <w:lang w:eastAsia="zh-CN"/>
              </w:rPr>
              <w:t>应</w:t>
            </w:r>
            <w:r>
              <w:rPr>
                <w:rFonts w:hint="eastAsia" w:cs="Times New Roman"/>
                <w:b/>
                <w:bCs/>
                <w:color w:val="auto"/>
                <w:highlight w:val="none"/>
              </w:rPr>
              <w:t>提供明确以上事项的《中小企业声明函》</w:t>
            </w:r>
            <w:r>
              <w:rPr>
                <w:rFonts w:hint="eastAsia" w:cs="Times New Roman"/>
                <w:b/>
                <w:bCs/>
                <w:color w:val="auto"/>
                <w:highlight w:val="none"/>
                <w:lang w:eastAsia="zh-CN"/>
              </w:rPr>
              <w:t>。</w:t>
            </w:r>
          </w:p>
          <w:p w14:paraId="039FA0D2">
            <w:pPr>
              <w:shd w:val="clear" w:color="auto" w:fill="auto"/>
              <w:rPr>
                <w:rFonts w:hint="eastAsia" w:ascii="宋体" w:hAnsi="宋体" w:eastAsia="宋体" w:cs="宋体"/>
                <w:b w:val="0"/>
                <w:bCs w:val="0"/>
                <w:sz w:val="21"/>
                <w:szCs w:val="21"/>
                <w:highlight w:val="none"/>
                <w:u w:val="none"/>
                <w:lang w:eastAsia="zh-CN"/>
              </w:rPr>
            </w:pPr>
            <w:r>
              <w:rPr>
                <w:rFonts w:hint="eastAsia" w:cs="Times New Roman"/>
                <w:b w:val="0"/>
                <w:bCs w:val="0"/>
                <w:color w:val="auto"/>
                <w:highlight w:val="none"/>
              </w:rPr>
              <w:t>监狱企业视同小型、微型企业，提供由省级以上监狱管理局、戒毒管理局（含新疆生产建设兵团）出具的属于监狱企业的证明文件；残疾人福利性单位视同小型、微型企业，提供《残疾人福利性单位声明函》。</w:t>
            </w:r>
          </w:p>
          <w:p w14:paraId="695137E0">
            <w:pPr>
              <w:shd w:val="clear"/>
              <w:rPr>
                <w:color w:val="auto"/>
                <w:highlight w:val="none"/>
              </w:rPr>
            </w:pPr>
            <w:r>
              <w:rPr>
                <w:color w:val="auto"/>
                <w:highlight w:val="none"/>
              </w:rPr>
              <w:sym w:font="Wingdings 2" w:char="00A3"/>
            </w:r>
            <w:r>
              <w:rPr>
                <w:color w:val="auto"/>
                <w:highlight w:val="none"/>
              </w:rPr>
              <w:t>非专门面向中小企业采购项目。对小型和微型企业的投标价格给予</w:t>
            </w:r>
            <w:r>
              <w:rPr>
                <w:rFonts w:hint="eastAsia"/>
                <w:color w:val="auto"/>
                <w:highlight w:val="none"/>
                <w:u w:val="single"/>
                <w:lang w:val="en-US" w:eastAsia="zh-CN"/>
              </w:rPr>
              <w:t xml:space="preserve">   </w:t>
            </w:r>
            <w:r>
              <w:rPr>
                <w:color w:val="auto"/>
                <w:highlight w:val="none"/>
              </w:rPr>
              <w:t>%的扣除，用扣除后的价格参与评审。</w:t>
            </w:r>
          </w:p>
        </w:tc>
      </w:tr>
      <w:tr w14:paraId="208AF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4412E15F">
            <w:pPr>
              <w:shd w:val="clear"/>
              <w:jc w:val="center"/>
              <w:rPr>
                <w:color w:val="auto"/>
                <w:highlight w:val="none"/>
              </w:rPr>
            </w:pPr>
            <w:r>
              <w:rPr>
                <w:color w:val="auto"/>
                <w:highlight w:val="none"/>
              </w:rPr>
              <w:t>23</w:t>
            </w:r>
          </w:p>
        </w:tc>
        <w:tc>
          <w:tcPr>
            <w:tcW w:w="1521" w:type="dxa"/>
            <w:noWrap/>
            <w:vAlign w:val="center"/>
          </w:tcPr>
          <w:p w14:paraId="01E8A0EE">
            <w:pPr>
              <w:shd w:val="clear"/>
              <w:jc w:val="center"/>
              <w:rPr>
                <w:b/>
                <w:color w:val="auto"/>
                <w:highlight w:val="none"/>
              </w:rPr>
            </w:pPr>
            <w:r>
              <w:rPr>
                <w:color w:val="auto"/>
                <w:highlight w:val="none"/>
              </w:rPr>
              <w:t>支持监狱企业发展</w:t>
            </w:r>
          </w:p>
        </w:tc>
        <w:tc>
          <w:tcPr>
            <w:tcW w:w="7204" w:type="dxa"/>
            <w:gridSpan w:val="2"/>
            <w:noWrap/>
            <w:vAlign w:val="center"/>
          </w:tcPr>
          <w:p w14:paraId="280F7914">
            <w:pPr>
              <w:shd w:val="clear"/>
              <w:rPr>
                <w:b/>
                <w:color w:val="auto"/>
                <w:highlight w:val="none"/>
              </w:rPr>
            </w:pPr>
            <w:r>
              <w:rPr>
                <w:color w:val="auto"/>
                <w:highlight w:val="none"/>
              </w:rPr>
              <w:t>根据《关于政府采购支持监狱企业发展有关问题的通知》（财库〔2014〕68号），监狱企业视同小型、微型企业，按照</w:t>
            </w:r>
            <w:r>
              <w:rPr>
                <w:b/>
                <w:bCs/>
                <w:color w:val="auto"/>
                <w:highlight w:val="none"/>
              </w:rPr>
              <w:t>投标人须知前附表第22项</w:t>
            </w:r>
            <w:r>
              <w:rPr>
                <w:color w:val="auto"/>
                <w:highlight w:val="none"/>
              </w:rPr>
              <w:t>享受</w:t>
            </w:r>
            <w:r>
              <w:rPr>
                <w:rFonts w:hint="eastAsia"/>
                <w:color w:val="auto"/>
                <w:highlight w:val="none"/>
                <w:lang w:val="en-US" w:eastAsia="zh-CN"/>
              </w:rPr>
              <w:t>扶持</w:t>
            </w:r>
            <w:r>
              <w:rPr>
                <w:color w:val="auto"/>
                <w:highlight w:val="none"/>
              </w:rPr>
              <w:t>政策。</w:t>
            </w:r>
          </w:p>
        </w:tc>
      </w:tr>
      <w:tr w14:paraId="5B3E9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7644ABFF">
            <w:pPr>
              <w:shd w:val="clear"/>
              <w:jc w:val="center"/>
              <w:rPr>
                <w:color w:val="auto"/>
                <w:highlight w:val="none"/>
              </w:rPr>
            </w:pPr>
            <w:r>
              <w:rPr>
                <w:color w:val="auto"/>
                <w:highlight w:val="none"/>
              </w:rPr>
              <w:t>24</w:t>
            </w:r>
          </w:p>
        </w:tc>
        <w:tc>
          <w:tcPr>
            <w:tcW w:w="1521" w:type="dxa"/>
            <w:noWrap/>
            <w:vAlign w:val="center"/>
          </w:tcPr>
          <w:p w14:paraId="760177CC">
            <w:pPr>
              <w:shd w:val="clear"/>
              <w:jc w:val="center"/>
              <w:rPr>
                <w:color w:val="auto"/>
                <w:highlight w:val="none"/>
              </w:rPr>
            </w:pPr>
            <w:r>
              <w:rPr>
                <w:color w:val="auto"/>
                <w:highlight w:val="none"/>
              </w:rPr>
              <w:t>促进残疾人</w:t>
            </w:r>
          </w:p>
          <w:p w14:paraId="4294E40B">
            <w:pPr>
              <w:shd w:val="clear"/>
              <w:jc w:val="center"/>
              <w:rPr>
                <w:color w:val="auto"/>
                <w:highlight w:val="none"/>
              </w:rPr>
            </w:pPr>
            <w:r>
              <w:rPr>
                <w:color w:val="auto"/>
                <w:highlight w:val="none"/>
              </w:rPr>
              <w:t>就业</w:t>
            </w:r>
          </w:p>
        </w:tc>
        <w:tc>
          <w:tcPr>
            <w:tcW w:w="7204" w:type="dxa"/>
            <w:gridSpan w:val="2"/>
            <w:noWrap/>
            <w:vAlign w:val="center"/>
          </w:tcPr>
          <w:p w14:paraId="393FAAEA">
            <w:pPr>
              <w:shd w:val="clear"/>
              <w:rPr>
                <w:color w:val="auto"/>
                <w:highlight w:val="none"/>
              </w:rPr>
            </w:pPr>
            <w:r>
              <w:rPr>
                <w:color w:val="auto"/>
                <w:highlight w:val="none"/>
              </w:rPr>
              <w:t>根据《关于促进残疾人就业政府采购政策的通知》（财库〔2017〕141号），残疾人福利性单位视同小型、微型企业，按照</w:t>
            </w:r>
            <w:r>
              <w:rPr>
                <w:b/>
                <w:bCs/>
                <w:color w:val="auto"/>
                <w:highlight w:val="none"/>
              </w:rPr>
              <w:t>投标人须知前附表第22项</w:t>
            </w:r>
            <w:r>
              <w:rPr>
                <w:color w:val="auto"/>
                <w:highlight w:val="none"/>
              </w:rPr>
              <w:t>享受</w:t>
            </w:r>
            <w:r>
              <w:rPr>
                <w:rFonts w:hint="eastAsia"/>
                <w:color w:val="auto"/>
                <w:highlight w:val="none"/>
                <w:lang w:val="en-US" w:eastAsia="zh-CN"/>
              </w:rPr>
              <w:t>扶持</w:t>
            </w:r>
            <w:r>
              <w:rPr>
                <w:color w:val="auto"/>
                <w:highlight w:val="none"/>
              </w:rPr>
              <w:t>政策。</w:t>
            </w:r>
          </w:p>
        </w:tc>
      </w:tr>
      <w:tr w14:paraId="54779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restart"/>
            <w:noWrap/>
            <w:vAlign w:val="center"/>
          </w:tcPr>
          <w:p w14:paraId="3952F5F3">
            <w:pPr>
              <w:shd w:val="clear"/>
              <w:jc w:val="center"/>
              <w:rPr>
                <w:color w:val="auto"/>
                <w:highlight w:val="none"/>
              </w:rPr>
            </w:pPr>
            <w:r>
              <w:rPr>
                <w:color w:val="auto"/>
                <w:highlight w:val="none"/>
              </w:rPr>
              <w:t>25</w:t>
            </w:r>
          </w:p>
        </w:tc>
        <w:tc>
          <w:tcPr>
            <w:tcW w:w="1521" w:type="dxa"/>
            <w:vMerge w:val="restart"/>
            <w:noWrap/>
            <w:vAlign w:val="center"/>
          </w:tcPr>
          <w:p w14:paraId="5E75D362">
            <w:pPr>
              <w:shd w:val="clear"/>
              <w:jc w:val="center"/>
              <w:rPr>
                <w:b/>
                <w:color w:val="auto"/>
                <w:highlight w:val="none"/>
              </w:rPr>
            </w:pPr>
            <w:r>
              <w:rPr>
                <w:color w:val="auto"/>
                <w:highlight w:val="none"/>
              </w:rPr>
              <w:t>其他法律法规强制性规定或扶持政策</w:t>
            </w:r>
          </w:p>
        </w:tc>
        <w:tc>
          <w:tcPr>
            <w:tcW w:w="7204" w:type="dxa"/>
            <w:gridSpan w:val="2"/>
            <w:noWrap/>
            <w:vAlign w:val="center"/>
          </w:tcPr>
          <w:p w14:paraId="76DEEC57">
            <w:pPr>
              <w:shd w:val="clear"/>
              <w:rPr>
                <w:color w:val="auto"/>
                <w:highlight w:val="none"/>
              </w:rPr>
            </w:pPr>
            <w:r>
              <w:rPr>
                <w:color w:val="auto"/>
                <w:highlight w:val="none"/>
              </w:rPr>
              <w:t>本项目中强制采购节能产品的货物名称：</w:t>
            </w:r>
          </w:p>
          <w:p w14:paraId="6ADC551C">
            <w:pPr>
              <w:shd w:val="clear"/>
              <w:rPr>
                <w:color w:val="auto"/>
                <w:highlight w:val="none"/>
              </w:rPr>
            </w:pPr>
            <w:r>
              <w:rPr>
                <w:color w:val="auto"/>
                <w:highlight w:val="none"/>
              </w:rPr>
              <w:t>采购包：</w:t>
            </w:r>
            <w:r>
              <w:rPr>
                <w:rFonts w:hint="eastAsia"/>
                <w:color w:val="auto"/>
                <w:highlight w:val="none"/>
                <w:u w:val="single"/>
              </w:rPr>
              <w:t>/</w:t>
            </w:r>
            <w:r>
              <w:rPr>
                <w:color w:val="auto"/>
                <w:highlight w:val="none"/>
              </w:rPr>
              <w:t>。</w:t>
            </w:r>
          </w:p>
          <w:p w14:paraId="3B2F15AC">
            <w:pPr>
              <w:shd w:val="clear"/>
              <w:rPr>
                <w:b/>
                <w:color w:val="auto"/>
                <w:highlight w:val="none"/>
              </w:rPr>
            </w:pPr>
            <w:r>
              <w:rPr>
                <w:color w:val="auto"/>
                <w:highlight w:val="none"/>
              </w:rPr>
              <w:t>注：投标人所投上述产品必须具有节能产品认证证书，并提供依据国家确定的认证机构出具的、处于有效期之内的节能产品认证证书复印件，否则投标无效。</w:t>
            </w:r>
          </w:p>
        </w:tc>
      </w:tr>
      <w:tr w14:paraId="32E52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continue"/>
            <w:noWrap/>
            <w:vAlign w:val="center"/>
          </w:tcPr>
          <w:p w14:paraId="05170D7C">
            <w:pPr>
              <w:shd w:val="clear"/>
              <w:jc w:val="center"/>
              <w:rPr>
                <w:color w:val="auto"/>
                <w:highlight w:val="none"/>
              </w:rPr>
            </w:pPr>
          </w:p>
        </w:tc>
        <w:tc>
          <w:tcPr>
            <w:tcW w:w="1521" w:type="dxa"/>
            <w:vMerge w:val="continue"/>
            <w:noWrap/>
            <w:vAlign w:val="center"/>
          </w:tcPr>
          <w:p w14:paraId="0C7C2E35">
            <w:pPr>
              <w:shd w:val="clear"/>
              <w:jc w:val="center"/>
              <w:rPr>
                <w:color w:val="auto"/>
                <w:highlight w:val="none"/>
              </w:rPr>
            </w:pPr>
          </w:p>
        </w:tc>
        <w:tc>
          <w:tcPr>
            <w:tcW w:w="7204" w:type="dxa"/>
            <w:gridSpan w:val="2"/>
            <w:noWrap/>
            <w:vAlign w:val="center"/>
          </w:tcPr>
          <w:p w14:paraId="62D25B1B">
            <w:pPr>
              <w:shd w:val="clear"/>
              <w:rPr>
                <w:color w:val="auto"/>
                <w:highlight w:val="none"/>
              </w:rPr>
            </w:pPr>
            <w:r>
              <w:rPr>
                <w:color w:val="auto"/>
                <w:highlight w:val="none"/>
              </w:rPr>
              <w:t>本项目中采购信息安全产品的货物名称：</w:t>
            </w:r>
          </w:p>
          <w:p w14:paraId="2A25A007">
            <w:pPr>
              <w:shd w:val="clear"/>
              <w:rPr>
                <w:color w:val="auto"/>
                <w:highlight w:val="none"/>
              </w:rPr>
            </w:pPr>
            <w:r>
              <w:rPr>
                <w:color w:val="auto"/>
                <w:highlight w:val="none"/>
              </w:rPr>
              <w:t>采购包：</w:t>
            </w:r>
            <w:r>
              <w:rPr>
                <w:rFonts w:hint="eastAsia"/>
                <w:color w:val="auto"/>
                <w:highlight w:val="none"/>
                <w:u w:val="single"/>
              </w:rPr>
              <w:t>/</w:t>
            </w:r>
            <w:r>
              <w:rPr>
                <w:color w:val="auto"/>
                <w:highlight w:val="none"/>
              </w:rPr>
              <w:t>。</w:t>
            </w:r>
          </w:p>
          <w:p w14:paraId="02788EED">
            <w:pPr>
              <w:shd w:val="clear"/>
              <w:rPr>
                <w:b/>
                <w:color w:val="auto"/>
                <w:highlight w:val="none"/>
              </w:rPr>
            </w:pPr>
            <w:r>
              <w:rPr>
                <w:color w:val="auto"/>
                <w:highlight w:val="none"/>
              </w:rPr>
              <w:t>注：投标人所投上述产品需为国家认证的信息安全产品，并提供由中国网络安全审查技术与认证中心（原中国信息安全认证中心）按国家标准认证颁发的有效认证证书复印件，否则投标无效。</w:t>
            </w:r>
          </w:p>
        </w:tc>
      </w:tr>
      <w:tr w14:paraId="72AAF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vMerge w:val="continue"/>
            <w:noWrap/>
            <w:vAlign w:val="center"/>
          </w:tcPr>
          <w:p w14:paraId="4E62ECC9">
            <w:pPr>
              <w:shd w:val="clear"/>
              <w:jc w:val="center"/>
              <w:rPr>
                <w:color w:val="auto"/>
                <w:highlight w:val="none"/>
              </w:rPr>
            </w:pPr>
          </w:p>
        </w:tc>
        <w:tc>
          <w:tcPr>
            <w:tcW w:w="1521" w:type="dxa"/>
            <w:vMerge w:val="continue"/>
            <w:noWrap/>
            <w:vAlign w:val="center"/>
          </w:tcPr>
          <w:p w14:paraId="090CA26F">
            <w:pPr>
              <w:shd w:val="clear"/>
              <w:jc w:val="center"/>
              <w:rPr>
                <w:color w:val="auto"/>
                <w:highlight w:val="none"/>
              </w:rPr>
            </w:pPr>
          </w:p>
        </w:tc>
        <w:tc>
          <w:tcPr>
            <w:tcW w:w="7204" w:type="dxa"/>
            <w:gridSpan w:val="2"/>
            <w:noWrap/>
            <w:vAlign w:val="center"/>
          </w:tcPr>
          <w:p w14:paraId="6318BE1A">
            <w:pPr>
              <w:shd w:val="clear"/>
              <w:rPr>
                <w:color w:val="auto"/>
                <w:highlight w:val="none"/>
              </w:rPr>
            </w:pPr>
            <w:r>
              <w:rPr>
                <w:color w:val="auto"/>
                <w:highlight w:val="none"/>
              </w:rPr>
              <w:t>其他法律法规强制性规定或扶持政策：</w:t>
            </w:r>
          </w:p>
          <w:p w14:paraId="6E8F99F6">
            <w:pPr>
              <w:shd w:val="clear"/>
              <w:rPr>
                <w:color w:val="auto"/>
                <w:highlight w:val="none"/>
              </w:rPr>
            </w:pPr>
            <w:r>
              <w:rPr>
                <w:color w:val="auto"/>
                <w:highlight w:val="none"/>
              </w:rPr>
              <w:t>采购包：</w:t>
            </w:r>
            <w:r>
              <w:rPr>
                <w:rFonts w:hint="eastAsia"/>
                <w:color w:val="auto"/>
                <w:highlight w:val="none"/>
                <w:u w:val="single"/>
              </w:rPr>
              <w:t>/</w:t>
            </w:r>
            <w:r>
              <w:rPr>
                <w:color w:val="auto"/>
                <w:highlight w:val="none"/>
              </w:rPr>
              <w:t>。</w:t>
            </w:r>
          </w:p>
        </w:tc>
      </w:tr>
      <w:tr w14:paraId="063B5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2B802704">
            <w:pPr>
              <w:shd w:val="clear"/>
              <w:jc w:val="center"/>
              <w:rPr>
                <w:color w:val="auto"/>
                <w:highlight w:val="none"/>
              </w:rPr>
            </w:pPr>
            <w:r>
              <w:rPr>
                <w:color w:val="auto"/>
                <w:highlight w:val="none"/>
              </w:rPr>
              <w:t>26</w:t>
            </w:r>
          </w:p>
        </w:tc>
        <w:tc>
          <w:tcPr>
            <w:tcW w:w="1521" w:type="dxa"/>
            <w:noWrap/>
            <w:vAlign w:val="center"/>
          </w:tcPr>
          <w:p w14:paraId="72040273">
            <w:pPr>
              <w:shd w:val="clear"/>
              <w:jc w:val="center"/>
              <w:rPr>
                <w:color w:val="auto"/>
                <w:highlight w:val="none"/>
              </w:rPr>
            </w:pPr>
            <w:r>
              <w:rPr>
                <w:color w:val="auto"/>
                <w:highlight w:val="none"/>
              </w:rPr>
              <w:t>评标方法</w:t>
            </w:r>
          </w:p>
          <w:p w14:paraId="45015B72">
            <w:pPr>
              <w:shd w:val="clear"/>
              <w:jc w:val="center"/>
              <w:rPr>
                <w:b/>
                <w:color w:val="auto"/>
                <w:highlight w:val="none"/>
              </w:rPr>
            </w:pPr>
            <w:r>
              <w:rPr>
                <w:color w:val="auto"/>
                <w:highlight w:val="none"/>
              </w:rPr>
              <w:t>及分值</w:t>
            </w:r>
          </w:p>
        </w:tc>
        <w:tc>
          <w:tcPr>
            <w:tcW w:w="7204" w:type="dxa"/>
            <w:gridSpan w:val="2"/>
            <w:noWrap/>
            <w:vAlign w:val="center"/>
          </w:tcPr>
          <w:p w14:paraId="1CA6A147">
            <w:pPr>
              <w:shd w:val="clear"/>
              <w:rPr>
                <w:color w:val="auto"/>
                <w:highlight w:val="none"/>
              </w:rPr>
            </w:pPr>
            <w:r>
              <w:rPr>
                <w:color w:val="auto"/>
                <w:highlight w:val="none"/>
              </w:rPr>
              <w:sym w:font="Wingdings 2" w:char="F0A3"/>
            </w:r>
            <w:r>
              <w:rPr>
                <w:color w:val="auto"/>
                <w:highlight w:val="none"/>
              </w:rPr>
              <w:t>本项目采用最低评标价法，详见招标文件商务部分第三章。</w:t>
            </w:r>
          </w:p>
          <w:p w14:paraId="776CEFDD">
            <w:pPr>
              <w:shd w:val="clear"/>
              <w:rPr>
                <w:color w:val="auto"/>
                <w:highlight w:val="none"/>
              </w:rPr>
            </w:pPr>
            <w:r>
              <w:rPr>
                <w:color w:val="auto"/>
                <w:highlight w:val="none"/>
              </w:rPr>
              <w:sym w:font="Wingdings 2" w:char="0052"/>
            </w:r>
            <w:r>
              <w:rPr>
                <w:color w:val="auto"/>
                <w:highlight w:val="none"/>
              </w:rPr>
              <w:t>本项目采用综合评分法，详见招标文件商务部分第三章。</w:t>
            </w:r>
          </w:p>
        </w:tc>
      </w:tr>
      <w:tr w14:paraId="7E67D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63170D35">
            <w:pPr>
              <w:shd w:val="clear"/>
              <w:jc w:val="center"/>
              <w:rPr>
                <w:color w:val="auto"/>
                <w:highlight w:val="none"/>
              </w:rPr>
            </w:pPr>
            <w:r>
              <w:rPr>
                <w:color w:val="auto"/>
                <w:highlight w:val="none"/>
              </w:rPr>
              <w:t>27</w:t>
            </w:r>
          </w:p>
        </w:tc>
        <w:tc>
          <w:tcPr>
            <w:tcW w:w="1521" w:type="dxa"/>
            <w:noWrap/>
            <w:vAlign w:val="center"/>
          </w:tcPr>
          <w:p w14:paraId="66419BE1">
            <w:pPr>
              <w:shd w:val="clear"/>
              <w:jc w:val="center"/>
              <w:rPr>
                <w:b/>
                <w:color w:val="auto"/>
                <w:highlight w:val="none"/>
              </w:rPr>
            </w:pPr>
            <w:r>
              <w:rPr>
                <w:color w:val="auto"/>
                <w:highlight w:val="none"/>
              </w:rPr>
              <w:t>履约保证金</w:t>
            </w:r>
          </w:p>
        </w:tc>
        <w:tc>
          <w:tcPr>
            <w:tcW w:w="7204" w:type="dxa"/>
            <w:gridSpan w:val="2"/>
            <w:noWrap/>
            <w:vAlign w:val="center"/>
          </w:tcPr>
          <w:p w14:paraId="568B8878">
            <w:pPr>
              <w:shd w:val="clear"/>
              <w:rPr>
                <w:color w:val="auto"/>
                <w:highlight w:val="none"/>
              </w:rPr>
            </w:pPr>
            <w:r>
              <w:rPr>
                <w:color w:val="auto"/>
                <w:highlight w:val="none"/>
              </w:rPr>
              <w:sym w:font="Wingdings 2" w:char="0052"/>
            </w:r>
            <w:r>
              <w:rPr>
                <w:color w:val="auto"/>
                <w:highlight w:val="none"/>
              </w:rPr>
              <w:t>不要求提供</w:t>
            </w:r>
          </w:p>
          <w:p w14:paraId="42AED6DB">
            <w:pPr>
              <w:shd w:val="clear"/>
              <w:rPr>
                <w:color w:val="auto"/>
                <w:highlight w:val="none"/>
              </w:rPr>
            </w:pPr>
            <w:r>
              <w:rPr>
                <w:color w:val="auto"/>
                <w:highlight w:val="none"/>
              </w:rPr>
              <w:sym w:font="Wingdings 2" w:char="00A3"/>
            </w:r>
            <w:r>
              <w:rPr>
                <w:color w:val="auto"/>
                <w:highlight w:val="none"/>
              </w:rPr>
              <w:t>本采购项目履约保证金为合同金额的</w:t>
            </w:r>
            <w:r>
              <w:rPr>
                <w:color w:val="auto"/>
                <w:highlight w:val="none"/>
                <w:u w:val="single"/>
              </w:rPr>
              <w:t xml:space="preserve">  %</w:t>
            </w:r>
            <w:r>
              <w:rPr>
                <w:color w:val="auto"/>
                <w:highlight w:val="none"/>
              </w:rPr>
              <w:t>，提交方式为银行电汇、金融机构或担保机构出具的保函。</w:t>
            </w:r>
          </w:p>
          <w:p w14:paraId="6012139D">
            <w:pPr>
              <w:shd w:val="clear"/>
              <w:rPr>
                <w:color w:val="auto"/>
                <w:highlight w:val="none"/>
              </w:rPr>
            </w:pPr>
            <w:r>
              <w:rPr>
                <w:color w:val="auto"/>
                <w:highlight w:val="none"/>
              </w:rPr>
              <w:t>收款单位：</w:t>
            </w:r>
          </w:p>
          <w:p w14:paraId="22FE445E">
            <w:pPr>
              <w:shd w:val="clear"/>
              <w:rPr>
                <w:color w:val="auto"/>
                <w:highlight w:val="none"/>
              </w:rPr>
            </w:pPr>
            <w:r>
              <w:rPr>
                <w:color w:val="auto"/>
                <w:highlight w:val="none"/>
              </w:rPr>
              <w:t>账户信息：</w:t>
            </w:r>
          </w:p>
          <w:p w14:paraId="2EBBC060">
            <w:pPr>
              <w:shd w:val="clear"/>
              <w:rPr>
                <w:color w:val="auto"/>
                <w:highlight w:val="none"/>
              </w:rPr>
            </w:pPr>
            <w:r>
              <w:rPr>
                <w:color w:val="auto"/>
                <w:highlight w:val="none"/>
              </w:rPr>
              <w:t>开户银行：</w:t>
            </w:r>
          </w:p>
          <w:p w14:paraId="207FF7DD">
            <w:pPr>
              <w:shd w:val="clear"/>
              <w:rPr>
                <w:b/>
                <w:color w:val="auto"/>
                <w:highlight w:val="none"/>
              </w:rPr>
            </w:pPr>
            <w:r>
              <w:rPr>
                <w:color w:val="auto"/>
                <w:highlight w:val="none"/>
              </w:rPr>
              <w:t>银行账号：</w:t>
            </w:r>
          </w:p>
        </w:tc>
      </w:tr>
      <w:tr w14:paraId="76949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197CB1E3">
            <w:pPr>
              <w:shd w:val="clear"/>
              <w:jc w:val="center"/>
              <w:rPr>
                <w:color w:val="auto"/>
                <w:highlight w:val="none"/>
              </w:rPr>
            </w:pPr>
            <w:r>
              <w:rPr>
                <w:color w:val="auto"/>
                <w:highlight w:val="none"/>
              </w:rPr>
              <w:t>28</w:t>
            </w:r>
          </w:p>
        </w:tc>
        <w:tc>
          <w:tcPr>
            <w:tcW w:w="1521" w:type="dxa"/>
            <w:noWrap/>
            <w:vAlign w:val="center"/>
          </w:tcPr>
          <w:p w14:paraId="71668BE6">
            <w:pPr>
              <w:shd w:val="clear"/>
              <w:jc w:val="center"/>
              <w:rPr>
                <w:b/>
                <w:color w:val="auto"/>
                <w:highlight w:val="none"/>
              </w:rPr>
            </w:pPr>
            <w:r>
              <w:rPr>
                <w:color w:val="auto"/>
                <w:highlight w:val="none"/>
              </w:rPr>
              <w:t>接收质疑的方式、部门、电话和通讯地址</w:t>
            </w:r>
          </w:p>
        </w:tc>
        <w:tc>
          <w:tcPr>
            <w:tcW w:w="7204" w:type="dxa"/>
            <w:gridSpan w:val="2"/>
            <w:noWrap/>
            <w:vAlign w:val="center"/>
          </w:tcPr>
          <w:p w14:paraId="16FE15FC">
            <w:pPr>
              <w:keepNext w:val="0"/>
              <w:keepLines w:val="0"/>
              <w:pageBreakBefore w:val="0"/>
              <w:widowControl w:val="0"/>
              <w:shd w:val="clear"/>
              <w:kinsoku/>
              <w:wordWrap/>
              <w:overflowPunct/>
              <w:bidi w:val="0"/>
              <w:adjustRightInd/>
              <w:snapToGrid/>
              <w:spacing w:line="360" w:lineRule="auto"/>
              <w:textAlignment w:val="auto"/>
              <w:rPr>
                <w:color w:val="auto"/>
                <w:highlight w:val="none"/>
              </w:rPr>
            </w:pPr>
            <w:r>
              <w:rPr>
                <w:color w:val="auto"/>
                <w:highlight w:val="none"/>
              </w:rPr>
              <w:t>质疑联系方式：</w:t>
            </w:r>
          </w:p>
          <w:p w14:paraId="66549A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highlight w:val="none"/>
              </w:rPr>
            </w:pPr>
            <w:r>
              <w:rPr>
                <w:rFonts w:hint="eastAsia" w:ascii="宋体" w:hAnsi="宋体" w:cs="宋体"/>
                <w:kern w:val="0"/>
                <w:szCs w:val="21"/>
                <w:highlight w:val="none"/>
              </w:rPr>
              <w:t xml:space="preserve">（1）接收质疑函的方式：邮寄或现场递交纸质 </w:t>
            </w:r>
          </w:p>
          <w:p w14:paraId="6E470D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0"/>
                <w:szCs w:val="21"/>
                <w:highlight w:val="none"/>
                <w:lang w:eastAsia="zh-CN"/>
              </w:rPr>
            </w:pPr>
            <w:r>
              <w:rPr>
                <w:rFonts w:hint="eastAsia" w:ascii="宋体" w:hAnsi="宋体" w:cs="宋体"/>
                <w:kern w:val="0"/>
                <w:szCs w:val="21"/>
                <w:highlight w:val="none"/>
              </w:rPr>
              <w:t>（2）联系部门：</w:t>
            </w:r>
            <w:r>
              <w:rPr>
                <w:rFonts w:hint="eastAsia" w:ascii="宋体" w:hAnsi="宋体" w:cs="宋体"/>
                <w:kern w:val="0"/>
                <w:szCs w:val="21"/>
                <w:highlight w:val="none"/>
                <w:lang w:eastAsia="zh-CN"/>
              </w:rPr>
              <w:t>江苏宏壮工程项目管理有限公司</w:t>
            </w:r>
          </w:p>
          <w:p w14:paraId="2B2881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0"/>
                <w:szCs w:val="21"/>
                <w:highlight w:val="none"/>
                <w:lang w:eastAsia="zh-CN"/>
              </w:rPr>
            </w:pPr>
            <w:r>
              <w:rPr>
                <w:rFonts w:hint="eastAsia" w:ascii="宋体" w:hAnsi="宋体" w:cs="宋体"/>
                <w:kern w:val="0"/>
                <w:szCs w:val="21"/>
                <w:highlight w:val="none"/>
              </w:rPr>
              <w:t>（3）联系电话：</w:t>
            </w:r>
            <w:r>
              <w:rPr>
                <w:rFonts w:hint="eastAsia" w:ascii="宋体" w:hAnsi="宋体" w:cs="宋体"/>
                <w:kern w:val="0"/>
                <w:szCs w:val="21"/>
                <w:highlight w:val="none"/>
                <w:lang w:eastAsia="zh-CN"/>
              </w:rPr>
              <w:t>15950608601</w:t>
            </w:r>
          </w:p>
          <w:p w14:paraId="3F328EE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color w:val="auto"/>
                <w:highlight w:val="none"/>
                <w:lang w:eastAsia="zh-CN"/>
              </w:rPr>
            </w:pPr>
            <w:r>
              <w:rPr>
                <w:rFonts w:hint="eastAsia" w:ascii="宋体" w:hAnsi="宋体" w:cs="宋体"/>
                <w:kern w:val="0"/>
                <w:szCs w:val="21"/>
                <w:highlight w:val="none"/>
              </w:rPr>
              <w:t>（4）通讯地址：</w:t>
            </w:r>
            <w:r>
              <w:rPr>
                <w:rFonts w:hint="eastAsia" w:ascii="宋体" w:hAnsi="宋体" w:cs="宋体"/>
                <w:kern w:val="0"/>
                <w:szCs w:val="21"/>
                <w:highlight w:val="none"/>
                <w:lang w:eastAsia="zh-CN"/>
              </w:rPr>
              <w:t>宿迁市宿城区中港雅典城A2#铺03江苏宏壮工程项目管理有限公司</w:t>
            </w:r>
          </w:p>
        </w:tc>
      </w:tr>
      <w:tr w14:paraId="735D3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4BD494B1">
            <w:pPr>
              <w:shd w:val="clear"/>
              <w:jc w:val="center"/>
              <w:rPr>
                <w:color w:val="auto"/>
                <w:highlight w:val="none"/>
              </w:rPr>
            </w:pPr>
            <w:r>
              <w:rPr>
                <w:color w:val="auto"/>
                <w:highlight w:val="none"/>
              </w:rPr>
              <w:t>29</w:t>
            </w:r>
          </w:p>
        </w:tc>
        <w:tc>
          <w:tcPr>
            <w:tcW w:w="1521" w:type="dxa"/>
            <w:noWrap/>
            <w:vAlign w:val="center"/>
          </w:tcPr>
          <w:p w14:paraId="397F42D9">
            <w:pPr>
              <w:shd w:val="clear"/>
              <w:jc w:val="center"/>
              <w:rPr>
                <w:color w:val="auto"/>
                <w:highlight w:val="none"/>
              </w:rPr>
            </w:pPr>
            <w:r>
              <w:rPr>
                <w:rFonts w:hint="eastAsia"/>
                <w:color w:val="auto"/>
                <w:highlight w:val="none"/>
                <w:lang w:val="en-US" w:eastAsia="zh-CN"/>
              </w:rPr>
              <w:t>应</w:t>
            </w:r>
            <w:r>
              <w:rPr>
                <w:color w:val="auto"/>
                <w:highlight w:val="none"/>
              </w:rPr>
              <w:t>提交的投标文件份数</w:t>
            </w:r>
          </w:p>
        </w:tc>
        <w:tc>
          <w:tcPr>
            <w:tcW w:w="7204" w:type="dxa"/>
            <w:gridSpan w:val="2"/>
            <w:noWrap/>
            <w:vAlign w:val="center"/>
          </w:tcPr>
          <w:p w14:paraId="629B136A">
            <w:pPr>
              <w:shd w:val="clear"/>
              <w:rPr>
                <w:color w:val="auto"/>
                <w:highlight w:val="none"/>
              </w:rPr>
            </w:pPr>
            <w:r>
              <w:rPr>
                <w:color w:val="auto"/>
                <w:highlight w:val="none"/>
              </w:rPr>
              <w:t>投标文件</w:t>
            </w:r>
            <w:r>
              <w:rPr>
                <w:rFonts w:hint="eastAsia"/>
                <w:color w:val="auto"/>
                <w:highlight w:val="none"/>
                <w:lang w:val="en-US" w:eastAsia="zh-CN"/>
              </w:rPr>
              <w:t>应提交</w:t>
            </w:r>
            <w:r>
              <w:rPr>
                <w:color w:val="auto"/>
                <w:highlight w:val="none"/>
              </w:rPr>
              <w:t>份数：</w:t>
            </w:r>
          </w:p>
          <w:p w14:paraId="3FBB2C0C">
            <w:pPr>
              <w:shd w:val="clear"/>
              <w:rPr>
                <w:color w:val="auto"/>
                <w:highlight w:val="none"/>
                <w:u w:val="none"/>
              </w:rPr>
            </w:pPr>
            <w:r>
              <w:rPr>
                <w:color w:val="auto"/>
                <w:highlight w:val="none"/>
              </w:rPr>
              <w:t>（1）</w:t>
            </w:r>
            <w:r>
              <w:rPr>
                <w:color w:val="auto"/>
                <w:highlight w:val="none"/>
                <w:u w:val="none"/>
              </w:rPr>
              <w:t>正本</w:t>
            </w:r>
            <w:r>
              <w:rPr>
                <w:rFonts w:hint="eastAsia"/>
                <w:color w:val="auto"/>
                <w:highlight w:val="none"/>
                <w:u w:val="none"/>
                <w:lang w:val="en-US" w:eastAsia="zh-CN"/>
              </w:rPr>
              <w:t xml:space="preserve"> </w:t>
            </w:r>
            <w:r>
              <w:rPr>
                <w:color w:val="auto"/>
                <w:highlight w:val="none"/>
                <w:u w:val="none"/>
              </w:rPr>
              <w:t>1</w:t>
            </w:r>
            <w:r>
              <w:rPr>
                <w:rFonts w:hint="eastAsia"/>
                <w:color w:val="auto"/>
                <w:highlight w:val="none"/>
                <w:u w:val="none"/>
                <w:lang w:val="en-US" w:eastAsia="zh-CN"/>
              </w:rPr>
              <w:t xml:space="preserve"> </w:t>
            </w:r>
            <w:r>
              <w:rPr>
                <w:color w:val="auto"/>
                <w:highlight w:val="none"/>
                <w:u w:val="none"/>
              </w:rPr>
              <w:t>份、副本</w:t>
            </w:r>
            <w:r>
              <w:rPr>
                <w:rFonts w:hint="eastAsia"/>
                <w:color w:val="auto"/>
                <w:highlight w:val="none"/>
                <w:u w:val="none"/>
                <w:lang w:val="en-US" w:eastAsia="zh-CN"/>
              </w:rPr>
              <w:t>4</w:t>
            </w:r>
            <w:r>
              <w:rPr>
                <w:color w:val="auto"/>
                <w:highlight w:val="none"/>
                <w:u w:val="none"/>
              </w:rPr>
              <w:t>份。</w:t>
            </w:r>
          </w:p>
          <w:p w14:paraId="1DEF22BF">
            <w:pPr>
              <w:shd w:val="clear"/>
              <w:rPr>
                <w:rFonts w:hint="eastAsia" w:eastAsia="宋体"/>
                <w:color w:val="auto"/>
                <w:highlight w:val="none"/>
                <w:lang w:val="en-US" w:eastAsia="zh-CN"/>
              </w:rPr>
            </w:pPr>
            <w:r>
              <w:rPr>
                <w:color w:val="auto"/>
                <w:highlight w:val="none"/>
                <w:u w:val="none"/>
              </w:rPr>
              <w:t>（2）电子文件</w:t>
            </w:r>
            <w:r>
              <w:rPr>
                <w:rFonts w:hint="eastAsia"/>
                <w:color w:val="auto"/>
                <w:highlight w:val="none"/>
                <w:u w:val="none"/>
                <w:lang w:val="en-US" w:eastAsia="zh-CN"/>
              </w:rPr>
              <w:t>2</w:t>
            </w:r>
            <w:r>
              <w:rPr>
                <w:color w:val="auto"/>
                <w:highlight w:val="none"/>
                <w:u w:val="none"/>
              </w:rPr>
              <w:t>份</w:t>
            </w:r>
            <w:r>
              <w:rPr>
                <w:rFonts w:hint="eastAsia"/>
                <w:color w:val="auto"/>
                <w:highlight w:val="none"/>
                <w:u w:val="none"/>
                <w:lang w:eastAsia="zh-CN"/>
              </w:rPr>
              <w:t>。</w:t>
            </w:r>
            <w:r>
              <w:rPr>
                <w:color w:val="auto"/>
                <w:highlight w:val="none"/>
              </w:rPr>
              <w:t>（</w:t>
            </w:r>
            <w:r>
              <w:rPr>
                <w:rFonts w:hint="eastAsia" w:ascii="Segoe UI Symbol" w:hAnsi="Segoe UI Symbol" w:cs="Segoe UI Symbol"/>
                <w:color w:val="auto"/>
                <w:highlight w:val="none"/>
                <w:lang w:eastAsia="zh-CN"/>
              </w:rPr>
              <w:t>☑</w:t>
            </w:r>
            <w:r>
              <w:rPr>
                <w:rFonts w:hint="eastAsia" w:ascii="Segoe UI Symbol" w:hAnsi="Segoe UI Symbol" w:cs="Segoe UI Symbol"/>
                <w:color w:val="auto"/>
                <w:highlight w:val="none"/>
                <w:lang w:val="en-US" w:eastAsia="zh-CN"/>
              </w:rPr>
              <w:t>签字盖章</w:t>
            </w:r>
            <w:r>
              <w:rPr>
                <w:color w:val="auto"/>
                <w:highlight w:val="none"/>
              </w:rPr>
              <w:t xml:space="preserve">扫描件 </w:t>
            </w:r>
            <w:r>
              <w:rPr>
                <w:rFonts w:ascii="Segoe UI Symbol" w:hAnsi="Segoe UI Symbol" w:cs="Segoe UI Symbol"/>
                <w:color w:val="auto"/>
                <w:highlight w:val="none"/>
              </w:rPr>
              <w:t>☑</w:t>
            </w:r>
            <w:r>
              <w:rPr>
                <w:color w:val="auto"/>
                <w:highlight w:val="none"/>
              </w:rPr>
              <w:t>Word</w:t>
            </w:r>
            <w:r>
              <w:rPr>
                <w:rFonts w:hint="eastAsia"/>
                <w:color w:val="auto"/>
                <w:highlight w:val="none"/>
                <w:lang w:val="en-US" w:eastAsia="zh-CN"/>
              </w:rPr>
              <w:t>文本</w:t>
            </w:r>
            <w:r>
              <w:rPr>
                <w:color w:val="auto"/>
                <w:highlight w:val="none"/>
              </w:rPr>
              <w:t>）</w:t>
            </w:r>
            <w:r>
              <w:rPr>
                <w:rFonts w:hint="eastAsia"/>
                <w:color w:val="auto"/>
                <w:highlight w:val="none"/>
                <w:lang w:eastAsia="zh-CN"/>
              </w:rPr>
              <w:t>，</w:t>
            </w:r>
            <w:r>
              <w:rPr>
                <w:rFonts w:hint="eastAsia"/>
                <w:color w:val="auto"/>
                <w:highlight w:val="none"/>
                <w:lang w:val="en-US" w:eastAsia="zh-CN"/>
              </w:rPr>
              <w:t>电子文件</w:t>
            </w:r>
            <w:r>
              <w:rPr>
                <w:color w:val="auto"/>
                <w:highlight w:val="none"/>
              </w:rPr>
              <w:t>采用U盘</w:t>
            </w:r>
            <w:r>
              <w:rPr>
                <w:rFonts w:hint="eastAsia"/>
                <w:color w:val="auto"/>
                <w:highlight w:val="none"/>
                <w:lang w:val="en-US" w:eastAsia="zh-CN"/>
              </w:rPr>
              <w:t>形式</w:t>
            </w:r>
            <w:r>
              <w:rPr>
                <w:color w:val="auto"/>
                <w:highlight w:val="none"/>
              </w:rPr>
              <w:t>提交。</w:t>
            </w:r>
          </w:p>
        </w:tc>
      </w:tr>
      <w:tr w14:paraId="11A03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458C6650">
            <w:pPr>
              <w:shd w:val="clear"/>
              <w:jc w:val="center"/>
              <w:rPr>
                <w:color w:val="auto"/>
                <w:highlight w:val="none"/>
              </w:rPr>
            </w:pPr>
            <w:r>
              <w:rPr>
                <w:color w:val="auto"/>
                <w:highlight w:val="none"/>
              </w:rPr>
              <w:t>30</w:t>
            </w:r>
          </w:p>
        </w:tc>
        <w:tc>
          <w:tcPr>
            <w:tcW w:w="1521" w:type="dxa"/>
            <w:noWrap/>
            <w:vAlign w:val="center"/>
          </w:tcPr>
          <w:p w14:paraId="3738B39A">
            <w:pPr>
              <w:shd w:val="clear"/>
              <w:jc w:val="center"/>
              <w:rPr>
                <w:color w:val="auto"/>
                <w:highlight w:val="none"/>
              </w:rPr>
            </w:pPr>
            <w:r>
              <w:rPr>
                <w:rFonts w:hint="eastAsia"/>
                <w:color w:val="auto"/>
                <w:highlight w:val="none"/>
              </w:rPr>
              <w:t>招标代理服务费</w:t>
            </w:r>
          </w:p>
        </w:tc>
        <w:tc>
          <w:tcPr>
            <w:tcW w:w="7204" w:type="dxa"/>
            <w:gridSpan w:val="2"/>
            <w:noWrap/>
            <w:vAlign w:val="center"/>
          </w:tcPr>
          <w:p w14:paraId="56573E8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highlight w:val="none"/>
              </w:rPr>
            </w:pPr>
            <w:r>
              <w:rPr>
                <w:rFonts w:hint="eastAsia" w:ascii="宋体" w:hAnsi="宋体" w:cs="宋体"/>
                <w:kern w:val="0"/>
                <w:szCs w:val="21"/>
                <w:highlight w:val="none"/>
              </w:rPr>
              <w:t>代理费用：</w:t>
            </w:r>
          </w:p>
          <w:p w14:paraId="6142F9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highlight w:val="none"/>
              </w:rPr>
            </w:pPr>
            <w:r>
              <w:rPr>
                <w:rFonts w:hint="eastAsia" w:ascii="宋体" w:hAnsi="宋体" w:cs="宋体"/>
                <w:kern w:val="0"/>
                <w:szCs w:val="21"/>
                <w:highlight w:val="none"/>
              </w:rPr>
              <w:t>（1）本项目代理费用由</w:t>
            </w:r>
            <w:r>
              <w:rPr>
                <w:rFonts w:hint="eastAsia" w:ascii="宋体" w:hAnsi="宋体" w:cs="宋体"/>
                <w:kern w:val="0"/>
                <w:szCs w:val="21"/>
                <w:highlight w:val="none"/>
                <w:u w:val="single"/>
              </w:rPr>
              <w:t>中标人</w:t>
            </w:r>
            <w:r>
              <w:rPr>
                <w:rFonts w:hint="eastAsia" w:ascii="宋体" w:hAnsi="宋体" w:cs="宋体"/>
                <w:kern w:val="0"/>
                <w:szCs w:val="21"/>
                <w:highlight w:val="none"/>
              </w:rPr>
              <w:t>支付。</w:t>
            </w:r>
          </w:p>
          <w:p w14:paraId="5A0F2A1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kern w:val="0"/>
                <w:szCs w:val="21"/>
                <w:highlight w:val="none"/>
              </w:rPr>
            </w:pPr>
            <w:r>
              <w:rPr>
                <w:rFonts w:hint="eastAsia" w:ascii="宋体" w:hAnsi="宋体" w:cs="宋体"/>
                <w:kern w:val="0"/>
                <w:szCs w:val="21"/>
                <w:highlight w:val="none"/>
              </w:rPr>
              <w:t>（2）代理费用收取方式及标准：参照原国家计委计价格[2002]1980号文件标准收取。</w:t>
            </w:r>
          </w:p>
          <w:p w14:paraId="01BF44DC">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rFonts w:hint="eastAsia" w:ascii="宋体" w:hAnsi="宋体" w:cs="宋体"/>
                <w:kern w:val="0"/>
                <w:szCs w:val="21"/>
                <w:highlight w:val="none"/>
              </w:rPr>
              <w:t>合同签订前，中标人应向招标代理机构交纳招标代理服务费。由中标人领取《中标通知书》时向招标代理机构缴纳，中标人凭《中标通知书》与采购人签订合同。</w:t>
            </w:r>
          </w:p>
        </w:tc>
      </w:tr>
      <w:tr w14:paraId="6288D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5" w:type="dxa"/>
            <w:noWrap/>
            <w:vAlign w:val="center"/>
          </w:tcPr>
          <w:p w14:paraId="26D6E815">
            <w:pPr>
              <w:shd w:val="clear"/>
              <w:jc w:val="center"/>
              <w:rPr>
                <w:color w:val="auto"/>
                <w:highlight w:val="none"/>
              </w:rPr>
            </w:pPr>
            <w:r>
              <w:rPr>
                <w:color w:val="auto"/>
                <w:highlight w:val="none"/>
              </w:rPr>
              <w:t>31</w:t>
            </w:r>
          </w:p>
        </w:tc>
        <w:tc>
          <w:tcPr>
            <w:tcW w:w="1521" w:type="dxa"/>
            <w:noWrap/>
            <w:vAlign w:val="center"/>
          </w:tcPr>
          <w:p w14:paraId="18861ECF">
            <w:pPr>
              <w:shd w:val="clear"/>
              <w:jc w:val="center"/>
              <w:rPr>
                <w:color w:val="auto"/>
                <w:highlight w:val="none"/>
              </w:rPr>
            </w:pPr>
            <w:r>
              <w:rPr>
                <w:color w:val="auto"/>
                <w:highlight w:val="none"/>
              </w:rPr>
              <w:t>其他补充事项</w:t>
            </w:r>
          </w:p>
        </w:tc>
        <w:tc>
          <w:tcPr>
            <w:tcW w:w="7204" w:type="dxa"/>
            <w:gridSpan w:val="2"/>
            <w:noWrap/>
            <w:vAlign w:val="center"/>
          </w:tcPr>
          <w:p w14:paraId="641D812D">
            <w:pPr>
              <w:shd w:val="clear"/>
              <w:rPr>
                <w:rFonts w:hint="eastAsia" w:eastAsia="宋体"/>
                <w:color w:val="auto"/>
                <w:highlight w:val="none"/>
                <w:lang w:eastAsia="zh-CN"/>
              </w:rPr>
            </w:pPr>
            <w:r>
              <w:rPr>
                <w:color w:val="auto"/>
                <w:highlight w:val="none"/>
              </w:rPr>
              <w:t>其他补充事项：</w:t>
            </w:r>
            <w:r>
              <w:rPr>
                <w:rFonts w:hint="eastAsia"/>
                <w:color w:val="auto"/>
                <w:highlight w:val="none"/>
                <w:u w:val="none"/>
              </w:rPr>
              <w:t>无</w:t>
            </w:r>
            <w:r>
              <w:rPr>
                <w:rFonts w:hint="eastAsia"/>
                <w:color w:val="auto"/>
                <w:highlight w:val="none"/>
                <w:u w:val="none"/>
                <w:lang w:eastAsia="zh-CN"/>
              </w:rPr>
              <w:t>。</w:t>
            </w:r>
          </w:p>
        </w:tc>
      </w:tr>
    </w:tbl>
    <w:p w14:paraId="3AB0DEA1">
      <w:pPr>
        <w:shd w:val="clear"/>
        <w:rPr>
          <w:color w:val="auto"/>
          <w:highlight w:val="none"/>
        </w:rPr>
        <w:sectPr>
          <w:footerReference r:id="rId12" w:type="first"/>
          <w:footerReference r:id="rId11" w:type="default"/>
          <w:pgSz w:w="11906" w:h="16838"/>
          <w:pgMar w:top="1440" w:right="1752" w:bottom="1440" w:left="1752" w:header="851" w:footer="992" w:gutter="0"/>
          <w:pgNumType w:fmt="decimal"/>
          <w:cols w:space="720" w:num="1"/>
          <w:titlePg/>
          <w:docGrid w:type="lines" w:linePitch="312" w:charSpace="0"/>
        </w:sectPr>
      </w:pPr>
    </w:p>
    <w:p w14:paraId="6B4F9E24">
      <w:pPr>
        <w:pStyle w:val="7"/>
        <w:shd w:val="clear"/>
        <w:rPr>
          <w:color w:val="auto"/>
          <w:highlight w:val="none"/>
        </w:rPr>
      </w:pPr>
      <w:bookmarkStart w:id="22" w:name="_Toc4452"/>
      <w:bookmarkStart w:id="23" w:name="_Toc13939"/>
      <w:bookmarkStart w:id="24" w:name="_Toc2214"/>
      <w:r>
        <w:rPr>
          <w:rFonts w:hint="eastAsia"/>
          <w:color w:val="auto"/>
          <w:highlight w:val="none"/>
        </w:rPr>
        <w:t>一、总则</w:t>
      </w:r>
      <w:bookmarkEnd w:id="22"/>
      <w:bookmarkEnd w:id="23"/>
      <w:bookmarkEnd w:id="24"/>
    </w:p>
    <w:p w14:paraId="3E0A2D71">
      <w:pPr>
        <w:shd w:val="clear"/>
        <w:rPr>
          <w:color w:val="auto"/>
          <w:highlight w:val="none"/>
        </w:rPr>
      </w:pPr>
      <w:r>
        <w:rPr>
          <w:color w:val="auto"/>
          <w:highlight w:val="none"/>
        </w:rPr>
        <w:t>1.预算资金及来源</w:t>
      </w:r>
    </w:p>
    <w:p w14:paraId="4E35F9B2">
      <w:pPr>
        <w:shd w:val="clear"/>
        <w:rPr>
          <w:color w:val="auto"/>
          <w:highlight w:val="none"/>
        </w:rPr>
      </w:pPr>
      <w:r>
        <w:rPr>
          <w:color w:val="auto"/>
          <w:highlight w:val="none"/>
        </w:rPr>
        <w:t>1.1 本项目已经</w:t>
      </w:r>
      <w:r>
        <w:rPr>
          <w:rFonts w:hint="eastAsia"/>
          <w:b/>
          <w:color w:val="auto"/>
          <w:highlight w:val="none"/>
          <w:u w:val="single"/>
          <w:lang w:eastAsia="zh-CN"/>
        </w:rPr>
        <w:t>国家税务总局沭阳县税务局</w:t>
      </w:r>
      <w:r>
        <w:rPr>
          <w:color w:val="auto"/>
          <w:highlight w:val="none"/>
        </w:rPr>
        <w:t>批准立项。</w:t>
      </w:r>
    </w:p>
    <w:p w14:paraId="1EC9EDC5">
      <w:pPr>
        <w:shd w:val="clear"/>
        <w:rPr>
          <w:color w:val="auto"/>
          <w:highlight w:val="none"/>
        </w:rPr>
      </w:pPr>
      <w:r>
        <w:rPr>
          <w:color w:val="auto"/>
          <w:highlight w:val="none"/>
        </w:rPr>
        <w:t>1.2 本项目预算资金见</w:t>
      </w:r>
      <w:r>
        <w:rPr>
          <w:bCs/>
          <w:color w:val="auto"/>
          <w:highlight w:val="none"/>
        </w:rPr>
        <w:t>投标人须知前附表</w:t>
      </w:r>
      <w:r>
        <w:rPr>
          <w:color w:val="auto"/>
          <w:highlight w:val="none"/>
        </w:rPr>
        <w:t>，已列入</w:t>
      </w:r>
      <w:r>
        <w:rPr>
          <w:rFonts w:hint="eastAsia"/>
          <w:b/>
          <w:bCs/>
          <w:color w:val="auto"/>
          <w:highlight w:val="none"/>
          <w:u w:val="single"/>
          <w:lang w:eastAsia="zh-CN"/>
        </w:rPr>
        <w:t>国家税务总局沭阳县税务局</w:t>
      </w:r>
      <w:r>
        <w:rPr>
          <w:color w:val="auto"/>
          <w:highlight w:val="none"/>
        </w:rPr>
        <w:t>预算。</w:t>
      </w:r>
    </w:p>
    <w:p w14:paraId="049BD6A7">
      <w:pPr>
        <w:shd w:val="clear"/>
        <w:rPr>
          <w:color w:val="auto"/>
          <w:highlight w:val="none"/>
        </w:rPr>
      </w:pPr>
      <w:r>
        <w:rPr>
          <w:color w:val="auto"/>
          <w:highlight w:val="none"/>
        </w:rPr>
        <w:t>2.合格的产品和服务</w:t>
      </w:r>
    </w:p>
    <w:p w14:paraId="137FE340">
      <w:pPr>
        <w:shd w:val="clear"/>
        <w:rPr>
          <w:color w:val="auto"/>
          <w:highlight w:val="none"/>
        </w:rPr>
      </w:pPr>
      <w:r>
        <w:rPr>
          <w:color w:val="auto"/>
          <w:highlight w:val="none"/>
        </w:rPr>
        <w:t>2.1 本项目所涉及的所有产品和服务均应来自中国境内（指关境内），合同金额的支付也仅限于这些产品和服务。</w:t>
      </w:r>
    </w:p>
    <w:p w14:paraId="5AC9C49A">
      <w:pPr>
        <w:shd w:val="clear"/>
        <w:rPr>
          <w:color w:val="auto"/>
          <w:highlight w:val="none"/>
        </w:rPr>
      </w:pPr>
      <w:r>
        <w:rPr>
          <w:color w:val="auto"/>
          <w:highlight w:val="none"/>
        </w:rPr>
        <w:t>2.2 合格的产品和服务即</w:t>
      </w:r>
      <w:r>
        <w:rPr>
          <w:bCs/>
          <w:color w:val="auto"/>
          <w:highlight w:val="none"/>
        </w:rPr>
        <w:t>采购需求</w:t>
      </w:r>
      <w:r>
        <w:rPr>
          <w:color w:val="auto"/>
          <w:highlight w:val="none"/>
        </w:rPr>
        <w:t>见招标文件（技术部分）。</w:t>
      </w:r>
    </w:p>
    <w:p w14:paraId="2A51131F">
      <w:pPr>
        <w:shd w:val="clear"/>
        <w:rPr>
          <w:color w:val="auto"/>
          <w:highlight w:val="none"/>
        </w:rPr>
      </w:pPr>
      <w:r>
        <w:rPr>
          <w:color w:val="auto"/>
          <w:highlight w:val="none"/>
        </w:rPr>
        <w:t>2.3 投标人应保证所提供的产品及服务免受第三方提出侵犯其知识产权（专利权、商标权、工业设计权及使用权）的请求及起诉。</w:t>
      </w:r>
    </w:p>
    <w:p w14:paraId="4DD82782">
      <w:pPr>
        <w:shd w:val="clear"/>
        <w:rPr>
          <w:color w:val="auto"/>
          <w:highlight w:val="none"/>
        </w:rPr>
      </w:pPr>
      <w:r>
        <w:rPr>
          <w:color w:val="auto"/>
          <w:highlight w:val="none"/>
        </w:rPr>
        <w:t>3.合格的投标人</w:t>
      </w:r>
    </w:p>
    <w:p w14:paraId="4204B2F9">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3.1一般规定</w:t>
      </w:r>
    </w:p>
    <w:p w14:paraId="34BB731E">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3.1.1投标人应遵守《政府采购法》及其实施条例、《政府采购货物和服务招标投标管理办法》、《政府采购质疑和投诉办法》及有关政府采购的规定，同时还应遵守有关法律、法规和规章的强制性规定。</w:t>
      </w:r>
    </w:p>
    <w:p w14:paraId="76754F17">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3.1.2投标人的资格要求及本项目的特定资格要求见</w:t>
      </w:r>
      <w:r>
        <w:rPr>
          <w:rFonts w:hint="default" w:ascii="Times New Roman" w:hAnsi="Times New Roman"/>
          <w:b/>
          <w:color w:val="auto"/>
          <w:sz w:val="21"/>
          <w:szCs w:val="21"/>
          <w:highlight w:val="none"/>
        </w:rPr>
        <w:t>投标人须知前附表</w:t>
      </w:r>
      <w:r>
        <w:rPr>
          <w:rFonts w:hint="default" w:ascii="Times New Roman" w:hAnsi="Times New Roman"/>
          <w:color w:val="auto"/>
          <w:sz w:val="21"/>
          <w:szCs w:val="21"/>
          <w:highlight w:val="none"/>
        </w:rPr>
        <w:t>。</w:t>
      </w:r>
    </w:p>
    <w:p w14:paraId="045FAD38">
      <w:pPr>
        <w:pStyle w:val="39"/>
        <w:widowControl w:val="0"/>
        <w:shd w:val="clear"/>
        <w:spacing w:line="360" w:lineRule="auto"/>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3.1.3资格条件中所称“重大违法记录”，是指投标人因违法经营受到刑事处罚或者责令停产停业、吊销许可证或者执照、较大数额罚款等行政处罚。</w:t>
      </w:r>
    </w:p>
    <w:p w14:paraId="714E24E8">
      <w:pPr>
        <w:pStyle w:val="39"/>
        <w:widowControl w:val="0"/>
        <w:shd w:val="clear"/>
        <w:spacing w:line="360" w:lineRule="auto"/>
        <w:ind w:firstLine="420" w:firstLineChars="200"/>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投标人在参加政府采购活动前3年内因违法经营被禁止在一定期限内参加政府采购活动，期限届满的，可以参加政府采购活动。</w:t>
      </w:r>
    </w:p>
    <w:p w14:paraId="61B7E479">
      <w:pPr>
        <w:pStyle w:val="39"/>
        <w:widowControl w:val="0"/>
        <w:shd w:val="clear"/>
        <w:spacing w:line="360" w:lineRule="auto"/>
        <w:ind w:firstLine="420" w:firstLineChars="200"/>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“较大数额罚款”认定为200万元以上的罚款，法律、行政法规以及国务院有关部门明确规定相关领域“较大数额罚款”标准高于200万元的，从其规定。</w:t>
      </w:r>
    </w:p>
    <w:p w14:paraId="07539808">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3.1.4信用记录要求</w:t>
      </w:r>
    </w:p>
    <w:p w14:paraId="5D09DB52">
      <w:pPr>
        <w:pStyle w:val="39"/>
        <w:widowControl w:val="0"/>
        <w:shd w:val="clear"/>
        <w:spacing w:line="360" w:lineRule="auto"/>
        <w:ind w:firstLine="420" w:firstLineChars="200"/>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采购人、采购代理机构应当通过“信用中国”网站（www.creditchina.gov.cn）、中国政府采购网（www.ccgp.gov.cn）等渠道查询投标人的信用记录，并对投标人信用记录进行甄别，对列入失信被执行人、</w:t>
      </w:r>
      <w:r>
        <w:rPr>
          <w:rFonts w:hint="eastAsia" w:ascii="Times New Roman" w:hAnsi="Times New Roman"/>
          <w:color w:val="auto"/>
          <w:sz w:val="21"/>
          <w:szCs w:val="21"/>
          <w:highlight w:val="none"/>
          <w:lang w:eastAsia="zh-CN"/>
        </w:rPr>
        <w:t>重大税收违法失信主体</w:t>
      </w:r>
      <w:r>
        <w:rPr>
          <w:rFonts w:hint="default" w:ascii="Times New Roman" w:hAnsi="Times New Roman"/>
          <w:color w:val="auto"/>
          <w:sz w:val="21"/>
          <w:szCs w:val="21"/>
          <w:highlight w:val="none"/>
        </w:rPr>
        <w:t>、政府采购严重违法失信行为记录名单及其他不符合《中华人民共和国政府采购法》第二十二条规定条件的投标人，应当拒绝其参与政府采购活动。</w:t>
      </w:r>
    </w:p>
    <w:p w14:paraId="7C6BDED4">
      <w:pPr>
        <w:pStyle w:val="39"/>
        <w:widowControl w:val="0"/>
        <w:shd w:val="clear"/>
        <w:spacing w:line="360" w:lineRule="auto"/>
        <w:ind w:firstLine="420" w:firstLineChars="200"/>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两个以上的自然人、法人或者其他组织组成一个联合体，以一个投标人的身份共同参加政府采购活动的，应当对所有联合体成员进行信用记录查询，联合体成员存在不良信用记录的，视同联合体存在不良信用记录。</w:t>
      </w:r>
    </w:p>
    <w:p w14:paraId="697574B3">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3.2联合体</w:t>
      </w:r>
    </w:p>
    <w:p w14:paraId="521F4C2A">
      <w:pPr>
        <w:pStyle w:val="39"/>
        <w:widowControl w:val="0"/>
        <w:shd w:val="clear"/>
        <w:spacing w:line="360" w:lineRule="auto"/>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3.2.1若</w:t>
      </w:r>
      <w:r>
        <w:rPr>
          <w:rFonts w:ascii="Times New Roman" w:hAnsi="Times New Roman"/>
          <w:color w:val="auto"/>
          <w:sz w:val="21"/>
          <w:szCs w:val="21"/>
          <w:highlight w:val="none"/>
        </w:rPr>
        <w:t>本项目接受联合体投标</w:t>
      </w:r>
      <w:r>
        <w:rPr>
          <w:rFonts w:hint="default" w:ascii="Times New Roman" w:hAnsi="Times New Roman"/>
          <w:color w:val="auto"/>
          <w:sz w:val="21"/>
          <w:szCs w:val="21"/>
          <w:highlight w:val="none"/>
        </w:rPr>
        <w:t>，则两个以上的自然人、法人或者其他组织可以组成一个联合体，以一个投标人的身份共同参加政府采购。</w:t>
      </w:r>
    </w:p>
    <w:p w14:paraId="65C91ABB">
      <w:pPr>
        <w:pStyle w:val="39"/>
        <w:widowControl w:val="0"/>
        <w:shd w:val="clear"/>
        <w:spacing w:line="360" w:lineRule="auto"/>
        <w:jc w:val="both"/>
        <w:rPr>
          <w:rFonts w:hint="default" w:ascii="Times New Roman" w:hAnsi="Times New Roman"/>
          <w:b/>
          <w:bCs/>
          <w:color w:val="auto"/>
          <w:sz w:val="21"/>
          <w:szCs w:val="21"/>
          <w:highlight w:val="none"/>
        </w:rPr>
      </w:pPr>
      <w:r>
        <w:rPr>
          <w:rFonts w:hint="default" w:ascii="Times New Roman" w:hAnsi="Times New Roman"/>
          <w:color w:val="auto"/>
          <w:sz w:val="21"/>
          <w:szCs w:val="21"/>
          <w:highlight w:val="none"/>
        </w:rPr>
        <w:t>3.2.2</w:t>
      </w:r>
      <w:r>
        <w:rPr>
          <w:rFonts w:hint="default" w:ascii="Times New Roman" w:hAnsi="Times New Roman"/>
          <w:b/>
          <w:bCs/>
          <w:color w:val="auto"/>
          <w:sz w:val="21"/>
          <w:szCs w:val="21"/>
          <w:highlight w:val="none"/>
        </w:rPr>
        <w:t>以联合体形式参加投标的，联合体各方应按第二章要求提供资格条件材料。</w:t>
      </w:r>
    </w:p>
    <w:p w14:paraId="632B591B">
      <w:pPr>
        <w:pStyle w:val="39"/>
        <w:widowControl w:val="0"/>
        <w:shd w:val="clear"/>
        <w:spacing w:line="360" w:lineRule="auto"/>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3.2.3联合体中有同类资质的投标人按照联合体分工承担相同工作的，应当按照资质等级较低的投标人确定资质等级。</w:t>
      </w:r>
    </w:p>
    <w:p w14:paraId="1405B2D9">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3.2.4联合体应当提交联合协议，载明联合体各方承担的工作和义务。</w:t>
      </w:r>
    </w:p>
    <w:p w14:paraId="5768DD0C">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3.2.5联合体各方应当共同与采购人签订采购合同，就采购合同约定的事项对采购人承担连带责任。</w:t>
      </w:r>
    </w:p>
    <w:p w14:paraId="5C794C70">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3.2.6以联合体形式参加政府采购活动的，联合体各方不得再单独参加或者与其他投标人另外组成联合体参加同一合同项下的政府采购活动。</w:t>
      </w:r>
    </w:p>
    <w:p w14:paraId="0FAC97E5">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3.3禁止规定</w:t>
      </w:r>
    </w:p>
    <w:p w14:paraId="523685C9">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3.3.1单位负责人为同一人或者存在直接控股、管理关系的不同投标人，不得参加同一采购包的政府采购活动。否则投标均无效。</w:t>
      </w:r>
    </w:p>
    <w:p w14:paraId="6782F714">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3.3.2除单一来源采购项目外，为采购项目提供整体设计、规范编制或者项目管理、监理、检测等服务的</w:t>
      </w:r>
      <w:r>
        <w:rPr>
          <w:rFonts w:hint="eastAsia" w:ascii="Times New Roman" w:hAnsi="Times New Roman"/>
          <w:color w:val="auto"/>
          <w:sz w:val="21"/>
          <w:szCs w:val="21"/>
          <w:highlight w:val="none"/>
          <w:lang w:eastAsia="zh-CN"/>
        </w:rPr>
        <w:t>投标人</w:t>
      </w:r>
      <w:r>
        <w:rPr>
          <w:rFonts w:hint="default" w:ascii="Times New Roman" w:hAnsi="Times New Roman"/>
          <w:color w:val="auto"/>
          <w:sz w:val="21"/>
          <w:szCs w:val="21"/>
          <w:highlight w:val="none"/>
        </w:rPr>
        <w:t>，不得再参加该采购项目的其他采购活动。否则投标无效。</w:t>
      </w:r>
    </w:p>
    <w:p w14:paraId="11389054">
      <w:pPr>
        <w:shd w:val="clear"/>
        <w:rPr>
          <w:color w:val="auto"/>
          <w:highlight w:val="none"/>
        </w:rPr>
      </w:pPr>
      <w:r>
        <w:rPr>
          <w:color w:val="auto"/>
          <w:highlight w:val="none"/>
        </w:rPr>
        <w:t>4.投标费用</w:t>
      </w:r>
    </w:p>
    <w:p w14:paraId="0DFA9183">
      <w:pPr>
        <w:shd w:val="clear"/>
        <w:rPr>
          <w:color w:val="auto"/>
          <w:highlight w:val="none"/>
        </w:rPr>
      </w:pPr>
      <w:r>
        <w:rPr>
          <w:color w:val="auto"/>
          <w:highlight w:val="none"/>
        </w:rPr>
        <w:t>4.1 投标人应承担所有与编写、提交投标文件有关的费用，不论招标的结果如何，采购人在任何情况下均无义务和责任承担这些费用。</w:t>
      </w:r>
    </w:p>
    <w:p w14:paraId="4E90C99F">
      <w:pPr>
        <w:pStyle w:val="7"/>
        <w:shd w:val="clear"/>
        <w:rPr>
          <w:color w:val="auto"/>
          <w:highlight w:val="none"/>
        </w:rPr>
      </w:pPr>
      <w:bookmarkStart w:id="25" w:name="_Toc15774"/>
      <w:bookmarkStart w:id="26" w:name="_Toc4375"/>
      <w:bookmarkStart w:id="27" w:name="_Toc13894"/>
      <w:r>
        <w:rPr>
          <w:rFonts w:hint="eastAsia"/>
          <w:color w:val="auto"/>
          <w:highlight w:val="none"/>
        </w:rPr>
        <w:t>二、招标文件</w:t>
      </w:r>
      <w:bookmarkEnd w:id="25"/>
      <w:bookmarkEnd w:id="26"/>
      <w:bookmarkEnd w:id="27"/>
    </w:p>
    <w:p w14:paraId="56D94247">
      <w:pPr>
        <w:shd w:val="clear"/>
        <w:rPr>
          <w:color w:val="auto"/>
          <w:highlight w:val="none"/>
        </w:rPr>
      </w:pPr>
      <w:r>
        <w:rPr>
          <w:color w:val="auto"/>
          <w:highlight w:val="none"/>
        </w:rPr>
        <w:t>5.招标文件构成</w:t>
      </w:r>
    </w:p>
    <w:p w14:paraId="294A576C">
      <w:pPr>
        <w:shd w:val="clear"/>
        <w:rPr>
          <w:color w:val="auto"/>
          <w:highlight w:val="none"/>
        </w:rPr>
      </w:pPr>
      <w:r>
        <w:rPr>
          <w:color w:val="auto"/>
          <w:highlight w:val="none"/>
        </w:rPr>
        <w:t>第一部分 商务部分</w:t>
      </w:r>
    </w:p>
    <w:p w14:paraId="57DB75B3">
      <w:pPr>
        <w:shd w:val="clear"/>
        <w:rPr>
          <w:color w:val="auto"/>
          <w:highlight w:val="none"/>
        </w:rPr>
      </w:pPr>
      <w:r>
        <w:rPr>
          <w:color w:val="auto"/>
          <w:highlight w:val="none"/>
        </w:rPr>
        <w:t>（1）招标公告</w:t>
      </w:r>
    </w:p>
    <w:p w14:paraId="63B39CDB">
      <w:pPr>
        <w:shd w:val="clear"/>
        <w:rPr>
          <w:color w:val="auto"/>
          <w:highlight w:val="none"/>
        </w:rPr>
      </w:pPr>
      <w:r>
        <w:rPr>
          <w:color w:val="auto"/>
          <w:highlight w:val="none"/>
        </w:rPr>
        <w:t>（2）投标人须知</w:t>
      </w:r>
    </w:p>
    <w:p w14:paraId="60E0BF85">
      <w:pPr>
        <w:shd w:val="clear"/>
        <w:rPr>
          <w:color w:val="auto"/>
          <w:highlight w:val="none"/>
        </w:rPr>
      </w:pPr>
      <w:r>
        <w:rPr>
          <w:color w:val="auto"/>
          <w:highlight w:val="none"/>
        </w:rPr>
        <w:t>（3）评标方法及标准</w:t>
      </w:r>
    </w:p>
    <w:p w14:paraId="4A033556">
      <w:pPr>
        <w:shd w:val="clear"/>
        <w:rPr>
          <w:color w:val="auto"/>
          <w:highlight w:val="none"/>
        </w:rPr>
      </w:pPr>
      <w:r>
        <w:rPr>
          <w:color w:val="auto"/>
          <w:highlight w:val="none"/>
        </w:rPr>
        <w:t>（4）政府采购合同文本</w:t>
      </w:r>
    </w:p>
    <w:p w14:paraId="128E6332">
      <w:pPr>
        <w:shd w:val="clear"/>
        <w:rPr>
          <w:color w:val="auto"/>
          <w:highlight w:val="none"/>
        </w:rPr>
      </w:pPr>
      <w:r>
        <w:rPr>
          <w:color w:val="auto"/>
          <w:highlight w:val="none"/>
        </w:rPr>
        <w:t>（5）投标文件格式</w:t>
      </w:r>
    </w:p>
    <w:p w14:paraId="7A620C81">
      <w:pPr>
        <w:shd w:val="clear"/>
        <w:rPr>
          <w:color w:val="auto"/>
          <w:highlight w:val="none"/>
        </w:rPr>
      </w:pPr>
      <w:r>
        <w:rPr>
          <w:color w:val="auto"/>
          <w:highlight w:val="none"/>
        </w:rPr>
        <w:t>第二部分 技术部分</w:t>
      </w:r>
    </w:p>
    <w:p w14:paraId="43168965">
      <w:pPr>
        <w:shd w:val="clear"/>
        <w:rPr>
          <w:color w:val="auto"/>
          <w:highlight w:val="none"/>
        </w:rPr>
      </w:pPr>
      <w:r>
        <w:rPr>
          <w:color w:val="auto"/>
          <w:highlight w:val="none"/>
        </w:rPr>
        <w:t>6.招标文件询问、澄清或修改</w:t>
      </w:r>
    </w:p>
    <w:p w14:paraId="16DDF66D">
      <w:pPr>
        <w:shd w:val="clear"/>
        <w:rPr>
          <w:b/>
          <w:color w:val="auto"/>
          <w:highlight w:val="none"/>
        </w:rPr>
      </w:pPr>
      <w:r>
        <w:rPr>
          <w:color w:val="auto"/>
          <w:highlight w:val="none"/>
        </w:rPr>
        <w:t>6.1 投标人对招标文件如有疑问的，可以向采购人或者采购代理机构提出询问，采购人或者采购代理机构应当在3个工作日内作出答复</w:t>
      </w:r>
      <w:r>
        <w:rPr>
          <w:bCs/>
          <w:color w:val="auto"/>
          <w:highlight w:val="none"/>
        </w:rPr>
        <w:t>，但答复的内容不得涉及商业秘密。</w:t>
      </w:r>
      <w:r>
        <w:rPr>
          <w:color w:val="auto"/>
          <w:highlight w:val="none"/>
        </w:rPr>
        <w:t>如有必要，采购人或者采购代理机构可对招标文件进行澄清或者修改。</w:t>
      </w:r>
    </w:p>
    <w:p w14:paraId="4351F3F6">
      <w:pPr>
        <w:shd w:val="clear"/>
        <w:rPr>
          <w:color w:val="auto"/>
          <w:highlight w:val="none"/>
        </w:rPr>
      </w:pPr>
      <w:r>
        <w:rPr>
          <w:color w:val="auto"/>
          <w:highlight w:val="none"/>
        </w:rPr>
        <w:t>6.2 采购人或者采购代理机构可主动对招标文件进行必要的澄清或者修改，但不得改变采购标的和资格条件。</w:t>
      </w:r>
    </w:p>
    <w:p w14:paraId="012ACA02">
      <w:pPr>
        <w:shd w:val="clear"/>
        <w:rPr>
          <w:color w:val="auto"/>
          <w:highlight w:val="none"/>
        </w:rPr>
      </w:pPr>
      <w:r>
        <w:rPr>
          <w:color w:val="auto"/>
          <w:highlight w:val="none"/>
        </w:rPr>
        <w:t>6.3 澄清或者修改应当在原公告发布媒体上发布澄清公告通知所有获取招标文件的潜在投标人。</w:t>
      </w:r>
    </w:p>
    <w:p w14:paraId="61EBCDA5">
      <w:pPr>
        <w:shd w:val="clear"/>
        <w:rPr>
          <w:color w:val="auto"/>
          <w:highlight w:val="none"/>
        </w:rPr>
      </w:pPr>
      <w:r>
        <w:rPr>
          <w:color w:val="auto"/>
          <w:highlight w:val="none"/>
        </w:rPr>
        <w:t>6.4 澄清或者修改的内容可能影响投标文件编制的，采购人或者采购代理机构应当在投标截止时间至少15日前，以书面形式或通过评审管理系统（适用于线上采购，下同）通知所有获取招标文件的潜在投标人；不足15日的，采购人或者采购代理机构应当顺延提交投标文件的截止时间。</w:t>
      </w:r>
    </w:p>
    <w:p w14:paraId="7B9A685D">
      <w:pPr>
        <w:shd w:val="clear"/>
        <w:rPr>
          <w:color w:val="auto"/>
          <w:highlight w:val="none"/>
        </w:rPr>
      </w:pPr>
      <w:r>
        <w:rPr>
          <w:color w:val="auto"/>
          <w:highlight w:val="none"/>
        </w:rPr>
        <w:t>6.5 澄清或者修改的内容为招标文件的组成部分。</w:t>
      </w:r>
    </w:p>
    <w:p w14:paraId="6B3E4BCF">
      <w:pPr>
        <w:pStyle w:val="7"/>
        <w:shd w:val="clear"/>
        <w:rPr>
          <w:color w:val="auto"/>
          <w:highlight w:val="none"/>
        </w:rPr>
      </w:pPr>
      <w:bookmarkStart w:id="28" w:name="_Toc15338"/>
      <w:bookmarkStart w:id="29" w:name="_Toc15674"/>
      <w:bookmarkStart w:id="30" w:name="_Toc28509"/>
      <w:r>
        <w:rPr>
          <w:rFonts w:hint="eastAsia"/>
          <w:color w:val="auto"/>
          <w:highlight w:val="none"/>
        </w:rPr>
        <w:t>三、投标文件</w:t>
      </w:r>
      <w:bookmarkEnd w:id="28"/>
      <w:bookmarkEnd w:id="29"/>
      <w:bookmarkEnd w:id="30"/>
    </w:p>
    <w:p w14:paraId="607EA276">
      <w:pPr>
        <w:shd w:val="clear"/>
        <w:rPr>
          <w:color w:val="auto"/>
          <w:highlight w:val="none"/>
        </w:rPr>
      </w:pPr>
      <w:r>
        <w:rPr>
          <w:color w:val="auto"/>
          <w:highlight w:val="none"/>
        </w:rPr>
        <w:t>7．投标文件编制</w:t>
      </w:r>
    </w:p>
    <w:p w14:paraId="5ABFB516">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7.1投标文件的编制</w:t>
      </w:r>
    </w:p>
    <w:p w14:paraId="3E36926B">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7.1.1投标人应先仔细阅读招标文件的全部内容后，再进行投标文件的编制。</w:t>
      </w:r>
    </w:p>
    <w:p w14:paraId="47646404">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7.1.2投标文件应满足招标文件提出的实质性要求和条件，并保证其所提交的全部资料是不可割离且真实、有效、准确、完整和不具有任何误导性的，否则造成不利后果由投标人承担责任。</w:t>
      </w:r>
    </w:p>
    <w:p w14:paraId="385BE700">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7.2投标文件的语言</w:t>
      </w:r>
    </w:p>
    <w:p w14:paraId="440B694C">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7.2.1除招标文件另有规定外，投标文件应使用中文文本并使用中文简化字，若有不同文本，以中文简化字文本为准。</w:t>
      </w:r>
    </w:p>
    <w:p w14:paraId="1FAABF45">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7.2.2投标文件提供的全部资料中，若属于非中文描述的，应同时提供中文简化字译本。</w:t>
      </w:r>
    </w:p>
    <w:p w14:paraId="1B82E7E0">
      <w:pPr>
        <w:shd w:val="clear"/>
        <w:rPr>
          <w:color w:val="auto"/>
          <w:highlight w:val="none"/>
        </w:rPr>
      </w:pPr>
      <w:r>
        <w:rPr>
          <w:color w:val="auto"/>
          <w:highlight w:val="none"/>
        </w:rPr>
        <w:t>7.2.3除在招标文件的要求中另有规定外，投标文件计量单位应使用中华人民共和国法定计量单位。</w:t>
      </w:r>
    </w:p>
    <w:p w14:paraId="31CF0AFB">
      <w:pPr>
        <w:shd w:val="clear"/>
        <w:rPr>
          <w:color w:val="auto"/>
          <w:highlight w:val="none"/>
        </w:rPr>
      </w:pPr>
      <w:r>
        <w:rPr>
          <w:color w:val="auto"/>
          <w:highlight w:val="none"/>
        </w:rPr>
        <w:t>8.投标文件的组成</w:t>
      </w:r>
    </w:p>
    <w:p w14:paraId="03A57960">
      <w:pPr>
        <w:shd w:val="clear"/>
        <w:rPr>
          <w:color w:val="auto"/>
          <w:highlight w:val="none"/>
        </w:rPr>
      </w:pPr>
      <w:r>
        <w:rPr>
          <w:color w:val="auto"/>
          <w:highlight w:val="none"/>
        </w:rPr>
        <w:t>8.1 投标文件包括商务部分和技术部分。</w:t>
      </w:r>
    </w:p>
    <w:p w14:paraId="752BDED3">
      <w:pPr>
        <w:shd w:val="clear"/>
        <w:rPr>
          <w:color w:val="auto"/>
          <w:highlight w:val="none"/>
        </w:rPr>
      </w:pPr>
      <w:r>
        <w:rPr>
          <w:color w:val="auto"/>
          <w:highlight w:val="none"/>
        </w:rPr>
        <w:t>8.2 投标文件</w:t>
      </w:r>
      <w:r>
        <w:rPr>
          <w:b/>
          <w:bCs/>
          <w:color w:val="auto"/>
          <w:highlight w:val="none"/>
        </w:rPr>
        <w:t>商务部分</w:t>
      </w:r>
      <w:r>
        <w:rPr>
          <w:color w:val="auto"/>
          <w:highlight w:val="none"/>
        </w:rPr>
        <w:t>主要包括的文件和资料：</w:t>
      </w:r>
    </w:p>
    <w:p w14:paraId="1DBE12FD">
      <w:pPr>
        <w:shd w:val="clear"/>
        <w:rPr>
          <w:color w:val="auto"/>
          <w:highlight w:val="none"/>
        </w:rPr>
      </w:pPr>
      <w:r>
        <w:rPr>
          <w:color w:val="auto"/>
          <w:highlight w:val="none"/>
        </w:rPr>
        <w:t>8.2.1 资格证明文件，见</w:t>
      </w:r>
      <w:r>
        <w:rPr>
          <w:b/>
          <w:color w:val="auto"/>
          <w:highlight w:val="none"/>
        </w:rPr>
        <w:t>投标人须知前附表。</w:t>
      </w:r>
    </w:p>
    <w:p w14:paraId="1EC45635">
      <w:pPr>
        <w:shd w:val="clear"/>
        <w:rPr>
          <w:color w:val="auto"/>
          <w:highlight w:val="none"/>
        </w:rPr>
      </w:pPr>
      <w:r>
        <w:rPr>
          <w:color w:val="auto"/>
          <w:highlight w:val="none"/>
        </w:rPr>
        <w:t>8.2.2 其他文件及资料，见</w:t>
      </w:r>
      <w:r>
        <w:rPr>
          <w:b/>
          <w:color w:val="auto"/>
          <w:highlight w:val="none"/>
        </w:rPr>
        <w:t>投标人须知前附表。</w:t>
      </w:r>
    </w:p>
    <w:p w14:paraId="48170C9A">
      <w:pPr>
        <w:shd w:val="clear"/>
        <w:rPr>
          <w:color w:val="auto"/>
          <w:highlight w:val="none"/>
        </w:rPr>
      </w:pPr>
      <w:r>
        <w:rPr>
          <w:color w:val="auto"/>
          <w:highlight w:val="none"/>
        </w:rPr>
        <w:t>8.3 投标文件</w:t>
      </w:r>
      <w:r>
        <w:rPr>
          <w:b/>
          <w:bCs/>
          <w:color w:val="auto"/>
          <w:highlight w:val="none"/>
        </w:rPr>
        <w:t>技术部分</w:t>
      </w:r>
      <w:r>
        <w:rPr>
          <w:color w:val="auto"/>
          <w:highlight w:val="none"/>
        </w:rPr>
        <w:t>主要包括的文件及资料，见</w:t>
      </w:r>
      <w:r>
        <w:rPr>
          <w:b/>
          <w:color w:val="auto"/>
          <w:highlight w:val="none"/>
        </w:rPr>
        <w:t>投标人须知前附表。</w:t>
      </w:r>
    </w:p>
    <w:p w14:paraId="5C32CD21">
      <w:pPr>
        <w:shd w:val="clear"/>
        <w:rPr>
          <w:color w:val="auto"/>
          <w:highlight w:val="none"/>
        </w:rPr>
      </w:pPr>
      <w:r>
        <w:rPr>
          <w:color w:val="auto"/>
          <w:highlight w:val="none"/>
        </w:rPr>
        <w:t>8.4 证明资料如标明有效期的，必须在有效期内。</w:t>
      </w:r>
    </w:p>
    <w:p w14:paraId="10D08091">
      <w:pPr>
        <w:shd w:val="clear"/>
        <w:rPr>
          <w:color w:val="auto"/>
          <w:highlight w:val="none"/>
        </w:rPr>
      </w:pPr>
      <w:r>
        <w:rPr>
          <w:color w:val="auto"/>
          <w:highlight w:val="none"/>
        </w:rPr>
        <w:t>9.报价要求</w:t>
      </w:r>
    </w:p>
    <w:p w14:paraId="688EA8D2">
      <w:pPr>
        <w:shd w:val="clear"/>
        <w:rPr>
          <w:color w:val="auto"/>
          <w:highlight w:val="none"/>
        </w:rPr>
      </w:pPr>
      <w:r>
        <w:rPr>
          <w:color w:val="auto"/>
          <w:highlight w:val="none"/>
        </w:rPr>
        <w:t>9.1 除招标文件另有规定外，投标应以人民币报价，线上采购项目还须按照投标工具的流程和提示编制并上传投标报价表。</w:t>
      </w:r>
    </w:p>
    <w:p w14:paraId="60D7A97D">
      <w:pPr>
        <w:shd w:val="clear"/>
        <w:rPr>
          <w:color w:val="auto"/>
          <w:highlight w:val="none"/>
        </w:rPr>
      </w:pPr>
      <w:r>
        <w:rPr>
          <w:color w:val="auto"/>
          <w:highlight w:val="none"/>
        </w:rPr>
        <w:t>9.2 本项目不接受任何形式的赠送、“零”报价和折扣报价。</w:t>
      </w:r>
    </w:p>
    <w:p w14:paraId="0DA2765D">
      <w:pPr>
        <w:shd w:val="clear"/>
        <w:rPr>
          <w:color w:val="auto"/>
          <w:highlight w:val="none"/>
        </w:rPr>
      </w:pPr>
      <w:r>
        <w:rPr>
          <w:color w:val="auto"/>
          <w:highlight w:val="none"/>
        </w:rPr>
        <w:t>9.3 本项目以投标报价为依据计算价格分。投标报价应包括招标文件中要求投标人承担所有工作内容的全部费用。</w:t>
      </w:r>
    </w:p>
    <w:p w14:paraId="76E8E66E">
      <w:pPr>
        <w:shd w:val="clear"/>
        <w:rPr>
          <w:color w:val="auto"/>
          <w:highlight w:val="none"/>
        </w:rPr>
      </w:pPr>
      <w:r>
        <w:rPr>
          <w:rFonts w:ascii="Times New Roman" w:hAnsi="Times New Roman"/>
          <w:szCs w:val="21"/>
          <w:highlight w:val="none"/>
        </w:rPr>
        <w:t xml:space="preserve">9.4 </w:t>
      </w:r>
      <w:r>
        <w:rPr>
          <w:color w:val="auto"/>
          <w:highlight w:val="none"/>
        </w:rPr>
        <w:t>最低报价不能作为中标的保证。</w:t>
      </w:r>
    </w:p>
    <w:p w14:paraId="0BFEDB18">
      <w:pPr>
        <w:shd w:val="clear"/>
        <w:rPr>
          <w:color w:val="auto"/>
          <w:highlight w:val="none"/>
        </w:rPr>
      </w:pPr>
      <w:r>
        <w:rPr>
          <w:rFonts w:ascii="Times New Roman" w:hAnsi="Times New Roman"/>
          <w:szCs w:val="21"/>
          <w:highlight w:val="none"/>
        </w:rPr>
        <w:t xml:space="preserve">9.5 </w:t>
      </w:r>
      <w:r>
        <w:rPr>
          <w:color w:val="auto"/>
          <w:highlight w:val="none"/>
        </w:rPr>
        <w:t>异常低价审查：</w:t>
      </w:r>
    </w:p>
    <w:p w14:paraId="34ABCDB0">
      <w:pPr>
        <w:shd w:val="clear"/>
        <w:rPr>
          <w:color w:val="auto"/>
          <w:highlight w:val="none"/>
        </w:rPr>
      </w:pPr>
      <w:r>
        <w:rPr>
          <w:color w:val="auto"/>
          <w:highlight w:val="none"/>
        </w:rPr>
        <w:t>9.</w:t>
      </w:r>
      <w:r>
        <w:rPr>
          <w:rFonts w:hint="eastAsia"/>
          <w:color w:val="auto"/>
          <w:highlight w:val="none"/>
          <w:lang w:val="en-US" w:eastAsia="zh-CN"/>
        </w:rPr>
        <w:t>5</w:t>
      </w:r>
      <w:r>
        <w:rPr>
          <w:color w:val="auto"/>
          <w:highlight w:val="none"/>
        </w:rPr>
        <w:t>.1 评审过程中出现下列情形之一的，评审委员会应当启动异常低价投标（响应）审查程序：</w:t>
      </w:r>
    </w:p>
    <w:p w14:paraId="7E651047">
      <w:pPr>
        <w:shd w:val="clear"/>
        <w:rPr>
          <w:color w:val="auto"/>
          <w:highlight w:val="none"/>
        </w:rPr>
      </w:pPr>
      <w:r>
        <w:rPr>
          <w:color w:val="auto"/>
          <w:highlight w:val="none"/>
        </w:rPr>
        <w:t>（1）投标（响应）报价低于全部通过符合性审查供应商投标（响应）报价平均值 50%的，即投标（响应）报价&lt;全部通过符合性审查供应商投标（响应）报价平均值×50%；</w:t>
      </w:r>
    </w:p>
    <w:p w14:paraId="73D57A50">
      <w:pPr>
        <w:shd w:val="clear"/>
        <w:rPr>
          <w:color w:val="auto"/>
          <w:highlight w:val="none"/>
        </w:rPr>
      </w:pPr>
      <w:r>
        <w:rPr>
          <w:color w:val="auto"/>
          <w:highlight w:val="none"/>
        </w:rPr>
        <w:t>（2）投标（响应）报价低于通过符合性审查的次低报价供应商投标（响应）报价 50%的，即投标（响应）报价&lt;通过符合性审查的次低报价供应商投标（响应）报价×50%；</w:t>
      </w:r>
    </w:p>
    <w:p w14:paraId="6A4BF0A4">
      <w:pPr>
        <w:shd w:val="clear"/>
        <w:rPr>
          <w:color w:val="auto"/>
          <w:highlight w:val="none"/>
        </w:rPr>
      </w:pPr>
      <w:r>
        <w:rPr>
          <w:color w:val="auto"/>
          <w:highlight w:val="none"/>
        </w:rPr>
        <w:t>（3）投标（响应）报价低于采购项目最高限价 45%的，即投标（响应）报价&lt;采购项目最高限价×45%（未设定最高限价的采购项目，以采购项目预算金额作为最高限价）；</w:t>
      </w:r>
    </w:p>
    <w:p w14:paraId="0FAE8B76">
      <w:pPr>
        <w:shd w:val="clear"/>
        <w:rPr>
          <w:color w:val="auto"/>
          <w:highlight w:val="none"/>
        </w:rPr>
      </w:pPr>
      <w:r>
        <w:rPr>
          <w:color w:val="auto"/>
          <w:highlight w:val="none"/>
        </w:rPr>
        <w:t>（4）评审委员会基于专业判断，认为供应商报价过低，有可能影响产品质量或者不能诚信履约的其他情形。</w:t>
      </w:r>
    </w:p>
    <w:p w14:paraId="7482200A">
      <w:pPr>
        <w:shd w:val="clear"/>
        <w:rPr>
          <w:color w:val="auto"/>
          <w:highlight w:val="none"/>
        </w:rPr>
      </w:pPr>
      <w:r>
        <w:rPr>
          <w:color w:val="auto"/>
          <w:highlight w:val="none"/>
        </w:rPr>
        <w:t>9.</w:t>
      </w:r>
      <w:r>
        <w:rPr>
          <w:rFonts w:hint="eastAsia"/>
          <w:color w:val="auto"/>
          <w:highlight w:val="none"/>
          <w:lang w:val="en-US" w:eastAsia="zh-CN"/>
        </w:rPr>
        <w:t>5</w:t>
      </w:r>
      <w:r>
        <w:rPr>
          <w:color w:val="auto"/>
          <w:highlight w:val="none"/>
        </w:rPr>
        <w:t>.2 评标委员会启动异常低价投标(响应)审查后，属于9.</w:t>
      </w:r>
      <w:r>
        <w:rPr>
          <w:rFonts w:hint="eastAsia"/>
          <w:color w:val="auto"/>
          <w:highlight w:val="none"/>
          <w:lang w:val="en-US" w:eastAsia="zh-CN"/>
        </w:rPr>
        <w:t>5</w:t>
      </w:r>
      <w:r>
        <w:rPr>
          <w:color w:val="auto"/>
          <w:highlight w:val="none"/>
        </w:rPr>
        <w:t>.1 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 分钟。其中，属于 9.</w:t>
      </w:r>
      <w:r>
        <w:rPr>
          <w:rFonts w:hint="eastAsia"/>
          <w:color w:val="auto"/>
          <w:highlight w:val="none"/>
          <w:lang w:val="en-US" w:eastAsia="zh-CN"/>
        </w:rPr>
        <w:t>5</w:t>
      </w:r>
      <w:r>
        <w:rPr>
          <w:color w:val="auto"/>
          <w:highlight w:val="none"/>
        </w:rPr>
        <w:t>.1 (3)情形，供应商已随投标(响应)文件提交相关书面说明及必要的证明材料的，在评审现场可不再重复提交。</w:t>
      </w:r>
    </w:p>
    <w:p w14:paraId="4A717C1F">
      <w:pPr>
        <w:shd w:val="clear"/>
        <w:rPr>
          <w:color w:val="auto"/>
          <w:highlight w:val="none"/>
        </w:rPr>
      </w:pPr>
      <w:r>
        <w:rPr>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E365832">
      <w:pPr>
        <w:shd w:val="clear"/>
        <w:rPr>
          <w:color w:val="auto"/>
          <w:highlight w:val="none"/>
        </w:rPr>
      </w:pPr>
      <w:r>
        <w:rPr>
          <w:color w:val="auto"/>
          <w:highlight w:val="none"/>
        </w:rPr>
        <w:t>采购人</w:t>
      </w:r>
      <w:r>
        <w:rPr>
          <w:rFonts w:hint="eastAsia"/>
          <w:color w:val="auto"/>
          <w:highlight w:val="none"/>
          <w:lang w:eastAsia="zh-CN"/>
        </w:rPr>
        <w:t>、</w:t>
      </w:r>
      <w:r>
        <w:rPr>
          <w:rFonts w:hint="eastAsia"/>
          <w:color w:val="auto"/>
          <w:highlight w:val="none"/>
          <w:lang w:val="en-US" w:eastAsia="zh-CN"/>
        </w:rPr>
        <w:t>采购代理机构应当为</w:t>
      </w:r>
      <w:r>
        <w:rPr>
          <w:color w:val="auto"/>
          <w:highlight w:val="none"/>
        </w:rPr>
        <w:t>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w:t>
      </w:r>
      <w:r>
        <w:rPr>
          <w:rFonts w:hint="eastAsia"/>
          <w:color w:val="auto"/>
          <w:highlight w:val="none"/>
          <w:lang w:eastAsia="zh-CN"/>
        </w:rPr>
        <w:t>严格遵守</w:t>
      </w:r>
      <w:r>
        <w:rPr>
          <w:color w:val="auto"/>
          <w:highlight w:val="none"/>
        </w:rPr>
        <w:t>评审工作纪律，不得实施影响评审公正的行为。</w:t>
      </w:r>
    </w:p>
    <w:p w14:paraId="6208ACAA">
      <w:pPr>
        <w:shd w:val="clear"/>
        <w:rPr>
          <w:rFonts w:ascii="Times New Roman" w:hAnsi="Times New Roman"/>
          <w:szCs w:val="21"/>
          <w:highlight w:val="none"/>
        </w:rPr>
      </w:pPr>
      <w:r>
        <w:rPr>
          <w:color w:val="auto"/>
          <w:highlight w:val="none"/>
        </w:rPr>
        <w:t>异常低价投标(响应)审查的启动原因，审查意见和审查结果应当在评审报告中记录，并随供应商提供的相关书面说明及证明材料，以及评审委员会有关互联网浏览查询历史一并归档。</w:t>
      </w:r>
    </w:p>
    <w:p w14:paraId="611CF6DF">
      <w:pPr>
        <w:shd w:val="clear"/>
        <w:rPr>
          <w:color w:val="auto"/>
          <w:highlight w:val="none"/>
        </w:rPr>
      </w:pPr>
      <w:r>
        <w:rPr>
          <w:color w:val="auto"/>
          <w:highlight w:val="none"/>
        </w:rPr>
        <w:t>10.投标文件的书写、密封、签署、盖章</w:t>
      </w:r>
    </w:p>
    <w:p w14:paraId="6AED1CAB">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10.1书写</w:t>
      </w:r>
    </w:p>
    <w:p w14:paraId="24995C0C">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10.1.1投标文件应使用不能擦去的墨料或墨水打印、书写。</w:t>
      </w:r>
    </w:p>
    <w:p w14:paraId="21A34050">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10.1.2投标文件内容应没有涂改或行间插字。若有前述改动，在改动处应由单位负责人（投标人代表）签字确认或加盖投标人的单位公章或校正章。</w:t>
      </w:r>
    </w:p>
    <w:p w14:paraId="5E5A7067">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10.2密封</w:t>
      </w:r>
    </w:p>
    <w:p w14:paraId="595E2C69">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10.2.1投标文件应胶装或装订成册，避免材料散装、脱落。</w:t>
      </w:r>
    </w:p>
    <w:p w14:paraId="346F974C">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10.2.2投标文件应使用不透明的牛皮纸或档案袋等材料密封包装，</w:t>
      </w:r>
      <w:r>
        <w:rPr>
          <w:rFonts w:ascii="Times New Roman" w:hAnsi="Times New Roman"/>
          <w:color w:val="auto"/>
          <w:sz w:val="21"/>
          <w:szCs w:val="21"/>
          <w:highlight w:val="none"/>
        </w:rPr>
        <w:t>投</w:t>
      </w:r>
      <w:r>
        <w:rPr>
          <w:rFonts w:hint="default" w:ascii="Times New Roman" w:hAnsi="Times New Roman"/>
          <w:color w:val="auto"/>
          <w:sz w:val="21"/>
          <w:szCs w:val="21"/>
          <w:highlight w:val="none"/>
        </w:rPr>
        <w:t>标文</w:t>
      </w:r>
      <w:r>
        <w:rPr>
          <w:rFonts w:ascii="Times New Roman" w:hAnsi="Times New Roman"/>
          <w:color w:val="auto"/>
          <w:sz w:val="21"/>
          <w:szCs w:val="21"/>
          <w:highlight w:val="none"/>
        </w:rPr>
        <w:t>件副本</w:t>
      </w:r>
      <w:r>
        <w:rPr>
          <w:rFonts w:hint="default" w:ascii="Times New Roman" w:hAnsi="Times New Roman"/>
          <w:color w:val="auto"/>
          <w:sz w:val="21"/>
          <w:szCs w:val="21"/>
          <w:highlight w:val="none"/>
        </w:rPr>
        <w:t>可用正本的</w:t>
      </w:r>
      <w:r>
        <w:rPr>
          <w:rFonts w:ascii="Times New Roman" w:hAnsi="Times New Roman"/>
          <w:color w:val="auto"/>
          <w:sz w:val="21"/>
          <w:szCs w:val="21"/>
          <w:highlight w:val="none"/>
        </w:rPr>
        <w:t>完整复印</w:t>
      </w:r>
      <w:r>
        <w:rPr>
          <w:rFonts w:hint="default" w:ascii="Times New Roman" w:hAnsi="Times New Roman"/>
          <w:color w:val="auto"/>
          <w:sz w:val="21"/>
          <w:szCs w:val="21"/>
          <w:highlight w:val="none"/>
        </w:rPr>
        <w:t>件</w:t>
      </w:r>
      <w:r>
        <w:rPr>
          <w:rFonts w:ascii="Times New Roman" w:hAnsi="Times New Roman"/>
          <w:color w:val="auto"/>
          <w:sz w:val="21"/>
          <w:szCs w:val="21"/>
          <w:highlight w:val="none"/>
        </w:rPr>
        <w:t>，</w:t>
      </w:r>
      <w:r>
        <w:rPr>
          <w:rFonts w:hint="default" w:ascii="Times New Roman" w:hAnsi="Times New Roman"/>
          <w:color w:val="auto"/>
          <w:sz w:val="21"/>
          <w:szCs w:val="21"/>
          <w:highlight w:val="none"/>
        </w:rPr>
        <w:t>并与</w:t>
      </w:r>
      <w:r>
        <w:rPr>
          <w:rFonts w:ascii="Times New Roman" w:hAnsi="Times New Roman"/>
          <w:color w:val="auto"/>
          <w:sz w:val="21"/>
          <w:szCs w:val="21"/>
          <w:highlight w:val="none"/>
        </w:rPr>
        <w:t>正</w:t>
      </w:r>
      <w:r>
        <w:rPr>
          <w:rFonts w:hint="default" w:ascii="Times New Roman" w:hAnsi="Times New Roman"/>
          <w:color w:val="auto"/>
          <w:sz w:val="21"/>
          <w:szCs w:val="21"/>
          <w:highlight w:val="none"/>
        </w:rPr>
        <w:t>本保持一致</w:t>
      </w:r>
      <w:r>
        <w:rPr>
          <w:rFonts w:ascii="Times New Roman" w:hAnsi="Times New Roman"/>
          <w:color w:val="auto"/>
          <w:sz w:val="21"/>
          <w:szCs w:val="21"/>
          <w:highlight w:val="none"/>
        </w:rPr>
        <w:t>（若</w:t>
      </w:r>
      <w:r>
        <w:rPr>
          <w:rFonts w:hint="default" w:ascii="Times New Roman" w:hAnsi="Times New Roman"/>
          <w:color w:val="auto"/>
          <w:sz w:val="21"/>
          <w:szCs w:val="21"/>
          <w:highlight w:val="none"/>
        </w:rPr>
        <w:t>不一致</w:t>
      </w:r>
      <w:r>
        <w:rPr>
          <w:rFonts w:ascii="Times New Roman" w:hAnsi="Times New Roman"/>
          <w:color w:val="auto"/>
          <w:sz w:val="21"/>
          <w:szCs w:val="21"/>
          <w:highlight w:val="none"/>
        </w:rPr>
        <w:t>，</w:t>
      </w:r>
      <w:r>
        <w:rPr>
          <w:rFonts w:hint="default" w:ascii="Times New Roman" w:hAnsi="Times New Roman"/>
          <w:color w:val="auto"/>
          <w:sz w:val="21"/>
          <w:szCs w:val="21"/>
          <w:highlight w:val="none"/>
        </w:rPr>
        <w:t>以正本为准</w:t>
      </w:r>
      <w:r>
        <w:rPr>
          <w:rFonts w:ascii="Times New Roman" w:hAnsi="Times New Roman"/>
          <w:color w:val="auto"/>
          <w:sz w:val="21"/>
          <w:szCs w:val="21"/>
          <w:highlight w:val="none"/>
        </w:rPr>
        <w:t>）。</w:t>
      </w:r>
    </w:p>
    <w:p w14:paraId="1BCA2FE3">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10.3签署、盖章</w:t>
      </w:r>
    </w:p>
    <w:p w14:paraId="49B0347D">
      <w:pPr>
        <w:shd w:val="clear"/>
        <w:rPr>
          <w:color w:val="auto"/>
          <w:highlight w:val="none"/>
        </w:rPr>
      </w:pPr>
      <w:r>
        <w:rPr>
          <w:color w:val="auto"/>
          <w:highlight w:val="none"/>
        </w:rPr>
        <w:t>10.3.1投标文件中要求签字处应由投标人的单位负责人（投标人代表）签字或加盖个人印章。</w:t>
      </w:r>
    </w:p>
    <w:p w14:paraId="796352E2">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10.3.2投标文件必须按照招标文件给出文件格式的签署要求进行签署。</w:t>
      </w:r>
    </w:p>
    <w:p w14:paraId="07C079EC">
      <w:pPr>
        <w:shd w:val="clear"/>
        <w:rPr>
          <w:color w:val="auto"/>
          <w:highlight w:val="none"/>
        </w:rPr>
      </w:pPr>
      <w:r>
        <w:rPr>
          <w:color w:val="auto"/>
          <w:highlight w:val="none"/>
        </w:rPr>
        <w:t>10.3.3投标人在</w:t>
      </w:r>
      <w:r>
        <w:rPr>
          <w:b/>
          <w:bCs/>
          <w:color w:val="auto"/>
          <w:highlight w:val="none"/>
        </w:rPr>
        <w:t>“投标函”“法定代表人授权委托书”</w:t>
      </w:r>
      <w:r>
        <w:rPr>
          <w:color w:val="auto"/>
          <w:highlight w:val="none"/>
        </w:rPr>
        <w:t>上应当按格式要求加盖与投标人名称全称一致的标准公章，并按照招标文件第五章投标文件格式中的相应格式文件要求签署全名或加盖名章。</w:t>
      </w:r>
    </w:p>
    <w:p w14:paraId="4BF895E0">
      <w:pPr>
        <w:shd w:val="clear"/>
        <w:rPr>
          <w:color w:val="auto"/>
          <w:highlight w:val="none"/>
        </w:rPr>
      </w:pPr>
      <w:r>
        <w:rPr>
          <w:color w:val="auto"/>
          <w:highlight w:val="none"/>
        </w:rPr>
        <w:t>10.3.4投标文件中的“盖章”指加盖投标人的“公章”，而非“合同专用章”、“投标专用章”等其他非公章。</w:t>
      </w:r>
    </w:p>
    <w:p w14:paraId="067979A0">
      <w:pPr>
        <w:shd w:val="clear"/>
        <w:rPr>
          <w:color w:val="auto"/>
          <w:highlight w:val="none"/>
        </w:rPr>
      </w:pPr>
      <w:r>
        <w:rPr>
          <w:color w:val="auto"/>
          <w:highlight w:val="none"/>
        </w:rPr>
        <w:t>10.3.5线上采购项目可以使用电子签章。</w:t>
      </w:r>
    </w:p>
    <w:p w14:paraId="5E634AE3">
      <w:pPr>
        <w:shd w:val="clear"/>
        <w:rPr>
          <w:color w:val="auto"/>
          <w:highlight w:val="none"/>
        </w:rPr>
      </w:pPr>
      <w:r>
        <w:rPr>
          <w:color w:val="auto"/>
          <w:highlight w:val="none"/>
        </w:rPr>
        <w:t>11．投标有效期</w:t>
      </w:r>
    </w:p>
    <w:p w14:paraId="09C15ABF">
      <w:pPr>
        <w:shd w:val="clear"/>
        <w:rPr>
          <w:color w:val="auto"/>
          <w:highlight w:val="none"/>
        </w:rPr>
      </w:pPr>
      <w:r>
        <w:rPr>
          <w:color w:val="auto"/>
          <w:highlight w:val="none"/>
        </w:rPr>
        <w:t>11.1 投标有效期见</w:t>
      </w:r>
      <w:r>
        <w:rPr>
          <w:b/>
          <w:color w:val="auto"/>
          <w:highlight w:val="none"/>
        </w:rPr>
        <w:t>投标人须知前附表</w:t>
      </w:r>
      <w:r>
        <w:rPr>
          <w:color w:val="auto"/>
          <w:highlight w:val="none"/>
        </w:rPr>
        <w:t>，在此期间，投标文件对投标人具有法律约束力，以保证采购人或者采购代理机构有足够的时间完成评标、定标以及签订合同。投标文件中承诺的投标有效期应当不少于招标文件中载明的投标有效期，否则作为无效投标处理。</w:t>
      </w:r>
    </w:p>
    <w:p w14:paraId="21EFC961">
      <w:pPr>
        <w:shd w:val="clear"/>
        <w:rPr>
          <w:color w:val="auto"/>
          <w:highlight w:val="none"/>
        </w:rPr>
      </w:pPr>
      <w:r>
        <w:rPr>
          <w:color w:val="auto"/>
          <w:highlight w:val="none"/>
        </w:rPr>
        <w:t>11.2 特殊情况下，在原投标有效期期满之前，采购人或者采购代理机构可征得投标人同意延长投标有效期。</w:t>
      </w:r>
    </w:p>
    <w:p w14:paraId="5D70F0D4">
      <w:pPr>
        <w:pStyle w:val="7"/>
        <w:shd w:val="clear"/>
        <w:rPr>
          <w:color w:val="auto"/>
          <w:highlight w:val="none"/>
        </w:rPr>
      </w:pPr>
      <w:bookmarkStart w:id="31" w:name="_Toc8667"/>
      <w:bookmarkStart w:id="32" w:name="_Toc22812"/>
      <w:bookmarkStart w:id="33" w:name="_Toc18375"/>
      <w:r>
        <w:rPr>
          <w:rFonts w:hint="eastAsia"/>
          <w:color w:val="auto"/>
          <w:highlight w:val="none"/>
        </w:rPr>
        <w:t>四、投标文件递交</w:t>
      </w:r>
      <w:bookmarkEnd w:id="31"/>
      <w:bookmarkEnd w:id="32"/>
      <w:bookmarkEnd w:id="33"/>
    </w:p>
    <w:p w14:paraId="22BCD862">
      <w:pPr>
        <w:shd w:val="clear"/>
        <w:rPr>
          <w:color w:val="auto"/>
          <w:highlight w:val="none"/>
        </w:rPr>
      </w:pPr>
      <w:r>
        <w:rPr>
          <w:color w:val="auto"/>
          <w:highlight w:val="none"/>
        </w:rPr>
        <w:t>12．投标文件递交</w:t>
      </w:r>
    </w:p>
    <w:p w14:paraId="13C54E67">
      <w:pPr>
        <w:shd w:val="clear"/>
        <w:rPr>
          <w:color w:val="auto"/>
          <w:highlight w:val="none"/>
        </w:rPr>
      </w:pPr>
      <w:r>
        <w:rPr>
          <w:color w:val="auto"/>
          <w:highlight w:val="none"/>
        </w:rPr>
        <w:t>12.1 投标人应当在</w:t>
      </w:r>
      <w:r>
        <w:rPr>
          <w:b/>
          <w:color w:val="auto"/>
          <w:highlight w:val="none"/>
        </w:rPr>
        <w:t>投标人须知前附表</w:t>
      </w:r>
      <w:r>
        <w:rPr>
          <w:color w:val="auto"/>
          <w:highlight w:val="none"/>
        </w:rPr>
        <w:t>要求提交投标文件截止时间前，根据《投标人须知前附表》载明方式提交投标文件。提交投标文件截止时间后，递交投标文件的投标将被拒绝。</w:t>
      </w:r>
    </w:p>
    <w:p w14:paraId="776BB68F">
      <w:pPr>
        <w:shd w:val="clear"/>
        <w:rPr>
          <w:color w:val="auto"/>
          <w:highlight w:val="none"/>
        </w:rPr>
      </w:pPr>
      <w:r>
        <w:rPr>
          <w:color w:val="auto"/>
          <w:highlight w:val="none"/>
        </w:rPr>
        <w:t>12.2 线上采购项目应登录评审管理系统并使用投标工具加密上传投标文件。除上述方式之外，不接受投标人以纸质文件以及其他任何方式提交的投标文件。投标人应充分考虑网络传输时间等因素，合理安排上传时间。提交投标文件截止时间后，评审管理系统不提供投标文件上传功能。投标人未完成投标文件上传的，投标将被拒绝。</w:t>
      </w:r>
    </w:p>
    <w:p w14:paraId="1D151A3C">
      <w:pPr>
        <w:shd w:val="clear"/>
        <w:rPr>
          <w:color w:val="auto"/>
          <w:highlight w:val="none"/>
        </w:rPr>
      </w:pPr>
      <w:r>
        <w:rPr>
          <w:color w:val="auto"/>
          <w:highlight w:val="none"/>
        </w:rPr>
        <w:t>13．投标文件补充、修改或撤回</w:t>
      </w:r>
    </w:p>
    <w:p w14:paraId="7E346110">
      <w:pPr>
        <w:shd w:val="clear"/>
        <w:rPr>
          <w:color w:val="auto"/>
          <w:highlight w:val="none"/>
        </w:rPr>
      </w:pPr>
      <w:r>
        <w:rPr>
          <w:color w:val="auto"/>
          <w:highlight w:val="none"/>
        </w:rPr>
        <w:t>13.1 投标人在投标截止时间前，可以对所递交的投标文件进行补充、修改或者撤回，并书面通知采购人或者采购代理机构。补充、修改的内容应当按照招标文件要求签署、盖章、密封后，作为投标文件的组成部分。</w:t>
      </w:r>
    </w:p>
    <w:p w14:paraId="0CDCF806">
      <w:pPr>
        <w:shd w:val="clear"/>
        <w:rPr>
          <w:color w:val="auto"/>
          <w:highlight w:val="none"/>
        </w:rPr>
      </w:pPr>
      <w:r>
        <w:rPr>
          <w:color w:val="auto"/>
          <w:highlight w:val="none"/>
        </w:rPr>
        <w:t>13.2 线上采购项目，投标人在投标截止时间前，可以登录评审管理系统对所提交的投标文件进行撤回、补充、修改、重新提交。补充、修改的内容应当按照招标文件要求签署、盖章。</w:t>
      </w:r>
    </w:p>
    <w:p w14:paraId="018E0553">
      <w:pPr>
        <w:shd w:val="clear"/>
        <w:rPr>
          <w:color w:val="auto"/>
          <w:highlight w:val="none"/>
        </w:rPr>
      </w:pPr>
      <w:r>
        <w:rPr>
          <w:color w:val="auto"/>
          <w:highlight w:val="none"/>
        </w:rPr>
        <w:t>13.3 提交投标文件截止时间后，不支持对已提交的投标文件作任何补充、修改或者撤回。</w:t>
      </w:r>
    </w:p>
    <w:p w14:paraId="4ABECD79">
      <w:pPr>
        <w:pStyle w:val="7"/>
        <w:shd w:val="clear"/>
        <w:rPr>
          <w:color w:val="auto"/>
          <w:highlight w:val="none"/>
        </w:rPr>
      </w:pPr>
      <w:bookmarkStart w:id="34" w:name="_Toc30745"/>
      <w:bookmarkStart w:id="35" w:name="_Toc29139"/>
      <w:bookmarkStart w:id="36" w:name="_Toc25656"/>
      <w:r>
        <w:rPr>
          <w:rFonts w:hint="eastAsia"/>
          <w:color w:val="auto"/>
          <w:highlight w:val="none"/>
        </w:rPr>
        <w:t>五、开标与评标</w:t>
      </w:r>
      <w:bookmarkEnd w:id="34"/>
      <w:bookmarkEnd w:id="35"/>
      <w:bookmarkEnd w:id="36"/>
    </w:p>
    <w:p w14:paraId="3A298370">
      <w:pPr>
        <w:shd w:val="clear"/>
        <w:rPr>
          <w:color w:val="auto"/>
          <w:highlight w:val="none"/>
        </w:rPr>
      </w:pPr>
      <w:r>
        <w:rPr>
          <w:color w:val="auto"/>
          <w:highlight w:val="none"/>
        </w:rPr>
        <w:t>14．开标</w:t>
      </w:r>
    </w:p>
    <w:p w14:paraId="010AF96C">
      <w:pPr>
        <w:shd w:val="clear"/>
        <w:rPr>
          <w:color w:val="auto"/>
          <w:highlight w:val="none"/>
        </w:rPr>
      </w:pPr>
      <w:r>
        <w:rPr>
          <w:color w:val="auto"/>
          <w:highlight w:val="none"/>
        </w:rPr>
        <w:t>14.1 开标在招标文件确定的提交投标文件截止时间的同一时间进行。开标地点详见</w:t>
      </w:r>
      <w:r>
        <w:rPr>
          <w:b/>
          <w:color w:val="auto"/>
          <w:highlight w:val="none"/>
        </w:rPr>
        <w:t>投标人须知前附表</w:t>
      </w:r>
      <w:r>
        <w:rPr>
          <w:color w:val="auto"/>
          <w:highlight w:val="none"/>
        </w:rPr>
        <w:t>。</w:t>
      </w:r>
    </w:p>
    <w:p w14:paraId="1F69690E">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14.2 开标由采购人或者采购代理机构主持，邀请投标人参加。评标委员会成员不得参加开标活动。</w:t>
      </w:r>
    </w:p>
    <w:p w14:paraId="6BA78B34">
      <w:pPr>
        <w:pStyle w:val="39"/>
        <w:widowControl w:val="0"/>
        <w:shd w:val="clear"/>
        <w:spacing w:line="360" w:lineRule="auto"/>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14.3 开标时，由投标人或者其推选的代表检查投标文件的密封情况；经确认无误后，由采购人或者采购代理机构工作人员当众拆封，宣布投标人名称、投标价格和招标文件规定的需要宣布的其他内容。</w:t>
      </w:r>
    </w:p>
    <w:p w14:paraId="5329F5FA">
      <w:pPr>
        <w:pStyle w:val="39"/>
        <w:widowControl w:val="0"/>
        <w:shd w:val="clear"/>
        <w:spacing w:line="360" w:lineRule="auto"/>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14.4 开标过程由采购人或者采购代理机构负责记录，由参加开标的各投标人代表和相关工作人员签字确认后随采购文件一并存档。投标人未参加开标的，视同认可开标结果。</w:t>
      </w:r>
    </w:p>
    <w:p w14:paraId="509969FD">
      <w:pPr>
        <w:pStyle w:val="39"/>
        <w:widowControl w:val="0"/>
        <w:shd w:val="clear"/>
        <w:spacing w:line="360" w:lineRule="auto"/>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14.5 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719624D5">
      <w:pPr>
        <w:pStyle w:val="39"/>
        <w:widowControl w:val="0"/>
        <w:shd w:val="clear"/>
        <w:spacing w:line="360" w:lineRule="auto"/>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14.6 在政府采购活动中，采购人员及相关人员与投标人有下列利害关系之一的，应当回避：</w:t>
      </w:r>
    </w:p>
    <w:p w14:paraId="597ECFFE">
      <w:pPr>
        <w:pStyle w:val="39"/>
        <w:widowControl w:val="0"/>
        <w:shd w:val="clear"/>
        <w:spacing w:line="360" w:lineRule="auto"/>
        <w:ind w:firstLine="420" w:firstLineChars="200"/>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（1）参加采购活动前3年内与投标人存在劳动关系；</w:t>
      </w:r>
    </w:p>
    <w:p w14:paraId="5B6CFF89">
      <w:pPr>
        <w:pStyle w:val="39"/>
        <w:widowControl w:val="0"/>
        <w:shd w:val="clear"/>
        <w:spacing w:line="360" w:lineRule="auto"/>
        <w:ind w:firstLine="420" w:firstLineChars="200"/>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（2）参加采购活动前3年内担任投标人的董事、监事；</w:t>
      </w:r>
    </w:p>
    <w:p w14:paraId="0EA6AA78">
      <w:pPr>
        <w:pStyle w:val="39"/>
        <w:widowControl w:val="0"/>
        <w:shd w:val="clear"/>
        <w:spacing w:line="360" w:lineRule="auto"/>
        <w:ind w:firstLine="420" w:firstLineChars="200"/>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（3）参加采购活动前3年内是投标人的控股股东或者实际控制人；</w:t>
      </w:r>
    </w:p>
    <w:p w14:paraId="19157BCA">
      <w:pPr>
        <w:pStyle w:val="39"/>
        <w:widowControl w:val="0"/>
        <w:shd w:val="clear"/>
        <w:spacing w:line="360" w:lineRule="auto"/>
        <w:ind w:firstLine="420" w:firstLineChars="200"/>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（4）与投标人的法定代表人或者负责人有夫妻、直系血亲、三代以内旁系血亲或者近姻亲关系；</w:t>
      </w:r>
    </w:p>
    <w:p w14:paraId="30B946C9">
      <w:pPr>
        <w:pStyle w:val="39"/>
        <w:widowControl w:val="0"/>
        <w:shd w:val="clear"/>
        <w:spacing w:line="360" w:lineRule="auto"/>
        <w:ind w:firstLine="420" w:firstLineChars="200"/>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（5）与投标人有其他可能影响政府采购活动公平、公正进行的关系。</w:t>
      </w:r>
    </w:p>
    <w:p w14:paraId="230AF688">
      <w:pPr>
        <w:pStyle w:val="39"/>
        <w:widowControl w:val="0"/>
        <w:shd w:val="clear"/>
        <w:spacing w:line="360" w:lineRule="auto"/>
        <w:ind w:firstLine="420" w:firstLineChars="200"/>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投标人认为采购人员及相关人员（包括评标委员会的组成人员）与其他投标人有利害关系的，可以向采购人或者采购代理机构书面提出回避申请，并说明理由。采购人或者采购代理机构应当及时询问被申请回避人员，有利害关系的被申请回避人员应当回避。</w:t>
      </w:r>
    </w:p>
    <w:p w14:paraId="549A0507">
      <w:pPr>
        <w:shd w:val="clear"/>
        <w:rPr>
          <w:color w:val="auto"/>
          <w:highlight w:val="none"/>
        </w:rPr>
      </w:pPr>
      <w:r>
        <w:rPr>
          <w:color w:val="auto"/>
          <w:highlight w:val="none"/>
        </w:rPr>
        <w:t>14.7 对线上采购项目，采购人或者采购代理机构将在</w:t>
      </w:r>
      <w:r>
        <w:rPr>
          <w:b/>
          <w:color w:val="auto"/>
          <w:highlight w:val="none"/>
        </w:rPr>
        <w:t>投标人须知前附表</w:t>
      </w:r>
      <w:r>
        <w:rPr>
          <w:color w:val="auto"/>
          <w:highlight w:val="none"/>
        </w:rPr>
        <w:t>规定的时间进行电子开标，采购人或者采购代理机构将对开标、评标现场活动进行全程录音录像，音像资料作为采购文件一并存档。开标由采购人或者采购代理机构主持，投标人通过登录评审管理系统进入开标大厅远程参加。</w:t>
      </w:r>
    </w:p>
    <w:p w14:paraId="4E2B8F18">
      <w:pPr>
        <w:shd w:val="clear"/>
        <w:rPr>
          <w:color w:val="auto"/>
          <w:highlight w:val="none"/>
        </w:rPr>
      </w:pPr>
      <w:r>
        <w:rPr>
          <w:color w:val="auto"/>
          <w:highlight w:val="none"/>
        </w:rPr>
        <w:t>15．投标资格审查</w:t>
      </w:r>
    </w:p>
    <w:p w14:paraId="0CFBD185">
      <w:pPr>
        <w:shd w:val="clear"/>
        <w:rPr>
          <w:color w:val="auto"/>
          <w:highlight w:val="none"/>
        </w:rPr>
      </w:pPr>
      <w:r>
        <w:rPr>
          <w:color w:val="auto"/>
          <w:highlight w:val="none"/>
        </w:rPr>
        <w:t>15.1 公开招标采购项目开标结束后，由采购人或者采购代理机构依法对投标人的资格进行审查，以确定投标人是否具备投标资格。</w:t>
      </w:r>
    </w:p>
    <w:p w14:paraId="48539F47">
      <w:pPr>
        <w:shd w:val="clear"/>
        <w:rPr>
          <w:color w:val="auto"/>
          <w:highlight w:val="none"/>
        </w:rPr>
      </w:pPr>
      <w:r>
        <w:rPr>
          <w:color w:val="auto"/>
          <w:highlight w:val="none"/>
        </w:rPr>
        <w:t>15.1.1 审查投标人按照8.2.1提交的</w:t>
      </w:r>
      <w:r>
        <w:rPr>
          <w:b/>
          <w:color w:val="auto"/>
          <w:highlight w:val="none"/>
        </w:rPr>
        <w:t>“资格证明文件”</w:t>
      </w:r>
      <w:r>
        <w:rPr>
          <w:color w:val="auto"/>
          <w:highlight w:val="none"/>
        </w:rPr>
        <w:t>。</w:t>
      </w:r>
    </w:p>
    <w:p w14:paraId="62667F3D">
      <w:pPr>
        <w:shd w:val="clear"/>
        <w:rPr>
          <w:b/>
          <w:bCs/>
          <w:color w:val="auto"/>
          <w:highlight w:val="none"/>
        </w:rPr>
      </w:pPr>
      <w:r>
        <w:rPr>
          <w:color w:val="auto"/>
          <w:highlight w:val="none"/>
        </w:rPr>
        <w:t>15.1.2 信用记录审查。</w:t>
      </w:r>
      <w:r>
        <w:rPr>
          <w:b/>
          <w:bCs/>
          <w:color w:val="auto"/>
          <w:highlight w:val="none"/>
        </w:rPr>
        <w:t>见投标人须知前附表。</w:t>
      </w:r>
    </w:p>
    <w:p w14:paraId="49E36CF2">
      <w:pPr>
        <w:shd w:val="clear"/>
        <w:rPr>
          <w:color w:val="auto"/>
          <w:highlight w:val="none"/>
        </w:rPr>
      </w:pPr>
      <w:r>
        <w:rPr>
          <w:color w:val="auto"/>
          <w:highlight w:val="none"/>
        </w:rPr>
        <w:t>15.2 未通过资格审查的投标人，其投标无效。</w:t>
      </w:r>
    </w:p>
    <w:p w14:paraId="687E31BB">
      <w:pPr>
        <w:shd w:val="clear"/>
        <w:rPr>
          <w:color w:val="auto"/>
          <w:highlight w:val="none"/>
        </w:rPr>
      </w:pPr>
      <w:r>
        <w:rPr>
          <w:color w:val="auto"/>
          <w:highlight w:val="none"/>
        </w:rPr>
        <w:t>15.3 合格投标人不足3家的，不得评标。</w:t>
      </w:r>
    </w:p>
    <w:p w14:paraId="74B67EC3">
      <w:pPr>
        <w:shd w:val="clear"/>
        <w:rPr>
          <w:color w:val="auto"/>
          <w:highlight w:val="none"/>
        </w:rPr>
      </w:pPr>
      <w:r>
        <w:rPr>
          <w:color w:val="auto"/>
          <w:highlight w:val="none"/>
        </w:rPr>
        <w:t>16．评标委员会的组成</w:t>
      </w:r>
    </w:p>
    <w:p w14:paraId="5B173523">
      <w:pPr>
        <w:shd w:val="clear"/>
        <w:rPr>
          <w:color w:val="auto"/>
          <w:highlight w:val="none"/>
        </w:rPr>
      </w:pPr>
      <w:r>
        <w:rPr>
          <w:color w:val="auto"/>
          <w:highlight w:val="none"/>
        </w:rPr>
        <w:t>16.1 采购人或者采购代理机构根据有关法律法规规定组建评标委员会，评标委员会由采购人代表和评审专家组成。</w:t>
      </w:r>
    </w:p>
    <w:p w14:paraId="64CC6F5D">
      <w:pPr>
        <w:shd w:val="clear"/>
        <w:rPr>
          <w:color w:val="auto"/>
          <w:highlight w:val="none"/>
        </w:rPr>
      </w:pPr>
      <w:r>
        <w:rPr>
          <w:color w:val="auto"/>
          <w:highlight w:val="none"/>
        </w:rPr>
        <w:t>17．投标符合性审查</w:t>
      </w:r>
    </w:p>
    <w:p w14:paraId="254085F0">
      <w:pPr>
        <w:shd w:val="clear"/>
        <w:rPr>
          <w:color w:val="auto"/>
          <w:highlight w:val="none"/>
        </w:rPr>
      </w:pPr>
      <w:r>
        <w:rPr>
          <w:color w:val="auto"/>
          <w:highlight w:val="none"/>
        </w:rPr>
        <w:t>17.1 评标委员会对符合资格的投标人的投标文件进行符合性审查，以确定其是否符合招标文件的商务、技术等实质性要求。</w:t>
      </w:r>
    </w:p>
    <w:p w14:paraId="4713B38B">
      <w:pPr>
        <w:shd w:val="clear"/>
        <w:rPr>
          <w:color w:val="auto"/>
          <w:highlight w:val="none"/>
        </w:rPr>
      </w:pPr>
      <w:r>
        <w:rPr>
          <w:color w:val="auto"/>
          <w:highlight w:val="none"/>
        </w:rPr>
        <w:t>17.2 未通过符合性审查的投标人，其投标无效。</w:t>
      </w:r>
    </w:p>
    <w:p w14:paraId="26F20046">
      <w:pPr>
        <w:shd w:val="clear"/>
        <w:rPr>
          <w:color w:val="auto"/>
          <w:highlight w:val="none"/>
        </w:rPr>
      </w:pPr>
      <w:r>
        <w:rPr>
          <w:color w:val="auto"/>
          <w:highlight w:val="none"/>
        </w:rPr>
        <w:t>17.3 通过符合性审查的投标人不足3家的，应予以废标。</w:t>
      </w:r>
    </w:p>
    <w:p w14:paraId="7836D20F">
      <w:pPr>
        <w:shd w:val="clear"/>
        <w:rPr>
          <w:color w:val="auto"/>
          <w:highlight w:val="none"/>
        </w:rPr>
      </w:pPr>
      <w:r>
        <w:rPr>
          <w:color w:val="auto"/>
          <w:highlight w:val="none"/>
        </w:rPr>
        <w:t>18．投标文件的澄清</w:t>
      </w:r>
    </w:p>
    <w:p w14:paraId="0189D1B2">
      <w:pPr>
        <w:pStyle w:val="39"/>
        <w:widowControl w:val="0"/>
        <w:shd w:val="clear"/>
        <w:spacing w:line="360" w:lineRule="auto"/>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18.1对于投标文件中含义不明确、同类问题表述不一致或者有明显文字和计算错误的内容，评标委员会应当以书面形式要求投标人作出必要的澄清、说明或者补正。</w:t>
      </w:r>
    </w:p>
    <w:p w14:paraId="15B412B0">
      <w:pPr>
        <w:pStyle w:val="39"/>
        <w:widowControl w:val="0"/>
        <w:shd w:val="clear"/>
        <w:spacing w:line="360" w:lineRule="auto"/>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18.2投标人的澄清、说明或者补正应当采用书面形式，并加盖公章，或者由法定代表人或其授权的代表签字。（线上采购项目的通过评审管理系统上传加盖电子公章的扫描件）。投标人的澄清、说明或者补正不得超出投标文件的范围或者改变投标文件的实质性内容。</w:t>
      </w:r>
    </w:p>
    <w:p w14:paraId="439B07F8">
      <w:pPr>
        <w:pStyle w:val="39"/>
        <w:widowControl w:val="0"/>
        <w:shd w:val="clear"/>
        <w:spacing w:line="360" w:lineRule="auto"/>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18.3关于投标描述（即投标文件中描述的内容）</w:t>
      </w:r>
    </w:p>
    <w:p w14:paraId="6386B015">
      <w:pPr>
        <w:pStyle w:val="39"/>
        <w:widowControl w:val="0"/>
        <w:shd w:val="clear"/>
        <w:spacing w:line="360" w:lineRule="auto"/>
        <w:ind w:firstLine="420" w:firstLineChars="200"/>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（1）投标描述前后不一致且不涉及证明材料的：按照本节第18.1条规定执行。</w:t>
      </w:r>
    </w:p>
    <w:p w14:paraId="721FC9AF">
      <w:pPr>
        <w:pStyle w:val="39"/>
        <w:widowControl w:val="0"/>
        <w:shd w:val="clear"/>
        <w:spacing w:line="360" w:lineRule="auto"/>
        <w:ind w:firstLine="420" w:firstLineChars="200"/>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（2）投标描述与证明材料不一致或多份证明材料之间不一致的：</w:t>
      </w:r>
    </w:p>
    <w:p w14:paraId="26E1663F">
      <w:pPr>
        <w:pStyle w:val="39"/>
        <w:widowControl w:val="0"/>
        <w:shd w:val="clear"/>
        <w:spacing w:line="360" w:lineRule="auto"/>
        <w:ind w:firstLine="420" w:firstLineChars="200"/>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①评标委员会将要求投标人进行书面澄清，无法澄清的将按照不利于投标人的内容进行评标。</w:t>
      </w:r>
    </w:p>
    <w:p w14:paraId="7F0827C8">
      <w:pPr>
        <w:pStyle w:val="39"/>
        <w:widowControl w:val="0"/>
        <w:shd w:val="clear"/>
        <w:spacing w:line="360" w:lineRule="auto"/>
        <w:ind w:firstLine="420" w:firstLineChars="200"/>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②投标人按照要求进行澄清的，采购人以澄清内容为准进行验收；投标人未按照要求进行澄清的，采购人以投标描述或证明材料中有利于采购人的内容进行验收。投标人应对证明材料的真实性、有效性承担责任。</w:t>
      </w:r>
    </w:p>
    <w:p w14:paraId="58881570">
      <w:pPr>
        <w:pStyle w:val="39"/>
        <w:widowControl w:val="0"/>
        <w:shd w:val="clear"/>
        <w:spacing w:line="360" w:lineRule="auto"/>
        <w:ind w:firstLine="420" w:firstLineChars="200"/>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3）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14:paraId="7AF9FAEE">
      <w:pPr>
        <w:shd w:val="clear"/>
        <w:rPr>
          <w:color w:val="auto"/>
          <w:highlight w:val="none"/>
        </w:rPr>
      </w:pPr>
      <w:r>
        <w:rPr>
          <w:color w:val="auto"/>
          <w:highlight w:val="none"/>
        </w:rPr>
        <w:t>18.4 除评标委员会要求投标人做出的澄清、说明或者补正以外，评标委员会不接受投标人的任何询问、说明、更改及文件。</w:t>
      </w:r>
    </w:p>
    <w:p w14:paraId="089226DC">
      <w:pPr>
        <w:shd w:val="clear"/>
        <w:rPr>
          <w:color w:val="auto"/>
          <w:highlight w:val="none"/>
        </w:rPr>
      </w:pPr>
      <w:r>
        <w:rPr>
          <w:color w:val="auto"/>
          <w:highlight w:val="none"/>
        </w:rPr>
        <w:t>18.5 投标人的澄清必须在规定的时间内提交。</w:t>
      </w:r>
    </w:p>
    <w:p w14:paraId="6BA3A03A">
      <w:pPr>
        <w:shd w:val="clear"/>
        <w:rPr>
          <w:color w:val="auto"/>
          <w:highlight w:val="none"/>
        </w:rPr>
      </w:pPr>
      <w:r>
        <w:rPr>
          <w:color w:val="auto"/>
          <w:highlight w:val="none"/>
        </w:rPr>
        <w:t>19．核价原则</w:t>
      </w:r>
    </w:p>
    <w:p w14:paraId="4B34BED8">
      <w:pPr>
        <w:shd w:val="clear"/>
        <w:rPr>
          <w:color w:val="auto"/>
          <w:highlight w:val="none"/>
        </w:rPr>
      </w:pPr>
      <w:r>
        <w:rPr>
          <w:bCs/>
          <w:color w:val="auto"/>
          <w:highlight w:val="none"/>
        </w:rPr>
        <w:t xml:space="preserve">19.1 </w:t>
      </w:r>
      <w:r>
        <w:rPr>
          <w:color w:val="auto"/>
          <w:highlight w:val="none"/>
        </w:rPr>
        <w:t>投标文件报价出现前后不一致的，除招标文件另有规定外，按照下列规定修正：</w:t>
      </w:r>
    </w:p>
    <w:p w14:paraId="1AB7A62C">
      <w:pPr>
        <w:shd w:val="clear"/>
        <w:rPr>
          <w:color w:val="auto"/>
          <w:highlight w:val="none"/>
        </w:rPr>
      </w:pPr>
      <w:r>
        <w:rPr>
          <w:color w:val="auto"/>
          <w:highlight w:val="none"/>
        </w:rPr>
        <w:t>（1）投标文件中开标一览表（总报价表）内容与投标文件中相应内容不一致的，以开标一览表（总报价表）为准；</w:t>
      </w:r>
    </w:p>
    <w:p w14:paraId="3C09A31D">
      <w:pPr>
        <w:shd w:val="clear"/>
        <w:rPr>
          <w:color w:val="auto"/>
          <w:highlight w:val="none"/>
        </w:rPr>
      </w:pPr>
      <w:r>
        <w:rPr>
          <w:color w:val="auto"/>
          <w:highlight w:val="none"/>
        </w:rPr>
        <w:t>（2）大写金额和小写金额不一致的，以大写金额为准；</w:t>
      </w:r>
    </w:p>
    <w:p w14:paraId="7CA90724">
      <w:pPr>
        <w:shd w:val="clear"/>
        <w:rPr>
          <w:color w:val="auto"/>
          <w:highlight w:val="none"/>
        </w:rPr>
      </w:pPr>
      <w:r>
        <w:rPr>
          <w:color w:val="auto"/>
          <w:highlight w:val="none"/>
        </w:rPr>
        <w:t>（3）单价金额小数点或者百分比有明显错位的，以开标一览表的总价为准，并修改单价；</w:t>
      </w:r>
    </w:p>
    <w:p w14:paraId="07B40F69">
      <w:pPr>
        <w:shd w:val="clear"/>
        <w:rPr>
          <w:color w:val="auto"/>
          <w:highlight w:val="none"/>
        </w:rPr>
      </w:pPr>
      <w:r>
        <w:rPr>
          <w:color w:val="auto"/>
          <w:highlight w:val="none"/>
        </w:rPr>
        <w:t>（4）总价金额与按单价汇总金额不一致的，以单价金额计算结果为准。</w:t>
      </w:r>
    </w:p>
    <w:p w14:paraId="461CBA70">
      <w:pPr>
        <w:shd w:val="clear"/>
        <w:rPr>
          <w:color w:val="auto"/>
          <w:highlight w:val="none"/>
        </w:rPr>
      </w:pPr>
      <w:r>
        <w:rPr>
          <w:color w:val="auto"/>
          <w:highlight w:val="none"/>
        </w:rPr>
        <w:t>（5）同时出现两种以上不一致的，按照前款规定的顺序修正。修正后的报价按照18.2条的规定经投标人确认后产生约束力，投标人不确认的，其投标无效。</w:t>
      </w:r>
    </w:p>
    <w:p w14:paraId="5C6CFC4A">
      <w:pPr>
        <w:shd w:val="clear"/>
        <w:rPr>
          <w:color w:val="auto"/>
          <w:highlight w:val="none"/>
        </w:rPr>
      </w:pPr>
      <w:r>
        <w:rPr>
          <w:color w:val="auto"/>
          <w:highlight w:val="none"/>
        </w:rPr>
        <w:t>20．投标无效</w:t>
      </w:r>
    </w:p>
    <w:p w14:paraId="551C6671">
      <w:pPr>
        <w:shd w:val="clear"/>
        <w:rPr>
          <w:color w:val="auto"/>
          <w:highlight w:val="none"/>
        </w:rPr>
      </w:pPr>
      <w:r>
        <w:rPr>
          <w:color w:val="auto"/>
          <w:highlight w:val="none"/>
        </w:rPr>
        <w:t>20.1 投标人及投标文件有下列情况之一的，应当在资格审查时按照投标无效处理：</w:t>
      </w:r>
    </w:p>
    <w:p w14:paraId="41B18C6B">
      <w:pPr>
        <w:shd w:val="clear"/>
        <w:rPr>
          <w:color w:val="auto"/>
          <w:highlight w:val="none"/>
        </w:rPr>
      </w:pPr>
      <w:r>
        <w:rPr>
          <w:color w:val="auto"/>
          <w:highlight w:val="none"/>
        </w:rPr>
        <w:t>（1） 不具备招标文件中规定的资格要求的；</w:t>
      </w:r>
    </w:p>
    <w:p w14:paraId="4C46378F">
      <w:pPr>
        <w:shd w:val="clear"/>
        <w:rPr>
          <w:color w:val="auto"/>
          <w:highlight w:val="none"/>
        </w:rPr>
      </w:pPr>
      <w:r>
        <w:rPr>
          <w:color w:val="auto"/>
          <w:highlight w:val="none"/>
        </w:rPr>
        <w:t>（2） 投标文件组成中“资格证明文件”未提供或无效的；</w:t>
      </w:r>
    </w:p>
    <w:p w14:paraId="79D0A27A">
      <w:pPr>
        <w:shd w:val="clear"/>
        <w:rPr>
          <w:color w:val="auto"/>
          <w:highlight w:val="none"/>
        </w:rPr>
      </w:pPr>
      <w:r>
        <w:rPr>
          <w:color w:val="auto"/>
          <w:highlight w:val="none"/>
        </w:rPr>
        <w:t>（3） 未通过信用记录审查或未提供相关证明材料的。</w:t>
      </w:r>
    </w:p>
    <w:p w14:paraId="77E780AF">
      <w:pPr>
        <w:shd w:val="clear"/>
        <w:rPr>
          <w:color w:val="auto"/>
          <w:highlight w:val="none"/>
        </w:rPr>
      </w:pPr>
      <w:r>
        <w:rPr>
          <w:color w:val="auto"/>
          <w:highlight w:val="none"/>
        </w:rPr>
        <w:t>20.2 投标人及投标文件有下列情况之一的，应当在符合性审查时按照投标无效处理：</w:t>
      </w:r>
    </w:p>
    <w:p w14:paraId="2106CB18">
      <w:pPr>
        <w:shd w:val="clear"/>
        <w:rPr>
          <w:color w:val="auto"/>
          <w:highlight w:val="none"/>
        </w:rPr>
      </w:pPr>
      <w:r>
        <w:rPr>
          <w:color w:val="auto"/>
          <w:highlight w:val="none"/>
        </w:rPr>
        <w:t>（1） 投标文件组成中除“资格证明文件”外，</w:t>
      </w:r>
      <w:r>
        <w:rPr>
          <w:rFonts w:ascii="Segoe UI Symbol" w:hAnsi="Segoe UI Symbol" w:cs="Segoe UI Symbol"/>
          <w:color w:val="auto"/>
          <w:highlight w:val="none"/>
        </w:rPr>
        <w:t>★</w:t>
      </w:r>
      <w:r>
        <w:rPr>
          <w:color w:val="auto"/>
          <w:highlight w:val="none"/>
        </w:rPr>
        <w:t>条款相关文件及资料未提供或提供无效的；</w:t>
      </w:r>
    </w:p>
    <w:p w14:paraId="64AEE4D3">
      <w:pPr>
        <w:shd w:val="clear"/>
        <w:rPr>
          <w:color w:val="auto"/>
          <w:highlight w:val="none"/>
        </w:rPr>
      </w:pPr>
      <w:r>
        <w:rPr>
          <w:color w:val="auto"/>
          <w:highlight w:val="none"/>
        </w:rPr>
        <w:t>（2） 投标文件未按招标文件要求签署、盖章的；</w:t>
      </w:r>
    </w:p>
    <w:p w14:paraId="23E6B71E">
      <w:pPr>
        <w:shd w:val="clear"/>
        <w:rPr>
          <w:color w:val="auto"/>
          <w:highlight w:val="none"/>
        </w:rPr>
      </w:pPr>
      <w:r>
        <w:rPr>
          <w:color w:val="auto"/>
          <w:highlight w:val="none"/>
        </w:rPr>
        <w:t>（3） 投标报价超过招标文件中规定的预算金额或者最高限价的；</w:t>
      </w:r>
    </w:p>
    <w:p w14:paraId="26BFEBDB">
      <w:pPr>
        <w:shd w:val="clear"/>
        <w:rPr>
          <w:color w:val="auto"/>
          <w:highlight w:val="none"/>
        </w:rPr>
      </w:pPr>
      <w:r>
        <w:rPr>
          <w:color w:val="auto"/>
          <w:highlight w:val="none"/>
        </w:rPr>
        <w:t>（4） 投标有效期不足的；</w:t>
      </w:r>
    </w:p>
    <w:p w14:paraId="774E8901">
      <w:pPr>
        <w:shd w:val="clear"/>
        <w:rPr>
          <w:color w:val="auto"/>
          <w:highlight w:val="none"/>
        </w:rPr>
      </w:pPr>
      <w:r>
        <w:rPr>
          <w:color w:val="auto"/>
          <w:highlight w:val="none"/>
        </w:rPr>
        <w:t>（5） 投标文件含有采购人不能接受的附加条件的；</w:t>
      </w:r>
    </w:p>
    <w:p w14:paraId="67C960F7">
      <w:pPr>
        <w:shd w:val="clear"/>
        <w:rPr>
          <w:color w:val="auto"/>
          <w:highlight w:val="none"/>
        </w:rPr>
      </w:pPr>
      <w:r>
        <w:rPr>
          <w:color w:val="auto"/>
          <w:highlight w:val="none"/>
        </w:rPr>
        <w:t>20.3 除20.1及20.2情形外，投标人及投标文件有下列情况之一的，应当按照投标无效处理：</w:t>
      </w:r>
    </w:p>
    <w:p w14:paraId="0FE480A8">
      <w:pPr>
        <w:shd w:val="clear"/>
        <w:rPr>
          <w:color w:val="auto"/>
          <w:highlight w:val="none"/>
        </w:rPr>
      </w:pPr>
      <w:r>
        <w:rPr>
          <w:color w:val="auto"/>
          <w:highlight w:val="none"/>
        </w:rPr>
        <w:t>（1） 提供虚假投标文件材料的；</w:t>
      </w:r>
    </w:p>
    <w:p w14:paraId="7069FF81">
      <w:pPr>
        <w:shd w:val="clear"/>
        <w:rPr>
          <w:color w:val="auto"/>
          <w:highlight w:val="none"/>
        </w:rPr>
      </w:pPr>
      <w:r>
        <w:rPr>
          <w:color w:val="auto"/>
          <w:highlight w:val="none"/>
        </w:rPr>
        <w:t>（2） 投标人串通投标的；</w:t>
      </w:r>
    </w:p>
    <w:p w14:paraId="51231DFD">
      <w:pPr>
        <w:shd w:val="clear"/>
        <w:rPr>
          <w:color w:val="auto"/>
          <w:highlight w:val="none"/>
        </w:rPr>
      </w:pPr>
      <w:r>
        <w:rPr>
          <w:color w:val="auto"/>
          <w:highlight w:val="none"/>
        </w:rPr>
        <w:t>（3）投标报价明显低于其他通过符合性审查投标人的报价，且不能证明其报价合理性的。</w:t>
      </w:r>
    </w:p>
    <w:p w14:paraId="0F82C0BC">
      <w:pPr>
        <w:shd w:val="clear"/>
        <w:rPr>
          <w:color w:val="auto"/>
          <w:highlight w:val="none"/>
        </w:rPr>
      </w:pPr>
      <w:r>
        <w:rPr>
          <w:color w:val="auto"/>
          <w:highlight w:val="none"/>
        </w:rPr>
        <w:t>（4） 法律、法规和招标文件规定的其他无效情形。</w:t>
      </w:r>
    </w:p>
    <w:p w14:paraId="54171B56">
      <w:pPr>
        <w:shd w:val="clear"/>
        <w:rPr>
          <w:color w:val="auto"/>
          <w:highlight w:val="none"/>
        </w:rPr>
      </w:pPr>
      <w:r>
        <w:rPr>
          <w:color w:val="auto"/>
          <w:highlight w:val="none"/>
        </w:rPr>
        <w:t>21．比较与评价</w:t>
      </w:r>
    </w:p>
    <w:p w14:paraId="4220B595">
      <w:pPr>
        <w:shd w:val="clear"/>
        <w:rPr>
          <w:color w:val="auto"/>
          <w:highlight w:val="none"/>
        </w:rPr>
      </w:pPr>
      <w:r>
        <w:rPr>
          <w:color w:val="auto"/>
          <w:highlight w:val="none"/>
        </w:rPr>
        <w:t>21.1 评标委员会按照招标文件中规定的评标方法和标准，对符合性审查合格的投标文件进行商务和技术评估，综合比较与评价。</w:t>
      </w:r>
    </w:p>
    <w:p w14:paraId="7C259178">
      <w:pPr>
        <w:shd w:val="clear"/>
        <w:rPr>
          <w:color w:val="auto"/>
          <w:highlight w:val="none"/>
        </w:rPr>
      </w:pPr>
      <w:r>
        <w:rPr>
          <w:color w:val="auto"/>
          <w:highlight w:val="none"/>
        </w:rPr>
        <w:t>21.2 价格分应当采用低价优先法计算。小型、微型企业和监狱企业、残疾人福利性单位的投标报价按照</w:t>
      </w:r>
      <w:r>
        <w:rPr>
          <w:b/>
          <w:color w:val="auto"/>
          <w:highlight w:val="none"/>
        </w:rPr>
        <w:t>投标人须知前附表</w:t>
      </w:r>
      <w:r>
        <w:rPr>
          <w:color w:val="auto"/>
          <w:highlight w:val="none"/>
        </w:rPr>
        <w:t>规定，分别给予</w:t>
      </w:r>
      <w:r>
        <w:rPr>
          <w:rFonts w:hint="eastAsia"/>
          <w:color w:val="auto"/>
          <w:highlight w:val="none"/>
          <w:lang w:val="en-US" w:eastAsia="zh-CN"/>
        </w:rPr>
        <w:t>扶持</w:t>
      </w:r>
      <w:r>
        <w:rPr>
          <w:color w:val="auto"/>
          <w:highlight w:val="none"/>
        </w:rPr>
        <w:t>。未提供《中小型企业声明函》、《监狱企业证明文件》、《残疾人福利性单位声明函》的，价格不予</w:t>
      </w:r>
      <w:r>
        <w:rPr>
          <w:rFonts w:hint="eastAsia"/>
          <w:color w:val="auto"/>
          <w:highlight w:val="none"/>
          <w:lang w:val="en-US" w:eastAsia="zh-CN"/>
        </w:rPr>
        <w:t>扶持</w:t>
      </w:r>
      <w:r>
        <w:rPr>
          <w:color w:val="auto"/>
          <w:highlight w:val="none"/>
        </w:rPr>
        <w:t>。同一投标人不得重复享受</w:t>
      </w:r>
      <w:r>
        <w:rPr>
          <w:rFonts w:hint="eastAsia"/>
          <w:color w:val="auto"/>
          <w:highlight w:val="none"/>
          <w:lang w:val="en-US" w:eastAsia="zh-CN"/>
        </w:rPr>
        <w:t>扶持</w:t>
      </w:r>
      <w:r>
        <w:rPr>
          <w:color w:val="auto"/>
          <w:highlight w:val="none"/>
        </w:rPr>
        <w:t>政策。</w:t>
      </w:r>
    </w:p>
    <w:p w14:paraId="6F7F1E46">
      <w:pPr>
        <w:shd w:val="clear"/>
        <w:rPr>
          <w:color w:val="auto"/>
          <w:highlight w:val="none"/>
        </w:rPr>
      </w:pPr>
      <w:r>
        <w:rPr>
          <w:color w:val="auto"/>
          <w:highlight w:val="none"/>
        </w:rPr>
        <w:t>21.3 评标委员会各成员独立对每个投标人的投标文件进行评价，并汇总得出每个投标人的评审得分。</w:t>
      </w:r>
    </w:p>
    <w:p w14:paraId="1524345A">
      <w:pPr>
        <w:shd w:val="clear"/>
        <w:rPr>
          <w:color w:val="auto"/>
          <w:highlight w:val="none"/>
        </w:rPr>
      </w:pPr>
      <w:r>
        <w:rPr>
          <w:color w:val="auto"/>
          <w:highlight w:val="none"/>
        </w:rPr>
        <w:t>21.4 评标结果按评审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DA51C05">
      <w:pPr>
        <w:shd w:val="clear"/>
        <w:rPr>
          <w:color w:val="auto"/>
          <w:highlight w:val="none"/>
        </w:rPr>
      </w:pPr>
      <w:r>
        <w:rPr>
          <w:color w:val="auto"/>
          <w:highlight w:val="none"/>
        </w:rPr>
        <w:t>21.5 评标方法及标准详见招标文件商务部分第三章。</w:t>
      </w:r>
    </w:p>
    <w:p w14:paraId="70C71D89">
      <w:pPr>
        <w:shd w:val="clear"/>
        <w:rPr>
          <w:color w:val="auto"/>
          <w:highlight w:val="none"/>
        </w:rPr>
      </w:pPr>
      <w:r>
        <w:rPr>
          <w:color w:val="auto"/>
          <w:highlight w:val="none"/>
        </w:rPr>
        <w:t>21.6 评标委员会成员应当在评标报告上签字，对自己的评审意见承担法律责任。评标委员会成员对需要共同认定的事项存在争议的，应当按照少数服从多数的原则作出结论。持不同意见的评标委员会成员应当在评标报告上签署不同意见及理由，否则视为同意评标报告。</w:t>
      </w:r>
    </w:p>
    <w:p w14:paraId="1649B45D">
      <w:pPr>
        <w:shd w:val="clear"/>
        <w:rPr>
          <w:color w:val="auto"/>
          <w:highlight w:val="none"/>
        </w:rPr>
      </w:pPr>
      <w:r>
        <w:rPr>
          <w:color w:val="auto"/>
          <w:highlight w:val="none"/>
        </w:rPr>
        <w:t>22．废标</w:t>
      </w:r>
    </w:p>
    <w:p w14:paraId="6430DF0F">
      <w:pPr>
        <w:shd w:val="clear"/>
        <w:rPr>
          <w:color w:val="auto"/>
          <w:highlight w:val="none"/>
        </w:rPr>
      </w:pPr>
      <w:r>
        <w:rPr>
          <w:color w:val="auto"/>
          <w:highlight w:val="none"/>
        </w:rPr>
        <w:t>22.1 在招标采购中，出现下列情形之一的，应予废标：</w:t>
      </w:r>
    </w:p>
    <w:p w14:paraId="3AE0A90B">
      <w:pPr>
        <w:shd w:val="clear"/>
        <w:rPr>
          <w:color w:val="auto"/>
          <w:highlight w:val="none"/>
        </w:rPr>
      </w:pPr>
      <w:r>
        <w:rPr>
          <w:color w:val="auto"/>
          <w:highlight w:val="none"/>
        </w:rPr>
        <w:t>（1）符合专业条件的</w:t>
      </w:r>
      <w:r>
        <w:rPr>
          <w:rFonts w:hint="eastAsia"/>
          <w:color w:val="auto"/>
          <w:highlight w:val="none"/>
          <w:lang w:eastAsia="zh-CN"/>
        </w:rPr>
        <w:t>投标人</w:t>
      </w:r>
      <w:r>
        <w:rPr>
          <w:color w:val="auto"/>
          <w:highlight w:val="none"/>
        </w:rPr>
        <w:t>或者对招标文件作实质响应的</w:t>
      </w:r>
      <w:r>
        <w:rPr>
          <w:rFonts w:hint="eastAsia"/>
          <w:color w:val="auto"/>
          <w:highlight w:val="none"/>
          <w:lang w:eastAsia="zh-CN"/>
        </w:rPr>
        <w:t>投标人</w:t>
      </w:r>
      <w:r>
        <w:rPr>
          <w:color w:val="auto"/>
          <w:highlight w:val="none"/>
        </w:rPr>
        <w:t>不足三家的；</w:t>
      </w:r>
    </w:p>
    <w:p w14:paraId="2A19A9C8">
      <w:pPr>
        <w:shd w:val="clear"/>
        <w:rPr>
          <w:color w:val="auto"/>
          <w:highlight w:val="none"/>
        </w:rPr>
      </w:pPr>
      <w:r>
        <w:rPr>
          <w:color w:val="auto"/>
          <w:highlight w:val="none"/>
        </w:rPr>
        <w:t>（2）出现影响采购公正的违法、违规行为的；</w:t>
      </w:r>
    </w:p>
    <w:p w14:paraId="5F4AE239">
      <w:pPr>
        <w:shd w:val="clear"/>
        <w:rPr>
          <w:color w:val="auto"/>
          <w:highlight w:val="none"/>
        </w:rPr>
      </w:pPr>
      <w:r>
        <w:rPr>
          <w:color w:val="auto"/>
          <w:highlight w:val="none"/>
        </w:rPr>
        <w:t>（3）投标人的报价均超过了采购预算，采购人不能支付的；</w:t>
      </w:r>
    </w:p>
    <w:p w14:paraId="6046675D">
      <w:pPr>
        <w:shd w:val="clear"/>
        <w:rPr>
          <w:color w:val="auto"/>
          <w:highlight w:val="none"/>
        </w:rPr>
      </w:pPr>
      <w:r>
        <w:rPr>
          <w:color w:val="auto"/>
          <w:highlight w:val="none"/>
        </w:rPr>
        <w:t>（4）因重大变故，采购任务取消的。</w:t>
      </w:r>
    </w:p>
    <w:p w14:paraId="3202AED0">
      <w:pPr>
        <w:shd w:val="clear"/>
        <w:rPr>
          <w:color w:val="auto"/>
          <w:highlight w:val="none"/>
        </w:rPr>
      </w:pPr>
      <w:r>
        <w:rPr>
          <w:color w:val="auto"/>
          <w:highlight w:val="none"/>
        </w:rPr>
        <w:t>22.2 废标后，采购人或者采购代理机构将废标理由通知所有投标人。</w:t>
      </w:r>
    </w:p>
    <w:p w14:paraId="7E7D8FED">
      <w:pPr>
        <w:pStyle w:val="7"/>
        <w:shd w:val="clear"/>
        <w:rPr>
          <w:color w:val="auto"/>
          <w:highlight w:val="none"/>
        </w:rPr>
      </w:pPr>
      <w:bookmarkStart w:id="37" w:name="_Toc2210"/>
      <w:bookmarkStart w:id="38" w:name="_Toc15494"/>
      <w:bookmarkStart w:id="39" w:name="_Toc24258"/>
      <w:r>
        <w:rPr>
          <w:rFonts w:hint="eastAsia"/>
          <w:color w:val="auto"/>
          <w:highlight w:val="none"/>
        </w:rPr>
        <w:t>六、中标和合同</w:t>
      </w:r>
      <w:bookmarkEnd w:id="37"/>
      <w:bookmarkEnd w:id="38"/>
      <w:bookmarkEnd w:id="39"/>
    </w:p>
    <w:p w14:paraId="590DAF12">
      <w:pPr>
        <w:shd w:val="clear"/>
        <w:rPr>
          <w:color w:val="auto"/>
          <w:highlight w:val="none"/>
        </w:rPr>
      </w:pPr>
      <w:r>
        <w:rPr>
          <w:color w:val="auto"/>
          <w:highlight w:val="none"/>
        </w:rPr>
        <w:t>23．中标</w:t>
      </w:r>
    </w:p>
    <w:p w14:paraId="74DB801B">
      <w:pPr>
        <w:shd w:val="clear"/>
        <w:rPr>
          <w:color w:val="auto"/>
          <w:highlight w:val="none"/>
        </w:rPr>
      </w:pPr>
      <w:r>
        <w:rPr>
          <w:color w:val="auto"/>
          <w:highlight w:val="none"/>
        </w:rPr>
        <w:t>23.1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36D2E716">
      <w:pPr>
        <w:shd w:val="clear"/>
        <w:rPr>
          <w:color w:val="auto"/>
          <w:highlight w:val="none"/>
        </w:rPr>
      </w:pPr>
      <w:r>
        <w:rPr>
          <w:color w:val="auto"/>
          <w:highlight w:val="none"/>
        </w:rPr>
        <w:t>采购人自行组织招标的，采购人应当在评标结束后5个工作日内，按评标报告推荐的中标候选人顺序确定中标人。</w:t>
      </w:r>
    </w:p>
    <w:p w14:paraId="7F0E025A">
      <w:pPr>
        <w:shd w:val="clear"/>
        <w:rPr>
          <w:rFonts w:eastAsia="宋体" w:cs="Times New Roman"/>
          <w:color w:val="auto"/>
          <w:highlight w:val="none"/>
        </w:rPr>
      </w:pPr>
      <w:r>
        <w:rPr>
          <w:color w:val="auto"/>
          <w:highlight w:val="none"/>
        </w:rPr>
        <w:t>23.2 采购人或者采购代理机构应当自中标人确定之日起2个工作日内，在</w:t>
      </w:r>
      <w:r>
        <w:rPr>
          <w:b/>
          <w:color w:val="auto"/>
          <w:highlight w:val="none"/>
        </w:rPr>
        <w:t>投标人须知前附表</w:t>
      </w:r>
      <w:r>
        <w:rPr>
          <w:rFonts w:eastAsia="宋体" w:cs="Times New Roman"/>
          <w:color w:val="auto"/>
          <w:highlight w:val="none"/>
        </w:rPr>
        <w:t>规定的媒体上公告中标结果，招标文件应随中标结果同时公告。中标公告期限为1个工作日。</w:t>
      </w:r>
    </w:p>
    <w:p w14:paraId="3EF3E8A2">
      <w:pPr>
        <w:shd w:val="clear"/>
        <w:rPr>
          <w:rFonts w:eastAsia="宋体" w:cs="Times New Roman"/>
          <w:color w:val="auto"/>
          <w:highlight w:val="none"/>
        </w:rPr>
      </w:pPr>
      <w:r>
        <w:rPr>
          <w:rFonts w:hint="eastAsia" w:eastAsia="宋体" w:cs="Times New Roman"/>
          <w:color w:val="auto"/>
          <w:highlight w:val="none"/>
        </w:rPr>
        <w:t>23.3 在公告中标结果的同时，采购人或者采购代理机构应当向</w:t>
      </w:r>
      <w:r>
        <w:rPr>
          <w:rFonts w:hint="eastAsia" w:eastAsia="宋体" w:cs="Times New Roman"/>
          <w:color w:val="auto"/>
          <w:highlight w:val="none"/>
          <w:lang w:val="en-US" w:eastAsia="zh-CN"/>
        </w:rPr>
        <w:t>联合体牵头人邮寄</w:t>
      </w:r>
      <w:r>
        <w:rPr>
          <w:rFonts w:hint="eastAsia" w:eastAsia="宋体" w:cs="Times New Roman"/>
          <w:color w:val="auto"/>
          <w:highlight w:val="none"/>
        </w:rPr>
        <w:t>中标通知书</w:t>
      </w:r>
      <w:r>
        <w:rPr>
          <w:rFonts w:hint="eastAsia" w:eastAsia="宋体" w:cs="Times New Roman"/>
          <w:color w:val="auto"/>
          <w:highlight w:val="none"/>
          <w:lang w:eastAsia="zh-CN"/>
        </w:rPr>
        <w:t>，</w:t>
      </w:r>
      <w:r>
        <w:rPr>
          <w:rFonts w:hint="eastAsia" w:eastAsia="宋体" w:cs="Times New Roman"/>
          <w:color w:val="auto"/>
          <w:highlight w:val="none"/>
          <w:lang w:val="en-US" w:eastAsia="zh-CN"/>
        </w:rPr>
        <w:t>在中标通知书明确联合体各方名称，并由牵头人负责转达</w:t>
      </w:r>
      <w:r>
        <w:rPr>
          <w:rFonts w:hint="eastAsia" w:eastAsia="宋体" w:cs="Times New Roman"/>
          <w:color w:val="auto"/>
          <w:highlight w:val="none"/>
        </w:rPr>
        <w:t>；对未通过资格审查的投标人，告知其未通过的原因；采用综合评分法评审的，同时告知未中标人本人的评审得分与排序。</w:t>
      </w:r>
    </w:p>
    <w:p w14:paraId="48B19CED">
      <w:pPr>
        <w:shd w:val="clear"/>
        <w:rPr>
          <w:color w:val="auto"/>
          <w:highlight w:val="none"/>
        </w:rPr>
      </w:pPr>
      <w:r>
        <w:rPr>
          <w:color w:val="auto"/>
          <w:highlight w:val="none"/>
        </w:rPr>
        <w:t>23.4 中标通知书发出后，采购人或者采购代理机构不得违法改变中标结果，中标人无正当理由不得放弃中标。</w:t>
      </w:r>
    </w:p>
    <w:p w14:paraId="7EB08D53">
      <w:pPr>
        <w:shd w:val="clear"/>
        <w:rPr>
          <w:color w:val="auto"/>
          <w:highlight w:val="none"/>
        </w:rPr>
      </w:pPr>
      <w:r>
        <w:rPr>
          <w:color w:val="auto"/>
          <w:highlight w:val="none"/>
        </w:rPr>
        <w:t>23.5 中标通知书对采购人和中标人具有同等法律效力。</w:t>
      </w:r>
    </w:p>
    <w:p w14:paraId="69F56730">
      <w:pPr>
        <w:shd w:val="clear"/>
        <w:rPr>
          <w:color w:val="auto"/>
          <w:highlight w:val="none"/>
        </w:rPr>
      </w:pPr>
      <w:r>
        <w:rPr>
          <w:color w:val="auto"/>
          <w:highlight w:val="none"/>
        </w:rPr>
        <w:t>24．签订合同</w:t>
      </w:r>
    </w:p>
    <w:p w14:paraId="7BF10AD4">
      <w:pPr>
        <w:shd w:val="clear"/>
        <w:rPr>
          <w:color w:val="auto"/>
          <w:highlight w:val="none"/>
        </w:rPr>
      </w:pPr>
      <w:r>
        <w:rPr>
          <w:color w:val="auto"/>
          <w:highlight w:val="none"/>
        </w:rPr>
        <w:t>24.1 采购人应当自中标通知书发出之日起30日内，按照招标文件和中标人投标文件的规定，与中标人签订合同。</w:t>
      </w:r>
      <w:r>
        <w:rPr>
          <w:color w:val="auto"/>
          <w:highlight w:val="none"/>
          <w:u w:val="single"/>
        </w:rPr>
        <w:t>线上采购项目可通过评审管理系统签订合同</w:t>
      </w:r>
      <w:r>
        <w:rPr>
          <w:color w:val="auto"/>
          <w:highlight w:val="none"/>
        </w:rPr>
        <w:t>。</w:t>
      </w:r>
    </w:p>
    <w:p w14:paraId="3611E3CD">
      <w:pPr>
        <w:shd w:val="clear"/>
        <w:rPr>
          <w:color w:val="auto"/>
          <w:highlight w:val="none"/>
        </w:rPr>
      </w:pPr>
      <w:r>
        <w:rPr>
          <w:color w:val="auto"/>
          <w:highlight w:val="none"/>
        </w:rPr>
        <w:t>24.2 所签订的合同不得对招标文件确定的事项和中标人投标文件作实质性修改。</w:t>
      </w:r>
    </w:p>
    <w:p w14:paraId="654A9277">
      <w:pPr>
        <w:shd w:val="clear"/>
        <w:rPr>
          <w:color w:val="auto"/>
          <w:highlight w:val="none"/>
        </w:rPr>
      </w:pPr>
      <w:r>
        <w:rPr>
          <w:color w:val="auto"/>
          <w:highlight w:val="none"/>
        </w:rPr>
        <w:t>24.3 采购人不得向中标人提出任何不合理的要求作为签订合同的条件。</w:t>
      </w:r>
    </w:p>
    <w:p w14:paraId="7BE0FFEF">
      <w:pPr>
        <w:shd w:val="clear"/>
        <w:rPr>
          <w:color w:val="auto"/>
          <w:highlight w:val="none"/>
        </w:rPr>
      </w:pPr>
      <w:r>
        <w:rPr>
          <w:color w:val="auto"/>
          <w:highlight w:val="none"/>
        </w:rPr>
        <w:t>24.4 中标人拒绝与采购人签订合同的，采购人可以按照评审报告推荐的中标候选人名单排序，确定下一候选人为中标人，也可以重新开展政府采购活动。</w:t>
      </w:r>
    </w:p>
    <w:p w14:paraId="0F1B1904">
      <w:pPr>
        <w:shd w:val="clear"/>
        <w:rPr>
          <w:color w:val="auto"/>
          <w:highlight w:val="none"/>
        </w:rPr>
      </w:pPr>
      <w:r>
        <w:rPr>
          <w:color w:val="auto"/>
          <w:highlight w:val="none"/>
        </w:rPr>
        <w:t>25．履约保证金</w:t>
      </w:r>
    </w:p>
    <w:p w14:paraId="5F448E2E">
      <w:pPr>
        <w:shd w:val="clear"/>
        <w:rPr>
          <w:color w:val="auto"/>
          <w:highlight w:val="none"/>
        </w:rPr>
      </w:pPr>
      <w:r>
        <w:rPr>
          <w:color w:val="auto"/>
          <w:highlight w:val="none"/>
        </w:rPr>
        <w:t>25.1 需提交履约保证金的项目，中标人应在合同签订之日起30日内，按照</w:t>
      </w:r>
      <w:r>
        <w:rPr>
          <w:b/>
          <w:color w:val="auto"/>
          <w:highlight w:val="none"/>
        </w:rPr>
        <w:t>投标人须知前附表</w:t>
      </w:r>
      <w:r>
        <w:rPr>
          <w:color w:val="auto"/>
          <w:highlight w:val="none"/>
        </w:rPr>
        <w:t>的规定，向采购人提交履约保证金。</w:t>
      </w:r>
    </w:p>
    <w:p w14:paraId="6639D548">
      <w:pPr>
        <w:pStyle w:val="7"/>
        <w:shd w:val="clear"/>
        <w:rPr>
          <w:color w:val="auto"/>
          <w:highlight w:val="none"/>
        </w:rPr>
      </w:pPr>
      <w:bookmarkStart w:id="40" w:name="_Toc15916"/>
      <w:bookmarkStart w:id="41" w:name="_Toc8604"/>
      <w:bookmarkStart w:id="42" w:name="_Toc18424"/>
      <w:r>
        <w:rPr>
          <w:rFonts w:hint="eastAsia"/>
          <w:color w:val="auto"/>
          <w:highlight w:val="none"/>
        </w:rPr>
        <w:t>七、询问和质疑</w:t>
      </w:r>
      <w:bookmarkEnd w:id="40"/>
      <w:bookmarkEnd w:id="41"/>
      <w:bookmarkEnd w:id="42"/>
    </w:p>
    <w:p w14:paraId="6AD78924">
      <w:pPr>
        <w:shd w:val="clear"/>
        <w:rPr>
          <w:color w:val="auto"/>
          <w:highlight w:val="none"/>
        </w:rPr>
      </w:pPr>
      <w:r>
        <w:rPr>
          <w:color w:val="auto"/>
          <w:highlight w:val="none"/>
        </w:rPr>
        <w:t>26. 询问</w:t>
      </w:r>
    </w:p>
    <w:p w14:paraId="32B090B3">
      <w:pPr>
        <w:shd w:val="clear"/>
        <w:rPr>
          <w:color w:val="auto"/>
          <w:highlight w:val="none"/>
        </w:rPr>
      </w:pPr>
      <w:r>
        <w:rPr>
          <w:color w:val="auto"/>
          <w:highlight w:val="none"/>
        </w:rPr>
        <w:t>26.1潜在投标人、投标人对政府采购活动事项有疑问的，可以向采购人或者采购代理机构提出询问，采购人或者采购代理机构应当在3个工作日内对依法提出的询问作出答复，但答复的内容不得涉及商业秘密。</w:t>
      </w:r>
    </w:p>
    <w:p w14:paraId="13DF5C86">
      <w:pPr>
        <w:shd w:val="clear"/>
        <w:rPr>
          <w:color w:val="auto"/>
          <w:highlight w:val="none"/>
        </w:rPr>
      </w:pPr>
      <w:r>
        <w:rPr>
          <w:color w:val="auto"/>
          <w:highlight w:val="none"/>
        </w:rPr>
        <w:t>27．质疑</w:t>
      </w:r>
    </w:p>
    <w:p w14:paraId="5D739A98">
      <w:pPr>
        <w:shd w:val="clear"/>
        <w:rPr>
          <w:color w:val="auto"/>
          <w:highlight w:val="none"/>
        </w:rPr>
      </w:pPr>
      <w:r>
        <w:rPr>
          <w:color w:val="auto"/>
          <w:highlight w:val="none"/>
        </w:rPr>
        <w:t>27.1潜在投标人、投标人（统称质疑人）认为招标文件、招标过程和中标结果使自己的权益受到损害的，可以在知道或者应知其权益受到损害之日起7个工作日内以书面形式向采购人或者采购代理机构提出质疑（线上采购项目可以通过评审管理系统提交）。联系部门、联系电话、通讯地址、电子邮箱</w:t>
      </w:r>
      <w:r>
        <w:rPr>
          <w:b/>
          <w:bCs/>
          <w:color w:val="auto"/>
          <w:highlight w:val="none"/>
        </w:rPr>
        <w:t>见</w:t>
      </w:r>
      <w:r>
        <w:rPr>
          <w:b/>
          <w:color w:val="auto"/>
          <w:highlight w:val="none"/>
        </w:rPr>
        <w:t>投标人须知前附表</w:t>
      </w:r>
      <w:r>
        <w:rPr>
          <w:color w:val="auto"/>
          <w:highlight w:val="none"/>
        </w:rPr>
        <w:t>。</w:t>
      </w:r>
    </w:p>
    <w:p w14:paraId="7BD12931">
      <w:pPr>
        <w:shd w:val="clear"/>
        <w:rPr>
          <w:color w:val="auto"/>
          <w:highlight w:val="none"/>
        </w:rPr>
      </w:pPr>
      <w:r>
        <w:rPr>
          <w:color w:val="auto"/>
          <w:highlight w:val="none"/>
        </w:rPr>
        <w:t>27.2在法定质疑期内，针对同一采购程序环节的质疑应一次性提出。</w:t>
      </w:r>
    </w:p>
    <w:p w14:paraId="4D8AB541">
      <w:pPr>
        <w:shd w:val="clear"/>
        <w:rPr>
          <w:color w:val="auto"/>
          <w:highlight w:val="none"/>
        </w:rPr>
      </w:pPr>
      <w:r>
        <w:rPr>
          <w:color w:val="auto"/>
          <w:highlight w:val="none"/>
        </w:rPr>
        <w:t xml:space="preserve">27.3质疑人应知其权益受到损害之日，是指： </w:t>
      </w:r>
    </w:p>
    <w:p w14:paraId="73EDA11B">
      <w:pPr>
        <w:shd w:val="clear"/>
        <w:rPr>
          <w:color w:val="auto"/>
          <w:highlight w:val="none"/>
        </w:rPr>
      </w:pPr>
      <w:r>
        <w:rPr>
          <w:color w:val="auto"/>
          <w:highlight w:val="none"/>
        </w:rPr>
        <w:t>（1）对可以质疑的采购文件提出质疑的，为收到采购文件之日或者采购文件公告期限届满之日；</w:t>
      </w:r>
    </w:p>
    <w:p w14:paraId="0FE14458">
      <w:pPr>
        <w:shd w:val="clear"/>
        <w:rPr>
          <w:color w:val="auto"/>
          <w:highlight w:val="none"/>
        </w:rPr>
      </w:pPr>
      <w:r>
        <w:rPr>
          <w:color w:val="auto"/>
          <w:highlight w:val="none"/>
        </w:rPr>
        <w:t>（2）对采购过程提出质疑的，为各采购程序环节结束之日；</w:t>
      </w:r>
    </w:p>
    <w:p w14:paraId="3756D925">
      <w:pPr>
        <w:shd w:val="clear"/>
        <w:rPr>
          <w:color w:val="auto"/>
          <w:highlight w:val="none"/>
        </w:rPr>
      </w:pPr>
      <w:r>
        <w:rPr>
          <w:color w:val="auto"/>
          <w:highlight w:val="none"/>
        </w:rPr>
        <w:t>（3）对中标结果提出质疑的，为中标结果公告期限届满之日。</w:t>
      </w:r>
    </w:p>
    <w:p w14:paraId="31ADC3C5">
      <w:pPr>
        <w:shd w:val="clear"/>
        <w:rPr>
          <w:color w:val="auto"/>
          <w:highlight w:val="none"/>
        </w:rPr>
      </w:pPr>
      <w:r>
        <w:rPr>
          <w:color w:val="auto"/>
          <w:highlight w:val="none"/>
        </w:rPr>
        <w:t>27.4质疑应当有明确的请求和必要的证明材料。</w:t>
      </w:r>
      <w:r>
        <w:rPr>
          <w:rFonts w:hint="eastAsia"/>
          <w:color w:val="auto"/>
          <w:highlight w:val="none"/>
          <w:lang w:eastAsia="zh-CN"/>
        </w:rPr>
        <w:t>投标人</w:t>
      </w:r>
      <w:r>
        <w:rPr>
          <w:color w:val="auto"/>
          <w:highlight w:val="none"/>
        </w:rPr>
        <w:t>为自然人的，应当由本人签字；</w:t>
      </w:r>
      <w:r>
        <w:rPr>
          <w:rFonts w:hint="eastAsia"/>
          <w:color w:val="auto"/>
          <w:highlight w:val="none"/>
          <w:lang w:eastAsia="zh-CN"/>
        </w:rPr>
        <w:t>投标人</w:t>
      </w:r>
      <w:r>
        <w:rPr>
          <w:color w:val="auto"/>
          <w:highlight w:val="none"/>
        </w:rPr>
        <w:t>为法人或者其他组织的，应当由法定代表人、主要负责人，或者其授权代表签字或者签章，并加盖公章。</w:t>
      </w:r>
    </w:p>
    <w:p w14:paraId="12ED5275">
      <w:pPr>
        <w:shd w:val="clear"/>
        <w:rPr>
          <w:color w:val="auto"/>
          <w:highlight w:val="none"/>
        </w:rPr>
      </w:pPr>
      <w:r>
        <w:rPr>
          <w:color w:val="auto"/>
          <w:highlight w:val="none"/>
        </w:rPr>
        <w:t>27.5 采购人或者代理机构应当在收到</w:t>
      </w:r>
      <w:r>
        <w:rPr>
          <w:rFonts w:hint="eastAsia"/>
          <w:color w:val="auto"/>
          <w:highlight w:val="none"/>
          <w:lang w:eastAsia="zh-CN"/>
        </w:rPr>
        <w:t>投标人</w:t>
      </w:r>
      <w:r>
        <w:rPr>
          <w:color w:val="auto"/>
          <w:highlight w:val="none"/>
        </w:rPr>
        <w:t>的质疑函后7个工作日内，对质疑内容作出答复，</w:t>
      </w:r>
      <w:r>
        <w:rPr>
          <w:bCs/>
          <w:color w:val="auto"/>
          <w:highlight w:val="none"/>
        </w:rPr>
        <w:t>书面形式</w:t>
      </w:r>
      <w:r>
        <w:rPr>
          <w:color w:val="auto"/>
          <w:highlight w:val="none"/>
        </w:rPr>
        <w:t>通知质疑</w:t>
      </w:r>
      <w:r>
        <w:rPr>
          <w:rFonts w:hint="eastAsia"/>
          <w:color w:val="auto"/>
          <w:highlight w:val="none"/>
          <w:lang w:eastAsia="zh-CN"/>
        </w:rPr>
        <w:t>投标人</w:t>
      </w:r>
      <w:r>
        <w:rPr>
          <w:color w:val="auto"/>
          <w:highlight w:val="none"/>
        </w:rPr>
        <w:t>和其他有关</w:t>
      </w:r>
      <w:r>
        <w:rPr>
          <w:rFonts w:hint="eastAsia"/>
          <w:color w:val="auto"/>
          <w:highlight w:val="none"/>
          <w:lang w:eastAsia="zh-CN"/>
        </w:rPr>
        <w:t>投标人</w:t>
      </w:r>
      <w:r>
        <w:rPr>
          <w:color w:val="auto"/>
          <w:highlight w:val="none"/>
        </w:rPr>
        <w:t>，但答复内容不得涉及商业秘密。</w:t>
      </w:r>
    </w:p>
    <w:p w14:paraId="4F57B493">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27.6质疑人对采购人、采购代理机构的答复不满意或者采购人、采购代理机构未在规定的时间内作出答复的，可以在答复期满后15个工作日内向同级人民政府财政部门投诉。</w:t>
      </w:r>
    </w:p>
    <w:p w14:paraId="57CE8EC2">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27.7投诉应当有明确的请求和必要的证明材料。投诉的事项不得超出已质疑事项的范围。</w:t>
      </w:r>
    </w:p>
    <w:p w14:paraId="65BFF1D3">
      <w:pPr>
        <w:shd w:val="clear"/>
        <w:rPr>
          <w:color w:val="auto"/>
          <w:highlight w:val="none"/>
        </w:rPr>
      </w:pPr>
      <w:r>
        <w:rPr>
          <w:rFonts w:hint="eastAsia"/>
          <w:color w:val="auto"/>
          <w:highlight w:val="none"/>
        </w:rPr>
        <w:t>八、其他</w:t>
      </w:r>
    </w:p>
    <w:p w14:paraId="58BD8469">
      <w:pPr>
        <w:shd w:val="clear"/>
        <w:rPr>
          <w:color w:val="auto"/>
          <w:highlight w:val="none"/>
        </w:rPr>
      </w:pPr>
      <w:bookmarkStart w:id="43" w:name="_Toc262111390"/>
      <w:bookmarkStart w:id="44" w:name="_Toc233181902"/>
      <w:bookmarkStart w:id="45" w:name="_Toc217989361"/>
      <w:bookmarkStart w:id="46" w:name="_Toc319519285"/>
      <w:r>
        <w:rPr>
          <w:color w:val="auto"/>
          <w:highlight w:val="none"/>
        </w:rPr>
        <w:t>28．保密</w:t>
      </w:r>
    </w:p>
    <w:p w14:paraId="3B9979C7">
      <w:pPr>
        <w:shd w:val="clear"/>
        <w:rPr>
          <w:color w:val="auto"/>
          <w:highlight w:val="none"/>
        </w:rPr>
      </w:pPr>
      <w:r>
        <w:rPr>
          <w:color w:val="auto"/>
          <w:highlight w:val="none"/>
        </w:rPr>
        <w:t>28.1采购人、采购代理机构应当采取必要措施，保证评标在严格保密的情况下进行。除采购人代表、评标现场组织人员外，采购人的其他工作人员以及与评标工作无关的人员不得进入评标现场。</w:t>
      </w:r>
    </w:p>
    <w:p w14:paraId="357C29F1">
      <w:pPr>
        <w:shd w:val="clear"/>
        <w:rPr>
          <w:color w:val="auto"/>
          <w:highlight w:val="none"/>
        </w:rPr>
      </w:pPr>
      <w:r>
        <w:rPr>
          <w:color w:val="auto"/>
          <w:highlight w:val="none"/>
        </w:rPr>
        <w:t>28.2 评标委员会成员和参与评标工作的有关人员对评标情况以及在评标过程中获悉的国家秘密、商业秘密负有保密责任。</w:t>
      </w:r>
    </w:p>
    <w:p w14:paraId="174CEF40">
      <w:pPr>
        <w:shd w:val="clear"/>
        <w:rPr>
          <w:color w:val="auto"/>
          <w:highlight w:val="none"/>
        </w:rPr>
      </w:pPr>
      <w:r>
        <w:rPr>
          <w:color w:val="auto"/>
          <w:highlight w:val="none"/>
        </w:rPr>
        <w:t>29. 知识产权与规避专利、版权纠纷</w:t>
      </w:r>
      <w:bookmarkEnd w:id="43"/>
      <w:bookmarkEnd w:id="44"/>
      <w:bookmarkEnd w:id="45"/>
      <w:bookmarkEnd w:id="46"/>
    </w:p>
    <w:p w14:paraId="0C962D33">
      <w:pPr>
        <w:shd w:val="clear"/>
        <w:rPr>
          <w:color w:val="auto"/>
          <w:highlight w:val="none"/>
        </w:rPr>
      </w:pPr>
      <w:r>
        <w:rPr>
          <w:color w:val="auto"/>
          <w:highlight w:val="none"/>
        </w:rPr>
        <w:t>29.1 知识产权</w:t>
      </w:r>
    </w:p>
    <w:p w14:paraId="54BBC726">
      <w:pPr>
        <w:shd w:val="clear"/>
        <w:rPr>
          <w:color w:val="auto"/>
          <w:highlight w:val="none"/>
        </w:rPr>
      </w:pPr>
      <w:r>
        <w:rPr>
          <w:color w:val="auto"/>
          <w:highlight w:val="none"/>
        </w:rPr>
        <w:t>29.1.1 项目系统的版权属于采购人所有，中标人应向采购人开放并提供涉及本项目软件开发、升级完善、运行维护等工作的全部源代码（含保证期内的后续升级版本）。由本项目系统形成的技术和成果的专利申请权、专利权、技术秘密的所有权、使用权、转让权等知识产权归采购人所有。</w:t>
      </w:r>
    </w:p>
    <w:p w14:paraId="459A9485">
      <w:pPr>
        <w:shd w:val="clear"/>
        <w:rPr>
          <w:color w:val="auto"/>
          <w:highlight w:val="none"/>
        </w:rPr>
      </w:pPr>
      <w:r>
        <w:rPr>
          <w:color w:val="auto"/>
          <w:highlight w:val="none"/>
        </w:rPr>
        <w:t>29.2 规避专利、版权纠纷</w:t>
      </w:r>
    </w:p>
    <w:p w14:paraId="6E67E980">
      <w:pPr>
        <w:shd w:val="clear"/>
        <w:rPr>
          <w:color w:val="auto"/>
          <w:highlight w:val="none"/>
        </w:rPr>
      </w:pPr>
      <w:r>
        <w:rPr>
          <w:color w:val="auto"/>
          <w:highlight w:val="none"/>
        </w:rPr>
        <w:t>29.2.1 投标人应保证其投标方案中的有关软件、文件、图纸等没有违反有关专利和版权等知识产权的规定。</w:t>
      </w:r>
    </w:p>
    <w:p w14:paraId="081148D2">
      <w:pPr>
        <w:shd w:val="clear"/>
        <w:rPr>
          <w:color w:val="auto"/>
          <w:highlight w:val="none"/>
        </w:rPr>
      </w:pPr>
      <w:r>
        <w:rPr>
          <w:color w:val="auto"/>
          <w:highlight w:val="none"/>
        </w:rPr>
        <w:t>29.2.2 中标人应保证采购人在中华人民共和国使用本项目成果任何一部分、或接受乙方服务时，免受第三方提出的侵犯其专利权、商标权或工业设计权等知识产权的索赔或起诉。</w:t>
      </w:r>
    </w:p>
    <w:p w14:paraId="427C30C5">
      <w:pPr>
        <w:shd w:val="clear"/>
        <w:rPr>
          <w:color w:val="auto"/>
          <w:highlight w:val="none"/>
        </w:rPr>
      </w:pPr>
      <w:r>
        <w:rPr>
          <w:color w:val="auto"/>
          <w:highlight w:val="none"/>
        </w:rPr>
        <w:t>29.2.3 如果采购人在使用本项目任何一部分时被任何第三方诉称侵犯了第三方知识产权或任何</w:t>
      </w:r>
      <w:r>
        <w:rPr>
          <w:rFonts w:hint="eastAsia"/>
          <w:color w:val="auto"/>
          <w:highlight w:val="none"/>
        </w:rPr>
        <w:t>其他</w:t>
      </w:r>
      <w:r>
        <w:rPr>
          <w:color w:val="auto"/>
          <w:highlight w:val="none"/>
        </w:rPr>
        <w:t>权利，中标人应负责处理这一指控并应以中标人的名义自负费用向起诉方提出抗辩。由此可能产生的一切法律责任和经济责任均由中标人承担。</w:t>
      </w:r>
    </w:p>
    <w:p w14:paraId="183696FA">
      <w:pPr>
        <w:shd w:val="clear"/>
        <w:rPr>
          <w:color w:val="auto"/>
          <w:highlight w:val="none"/>
        </w:rPr>
      </w:pPr>
      <w:r>
        <w:rPr>
          <w:color w:val="auto"/>
          <w:highlight w:val="none"/>
        </w:rPr>
        <w:t>29.2.4 如果采购人发现任何第三方在采购人未被许可的范围内非法使用采购人获得的知识产权，采购人应通知中标人。中标人应在收到采购人通知后14天内采取行动制止非法使用行为，否则由中标人承担相应的责任。</w:t>
      </w:r>
    </w:p>
    <w:p w14:paraId="5808CE7E">
      <w:pPr>
        <w:shd w:val="clear"/>
        <w:rPr>
          <w:color w:val="auto"/>
          <w:highlight w:val="none"/>
        </w:rPr>
        <w:sectPr>
          <w:pgSz w:w="11906" w:h="16838"/>
          <w:pgMar w:top="1440" w:right="1752" w:bottom="1440" w:left="1752" w:header="851" w:footer="992" w:gutter="0"/>
          <w:pgNumType w:fmt="decimal"/>
          <w:cols w:space="720" w:num="1"/>
          <w:titlePg/>
          <w:docGrid w:type="lines" w:linePitch="312" w:charSpace="0"/>
        </w:sectPr>
      </w:pPr>
    </w:p>
    <w:p w14:paraId="66D4C82E">
      <w:pPr>
        <w:pStyle w:val="6"/>
        <w:shd w:val="clear"/>
        <w:jc w:val="center"/>
        <w:rPr>
          <w:rFonts w:hint="default"/>
          <w:color w:val="auto"/>
          <w:highlight w:val="none"/>
        </w:rPr>
      </w:pPr>
      <w:bookmarkStart w:id="47" w:name="_Toc525052846"/>
      <w:bookmarkStart w:id="48" w:name="_Toc1481241717"/>
      <w:bookmarkStart w:id="49" w:name="_Toc1380332034"/>
      <w:bookmarkStart w:id="50" w:name="_Toc19156"/>
      <w:bookmarkStart w:id="51" w:name="_Toc14074"/>
      <w:bookmarkStart w:id="52" w:name="_Toc1762322514"/>
      <w:bookmarkStart w:id="53" w:name="_Toc969"/>
      <w:bookmarkStart w:id="54" w:name="_Toc38030149"/>
      <w:bookmarkStart w:id="55" w:name="_Toc1168671576"/>
      <w:bookmarkStart w:id="56" w:name="_Toc1298913388"/>
      <w:bookmarkStart w:id="57" w:name="_Toc937455070"/>
      <w:r>
        <w:rPr>
          <w:color w:val="auto"/>
          <w:highlight w:val="none"/>
        </w:rPr>
        <w:t>第三章  评标方法及标准</w:t>
      </w:r>
      <w:bookmarkEnd w:id="47"/>
      <w:bookmarkEnd w:id="48"/>
      <w:bookmarkEnd w:id="49"/>
      <w:bookmarkEnd w:id="50"/>
      <w:bookmarkEnd w:id="51"/>
      <w:bookmarkEnd w:id="52"/>
      <w:bookmarkEnd w:id="53"/>
      <w:bookmarkEnd w:id="54"/>
      <w:bookmarkEnd w:id="55"/>
      <w:bookmarkEnd w:id="56"/>
      <w:bookmarkEnd w:id="57"/>
    </w:p>
    <w:p w14:paraId="4DE0C074">
      <w:pPr>
        <w:pStyle w:val="7"/>
        <w:shd w:val="clear"/>
        <w:rPr>
          <w:color w:val="auto"/>
          <w:highlight w:val="none"/>
        </w:rPr>
      </w:pPr>
      <w:bookmarkStart w:id="58" w:name="_Toc1176"/>
      <w:bookmarkStart w:id="59" w:name="_Toc10844"/>
      <w:bookmarkStart w:id="60" w:name="_Toc22180"/>
      <w:r>
        <w:rPr>
          <w:color w:val="auto"/>
          <w:highlight w:val="none"/>
        </w:rPr>
        <w:t>1.评标方法</w:t>
      </w:r>
      <w:bookmarkEnd w:id="58"/>
      <w:bookmarkEnd w:id="59"/>
      <w:bookmarkEnd w:id="60"/>
    </w:p>
    <w:p w14:paraId="6F57BE61">
      <w:pPr>
        <w:shd w:val="clear"/>
        <w:rPr>
          <w:rFonts w:hint="eastAsia" w:eastAsia="宋体"/>
          <w:color w:val="auto"/>
          <w:highlight w:val="none"/>
          <w:lang w:eastAsia="zh-CN"/>
        </w:rPr>
      </w:pPr>
      <w:r>
        <w:rPr>
          <w:color w:val="auto"/>
          <w:highlight w:val="none"/>
        </w:rPr>
        <w:t>1.1 本项目评标方法：</w:t>
      </w:r>
      <w:r>
        <w:rPr>
          <w:b w:val="0"/>
          <w:bCs/>
          <w:color w:val="auto"/>
          <w:highlight w:val="none"/>
          <w:u w:val="none"/>
        </w:rPr>
        <w:t>采用综合评分法</w:t>
      </w:r>
      <w:r>
        <w:rPr>
          <w:rFonts w:hint="eastAsia"/>
          <w:b w:val="0"/>
          <w:bCs/>
          <w:color w:val="auto"/>
          <w:highlight w:val="none"/>
          <w:u w:val="none"/>
          <w:lang w:eastAsia="zh-CN"/>
        </w:rPr>
        <w:t>。</w:t>
      </w:r>
    </w:p>
    <w:p w14:paraId="4D682611">
      <w:pPr>
        <w:pStyle w:val="7"/>
        <w:shd w:val="clear"/>
        <w:rPr>
          <w:color w:val="auto"/>
          <w:highlight w:val="none"/>
        </w:rPr>
      </w:pPr>
      <w:bookmarkStart w:id="61" w:name="_Toc16749"/>
      <w:bookmarkStart w:id="62" w:name="_Toc10463"/>
      <w:bookmarkStart w:id="63" w:name="_Toc3586"/>
      <w:r>
        <w:rPr>
          <w:color w:val="auto"/>
          <w:highlight w:val="none"/>
        </w:rPr>
        <w:t>2.评标标准</w:t>
      </w:r>
      <w:bookmarkEnd w:id="61"/>
      <w:bookmarkEnd w:id="62"/>
      <w:bookmarkEnd w:id="63"/>
    </w:p>
    <w:p w14:paraId="5BC7B934">
      <w:pPr>
        <w:pStyle w:val="39"/>
        <w:widowControl w:val="0"/>
        <w:shd w:val="clear"/>
        <w:spacing w:line="360" w:lineRule="auto"/>
        <w:jc w:val="both"/>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2.1</w:t>
      </w:r>
      <w:r>
        <w:rPr>
          <w:rFonts w:hint="eastAsia" w:ascii="宋体" w:hAnsi="宋体" w:eastAsia="宋体" w:cs="宋体"/>
          <w:sz w:val="21"/>
          <w:szCs w:val="21"/>
          <w:highlight w:val="none"/>
          <w:lang w:val="en-US" w:eastAsia="zh-CN"/>
        </w:rPr>
        <w:t>本项目采用</w:t>
      </w:r>
      <w:r>
        <w:rPr>
          <w:rFonts w:hint="eastAsia" w:ascii="宋体" w:hAnsi="宋体" w:eastAsia="宋体" w:cs="宋体"/>
          <w:sz w:val="21"/>
          <w:szCs w:val="21"/>
          <w:highlight w:val="none"/>
          <w:u w:val="none"/>
          <w:lang w:val="en-US" w:eastAsia="zh-CN"/>
        </w:rPr>
        <w:t>综合评分法</w:t>
      </w:r>
      <w:r>
        <w:rPr>
          <w:rFonts w:hint="eastAsia" w:ascii="宋体" w:hAnsi="宋体" w:eastAsia="宋体" w:cs="宋体"/>
          <w:sz w:val="21"/>
          <w:szCs w:val="21"/>
          <w:highlight w:val="none"/>
          <w:lang w:val="en-US" w:eastAsia="zh-CN"/>
        </w:rPr>
        <w:t>，评标委员会将按下列评分办法和标准进行评分，总分为100分，按评审后得分由高到低顺序排列，得分相同的，按投标报价由低到高顺序排列，得分且投标报价相同的，按技术指标优劣顺序排列。</w:t>
      </w:r>
    </w:p>
    <w:p w14:paraId="4957CA66">
      <w:pPr>
        <w:shd w:val="clear"/>
        <w:rPr>
          <w:rFonts w:hint="eastAsia" w:ascii="宋体" w:hAnsi="宋体" w:cs="宋体"/>
          <w:color w:val="auto"/>
          <w:sz w:val="24"/>
          <w:highlight w:val="none"/>
        </w:rPr>
      </w:pPr>
      <w:r>
        <w:rPr>
          <w:color w:val="auto"/>
          <w:highlight w:val="none"/>
        </w:rPr>
        <w:t>2.2 评审标准如下表</w:t>
      </w:r>
      <w:r>
        <w:rPr>
          <w:rFonts w:hint="eastAsia" w:ascii="宋体" w:hAnsi="宋体" w:cs="宋体"/>
          <w:color w:val="auto"/>
          <w:sz w:val="24"/>
          <w:highlight w:val="none"/>
        </w:rPr>
        <w:t>：</w:t>
      </w:r>
    </w:p>
    <w:tbl>
      <w:tblPr>
        <w:tblStyle w:val="27"/>
        <w:tblW w:w="861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418"/>
        <w:gridCol w:w="775"/>
        <w:gridCol w:w="6907"/>
        <w:gridCol w:w="518"/>
      </w:tblGrid>
      <w:tr w14:paraId="50D787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tblHeader/>
          <w:jc w:val="center"/>
        </w:trPr>
        <w:tc>
          <w:tcPr>
            <w:tcW w:w="309" w:type="dxa"/>
            <w:tcBorders>
              <w:top w:val="single" w:color="auto" w:sz="4" w:space="0"/>
              <w:left w:val="single" w:color="auto" w:sz="4" w:space="0"/>
              <w:bottom w:val="single" w:color="auto" w:sz="4" w:space="0"/>
              <w:right w:val="single" w:color="auto" w:sz="4" w:space="0"/>
            </w:tcBorders>
            <w:noWrap/>
            <w:vAlign w:val="center"/>
          </w:tcPr>
          <w:p w14:paraId="69E0DD26">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b/>
                <w:bCs/>
                <w:kern w:val="0"/>
                <w:szCs w:val="21"/>
                <w:highlight w:val="none"/>
              </w:rPr>
            </w:pPr>
            <w:bookmarkStart w:id="64" w:name="_Toc525052847"/>
            <w:bookmarkStart w:id="65" w:name="_Toc27895"/>
            <w:bookmarkStart w:id="66" w:name="_Toc38030150"/>
            <w:bookmarkStart w:id="67" w:name="_Toc1484421284"/>
            <w:bookmarkStart w:id="68" w:name="_Toc353483817"/>
            <w:bookmarkStart w:id="69" w:name="_Toc1406510925"/>
            <w:bookmarkStart w:id="70" w:name="_Toc614538032"/>
            <w:bookmarkStart w:id="71" w:name="_Toc1914430521"/>
            <w:bookmarkStart w:id="72" w:name="_Toc1505390621"/>
            <w:bookmarkStart w:id="73" w:name="_Toc25628"/>
            <w:r>
              <w:rPr>
                <w:rFonts w:hint="eastAsia" w:ascii="宋体" w:hAnsi="宋体" w:eastAsia="宋体" w:cs="宋体"/>
                <w:b/>
                <w:bCs/>
                <w:kern w:val="0"/>
                <w:szCs w:val="21"/>
                <w:highlight w:val="none"/>
              </w:rPr>
              <w:t>序号</w:t>
            </w:r>
          </w:p>
        </w:tc>
        <w:tc>
          <w:tcPr>
            <w:tcW w:w="799" w:type="dxa"/>
            <w:tcBorders>
              <w:top w:val="single" w:color="auto" w:sz="4" w:space="0"/>
              <w:left w:val="single" w:color="auto" w:sz="4" w:space="0"/>
              <w:bottom w:val="single" w:color="auto" w:sz="4" w:space="0"/>
              <w:right w:val="single" w:color="auto" w:sz="4" w:space="0"/>
            </w:tcBorders>
            <w:noWrap/>
            <w:vAlign w:val="center"/>
          </w:tcPr>
          <w:p w14:paraId="15ABC471">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b/>
                <w:bCs/>
                <w:kern w:val="0"/>
                <w:szCs w:val="21"/>
                <w:highlight w:val="none"/>
              </w:rPr>
            </w:pPr>
            <w:r>
              <w:rPr>
                <w:rFonts w:hint="eastAsia" w:ascii="宋体" w:hAnsi="宋体" w:eastAsia="宋体" w:cs="宋体"/>
                <w:b/>
                <w:bCs/>
                <w:kern w:val="0"/>
                <w:szCs w:val="21"/>
                <w:highlight w:val="none"/>
              </w:rPr>
              <w:t>评分因素</w:t>
            </w:r>
          </w:p>
        </w:tc>
        <w:tc>
          <w:tcPr>
            <w:tcW w:w="7200" w:type="dxa"/>
            <w:tcBorders>
              <w:top w:val="single" w:color="auto" w:sz="4" w:space="0"/>
              <w:left w:val="single" w:color="auto" w:sz="4" w:space="0"/>
              <w:bottom w:val="single" w:color="auto" w:sz="4" w:space="0"/>
              <w:right w:val="single" w:color="auto" w:sz="4" w:space="0"/>
            </w:tcBorders>
            <w:noWrap/>
            <w:vAlign w:val="center"/>
          </w:tcPr>
          <w:p w14:paraId="63D594E3">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b/>
                <w:bCs/>
                <w:kern w:val="0"/>
                <w:szCs w:val="21"/>
                <w:highlight w:val="none"/>
              </w:rPr>
            </w:pPr>
            <w:r>
              <w:rPr>
                <w:rFonts w:hint="eastAsia" w:ascii="宋体" w:hAnsi="宋体" w:eastAsia="宋体" w:cs="宋体"/>
                <w:b/>
                <w:bCs/>
                <w:kern w:val="0"/>
                <w:szCs w:val="21"/>
                <w:highlight w:val="none"/>
              </w:rPr>
              <w:t>评审标准</w:t>
            </w:r>
          </w:p>
        </w:tc>
        <w:tc>
          <w:tcPr>
            <w:tcW w:w="310" w:type="dxa"/>
            <w:tcBorders>
              <w:top w:val="single" w:color="auto" w:sz="4" w:space="0"/>
              <w:left w:val="single" w:color="auto" w:sz="4" w:space="0"/>
              <w:bottom w:val="single" w:color="auto" w:sz="4" w:space="0"/>
              <w:right w:val="single" w:color="auto" w:sz="4" w:space="0"/>
            </w:tcBorders>
            <w:noWrap/>
            <w:vAlign w:val="center"/>
          </w:tcPr>
          <w:p w14:paraId="7ECBBC7F">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b/>
                <w:bCs/>
                <w:kern w:val="0"/>
                <w:szCs w:val="21"/>
                <w:highlight w:val="none"/>
              </w:rPr>
            </w:pPr>
            <w:r>
              <w:rPr>
                <w:rFonts w:hint="eastAsia" w:ascii="宋体" w:hAnsi="宋体" w:eastAsia="宋体" w:cs="宋体"/>
                <w:b/>
                <w:bCs/>
                <w:kern w:val="0"/>
                <w:szCs w:val="21"/>
                <w:highlight w:val="none"/>
              </w:rPr>
              <w:t>分值</w:t>
            </w:r>
          </w:p>
        </w:tc>
      </w:tr>
      <w:tr w14:paraId="3B85929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8618" w:type="dxa"/>
            <w:gridSpan w:val="4"/>
            <w:tcBorders>
              <w:top w:val="single" w:color="auto" w:sz="4" w:space="0"/>
              <w:left w:val="single" w:color="auto" w:sz="4" w:space="0"/>
              <w:bottom w:val="single" w:color="auto" w:sz="4" w:space="0"/>
              <w:right w:val="single" w:color="auto" w:sz="4" w:space="0"/>
            </w:tcBorders>
            <w:noWrap/>
            <w:vAlign w:val="center"/>
          </w:tcPr>
          <w:p w14:paraId="086DF99A">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szCs w:val="21"/>
                <w:highlight w:val="none"/>
                <w:lang w:val="zh-CN"/>
              </w:rPr>
            </w:pPr>
            <w:r>
              <w:rPr>
                <w:rFonts w:hint="eastAsia" w:ascii="宋体" w:hAnsi="宋体" w:eastAsia="宋体" w:cs="宋体"/>
                <w:b/>
                <w:bCs/>
                <w:szCs w:val="21"/>
                <w:highlight w:val="none"/>
                <w:lang w:val="zh-CN"/>
              </w:rPr>
              <w:t>一、价格分（</w:t>
            </w:r>
            <w:r>
              <w:rPr>
                <w:rFonts w:hint="eastAsia" w:ascii="宋体" w:hAnsi="宋体" w:cs="宋体"/>
                <w:b/>
                <w:bCs/>
                <w:szCs w:val="21"/>
                <w:highlight w:val="none"/>
                <w:lang w:val="en-US" w:eastAsia="zh-CN"/>
              </w:rPr>
              <w:t>10</w:t>
            </w:r>
            <w:r>
              <w:rPr>
                <w:rFonts w:hint="eastAsia" w:ascii="宋体" w:hAnsi="宋体" w:eastAsia="宋体" w:cs="宋体"/>
                <w:b/>
                <w:bCs/>
                <w:szCs w:val="21"/>
                <w:highlight w:val="none"/>
              </w:rPr>
              <w:t>分</w:t>
            </w:r>
            <w:r>
              <w:rPr>
                <w:rFonts w:hint="eastAsia" w:ascii="宋体" w:hAnsi="宋体" w:eastAsia="宋体" w:cs="宋体"/>
                <w:b/>
                <w:bCs/>
                <w:szCs w:val="21"/>
                <w:highlight w:val="none"/>
                <w:lang w:val="zh-CN"/>
              </w:rPr>
              <w:t>）</w:t>
            </w:r>
          </w:p>
        </w:tc>
      </w:tr>
      <w:tr w14:paraId="267EEC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09" w:type="dxa"/>
            <w:tcBorders>
              <w:top w:val="single" w:color="auto" w:sz="4" w:space="0"/>
              <w:left w:val="single" w:color="auto" w:sz="4" w:space="0"/>
              <w:bottom w:val="single" w:color="auto" w:sz="4" w:space="0"/>
              <w:right w:val="single" w:color="auto" w:sz="4" w:space="0"/>
            </w:tcBorders>
            <w:noWrap/>
            <w:vAlign w:val="center"/>
          </w:tcPr>
          <w:p w14:paraId="366FBEB4">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b/>
                <w:bCs/>
                <w:kern w:val="0"/>
                <w:szCs w:val="21"/>
                <w:highlight w:val="none"/>
              </w:rPr>
            </w:pPr>
            <w:r>
              <w:rPr>
                <w:rFonts w:hint="eastAsia" w:ascii="宋体" w:hAnsi="宋体" w:eastAsia="宋体" w:cs="宋体"/>
                <w:kern w:val="0"/>
                <w:szCs w:val="21"/>
                <w:highlight w:val="none"/>
              </w:rPr>
              <w:t>1</w:t>
            </w:r>
          </w:p>
        </w:tc>
        <w:tc>
          <w:tcPr>
            <w:tcW w:w="799" w:type="dxa"/>
            <w:tcBorders>
              <w:top w:val="single" w:color="auto" w:sz="4" w:space="0"/>
              <w:left w:val="single" w:color="auto" w:sz="4" w:space="0"/>
              <w:bottom w:val="single" w:color="auto" w:sz="4" w:space="0"/>
              <w:right w:val="single" w:color="auto" w:sz="4" w:space="0"/>
            </w:tcBorders>
            <w:noWrap/>
            <w:vAlign w:val="center"/>
          </w:tcPr>
          <w:p w14:paraId="6A04D3AF">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投标报价得分（</w:t>
            </w:r>
            <w:r>
              <w:rPr>
                <w:rFonts w:hint="eastAsia" w:ascii="宋体" w:hAnsi="宋体" w:cs="宋体"/>
                <w:szCs w:val="21"/>
                <w:highlight w:val="none"/>
                <w:lang w:val="en-US" w:eastAsia="zh-CN"/>
              </w:rPr>
              <w:t>10</w:t>
            </w:r>
            <w:r>
              <w:rPr>
                <w:rFonts w:hint="eastAsia" w:ascii="宋体" w:hAnsi="宋体" w:eastAsia="宋体" w:cs="宋体"/>
                <w:szCs w:val="21"/>
                <w:highlight w:val="none"/>
              </w:rPr>
              <w:t>分</w:t>
            </w:r>
            <w:r>
              <w:rPr>
                <w:rFonts w:hint="eastAsia" w:ascii="宋体" w:hAnsi="宋体" w:eastAsia="宋体" w:cs="宋体"/>
                <w:szCs w:val="21"/>
                <w:highlight w:val="none"/>
                <w:lang w:val="zh-CN"/>
              </w:rPr>
              <w:t>）</w:t>
            </w:r>
          </w:p>
        </w:tc>
        <w:tc>
          <w:tcPr>
            <w:tcW w:w="7200" w:type="dxa"/>
            <w:tcBorders>
              <w:top w:val="single" w:color="auto" w:sz="4" w:space="0"/>
              <w:left w:val="single" w:color="auto" w:sz="4" w:space="0"/>
              <w:bottom w:val="single" w:color="auto" w:sz="4" w:space="0"/>
              <w:right w:val="single" w:color="auto" w:sz="4" w:space="0"/>
            </w:tcBorders>
            <w:noWrap/>
            <w:vAlign w:val="center"/>
          </w:tcPr>
          <w:p w14:paraId="4E02E789">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评标采用低价优先的方法，即满足招标文件要求且投标价格最低的投标费率（</w:t>
            </w:r>
            <w:r>
              <w:rPr>
                <w:rFonts w:hint="eastAsia" w:ascii="宋体" w:hAnsi="宋体" w:eastAsia="宋体" w:cs="宋体"/>
                <w:szCs w:val="21"/>
                <w:highlight w:val="none"/>
              </w:rPr>
              <w:t>折扣</w:t>
            </w:r>
            <w:r>
              <w:rPr>
                <w:rFonts w:hint="eastAsia" w:ascii="宋体" w:hAnsi="宋体" w:eastAsia="宋体" w:cs="宋体"/>
                <w:szCs w:val="21"/>
                <w:highlight w:val="none"/>
                <w:lang w:val="zh-CN"/>
              </w:rPr>
              <w:t>）为评标基准价，其价格分为满分。其他投标人的价格分按照下列公式计算（小数点保留两位）：投标报价得分=(评标基准价／投标报价)×</w:t>
            </w:r>
            <w:r>
              <w:rPr>
                <w:rFonts w:hint="eastAsia" w:ascii="宋体" w:hAnsi="宋体" w:cs="宋体"/>
                <w:szCs w:val="21"/>
                <w:highlight w:val="none"/>
                <w:lang w:val="en-US" w:eastAsia="zh-CN"/>
              </w:rPr>
              <w:t>10</w:t>
            </w:r>
            <w:r>
              <w:rPr>
                <w:rFonts w:hint="eastAsia" w:ascii="宋体" w:hAnsi="宋体" w:eastAsia="宋体" w:cs="宋体"/>
                <w:szCs w:val="21"/>
                <w:highlight w:val="none"/>
                <w:lang w:val="zh-CN"/>
              </w:rPr>
              <w:t>。</w:t>
            </w:r>
          </w:p>
          <w:p w14:paraId="1D8F8A4B">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rPr>
            </w:pPr>
            <w:r>
              <w:rPr>
                <w:rFonts w:hint="eastAsia" w:ascii="宋体" w:hAnsi="宋体" w:eastAsia="宋体" w:cs="宋体"/>
                <w:b/>
                <w:bCs/>
                <w:szCs w:val="21"/>
                <w:highlight w:val="none"/>
                <w:u w:val="single"/>
              </w:rPr>
              <w:t>注：评标委员会认为投标人的折扣明显低于其他通过符合性审查投标人的折扣，有可能影响产品质量或者不能诚信履约的，应当要求其在评标现场合理的时间内提供书面说明，必要时提交相关证明材料；投标人不能证明其折扣合理性的，评标委员会应当将其作为无效投标处理。</w:t>
            </w:r>
          </w:p>
        </w:tc>
        <w:tc>
          <w:tcPr>
            <w:tcW w:w="310" w:type="dxa"/>
            <w:tcBorders>
              <w:top w:val="single" w:color="auto" w:sz="4" w:space="0"/>
              <w:left w:val="single" w:color="auto" w:sz="4" w:space="0"/>
              <w:bottom w:val="single" w:color="auto" w:sz="4" w:space="0"/>
              <w:right w:val="single" w:color="auto" w:sz="4" w:space="0"/>
            </w:tcBorders>
            <w:noWrap/>
            <w:vAlign w:val="center"/>
          </w:tcPr>
          <w:p w14:paraId="67AC5966">
            <w:pPr>
              <w:widowControl/>
              <w:overflowPunct w:val="0"/>
              <w:topLinePunct w:val="0"/>
              <w:adjustRightInd w:val="0"/>
              <w:snapToGrid w:val="0"/>
              <w:spacing w:line="240" w:lineRule="auto"/>
              <w:ind w:left="0" w:leftChars="0" w:right="0" w:rightChars="0" w:firstLine="0" w:firstLineChars="0"/>
              <w:jc w:val="right"/>
              <w:textAlignment w:val="baseline"/>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10</w:t>
            </w:r>
          </w:p>
        </w:tc>
      </w:tr>
      <w:tr w14:paraId="51C23D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8618" w:type="dxa"/>
            <w:gridSpan w:val="4"/>
            <w:tcBorders>
              <w:top w:val="single" w:color="auto" w:sz="4" w:space="0"/>
              <w:left w:val="single" w:color="auto" w:sz="4" w:space="0"/>
              <w:bottom w:val="single" w:color="auto" w:sz="4" w:space="0"/>
              <w:right w:val="single" w:color="auto" w:sz="4" w:space="0"/>
            </w:tcBorders>
            <w:noWrap/>
            <w:vAlign w:val="center"/>
          </w:tcPr>
          <w:p w14:paraId="7241E63C">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szCs w:val="21"/>
                <w:highlight w:val="none"/>
                <w:lang w:val="zh-CN"/>
              </w:rPr>
            </w:pPr>
            <w:r>
              <w:rPr>
                <w:rFonts w:hint="eastAsia" w:ascii="宋体" w:hAnsi="宋体" w:eastAsia="宋体" w:cs="宋体"/>
                <w:b/>
                <w:bCs/>
                <w:szCs w:val="21"/>
                <w:highlight w:val="none"/>
                <w:lang w:val="zh-CN"/>
              </w:rPr>
              <w:t>二、商务部分（</w:t>
            </w:r>
            <w:r>
              <w:rPr>
                <w:rFonts w:hint="eastAsia" w:ascii="宋体" w:hAnsi="宋体" w:cs="宋体"/>
                <w:b/>
                <w:bCs/>
                <w:szCs w:val="21"/>
                <w:highlight w:val="none"/>
                <w:lang w:val="en-US" w:eastAsia="zh-CN"/>
              </w:rPr>
              <w:t>50</w:t>
            </w:r>
            <w:r>
              <w:rPr>
                <w:rFonts w:hint="eastAsia" w:ascii="宋体" w:hAnsi="宋体" w:eastAsia="宋体" w:cs="宋体"/>
                <w:b/>
                <w:bCs/>
                <w:szCs w:val="21"/>
                <w:highlight w:val="none"/>
              </w:rPr>
              <w:t>分</w:t>
            </w:r>
            <w:r>
              <w:rPr>
                <w:rFonts w:hint="eastAsia" w:ascii="宋体" w:hAnsi="宋体" w:eastAsia="宋体" w:cs="宋体"/>
                <w:b/>
                <w:bCs/>
                <w:szCs w:val="21"/>
                <w:highlight w:val="none"/>
                <w:lang w:val="zh-CN"/>
              </w:rPr>
              <w:t>）</w:t>
            </w:r>
          </w:p>
        </w:tc>
      </w:tr>
      <w:tr w14:paraId="792F6B0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09" w:type="dxa"/>
            <w:tcBorders>
              <w:top w:val="single" w:color="auto" w:sz="4" w:space="0"/>
              <w:left w:val="single" w:color="auto" w:sz="4" w:space="0"/>
              <w:bottom w:val="single" w:color="auto" w:sz="4" w:space="0"/>
              <w:right w:val="single" w:color="auto" w:sz="4" w:space="0"/>
            </w:tcBorders>
            <w:noWrap/>
            <w:vAlign w:val="center"/>
          </w:tcPr>
          <w:p w14:paraId="616416E6">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1</w:t>
            </w:r>
          </w:p>
        </w:tc>
        <w:tc>
          <w:tcPr>
            <w:tcW w:w="799" w:type="dxa"/>
            <w:tcBorders>
              <w:top w:val="single" w:color="auto" w:sz="4" w:space="0"/>
              <w:left w:val="single" w:color="auto" w:sz="4" w:space="0"/>
              <w:bottom w:val="single" w:color="auto" w:sz="4" w:space="0"/>
              <w:right w:val="single" w:color="auto" w:sz="4" w:space="0"/>
            </w:tcBorders>
            <w:noWrap/>
            <w:vAlign w:val="center"/>
          </w:tcPr>
          <w:p w14:paraId="07929198">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szCs w:val="21"/>
                <w:highlight w:val="none"/>
              </w:rPr>
            </w:pPr>
            <w:r>
              <w:rPr>
                <w:rFonts w:hint="eastAsia" w:ascii="宋体" w:hAnsi="宋体" w:eastAsia="宋体" w:cs="宋体"/>
                <w:szCs w:val="21"/>
                <w:highlight w:val="none"/>
              </w:rPr>
              <w:t>企业业绩</w:t>
            </w:r>
            <w:r>
              <w:rPr>
                <w:rFonts w:hint="eastAsia" w:ascii="宋体" w:hAnsi="宋体" w:eastAsia="宋体" w:cs="宋体"/>
                <w:szCs w:val="21"/>
                <w:highlight w:val="none"/>
                <w:lang w:val="zh-CN"/>
              </w:rPr>
              <w:t>（</w:t>
            </w:r>
            <w:r>
              <w:rPr>
                <w:rFonts w:hint="eastAsia" w:ascii="宋体" w:hAnsi="宋体" w:cs="宋体"/>
                <w:szCs w:val="21"/>
                <w:highlight w:val="none"/>
                <w:lang w:val="en-US" w:eastAsia="zh-CN"/>
              </w:rPr>
              <w:t>7.5</w:t>
            </w:r>
            <w:r>
              <w:rPr>
                <w:rFonts w:hint="eastAsia" w:ascii="宋体" w:hAnsi="宋体" w:eastAsia="宋体" w:cs="宋体"/>
                <w:szCs w:val="21"/>
                <w:highlight w:val="none"/>
              </w:rPr>
              <w:t>分</w:t>
            </w:r>
            <w:r>
              <w:rPr>
                <w:rFonts w:hint="eastAsia" w:ascii="宋体" w:hAnsi="宋体" w:eastAsia="宋体" w:cs="宋体"/>
                <w:szCs w:val="21"/>
                <w:highlight w:val="none"/>
                <w:lang w:val="zh-CN"/>
              </w:rPr>
              <w:t>）</w:t>
            </w:r>
          </w:p>
        </w:tc>
        <w:tc>
          <w:tcPr>
            <w:tcW w:w="7200" w:type="dxa"/>
            <w:tcBorders>
              <w:top w:val="single" w:color="auto" w:sz="4" w:space="0"/>
              <w:left w:val="single" w:color="auto" w:sz="4" w:space="0"/>
              <w:bottom w:val="single" w:color="auto" w:sz="4" w:space="0"/>
              <w:right w:val="single" w:color="auto" w:sz="4" w:space="0"/>
            </w:tcBorders>
            <w:noWrap/>
            <w:vAlign w:val="center"/>
          </w:tcPr>
          <w:p w14:paraId="781BEAD7">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投标人自 202</w:t>
            </w:r>
            <w:r>
              <w:rPr>
                <w:rFonts w:hint="eastAsia" w:ascii="宋体" w:hAnsi="宋体" w:cs="宋体"/>
                <w:szCs w:val="21"/>
                <w:highlight w:val="none"/>
                <w:lang w:val="en-US" w:eastAsia="zh-CN"/>
              </w:rPr>
              <w:t>3</w:t>
            </w:r>
            <w:r>
              <w:rPr>
                <w:rFonts w:hint="eastAsia" w:ascii="宋体" w:hAnsi="宋体" w:eastAsia="宋体" w:cs="宋体"/>
                <w:szCs w:val="21"/>
                <w:highlight w:val="none"/>
                <w:lang w:val="zh-CN"/>
              </w:rPr>
              <w:t xml:space="preserve"> 年 1 月 1 日（含）以来，承接</w:t>
            </w:r>
            <w:r>
              <w:rPr>
                <w:rFonts w:hint="eastAsia" w:ascii="宋体" w:hAnsi="宋体" w:eastAsia="宋体" w:cs="宋体"/>
                <w:szCs w:val="21"/>
                <w:highlight w:val="none"/>
              </w:rPr>
              <w:t>过</w:t>
            </w:r>
            <w:r>
              <w:rPr>
                <w:rFonts w:hint="eastAsia" w:ascii="宋体" w:hAnsi="宋体" w:eastAsia="宋体" w:cs="宋体"/>
                <w:szCs w:val="21"/>
                <w:highlight w:val="none"/>
                <w:lang w:val="zh-CN"/>
              </w:rPr>
              <w:t>类似</w:t>
            </w:r>
            <w:r>
              <w:rPr>
                <w:rFonts w:hint="eastAsia" w:ascii="宋体" w:hAnsi="宋体" w:cs="宋体"/>
                <w:szCs w:val="21"/>
                <w:highlight w:val="none"/>
                <w:lang w:val="zh-CN"/>
              </w:rPr>
              <w:t>食材配送项目</w:t>
            </w:r>
            <w:r>
              <w:rPr>
                <w:rFonts w:hint="eastAsia" w:ascii="宋体" w:hAnsi="宋体" w:eastAsia="宋体" w:cs="宋体"/>
                <w:szCs w:val="21"/>
                <w:highlight w:val="none"/>
                <w:lang w:val="zh-CN"/>
              </w:rPr>
              <w:t>案例（必须包含本</w:t>
            </w:r>
            <w:r>
              <w:rPr>
                <w:rFonts w:hint="eastAsia" w:ascii="宋体" w:hAnsi="宋体" w:cs="宋体"/>
                <w:szCs w:val="21"/>
                <w:highlight w:val="none"/>
                <w:lang w:val="en-US" w:eastAsia="zh-CN"/>
              </w:rPr>
              <w:t>项目</w:t>
            </w:r>
            <w:r>
              <w:rPr>
                <w:rFonts w:hint="eastAsia" w:ascii="宋体" w:hAnsi="宋体" w:eastAsia="宋体" w:cs="宋体"/>
                <w:szCs w:val="21"/>
                <w:highlight w:val="none"/>
                <w:lang w:val="zh-CN"/>
              </w:rPr>
              <w:t>采购的</w:t>
            </w:r>
            <w:r>
              <w:rPr>
                <w:rFonts w:hint="eastAsia" w:ascii="宋体" w:hAnsi="宋体" w:cs="宋体"/>
                <w:szCs w:val="21"/>
                <w:highlight w:val="none"/>
                <w:lang w:val="zh-CN" w:eastAsia="zh-CN"/>
              </w:rPr>
              <w:t>部分或全部</w:t>
            </w:r>
            <w:r>
              <w:rPr>
                <w:rFonts w:hint="eastAsia" w:ascii="宋体" w:hAnsi="宋体" w:eastAsia="宋体" w:cs="宋体"/>
                <w:szCs w:val="21"/>
                <w:highlight w:val="none"/>
                <w:lang w:val="zh-CN"/>
              </w:rPr>
              <w:t>食材类别），每提供一个案例得</w:t>
            </w:r>
            <w:r>
              <w:rPr>
                <w:rFonts w:hint="eastAsia" w:ascii="宋体" w:hAnsi="宋体" w:cs="宋体"/>
                <w:szCs w:val="21"/>
                <w:highlight w:val="none"/>
                <w:lang w:val="en-US" w:eastAsia="zh-CN"/>
              </w:rPr>
              <w:t>2.5</w:t>
            </w:r>
            <w:r>
              <w:rPr>
                <w:rFonts w:hint="eastAsia" w:ascii="宋体" w:hAnsi="宋体" w:eastAsia="宋体" w:cs="宋体"/>
                <w:szCs w:val="21"/>
                <w:highlight w:val="none"/>
                <w:lang w:val="zh-CN"/>
              </w:rPr>
              <w:t>分，最多得</w:t>
            </w:r>
            <w:r>
              <w:rPr>
                <w:rFonts w:hint="eastAsia" w:ascii="宋体" w:hAnsi="宋体" w:cs="宋体"/>
                <w:szCs w:val="21"/>
                <w:highlight w:val="none"/>
                <w:lang w:val="en-US" w:eastAsia="zh-CN"/>
              </w:rPr>
              <w:t>7.5</w:t>
            </w:r>
            <w:r>
              <w:rPr>
                <w:rFonts w:hint="eastAsia" w:ascii="宋体" w:hAnsi="宋体" w:eastAsia="宋体" w:cs="宋体"/>
                <w:szCs w:val="21"/>
                <w:highlight w:val="none"/>
                <w:lang w:val="zh-CN"/>
              </w:rPr>
              <w:t>分。</w:t>
            </w:r>
          </w:p>
          <w:p w14:paraId="63A83A0E">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b/>
                <w:bCs/>
                <w:szCs w:val="21"/>
                <w:highlight w:val="none"/>
                <w:u w:val="single"/>
              </w:rPr>
              <w:t>注：</w:t>
            </w:r>
            <w:r>
              <w:rPr>
                <w:rFonts w:hint="eastAsia" w:ascii="宋体" w:hAnsi="宋体" w:eastAsia="宋体" w:cs="宋体"/>
                <w:b/>
                <w:bCs/>
                <w:szCs w:val="21"/>
                <w:highlight w:val="none"/>
                <w:u w:val="single"/>
                <w:lang w:val="zh-CN"/>
              </w:rPr>
              <w:t>投标人提供的案例证明材料应包括合同及合同期内至少一笔货款支付的发票复印件，合同复印件应能清晰体现合同甲乙双方、合同时间、合同主要内容等，并提供对方联系人及联系方式，发票复印件与合同双方名称一致，否则不能获得相应分值。</w:t>
            </w:r>
          </w:p>
        </w:tc>
        <w:tc>
          <w:tcPr>
            <w:tcW w:w="310" w:type="dxa"/>
            <w:tcBorders>
              <w:top w:val="single" w:color="auto" w:sz="4" w:space="0"/>
              <w:left w:val="single" w:color="auto" w:sz="4" w:space="0"/>
              <w:bottom w:val="single" w:color="auto" w:sz="4" w:space="0"/>
              <w:right w:val="single" w:color="auto" w:sz="4" w:space="0"/>
            </w:tcBorders>
            <w:noWrap/>
            <w:vAlign w:val="center"/>
          </w:tcPr>
          <w:p w14:paraId="3C07A86C">
            <w:pPr>
              <w:widowControl/>
              <w:overflowPunct w:val="0"/>
              <w:topLinePunct w:val="0"/>
              <w:adjustRightInd w:val="0"/>
              <w:snapToGrid w:val="0"/>
              <w:spacing w:line="240" w:lineRule="auto"/>
              <w:ind w:left="0" w:leftChars="0" w:right="0" w:rightChars="0" w:firstLine="0" w:firstLineChars="0"/>
              <w:jc w:val="right"/>
              <w:textAlignment w:val="baseline"/>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7.5</w:t>
            </w:r>
          </w:p>
        </w:tc>
      </w:tr>
      <w:tr w14:paraId="147F43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09" w:type="dxa"/>
            <w:tcBorders>
              <w:top w:val="single" w:color="auto" w:sz="4" w:space="0"/>
              <w:left w:val="single" w:color="auto" w:sz="4" w:space="0"/>
              <w:bottom w:val="single" w:color="auto" w:sz="4" w:space="0"/>
              <w:right w:val="single" w:color="auto" w:sz="4" w:space="0"/>
            </w:tcBorders>
            <w:noWrap/>
            <w:vAlign w:val="center"/>
          </w:tcPr>
          <w:p w14:paraId="26488133">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2</w:t>
            </w:r>
          </w:p>
        </w:tc>
        <w:tc>
          <w:tcPr>
            <w:tcW w:w="799" w:type="dxa"/>
            <w:tcBorders>
              <w:top w:val="single" w:color="auto" w:sz="4" w:space="0"/>
              <w:left w:val="single" w:color="auto" w:sz="4" w:space="0"/>
              <w:bottom w:val="single" w:color="auto" w:sz="4" w:space="0"/>
              <w:right w:val="single" w:color="auto" w:sz="4" w:space="0"/>
            </w:tcBorders>
            <w:noWrap/>
            <w:vAlign w:val="center"/>
          </w:tcPr>
          <w:p w14:paraId="60CA7678">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rPr>
              <w:t>相关证书</w:t>
            </w:r>
            <w:r>
              <w:rPr>
                <w:rFonts w:hint="eastAsia" w:ascii="宋体" w:hAnsi="宋体" w:eastAsia="宋体" w:cs="宋体"/>
                <w:szCs w:val="21"/>
                <w:highlight w:val="none"/>
                <w:lang w:val="zh-CN"/>
              </w:rPr>
              <w:t>（</w:t>
            </w:r>
            <w:r>
              <w:rPr>
                <w:rFonts w:hint="eastAsia" w:ascii="宋体" w:hAnsi="宋体" w:cs="宋体"/>
                <w:szCs w:val="21"/>
                <w:highlight w:val="none"/>
                <w:lang w:val="en-US" w:eastAsia="zh-CN"/>
              </w:rPr>
              <w:t>4.5</w:t>
            </w:r>
            <w:r>
              <w:rPr>
                <w:rFonts w:hint="eastAsia" w:ascii="宋体" w:hAnsi="宋体" w:eastAsia="宋体" w:cs="宋体"/>
                <w:szCs w:val="21"/>
                <w:highlight w:val="none"/>
              </w:rPr>
              <w:t>分</w:t>
            </w:r>
            <w:r>
              <w:rPr>
                <w:rFonts w:hint="eastAsia" w:ascii="宋体" w:hAnsi="宋体" w:eastAsia="宋体" w:cs="宋体"/>
                <w:szCs w:val="21"/>
                <w:highlight w:val="none"/>
                <w:lang w:val="zh-CN"/>
              </w:rPr>
              <w:t>）</w:t>
            </w:r>
          </w:p>
        </w:tc>
        <w:tc>
          <w:tcPr>
            <w:tcW w:w="7200" w:type="dxa"/>
            <w:tcBorders>
              <w:top w:val="single" w:color="auto" w:sz="4" w:space="0"/>
              <w:left w:val="single" w:color="auto" w:sz="4" w:space="0"/>
              <w:bottom w:val="single" w:color="auto" w:sz="4" w:space="0"/>
              <w:right w:val="single" w:color="auto" w:sz="4" w:space="0"/>
            </w:tcBorders>
            <w:noWrap/>
            <w:vAlign w:val="center"/>
          </w:tcPr>
          <w:p w14:paraId="6007D8C2">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投标人具备在有效期内的质量管理体系（ISO9001或GB/T19001）、职业健康安全管理体系（ISO45001或GB/T45001）、食品安全管理体系（ISO22000或GB/T22000）证书，每提供一份证书的，得</w:t>
            </w:r>
            <w:r>
              <w:rPr>
                <w:rFonts w:hint="eastAsia" w:ascii="宋体" w:hAnsi="宋体" w:cs="宋体"/>
                <w:szCs w:val="21"/>
                <w:highlight w:val="none"/>
                <w:lang w:val="en-US" w:eastAsia="zh-CN"/>
              </w:rPr>
              <w:t>1.5</w:t>
            </w:r>
            <w:r>
              <w:rPr>
                <w:rFonts w:hint="eastAsia" w:ascii="宋体" w:hAnsi="宋体" w:eastAsia="宋体" w:cs="宋体"/>
                <w:szCs w:val="21"/>
                <w:highlight w:val="none"/>
                <w:lang w:val="zh-CN" w:eastAsia="zh-CN"/>
              </w:rPr>
              <w:t>分，最高得</w:t>
            </w:r>
            <w:r>
              <w:rPr>
                <w:rFonts w:hint="eastAsia" w:ascii="宋体" w:hAnsi="宋体" w:cs="宋体"/>
                <w:szCs w:val="21"/>
                <w:highlight w:val="none"/>
                <w:lang w:val="en-US" w:eastAsia="zh-CN"/>
              </w:rPr>
              <w:t>4.5</w:t>
            </w:r>
            <w:r>
              <w:rPr>
                <w:rFonts w:hint="eastAsia" w:ascii="宋体" w:hAnsi="宋体" w:eastAsia="宋体" w:cs="宋体"/>
                <w:szCs w:val="21"/>
                <w:highlight w:val="none"/>
                <w:lang w:val="zh-CN" w:eastAsia="zh-CN"/>
              </w:rPr>
              <w:t>分。</w:t>
            </w:r>
          </w:p>
          <w:p w14:paraId="47E0881B">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b/>
                <w:bCs/>
                <w:szCs w:val="21"/>
                <w:highlight w:val="none"/>
                <w:u w:val="single"/>
                <w:lang w:val="zh-CN" w:eastAsia="zh-CN"/>
              </w:rPr>
              <w:t>注：上述标准均以现行有效的标准实施，以上需提供有效证书复印件，评委现场通过国家认证认可监督管理委员会网站查验，未提供的或查验不到的不得分。</w:t>
            </w:r>
          </w:p>
        </w:tc>
        <w:tc>
          <w:tcPr>
            <w:tcW w:w="310" w:type="dxa"/>
            <w:tcBorders>
              <w:top w:val="single" w:color="auto" w:sz="4" w:space="0"/>
              <w:left w:val="single" w:color="auto" w:sz="4" w:space="0"/>
              <w:bottom w:val="single" w:color="auto" w:sz="4" w:space="0"/>
              <w:right w:val="single" w:color="auto" w:sz="4" w:space="0"/>
            </w:tcBorders>
            <w:noWrap/>
            <w:vAlign w:val="center"/>
          </w:tcPr>
          <w:p w14:paraId="79F44D2C">
            <w:pPr>
              <w:widowControl/>
              <w:overflowPunct w:val="0"/>
              <w:topLinePunct w:val="0"/>
              <w:adjustRightInd w:val="0"/>
              <w:snapToGrid w:val="0"/>
              <w:spacing w:line="240" w:lineRule="auto"/>
              <w:ind w:left="0" w:leftChars="0" w:right="0" w:rightChars="0" w:firstLine="0" w:firstLineChars="0"/>
              <w:jc w:val="right"/>
              <w:textAlignment w:val="baseline"/>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4.5</w:t>
            </w:r>
          </w:p>
        </w:tc>
      </w:tr>
      <w:tr w14:paraId="09951D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09" w:type="dxa"/>
            <w:tcBorders>
              <w:top w:val="single" w:color="auto" w:sz="4" w:space="0"/>
              <w:left w:val="single" w:color="auto" w:sz="4" w:space="0"/>
              <w:bottom w:val="single" w:color="auto" w:sz="4" w:space="0"/>
              <w:right w:val="single" w:color="auto" w:sz="4" w:space="0"/>
            </w:tcBorders>
            <w:noWrap/>
            <w:vAlign w:val="center"/>
          </w:tcPr>
          <w:p w14:paraId="69E67E15">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3</w:t>
            </w:r>
          </w:p>
        </w:tc>
        <w:tc>
          <w:tcPr>
            <w:tcW w:w="799" w:type="dxa"/>
            <w:tcBorders>
              <w:top w:val="single" w:color="auto" w:sz="4" w:space="0"/>
              <w:left w:val="single" w:color="auto" w:sz="4" w:space="0"/>
              <w:bottom w:val="single" w:color="auto" w:sz="4" w:space="0"/>
              <w:right w:val="single" w:color="auto" w:sz="4" w:space="0"/>
            </w:tcBorders>
            <w:noWrap/>
            <w:vAlign w:val="center"/>
          </w:tcPr>
          <w:p w14:paraId="56DE1672">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拟投入人员情况（</w:t>
            </w:r>
            <w:r>
              <w:rPr>
                <w:rFonts w:hint="eastAsia" w:ascii="宋体" w:hAnsi="宋体" w:cs="宋体"/>
                <w:szCs w:val="21"/>
                <w:highlight w:val="none"/>
                <w:lang w:val="en-US" w:eastAsia="zh-CN"/>
              </w:rPr>
              <w:t>6</w:t>
            </w:r>
            <w:r>
              <w:rPr>
                <w:rFonts w:hint="eastAsia" w:ascii="宋体" w:hAnsi="宋体" w:eastAsia="宋体" w:cs="宋体"/>
                <w:szCs w:val="21"/>
                <w:highlight w:val="none"/>
              </w:rPr>
              <w:t>分</w:t>
            </w:r>
            <w:r>
              <w:rPr>
                <w:rFonts w:hint="eastAsia" w:ascii="宋体" w:hAnsi="宋体" w:eastAsia="宋体" w:cs="宋体"/>
                <w:szCs w:val="21"/>
                <w:highlight w:val="none"/>
                <w:lang w:val="zh-CN"/>
              </w:rPr>
              <w:t>）</w:t>
            </w:r>
          </w:p>
        </w:tc>
        <w:tc>
          <w:tcPr>
            <w:tcW w:w="7200" w:type="dxa"/>
            <w:tcBorders>
              <w:top w:val="single" w:color="auto" w:sz="4" w:space="0"/>
              <w:left w:val="single" w:color="auto" w:sz="4" w:space="0"/>
              <w:bottom w:val="single" w:color="auto" w:sz="4" w:space="0"/>
              <w:right w:val="single" w:color="auto" w:sz="4" w:space="0"/>
            </w:tcBorders>
            <w:noWrap/>
            <w:vAlign w:val="center"/>
          </w:tcPr>
          <w:p w14:paraId="1273825A">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1</w:t>
            </w:r>
            <w:r>
              <w:rPr>
                <w:rFonts w:hint="eastAsia" w:ascii="宋体" w:hAnsi="宋体" w:cs="宋体"/>
                <w:szCs w:val="21"/>
                <w:highlight w:val="none"/>
                <w:lang w:val="en-US" w:eastAsia="zh-CN"/>
              </w:rPr>
              <w:t>.</w:t>
            </w:r>
            <w:r>
              <w:rPr>
                <w:rFonts w:hint="eastAsia" w:ascii="宋体" w:hAnsi="宋体" w:eastAsia="宋体" w:cs="宋体"/>
                <w:szCs w:val="21"/>
                <w:highlight w:val="none"/>
                <w:lang w:val="zh-CN"/>
              </w:rPr>
              <w:t>服务本项目的项目经理不少于1人，统筹项目各项具体工作，项目经理具有5年及以上</w:t>
            </w:r>
            <w:r>
              <w:rPr>
                <w:rFonts w:hint="eastAsia" w:ascii="宋体" w:hAnsi="宋体" w:cs="宋体"/>
                <w:szCs w:val="21"/>
                <w:highlight w:val="none"/>
                <w:lang w:val="zh-CN"/>
              </w:rPr>
              <w:t>食材配送服务项目</w:t>
            </w:r>
            <w:r>
              <w:rPr>
                <w:rFonts w:hint="eastAsia" w:ascii="宋体" w:hAnsi="宋体" w:eastAsia="宋体" w:cs="宋体"/>
                <w:szCs w:val="21"/>
                <w:highlight w:val="none"/>
                <w:lang w:val="zh-CN"/>
              </w:rPr>
              <w:t>管理工作经验的得</w:t>
            </w:r>
            <w:r>
              <w:rPr>
                <w:rFonts w:hint="eastAsia" w:ascii="宋体" w:hAnsi="宋体" w:cs="宋体"/>
                <w:szCs w:val="21"/>
                <w:highlight w:val="none"/>
                <w:lang w:val="en-US" w:eastAsia="zh-CN"/>
              </w:rPr>
              <w:t>2</w:t>
            </w:r>
            <w:r>
              <w:rPr>
                <w:rFonts w:hint="eastAsia" w:ascii="宋体" w:hAnsi="宋体" w:eastAsia="宋体" w:cs="宋体"/>
                <w:szCs w:val="21"/>
                <w:highlight w:val="none"/>
                <w:lang w:val="zh-CN"/>
              </w:rPr>
              <w:t>分。</w:t>
            </w:r>
          </w:p>
          <w:p w14:paraId="737D1395">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2</w:t>
            </w:r>
            <w:r>
              <w:rPr>
                <w:rFonts w:hint="eastAsia" w:ascii="宋体" w:hAnsi="宋体" w:cs="宋体"/>
                <w:szCs w:val="21"/>
                <w:highlight w:val="none"/>
                <w:lang w:val="en-US" w:eastAsia="zh-CN"/>
              </w:rPr>
              <w:t>.</w:t>
            </w:r>
            <w:r>
              <w:rPr>
                <w:rFonts w:hint="eastAsia" w:ascii="宋体" w:hAnsi="宋体" w:eastAsia="宋体" w:cs="宋体"/>
                <w:szCs w:val="21"/>
                <w:highlight w:val="none"/>
                <w:lang w:val="zh-CN"/>
              </w:rPr>
              <w:t>服务本项目配送人员不少于2人，均具有3年及以上配送服务经验的得</w:t>
            </w:r>
            <w:r>
              <w:rPr>
                <w:rFonts w:hint="eastAsia" w:ascii="宋体" w:hAnsi="宋体" w:cs="宋体"/>
                <w:szCs w:val="21"/>
                <w:highlight w:val="none"/>
                <w:lang w:val="en-US" w:eastAsia="zh-CN"/>
              </w:rPr>
              <w:t>2</w:t>
            </w:r>
            <w:r>
              <w:rPr>
                <w:rFonts w:hint="eastAsia" w:ascii="宋体" w:hAnsi="宋体" w:eastAsia="宋体" w:cs="宋体"/>
                <w:szCs w:val="21"/>
                <w:highlight w:val="none"/>
                <w:lang w:val="zh-CN"/>
              </w:rPr>
              <w:t>分。</w:t>
            </w:r>
          </w:p>
          <w:p w14:paraId="6DAC91FA">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3</w:t>
            </w:r>
            <w:r>
              <w:rPr>
                <w:rFonts w:hint="eastAsia" w:ascii="宋体" w:hAnsi="宋体" w:cs="宋体"/>
                <w:szCs w:val="21"/>
                <w:highlight w:val="none"/>
                <w:lang w:val="en-US" w:eastAsia="zh-CN"/>
              </w:rPr>
              <w:t>.</w:t>
            </w:r>
            <w:r>
              <w:rPr>
                <w:rFonts w:hint="eastAsia" w:ascii="宋体" w:hAnsi="宋体" w:eastAsia="宋体" w:cs="宋体"/>
                <w:szCs w:val="21"/>
                <w:highlight w:val="none"/>
                <w:lang w:val="zh-CN"/>
              </w:rPr>
              <w:t>服务本项目会计不少于1人，具有初级及以上会计职称，5年及以上会计工作经验的得</w:t>
            </w:r>
            <w:r>
              <w:rPr>
                <w:rFonts w:hint="eastAsia" w:ascii="宋体" w:hAnsi="宋体" w:cs="宋体"/>
                <w:szCs w:val="21"/>
                <w:highlight w:val="none"/>
                <w:lang w:val="en-US" w:eastAsia="zh-CN"/>
              </w:rPr>
              <w:t>1</w:t>
            </w:r>
            <w:r>
              <w:rPr>
                <w:rFonts w:hint="eastAsia" w:ascii="宋体" w:hAnsi="宋体" w:eastAsia="宋体" w:cs="宋体"/>
                <w:szCs w:val="21"/>
                <w:highlight w:val="none"/>
                <w:lang w:val="zh-CN"/>
              </w:rPr>
              <w:t>分。</w:t>
            </w:r>
          </w:p>
          <w:p w14:paraId="0FD18741">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4</w:t>
            </w:r>
            <w:r>
              <w:rPr>
                <w:rFonts w:hint="eastAsia" w:ascii="宋体" w:hAnsi="宋体" w:cs="宋体"/>
                <w:szCs w:val="21"/>
                <w:highlight w:val="none"/>
                <w:lang w:val="en-US" w:eastAsia="zh-CN"/>
              </w:rPr>
              <w:t>.</w:t>
            </w:r>
            <w:r>
              <w:rPr>
                <w:rFonts w:hint="eastAsia" w:ascii="宋体" w:hAnsi="宋体" w:eastAsia="宋体" w:cs="宋体"/>
                <w:szCs w:val="21"/>
                <w:highlight w:val="none"/>
                <w:lang w:val="zh-CN"/>
              </w:rPr>
              <w:t>服务本项目售后人员不少于1人，具有3年及以上相关工作经验的得</w:t>
            </w:r>
            <w:r>
              <w:rPr>
                <w:rFonts w:hint="eastAsia" w:ascii="宋体" w:hAnsi="宋体" w:cs="宋体"/>
                <w:szCs w:val="21"/>
                <w:highlight w:val="none"/>
                <w:lang w:val="en-US" w:eastAsia="zh-CN"/>
              </w:rPr>
              <w:t>1</w:t>
            </w:r>
            <w:r>
              <w:rPr>
                <w:rFonts w:hint="eastAsia" w:ascii="宋体" w:hAnsi="宋体" w:eastAsia="宋体" w:cs="宋体"/>
                <w:szCs w:val="21"/>
                <w:highlight w:val="none"/>
                <w:lang w:val="zh-CN"/>
              </w:rPr>
              <w:t>分。</w:t>
            </w:r>
          </w:p>
          <w:p w14:paraId="265CE534">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b/>
                <w:bCs/>
                <w:szCs w:val="21"/>
                <w:highlight w:val="none"/>
                <w:u w:val="single"/>
                <w:lang w:val="zh-CN"/>
              </w:rPr>
              <w:t>注：以上服务团队人员经验能力或职称水平均应提供证明材料（合同证明或服务单位出具的岗位证明）。并应提供投标人距离投标文件递交截止时间6个月内任意一个月为相关人员缴纳社保的证明材料复印件，若投标人为人员缴纳社保时间仅有1个月或投标人为新成立单位（在开标时间前2个月内成立的），开标前无法提供社保缴纳证明的，可不提供。</w:t>
            </w:r>
          </w:p>
        </w:tc>
        <w:tc>
          <w:tcPr>
            <w:tcW w:w="310" w:type="dxa"/>
            <w:tcBorders>
              <w:top w:val="single" w:color="auto" w:sz="4" w:space="0"/>
              <w:left w:val="single" w:color="auto" w:sz="4" w:space="0"/>
              <w:bottom w:val="single" w:color="auto" w:sz="4" w:space="0"/>
              <w:right w:val="single" w:color="auto" w:sz="4" w:space="0"/>
            </w:tcBorders>
            <w:noWrap/>
            <w:vAlign w:val="center"/>
          </w:tcPr>
          <w:p w14:paraId="694B1932">
            <w:pPr>
              <w:widowControl/>
              <w:overflowPunct w:val="0"/>
              <w:topLinePunct w:val="0"/>
              <w:adjustRightInd w:val="0"/>
              <w:snapToGrid w:val="0"/>
              <w:spacing w:line="240" w:lineRule="auto"/>
              <w:ind w:left="0" w:leftChars="0" w:right="0" w:rightChars="0" w:firstLine="0" w:firstLineChars="0"/>
              <w:jc w:val="right"/>
              <w:textAlignment w:val="baseline"/>
              <w:rPr>
                <w:rFonts w:hint="eastAsia" w:ascii="宋体" w:hAnsi="宋体" w:eastAsia="宋体" w:cs="宋体"/>
                <w:szCs w:val="21"/>
                <w:highlight w:val="none"/>
                <w:lang w:eastAsia="zh-CN"/>
              </w:rPr>
            </w:pPr>
            <w:r>
              <w:rPr>
                <w:rFonts w:hint="eastAsia" w:ascii="宋体" w:hAnsi="宋体" w:cs="宋体"/>
                <w:szCs w:val="21"/>
                <w:highlight w:val="none"/>
                <w:lang w:val="en-US" w:eastAsia="zh-CN"/>
              </w:rPr>
              <w:t>6</w:t>
            </w:r>
          </w:p>
        </w:tc>
      </w:tr>
      <w:tr w14:paraId="053B64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09" w:type="dxa"/>
            <w:tcBorders>
              <w:top w:val="single" w:color="auto" w:sz="4" w:space="0"/>
              <w:left w:val="single" w:color="auto" w:sz="4" w:space="0"/>
              <w:bottom w:val="single" w:color="auto" w:sz="4" w:space="0"/>
              <w:right w:val="single" w:color="auto" w:sz="4" w:space="0"/>
            </w:tcBorders>
            <w:noWrap/>
            <w:vAlign w:val="center"/>
          </w:tcPr>
          <w:p w14:paraId="1D9E8797">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4</w:t>
            </w:r>
          </w:p>
        </w:tc>
        <w:tc>
          <w:tcPr>
            <w:tcW w:w="799" w:type="dxa"/>
            <w:tcBorders>
              <w:top w:val="single" w:color="auto" w:sz="4" w:space="0"/>
              <w:left w:val="single" w:color="auto" w:sz="4" w:space="0"/>
              <w:bottom w:val="single" w:color="auto" w:sz="4" w:space="0"/>
              <w:right w:val="single" w:color="auto" w:sz="4" w:space="0"/>
            </w:tcBorders>
            <w:noWrap/>
            <w:vAlign w:val="center"/>
          </w:tcPr>
          <w:p w14:paraId="25559E6F">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rPr>
              <w:t>供应链能力</w:t>
            </w:r>
            <w:r>
              <w:rPr>
                <w:rFonts w:hint="eastAsia" w:ascii="宋体" w:hAnsi="宋体" w:eastAsia="宋体" w:cs="宋体"/>
                <w:szCs w:val="21"/>
                <w:highlight w:val="none"/>
                <w:lang w:val="zh-CN"/>
              </w:rPr>
              <w:t>（</w:t>
            </w:r>
            <w:r>
              <w:rPr>
                <w:rFonts w:hint="eastAsia" w:ascii="宋体" w:hAnsi="宋体" w:cs="宋体"/>
                <w:szCs w:val="21"/>
                <w:highlight w:val="none"/>
                <w:lang w:val="en-US" w:eastAsia="zh-CN"/>
              </w:rPr>
              <w:t>8</w:t>
            </w:r>
            <w:r>
              <w:rPr>
                <w:rFonts w:hint="eastAsia" w:ascii="宋体" w:hAnsi="宋体" w:eastAsia="宋体" w:cs="宋体"/>
                <w:szCs w:val="21"/>
                <w:highlight w:val="none"/>
              </w:rPr>
              <w:t>分</w:t>
            </w:r>
            <w:r>
              <w:rPr>
                <w:rFonts w:hint="eastAsia" w:ascii="宋体" w:hAnsi="宋体" w:eastAsia="宋体" w:cs="宋体"/>
                <w:szCs w:val="21"/>
                <w:highlight w:val="none"/>
                <w:lang w:val="zh-CN"/>
              </w:rPr>
              <w:t>）</w:t>
            </w:r>
          </w:p>
        </w:tc>
        <w:tc>
          <w:tcPr>
            <w:tcW w:w="7200" w:type="dxa"/>
            <w:tcBorders>
              <w:top w:val="single" w:color="auto" w:sz="4" w:space="0"/>
              <w:left w:val="single" w:color="auto" w:sz="4" w:space="0"/>
              <w:bottom w:val="single" w:color="auto" w:sz="4" w:space="0"/>
              <w:right w:val="single" w:color="auto" w:sz="4" w:space="0"/>
            </w:tcBorders>
            <w:noWrap/>
            <w:vAlign w:val="center"/>
          </w:tcPr>
          <w:p w14:paraId="434F59FC">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cs="宋体"/>
                <w:szCs w:val="21"/>
                <w:highlight w:val="none"/>
                <w:lang w:val="en-US" w:eastAsia="zh-CN"/>
              </w:rPr>
              <w:t>1.</w:t>
            </w:r>
            <w:r>
              <w:rPr>
                <w:rFonts w:hint="eastAsia" w:ascii="宋体" w:hAnsi="宋体" w:eastAsia="宋体" w:cs="宋体"/>
                <w:szCs w:val="21"/>
                <w:highlight w:val="none"/>
                <w:lang w:val="zh-CN"/>
              </w:rPr>
              <w:t>对于本包内所需各类食材（</w:t>
            </w:r>
            <w:r>
              <w:rPr>
                <w:rFonts w:hint="eastAsia" w:asciiTheme="minorEastAsia" w:hAnsiTheme="minorEastAsia" w:eastAsiaTheme="minorEastAsia" w:cstheme="minorEastAsia"/>
                <w:b w:val="0"/>
                <w:bCs w:val="0"/>
                <w:i w:val="0"/>
                <w:iCs w:val="0"/>
                <w:smallCaps w:val="0"/>
                <w:color w:val="000000"/>
                <w:kern w:val="0"/>
                <w:sz w:val="21"/>
                <w:szCs w:val="21"/>
                <w:highlight w:val="none"/>
                <w:lang w:eastAsia="en-US"/>
              </w:rPr>
              <w:t>包括但不限于米、面粉、食用油、干货、调料品、肉类、水产、禽蛋、奶制品、蔬菜、水果、豆制品等类别</w:t>
            </w:r>
            <w:r>
              <w:rPr>
                <w:rFonts w:hint="eastAsia" w:ascii="宋体" w:hAnsi="宋体" w:eastAsia="宋体" w:cs="宋体"/>
                <w:szCs w:val="21"/>
                <w:highlight w:val="none"/>
                <w:lang w:val="zh-CN"/>
              </w:rPr>
              <w:t>），投标人具备自有或签约的生产基地、加工厂的，</w:t>
            </w:r>
            <w:r>
              <w:rPr>
                <w:rFonts w:hint="eastAsia" w:ascii="宋体" w:hAnsi="宋体" w:cs="宋体"/>
                <w:szCs w:val="21"/>
                <w:highlight w:val="none"/>
                <w:lang w:val="zh-CN"/>
              </w:rPr>
              <w:t>每</w:t>
            </w:r>
            <w:r>
              <w:rPr>
                <w:rFonts w:hint="eastAsia" w:ascii="宋体" w:hAnsi="宋体" w:eastAsia="宋体" w:cs="宋体"/>
                <w:szCs w:val="21"/>
                <w:highlight w:val="none"/>
                <w:lang w:val="zh-CN"/>
              </w:rPr>
              <w:t>能覆盖其中一个类别的（提供相应证明材料的），得</w:t>
            </w:r>
            <w:r>
              <w:rPr>
                <w:rFonts w:hint="eastAsia" w:ascii="宋体" w:hAnsi="宋体" w:cs="宋体"/>
                <w:szCs w:val="21"/>
                <w:highlight w:val="none"/>
                <w:lang w:val="en-US" w:eastAsia="zh-CN"/>
              </w:rPr>
              <w:t>0.5</w:t>
            </w:r>
            <w:r>
              <w:rPr>
                <w:rFonts w:hint="eastAsia" w:ascii="宋体" w:hAnsi="宋体" w:eastAsia="宋体" w:cs="宋体"/>
                <w:szCs w:val="21"/>
                <w:highlight w:val="none"/>
                <w:lang w:val="zh-CN"/>
              </w:rPr>
              <w:t>分，本项最高得</w:t>
            </w:r>
            <w:r>
              <w:rPr>
                <w:rFonts w:hint="eastAsia" w:ascii="宋体" w:hAnsi="宋体" w:cs="宋体"/>
                <w:szCs w:val="21"/>
                <w:highlight w:val="none"/>
                <w:lang w:val="en-US" w:eastAsia="zh-CN"/>
              </w:rPr>
              <w:t>6</w:t>
            </w:r>
            <w:r>
              <w:rPr>
                <w:rFonts w:hint="eastAsia" w:ascii="宋体" w:hAnsi="宋体" w:eastAsia="宋体" w:cs="宋体"/>
                <w:szCs w:val="21"/>
                <w:highlight w:val="none"/>
                <w:lang w:val="zh-CN"/>
              </w:rPr>
              <w:t>分。</w:t>
            </w:r>
          </w:p>
          <w:p w14:paraId="169A102A">
            <w:pPr>
              <w:pStyle w:val="34"/>
              <w:snapToGrid w:val="0"/>
              <w:ind w:left="0" w:leftChars="0" w:right="0" w:rightChars="0" w:firstLine="0" w:firstLineChars="0"/>
              <w:jc w:val="left"/>
              <w:rPr>
                <w:rFonts w:hint="eastAsia"/>
                <w:highlight w:val="none"/>
                <w:lang w:val="zh-CN"/>
              </w:rPr>
            </w:pPr>
            <w:r>
              <w:rPr>
                <w:rFonts w:hint="eastAsia" w:ascii="宋体" w:hAnsi="宋体" w:cs="宋体"/>
                <w:color w:val="000000"/>
                <w:szCs w:val="21"/>
                <w:highlight w:val="none"/>
                <w:lang w:val="en-US" w:eastAsia="zh-CN"/>
              </w:rPr>
              <w:t>2.针对业务需求“采购及溯源能力要求”，投标人应当保证采购人所需食材均能供应且来源清晰、供应链明确、货源安全足量（提供相应承诺函原件并加盖公章）的，得</w:t>
            </w:r>
            <w:r>
              <w:rPr>
                <w:rFonts w:hint="eastAsia" w:hAnsi="宋体" w:cs="宋体"/>
                <w:color w:val="000000"/>
                <w:szCs w:val="21"/>
                <w:highlight w:val="none"/>
                <w:lang w:val="en-US" w:eastAsia="zh-CN"/>
              </w:rPr>
              <w:t>2</w:t>
            </w:r>
            <w:r>
              <w:rPr>
                <w:rFonts w:hint="eastAsia" w:ascii="宋体" w:hAnsi="宋体" w:cs="宋体"/>
                <w:color w:val="000000"/>
                <w:szCs w:val="21"/>
                <w:highlight w:val="none"/>
                <w:lang w:val="en-US" w:eastAsia="zh-CN"/>
              </w:rPr>
              <w:t>分</w:t>
            </w:r>
            <w:r>
              <w:rPr>
                <w:rFonts w:hint="eastAsia" w:hAnsi="宋体" w:cs="宋体"/>
                <w:color w:val="000000"/>
                <w:szCs w:val="21"/>
                <w:highlight w:val="none"/>
                <w:lang w:val="en-US" w:eastAsia="zh-CN"/>
              </w:rPr>
              <w:t>。</w:t>
            </w:r>
          </w:p>
          <w:p w14:paraId="4C4DF514">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b/>
                <w:bCs/>
                <w:szCs w:val="21"/>
                <w:highlight w:val="none"/>
                <w:u w:val="single"/>
                <w:lang w:val="zh-CN"/>
              </w:rPr>
              <w:t>注：以上须提供相关证明材料加盖公章的原件复印件，未提供或提供不全的不得分。</w:t>
            </w:r>
          </w:p>
        </w:tc>
        <w:tc>
          <w:tcPr>
            <w:tcW w:w="310" w:type="dxa"/>
            <w:tcBorders>
              <w:top w:val="single" w:color="auto" w:sz="4" w:space="0"/>
              <w:left w:val="single" w:color="auto" w:sz="4" w:space="0"/>
              <w:bottom w:val="single" w:color="auto" w:sz="4" w:space="0"/>
              <w:right w:val="single" w:color="auto" w:sz="4" w:space="0"/>
            </w:tcBorders>
            <w:noWrap/>
            <w:vAlign w:val="center"/>
          </w:tcPr>
          <w:p w14:paraId="0196A992">
            <w:pPr>
              <w:widowControl/>
              <w:overflowPunct w:val="0"/>
              <w:topLinePunct w:val="0"/>
              <w:adjustRightInd w:val="0"/>
              <w:snapToGrid w:val="0"/>
              <w:spacing w:line="240" w:lineRule="auto"/>
              <w:ind w:left="0" w:leftChars="0" w:right="0" w:rightChars="0" w:firstLine="0" w:firstLineChars="0"/>
              <w:jc w:val="right"/>
              <w:textAlignment w:val="baseline"/>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8</w:t>
            </w:r>
          </w:p>
        </w:tc>
      </w:tr>
      <w:tr w14:paraId="53D58E9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09" w:type="dxa"/>
            <w:tcBorders>
              <w:top w:val="single" w:color="auto" w:sz="4" w:space="0"/>
              <w:left w:val="single" w:color="auto" w:sz="4" w:space="0"/>
              <w:bottom w:val="single" w:color="auto" w:sz="4" w:space="0"/>
              <w:right w:val="single" w:color="auto" w:sz="4" w:space="0"/>
            </w:tcBorders>
            <w:noWrap/>
            <w:vAlign w:val="center"/>
          </w:tcPr>
          <w:p w14:paraId="69B20401">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5</w:t>
            </w:r>
          </w:p>
        </w:tc>
        <w:tc>
          <w:tcPr>
            <w:tcW w:w="799" w:type="dxa"/>
            <w:tcBorders>
              <w:top w:val="single" w:color="auto" w:sz="4" w:space="0"/>
              <w:left w:val="single" w:color="auto" w:sz="4" w:space="0"/>
              <w:bottom w:val="single" w:color="auto" w:sz="4" w:space="0"/>
              <w:right w:val="single" w:color="auto" w:sz="4" w:space="0"/>
            </w:tcBorders>
            <w:noWrap/>
            <w:vAlign w:val="center"/>
          </w:tcPr>
          <w:p w14:paraId="792F4FB7">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szCs w:val="21"/>
                <w:highlight w:val="none"/>
                <w:lang w:eastAsia="zh-CN"/>
              </w:rPr>
            </w:pPr>
            <w:r>
              <w:rPr>
                <w:rFonts w:hint="eastAsia" w:ascii="宋体" w:hAnsi="宋体" w:eastAsia="宋体" w:cs="宋体"/>
                <w:szCs w:val="21"/>
                <w:highlight w:val="none"/>
              </w:rPr>
              <w:t>品质保证能力</w:t>
            </w:r>
            <w:r>
              <w:rPr>
                <w:rFonts w:hint="eastAsia" w:ascii="宋体" w:hAnsi="宋体" w:cs="宋体"/>
                <w:szCs w:val="21"/>
                <w:highlight w:val="none"/>
                <w:lang w:eastAsia="zh-CN"/>
              </w:rPr>
              <w:t>（</w:t>
            </w:r>
            <w:r>
              <w:rPr>
                <w:rFonts w:hint="eastAsia" w:ascii="宋体" w:hAnsi="宋体" w:cs="宋体"/>
                <w:szCs w:val="21"/>
                <w:highlight w:val="none"/>
                <w:lang w:val="en-US" w:eastAsia="zh-CN"/>
              </w:rPr>
              <w:t>6分</w:t>
            </w:r>
            <w:r>
              <w:rPr>
                <w:rFonts w:hint="eastAsia" w:ascii="宋体" w:hAnsi="宋体" w:cs="宋体"/>
                <w:szCs w:val="21"/>
                <w:highlight w:val="none"/>
                <w:lang w:eastAsia="zh-CN"/>
              </w:rPr>
              <w:t>）</w:t>
            </w:r>
          </w:p>
        </w:tc>
        <w:tc>
          <w:tcPr>
            <w:tcW w:w="7200" w:type="dxa"/>
            <w:tcBorders>
              <w:top w:val="single" w:color="auto" w:sz="4" w:space="0"/>
              <w:left w:val="single" w:color="auto" w:sz="4" w:space="0"/>
              <w:bottom w:val="single" w:color="auto" w:sz="4" w:space="0"/>
              <w:right w:val="single" w:color="auto" w:sz="4" w:space="0"/>
            </w:tcBorders>
            <w:noWrap/>
            <w:vAlign w:val="center"/>
          </w:tcPr>
          <w:p w14:paraId="5DD087BD">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b/>
                <w:bCs/>
                <w:szCs w:val="21"/>
                <w:highlight w:val="none"/>
                <w:u w:val="single"/>
                <w:lang w:val="zh-CN"/>
              </w:rPr>
            </w:pPr>
            <w:r>
              <w:rPr>
                <w:rFonts w:hint="eastAsia" w:ascii="宋体" w:hAnsi="宋体" w:cs="宋体"/>
                <w:szCs w:val="21"/>
                <w:highlight w:val="none"/>
                <w:lang w:val="zh-CN" w:eastAsia="zh-CN"/>
              </w:rPr>
              <w:t>1.具备一体化屠宰、分割加工能力的相关证明材料复印件的（若投标人不是肉品生产商的，则应提供其采购肉品生产商具有前述能力的相关证明材料），得</w:t>
            </w:r>
            <w:r>
              <w:rPr>
                <w:rFonts w:hint="eastAsia" w:ascii="宋体" w:hAnsi="宋体" w:cs="宋体"/>
                <w:szCs w:val="21"/>
                <w:highlight w:val="none"/>
                <w:lang w:val="en-US" w:eastAsia="zh-CN"/>
              </w:rPr>
              <w:t>2</w:t>
            </w:r>
            <w:r>
              <w:rPr>
                <w:rFonts w:hint="eastAsia" w:ascii="宋体" w:hAnsi="宋体" w:cs="宋体"/>
                <w:szCs w:val="21"/>
                <w:highlight w:val="none"/>
                <w:lang w:val="zh-CN" w:eastAsia="zh-CN"/>
              </w:rPr>
              <w:t>分。</w:t>
            </w:r>
            <w:r>
              <w:rPr>
                <w:rFonts w:hint="eastAsia" w:ascii="宋体" w:hAnsi="宋体" w:cs="宋体"/>
                <w:szCs w:val="21"/>
                <w:highlight w:val="none"/>
                <w:lang w:val="zh-CN" w:eastAsia="zh-CN"/>
              </w:rPr>
              <w:br w:type="textWrapping"/>
            </w:r>
            <w:r>
              <w:rPr>
                <w:rFonts w:hint="eastAsia" w:ascii="宋体" w:hAnsi="宋体" w:cs="宋体"/>
                <w:szCs w:val="21"/>
                <w:highlight w:val="none"/>
                <w:lang w:val="zh-CN" w:eastAsia="zh-CN"/>
              </w:rPr>
              <w:t>2.能够提供屠宰后24小时内供应能力的相关证明材料复印件的，得</w:t>
            </w:r>
            <w:r>
              <w:rPr>
                <w:rFonts w:hint="eastAsia" w:ascii="宋体" w:hAnsi="宋体" w:cs="宋体"/>
                <w:szCs w:val="21"/>
                <w:highlight w:val="none"/>
                <w:lang w:val="en-US" w:eastAsia="zh-CN"/>
              </w:rPr>
              <w:t>2</w:t>
            </w:r>
            <w:r>
              <w:rPr>
                <w:rFonts w:hint="eastAsia" w:ascii="宋体" w:hAnsi="宋体" w:cs="宋体"/>
                <w:szCs w:val="21"/>
                <w:highlight w:val="none"/>
                <w:lang w:val="zh-CN" w:eastAsia="zh-CN"/>
              </w:rPr>
              <w:t>分。</w:t>
            </w:r>
            <w:r>
              <w:rPr>
                <w:rFonts w:hint="eastAsia" w:ascii="宋体" w:hAnsi="宋体" w:cs="宋体"/>
                <w:szCs w:val="21"/>
                <w:highlight w:val="none"/>
                <w:lang w:val="zh-CN" w:eastAsia="zh-CN"/>
              </w:rPr>
              <w:br w:type="textWrapping"/>
            </w:r>
            <w:r>
              <w:rPr>
                <w:rFonts w:hint="eastAsia" w:ascii="宋体" w:hAnsi="宋体" w:cs="宋体"/>
                <w:szCs w:val="21"/>
                <w:highlight w:val="none"/>
                <w:lang w:val="zh-CN" w:eastAsia="zh-CN"/>
              </w:rPr>
              <w:t>3.具备在采购人收货现场进行食材简易加工能力（提供相应承诺函原件并加盖公章）的，得2分。</w:t>
            </w:r>
            <w:r>
              <w:rPr>
                <w:rFonts w:hint="eastAsia" w:ascii="宋体" w:hAnsi="宋体" w:eastAsia="宋体" w:cs="宋体"/>
                <w:b/>
                <w:bCs/>
                <w:szCs w:val="21"/>
                <w:highlight w:val="none"/>
                <w:u w:val="single"/>
                <w:lang w:val="zh-CN"/>
              </w:rPr>
              <w:br w:type="textWrapping"/>
            </w:r>
            <w:r>
              <w:rPr>
                <w:rFonts w:hint="eastAsia" w:ascii="宋体" w:hAnsi="宋体" w:eastAsia="宋体" w:cs="宋体"/>
                <w:b/>
                <w:bCs/>
                <w:szCs w:val="21"/>
                <w:highlight w:val="none"/>
                <w:u w:val="single"/>
                <w:lang w:val="zh-CN"/>
              </w:rPr>
              <w:t>注：以上须提供相关证明材料加盖公章的原件复印件，未提供或提供不全的不得分。</w:t>
            </w:r>
          </w:p>
        </w:tc>
        <w:tc>
          <w:tcPr>
            <w:tcW w:w="310" w:type="dxa"/>
            <w:tcBorders>
              <w:top w:val="single" w:color="auto" w:sz="4" w:space="0"/>
              <w:left w:val="single" w:color="auto" w:sz="4" w:space="0"/>
              <w:bottom w:val="single" w:color="auto" w:sz="4" w:space="0"/>
              <w:right w:val="single" w:color="auto" w:sz="4" w:space="0"/>
            </w:tcBorders>
            <w:noWrap/>
            <w:vAlign w:val="center"/>
          </w:tcPr>
          <w:p w14:paraId="1B8B3056">
            <w:pPr>
              <w:widowControl/>
              <w:overflowPunct w:val="0"/>
              <w:topLinePunct w:val="0"/>
              <w:adjustRightInd w:val="0"/>
              <w:snapToGrid w:val="0"/>
              <w:spacing w:line="240" w:lineRule="auto"/>
              <w:ind w:left="0" w:leftChars="0" w:right="0" w:rightChars="0" w:firstLine="0" w:firstLineChars="0"/>
              <w:jc w:val="right"/>
              <w:textAlignment w:val="baseline"/>
              <w:rPr>
                <w:rFonts w:hint="default" w:ascii="宋体" w:hAnsi="宋体" w:cs="宋体"/>
                <w:szCs w:val="21"/>
                <w:highlight w:val="none"/>
                <w:lang w:val="en-US" w:eastAsia="zh-CN"/>
              </w:rPr>
            </w:pPr>
            <w:r>
              <w:rPr>
                <w:rFonts w:hint="eastAsia" w:ascii="宋体" w:hAnsi="宋体" w:cs="宋体"/>
                <w:szCs w:val="21"/>
                <w:highlight w:val="none"/>
                <w:lang w:val="en-US" w:eastAsia="zh-CN"/>
              </w:rPr>
              <w:t>6</w:t>
            </w:r>
          </w:p>
        </w:tc>
      </w:tr>
      <w:tr w14:paraId="2ABACC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09" w:type="dxa"/>
            <w:tcBorders>
              <w:top w:val="single" w:color="auto" w:sz="4" w:space="0"/>
              <w:left w:val="single" w:color="auto" w:sz="4" w:space="0"/>
              <w:bottom w:val="single" w:color="auto" w:sz="4" w:space="0"/>
              <w:right w:val="single" w:color="auto" w:sz="4" w:space="0"/>
            </w:tcBorders>
            <w:noWrap/>
            <w:vAlign w:val="center"/>
          </w:tcPr>
          <w:p w14:paraId="5BE8478E">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kern w:val="0"/>
                <w:szCs w:val="21"/>
                <w:highlight w:val="none"/>
                <w:lang w:eastAsia="zh-CN"/>
              </w:rPr>
            </w:pPr>
            <w:r>
              <w:rPr>
                <w:rFonts w:hint="eastAsia" w:ascii="宋体" w:hAnsi="宋体" w:cs="宋体"/>
                <w:kern w:val="0"/>
                <w:szCs w:val="21"/>
                <w:highlight w:val="none"/>
                <w:lang w:val="en-US" w:eastAsia="zh-CN"/>
              </w:rPr>
              <w:t>6</w:t>
            </w:r>
          </w:p>
        </w:tc>
        <w:tc>
          <w:tcPr>
            <w:tcW w:w="799" w:type="dxa"/>
            <w:tcBorders>
              <w:top w:val="single" w:color="auto" w:sz="4" w:space="0"/>
              <w:left w:val="single" w:color="auto" w:sz="4" w:space="0"/>
              <w:bottom w:val="single" w:color="auto" w:sz="4" w:space="0"/>
              <w:right w:val="single" w:color="auto" w:sz="4" w:space="0"/>
            </w:tcBorders>
            <w:noWrap/>
            <w:vAlign w:val="center"/>
          </w:tcPr>
          <w:p w14:paraId="1C6108C9">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仓储设施要求（</w:t>
            </w:r>
            <w:r>
              <w:rPr>
                <w:rFonts w:hint="eastAsia" w:ascii="宋体" w:hAnsi="宋体" w:cs="宋体"/>
                <w:szCs w:val="21"/>
                <w:highlight w:val="none"/>
                <w:lang w:val="en-US" w:eastAsia="zh-CN"/>
              </w:rPr>
              <w:t>5</w:t>
            </w:r>
            <w:r>
              <w:rPr>
                <w:rFonts w:hint="eastAsia" w:ascii="宋体" w:hAnsi="宋体" w:eastAsia="宋体" w:cs="宋体"/>
                <w:szCs w:val="21"/>
                <w:highlight w:val="none"/>
              </w:rPr>
              <w:t>分</w:t>
            </w:r>
            <w:r>
              <w:rPr>
                <w:rFonts w:hint="eastAsia" w:ascii="宋体" w:hAnsi="宋体" w:eastAsia="宋体" w:cs="宋体"/>
                <w:szCs w:val="21"/>
                <w:highlight w:val="none"/>
                <w:lang w:val="zh-CN"/>
              </w:rPr>
              <w:t>）</w:t>
            </w:r>
          </w:p>
        </w:tc>
        <w:tc>
          <w:tcPr>
            <w:tcW w:w="7200" w:type="dxa"/>
            <w:tcBorders>
              <w:top w:val="single" w:color="auto" w:sz="4" w:space="0"/>
              <w:left w:val="single" w:color="auto" w:sz="4" w:space="0"/>
              <w:bottom w:val="single" w:color="auto" w:sz="4" w:space="0"/>
              <w:right w:val="single" w:color="auto" w:sz="4" w:space="0"/>
            </w:tcBorders>
            <w:noWrap/>
            <w:vAlign w:val="center"/>
          </w:tcPr>
          <w:p w14:paraId="758B18F2">
            <w:pPr>
              <w:topLinePunct w:val="0"/>
              <w:autoSpaceDE/>
              <w:autoSpaceDN/>
              <w:snapToGrid w:val="0"/>
              <w:spacing w:line="240" w:lineRule="auto"/>
              <w:ind w:left="0" w:leftChars="0" w:right="0" w:rightChars="0" w:firstLine="0" w:firstLineChars="0"/>
              <w:jc w:val="left"/>
              <w:rPr>
                <w:rFonts w:hint="eastAsia" w:ascii="宋体" w:hAnsi="宋体" w:eastAsia="宋体" w:cs="宋体"/>
                <w:szCs w:val="21"/>
                <w:highlight w:val="none"/>
              </w:rPr>
            </w:pPr>
            <w:r>
              <w:rPr>
                <w:rFonts w:hint="eastAsia" w:ascii="宋体" w:hAnsi="宋体" w:eastAsia="宋体" w:cs="宋体"/>
                <w:szCs w:val="21"/>
                <w:highlight w:val="none"/>
              </w:rPr>
              <w:t>投标人自有或租赁冷库，面积不小于300平米，具备满足采购人需求相应的仓储能力。提供场地内外环境实景图片；提供自有产权证明材料，或租赁合同及其租赁期内任一笔费用支付发票的得</w:t>
            </w:r>
            <w:r>
              <w:rPr>
                <w:rFonts w:hint="eastAsia" w:ascii="宋体" w:hAnsi="宋体" w:cs="宋体"/>
                <w:szCs w:val="21"/>
                <w:highlight w:val="none"/>
                <w:lang w:val="en-US" w:eastAsia="zh-CN"/>
              </w:rPr>
              <w:t>5</w:t>
            </w:r>
            <w:r>
              <w:rPr>
                <w:rFonts w:hint="eastAsia" w:ascii="宋体" w:hAnsi="宋体" w:eastAsia="宋体" w:cs="宋体"/>
                <w:szCs w:val="21"/>
                <w:highlight w:val="none"/>
              </w:rPr>
              <w:t>分。</w:t>
            </w:r>
          </w:p>
          <w:p w14:paraId="39CD273F">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b/>
                <w:bCs/>
                <w:szCs w:val="21"/>
                <w:highlight w:val="none"/>
                <w:u w:val="single"/>
                <w:lang w:val="zh-CN"/>
              </w:rPr>
            </w:pPr>
            <w:r>
              <w:rPr>
                <w:rFonts w:hint="eastAsia" w:ascii="宋体" w:hAnsi="宋体" w:eastAsia="宋体" w:cs="宋体"/>
                <w:b/>
                <w:bCs/>
                <w:szCs w:val="21"/>
                <w:highlight w:val="none"/>
                <w:u w:val="single"/>
              </w:rPr>
              <w:t>注：以上须提供相关证明材料的原件复印件，</w:t>
            </w:r>
            <w:r>
              <w:rPr>
                <w:rFonts w:hint="eastAsia" w:ascii="宋体" w:hAnsi="宋体" w:eastAsia="宋体" w:cs="宋体"/>
                <w:b/>
                <w:bCs/>
                <w:szCs w:val="21"/>
                <w:highlight w:val="none"/>
                <w:u w:val="single"/>
                <w:lang w:val="zh-CN"/>
              </w:rPr>
              <w:t>自有产权证明或租赁合同内容应可以体现场地面积信息，</w:t>
            </w:r>
            <w:r>
              <w:rPr>
                <w:rFonts w:hint="eastAsia" w:ascii="宋体" w:hAnsi="宋体" w:eastAsia="宋体" w:cs="宋体"/>
                <w:b/>
                <w:bCs/>
                <w:szCs w:val="21"/>
                <w:highlight w:val="none"/>
                <w:u w:val="single"/>
              </w:rPr>
              <w:t>未提供或提供不全的不得分。</w:t>
            </w:r>
          </w:p>
        </w:tc>
        <w:tc>
          <w:tcPr>
            <w:tcW w:w="310" w:type="dxa"/>
            <w:tcBorders>
              <w:top w:val="single" w:color="auto" w:sz="4" w:space="0"/>
              <w:left w:val="single" w:color="auto" w:sz="4" w:space="0"/>
              <w:bottom w:val="single" w:color="auto" w:sz="4" w:space="0"/>
              <w:right w:val="single" w:color="auto" w:sz="4" w:space="0"/>
            </w:tcBorders>
            <w:noWrap/>
            <w:vAlign w:val="center"/>
          </w:tcPr>
          <w:p w14:paraId="4371076B">
            <w:pPr>
              <w:widowControl/>
              <w:overflowPunct w:val="0"/>
              <w:topLinePunct w:val="0"/>
              <w:adjustRightInd w:val="0"/>
              <w:snapToGrid w:val="0"/>
              <w:spacing w:line="240" w:lineRule="auto"/>
              <w:ind w:left="0" w:leftChars="0" w:right="0" w:rightChars="0" w:firstLine="0" w:firstLineChars="0"/>
              <w:jc w:val="right"/>
              <w:textAlignment w:val="baseline"/>
              <w:rPr>
                <w:rFonts w:hint="eastAsia" w:ascii="宋体" w:hAnsi="宋体" w:eastAsia="宋体" w:cs="宋体"/>
                <w:szCs w:val="21"/>
                <w:highlight w:val="none"/>
                <w:lang w:eastAsia="zh-CN"/>
              </w:rPr>
            </w:pPr>
            <w:r>
              <w:rPr>
                <w:rFonts w:hint="eastAsia" w:ascii="宋体" w:hAnsi="宋体" w:cs="宋体"/>
                <w:szCs w:val="21"/>
                <w:highlight w:val="none"/>
                <w:lang w:val="en-US" w:eastAsia="zh-CN"/>
              </w:rPr>
              <w:t>5</w:t>
            </w:r>
          </w:p>
        </w:tc>
      </w:tr>
      <w:tr w14:paraId="2753B4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09" w:type="dxa"/>
            <w:tcBorders>
              <w:top w:val="single" w:color="auto" w:sz="4" w:space="0"/>
              <w:left w:val="single" w:color="auto" w:sz="4" w:space="0"/>
              <w:bottom w:val="single" w:color="auto" w:sz="4" w:space="0"/>
              <w:right w:val="single" w:color="auto" w:sz="4" w:space="0"/>
            </w:tcBorders>
            <w:noWrap/>
            <w:vAlign w:val="center"/>
          </w:tcPr>
          <w:p w14:paraId="4BC2869E">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kern w:val="0"/>
                <w:szCs w:val="21"/>
                <w:highlight w:val="none"/>
                <w:lang w:eastAsia="zh-CN"/>
              </w:rPr>
            </w:pPr>
            <w:r>
              <w:rPr>
                <w:rFonts w:hint="eastAsia" w:ascii="宋体" w:hAnsi="宋体" w:cs="宋体"/>
                <w:kern w:val="0"/>
                <w:szCs w:val="21"/>
                <w:highlight w:val="none"/>
                <w:lang w:val="en-US" w:eastAsia="zh-CN"/>
              </w:rPr>
              <w:t>7</w:t>
            </w:r>
          </w:p>
        </w:tc>
        <w:tc>
          <w:tcPr>
            <w:tcW w:w="799" w:type="dxa"/>
            <w:tcBorders>
              <w:top w:val="single" w:color="auto" w:sz="4" w:space="0"/>
              <w:left w:val="single" w:color="auto" w:sz="4" w:space="0"/>
              <w:bottom w:val="single" w:color="auto" w:sz="4" w:space="0"/>
              <w:right w:val="single" w:color="auto" w:sz="4" w:space="0"/>
            </w:tcBorders>
            <w:noWrap/>
            <w:vAlign w:val="center"/>
          </w:tcPr>
          <w:p w14:paraId="601D47FB">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配送运输能力（</w:t>
            </w:r>
            <w:r>
              <w:rPr>
                <w:rFonts w:hint="eastAsia" w:ascii="宋体" w:hAnsi="宋体" w:cs="宋体"/>
                <w:szCs w:val="21"/>
                <w:highlight w:val="none"/>
                <w:lang w:val="en-US" w:eastAsia="zh-CN"/>
              </w:rPr>
              <w:t>5</w:t>
            </w:r>
            <w:r>
              <w:rPr>
                <w:rFonts w:hint="eastAsia" w:ascii="宋体" w:hAnsi="宋体" w:eastAsia="宋体" w:cs="宋体"/>
                <w:szCs w:val="21"/>
                <w:highlight w:val="none"/>
              </w:rPr>
              <w:t>分</w:t>
            </w:r>
            <w:r>
              <w:rPr>
                <w:rFonts w:hint="eastAsia" w:ascii="宋体" w:hAnsi="宋体" w:eastAsia="宋体" w:cs="宋体"/>
                <w:szCs w:val="21"/>
                <w:highlight w:val="none"/>
                <w:lang w:val="zh-CN"/>
              </w:rPr>
              <w:t>）</w:t>
            </w:r>
          </w:p>
        </w:tc>
        <w:tc>
          <w:tcPr>
            <w:tcW w:w="7200" w:type="dxa"/>
            <w:tcBorders>
              <w:top w:val="single" w:color="auto" w:sz="4" w:space="0"/>
              <w:left w:val="single" w:color="auto" w:sz="4" w:space="0"/>
              <w:bottom w:val="single" w:color="auto" w:sz="4" w:space="0"/>
              <w:right w:val="single" w:color="auto" w:sz="4" w:space="0"/>
            </w:tcBorders>
            <w:noWrap/>
            <w:vAlign w:val="center"/>
          </w:tcPr>
          <w:p w14:paraId="4332D901">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b/>
                <w:bCs/>
                <w:szCs w:val="21"/>
                <w:highlight w:val="none"/>
                <w:u w:val="single"/>
                <w:lang w:val="zh-CN"/>
              </w:rPr>
            </w:pPr>
            <w:r>
              <w:rPr>
                <w:rFonts w:hint="eastAsia" w:ascii="宋体" w:hAnsi="宋体" w:eastAsia="宋体" w:cs="宋体"/>
                <w:szCs w:val="21"/>
                <w:highlight w:val="none"/>
                <w:lang w:val="zh-CN"/>
              </w:rPr>
              <w:t>投标人自有或固定租赁2台及以上冷藏车辆，确保24小时响应，按采购人需求完成配送任务得</w:t>
            </w:r>
            <w:r>
              <w:rPr>
                <w:rFonts w:hint="eastAsia" w:ascii="宋体" w:hAnsi="宋体" w:cs="宋体"/>
                <w:szCs w:val="21"/>
                <w:highlight w:val="none"/>
                <w:lang w:val="en-US" w:eastAsia="zh-CN"/>
              </w:rPr>
              <w:t>5</w:t>
            </w:r>
            <w:r>
              <w:rPr>
                <w:rFonts w:hint="eastAsia" w:ascii="宋体" w:hAnsi="宋体" w:eastAsia="宋体" w:cs="宋体"/>
                <w:szCs w:val="21"/>
                <w:highlight w:val="none"/>
                <w:lang w:val="zh-CN"/>
              </w:rPr>
              <w:t>分。</w:t>
            </w:r>
            <w:r>
              <w:rPr>
                <w:rFonts w:hint="eastAsia" w:ascii="宋体" w:hAnsi="宋体" w:eastAsia="宋体" w:cs="宋体"/>
                <w:b/>
                <w:bCs/>
                <w:szCs w:val="21"/>
                <w:highlight w:val="none"/>
                <w:u w:val="single"/>
                <w:lang w:val="zh-CN"/>
              </w:rPr>
              <w:t>须提供自有产权证明材料或租赁合同及其租赁期内任一笔费用支付发票原件复印件的，未提供或提供不全的不得分。</w:t>
            </w:r>
          </w:p>
        </w:tc>
        <w:tc>
          <w:tcPr>
            <w:tcW w:w="310" w:type="dxa"/>
            <w:tcBorders>
              <w:top w:val="single" w:color="auto" w:sz="4" w:space="0"/>
              <w:left w:val="single" w:color="auto" w:sz="4" w:space="0"/>
              <w:bottom w:val="single" w:color="auto" w:sz="4" w:space="0"/>
              <w:right w:val="single" w:color="auto" w:sz="4" w:space="0"/>
            </w:tcBorders>
            <w:noWrap/>
            <w:vAlign w:val="center"/>
          </w:tcPr>
          <w:p w14:paraId="52635982">
            <w:pPr>
              <w:widowControl/>
              <w:overflowPunct w:val="0"/>
              <w:topLinePunct w:val="0"/>
              <w:adjustRightInd w:val="0"/>
              <w:snapToGrid w:val="0"/>
              <w:spacing w:line="240" w:lineRule="auto"/>
              <w:ind w:left="0" w:leftChars="0" w:right="0" w:rightChars="0" w:firstLine="0" w:firstLineChars="0"/>
              <w:jc w:val="right"/>
              <w:textAlignment w:val="baseline"/>
              <w:rPr>
                <w:rFonts w:hint="eastAsia" w:ascii="宋体" w:hAnsi="宋体" w:eastAsia="宋体" w:cs="宋体"/>
                <w:szCs w:val="21"/>
                <w:highlight w:val="none"/>
                <w:lang w:eastAsia="zh-CN"/>
              </w:rPr>
            </w:pPr>
            <w:r>
              <w:rPr>
                <w:rFonts w:hint="eastAsia" w:ascii="宋体" w:hAnsi="宋体" w:cs="宋体"/>
                <w:szCs w:val="21"/>
                <w:highlight w:val="none"/>
                <w:lang w:val="en-US" w:eastAsia="zh-CN"/>
              </w:rPr>
              <w:t>5</w:t>
            </w:r>
          </w:p>
        </w:tc>
      </w:tr>
      <w:tr w14:paraId="768311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09" w:type="dxa"/>
            <w:tcBorders>
              <w:top w:val="single" w:color="auto" w:sz="4" w:space="0"/>
              <w:left w:val="single" w:color="auto" w:sz="4" w:space="0"/>
              <w:bottom w:val="single" w:color="auto" w:sz="4" w:space="0"/>
              <w:right w:val="single" w:color="auto" w:sz="4" w:space="0"/>
            </w:tcBorders>
            <w:noWrap/>
            <w:vAlign w:val="center"/>
          </w:tcPr>
          <w:p w14:paraId="5767F8E8">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kern w:val="0"/>
                <w:szCs w:val="21"/>
                <w:highlight w:val="none"/>
                <w:lang w:eastAsia="zh-CN"/>
              </w:rPr>
            </w:pPr>
            <w:r>
              <w:rPr>
                <w:rFonts w:hint="eastAsia" w:ascii="宋体" w:hAnsi="宋体" w:cs="宋体"/>
                <w:kern w:val="0"/>
                <w:szCs w:val="21"/>
                <w:highlight w:val="none"/>
                <w:lang w:val="en-US" w:eastAsia="zh-CN"/>
              </w:rPr>
              <w:t>8</w:t>
            </w:r>
          </w:p>
        </w:tc>
        <w:tc>
          <w:tcPr>
            <w:tcW w:w="799" w:type="dxa"/>
            <w:tcBorders>
              <w:top w:val="single" w:color="auto" w:sz="4" w:space="0"/>
              <w:left w:val="single" w:color="auto" w:sz="4" w:space="0"/>
              <w:bottom w:val="single" w:color="auto" w:sz="4" w:space="0"/>
              <w:right w:val="single" w:color="auto" w:sz="4" w:space="0"/>
            </w:tcBorders>
            <w:noWrap/>
            <w:vAlign w:val="center"/>
          </w:tcPr>
          <w:p w14:paraId="45F7F73F">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风险抵御能力（</w:t>
            </w:r>
            <w:r>
              <w:rPr>
                <w:rFonts w:hint="eastAsia" w:ascii="宋体" w:hAnsi="宋体" w:cs="宋体"/>
                <w:szCs w:val="21"/>
                <w:highlight w:val="none"/>
                <w:lang w:val="en-US" w:eastAsia="zh-CN"/>
              </w:rPr>
              <w:t>3</w:t>
            </w:r>
            <w:r>
              <w:rPr>
                <w:rFonts w:hint="eastAsia" w:ascii="宋体" w:hAnsi="宋体" w:eastAsia="宋体" w:cs="宋体"/>
                <w:szCs w:val="21"/>
                <w:highlight w:val="none"/>
              </w:rPr>
              <w:t>分</w:t>
            </w:r>
            <w:r>
              <w:rPr>
                <w:rFonts w:hint="eastAsia" w:ascii="宋体" w:hAnsi="宋体" w:eastAsia="宋体" w:cs="宋体"/>
                <w:szCs w:val="21"/>
                <w:highlight w:val="none"/>
                <w:lang w:val="zh-CN"/>
              </w:rPr>
              <w:t>）</w:t>
            </w:r>
          </w:p>
        </w:tc>
        <w:tc>
          <w:tcPr>
            <w:tcW w:w="7200" w:type="dxa"/>
            <w:tcBorders>
              <w:top w:val="single" w:color="auto" w:sz="4" w:space="0"/>
              <w:left w:val="single" w:color="auto" w:sz="4" w:space="0"/>
              <w:bottom w:val="single" w:color="auto" w:sz="4" w:space="0"/>
              <w:right w:val="single" w:color="auto" w:sz="4" w:space="0"/>
            </w:tcBorders>
            <w:noWrap/>
            <w:vAlign w:val="center"/>
          </w:tcPr>
          <w:p w14:paraId="55B73A67">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b/>
                <w:bCs/>
                <w:szCs w:val="21"/>
                <w:highlight w:val="none"/>
                <w:u w:val="single"/>
                <w:lang w:val="zh-CN"/>
              </w:rPr>
            </w:pPr>
            <w:r>
              <w:rPr>
                <w:rFonts w:hint="eastAsia" w:ascii="宋体" w:hAnsi="宋体" w:eastAsia="宋体" w:cs="宋体"/>
                <w:szCs w:val="21"/>
                <w:highlight w:val="none"/>
                <w:lang w:val="zh-CN"/>
              </w:rPr>
              <w:t>投标人承诺在合同签订后10日内针对该项目购买食品安全险，</w:t>
            </w:r>
            <w:r>
              <w:rPr>
                <w:rFonts w:hint="eastAsia" w:ascii="宋体" w:hAnsi="宋体" w:eastAsia="宋体" w:cs="宋体"/>
                <w:b/>
                <w:bCs/>
                <w:szCs w:val="21"/>
                <w:highlight w:val="none"/>
                <w:u w:val="single"/>
                <w:lang w:val="zh-CN"/>
              </w:rPr>
              <w:t>提供承诺函原件复印件得</w:t>
            </w:r>
            <w:r>
              <w:rPr>
                <w:rFonts w:hint="eastAsia" w:ascii="宋体" w:hAnsi="宋体" w:cs="宋体"/>
                <w:b/>
                <w:bCs/>
                <w:szCs w:val="21"/>
                <w:highlight w:val="none"/>
                <w:u w:val="single"/>
                <w:lang w:val="en-US" w:eastAsia="zh-CN"/>
              </w:rPr>
              <w:t>3</w:t>
            </w:r>
            <w:r>
              <w:rPr>
                <w:rFonts w:hint="eastAsia" w:ascii="宋体" w:hAnsi="宋体" w:eastAsia="宋体" w:cs="宋体"/>
                <w:b/>
                <w:bCs/>
                <w:szCs w:val="21"/>
                <w:highlight w:val="none"/>
                <w:u w:val="single"/>
                <w:lang w:val="zh-CN"/>
              </w:rPr>
              <w:t>分，不提供的不得分。</w:t>
            </w:r>
          </w:p>
        </w:tc>
        <w:tc>
          <w:tcPr>
            <w:tcW w:w="310" w:type="dxa"/>
            <w:tcBorders>
              <w:top w:val="single" w:color="auto" w:sz="4" w:space="0"/>
              <w:left w:val="single" w:color="auto" w:sz="4" w:space="0"/>
              <w:bottom w:val="single" w:color="auto" w:sz="4" w:space="0"/>
              <w:right w:val="single" w:color="auto" w:sz="4" w:space="0"/>
            </w:tcBorders>
            <w:noWrap/>
            <w:vAlign w:val="center"/>
          </w:tcPr>
          <w:p w14:paraId="13BD2ED2">
            <w:pPr>
              <w:widowControl/>
              <w:overflowPunct w:val="0"/>
              <w:topLinePunct w:val="0"/>
              <w:adjustRightInd w:val="0"/>
              <w:snapToGrid w:val="0"/>
              <w:spacing w:line="240" w:lineRule="auto"/>
              <w:ind w:left="0" w:leftChars="0" w:right="0" w:rightChars="0" w:firstLine="0" w:firstLineChars="0"/>
              <w:jc w:val="right"/>
              <w:textAlignment w:val="baseline"/>
              <w:rPr>
                <w:rFonts w:hint="eastAsia" w:ascii="宋体" w:hAnsi="宋体" w:eastAsia="宋体" w:cs="宋体"/>
                <w:szCs w:val="21"/>
                <w:highlight w:val="none"/>
                <w:lang w:eastAsia="zh-CN"/>
              </w:rPr>
            </w:pPr>
            <w:r>
              <w:rPr>
                <w:rFonts w:hint="eastAsia" w:ascii="宋体" w:hAnsi="宋体" w:cs="宋体"/>
                <w:szCs w:val="21"/>
                <w:highlight w:val="none"/>
                <w:lang w:val="en-US" w:eastAsia="zh-CN"/>
              </w:rPr>
              <w:t>3</w:t>
            </w:r>
          </w:p>
        </w:tc>
      </w:tr>
      <w:tr w14:paraId="2659333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09" w:type="dxa"/>
            <w:tcBorders>
              <w:top w:val="single" w:color="auto" w:sz="4" w:space="0"/>
              <w:left w:val="single" w:color="auto" w:sz="4" w:space="0"/>
              <w:bottom w:val="single" w:color="auto" w:sz="4" w:space="0"/>
              <w:right w:val="single" w:color="auto" w:sz="4" w:space="0"/>
            </w:tcBorders>
            <w:noWrap/>
            <w:vAlign w:val="center"/>
          </w:tcPr>
          <w:p w14:paraId="2F3AB923">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kern w:val="0"/>
                <w:szCs w:val="21"/>
                <w:highlight w:val="none"/>
                <w:lang w:eastAsia="zh-CN"/>
              </w:rPr>
            </w:pPr>
            <w:r>
              <w:rPr>
                <w:rFonts w:hint="eastAsia" w:ascii="宋体" w:hAnsi="宋体" w:cs="宋体"/>
                <w:kern w:val="0"/>
                <w:szCs w:val="21"/>
                <w:highlight w:val="none"/>
                <w:lang w:val="en-US" w:eastAsia="zh-CN"/>
              </w:rPr>
              <w:t>9</w:t>
            </w:r>
          </w:p>
        </w:tc>
        <w:tc>
          <w:tcPr>
            <w:tcW w:w="799" w:type="dxa"/>
            <w:tcBorders>
              <w:top w:val="single" w:color="auto" w:sz="4" w:space="0"/>
              <w:left w:val="single" w:color="auto" w:sz="4" w:space="0"/>
              <w:bottom w:val="single" w:color="auto" w:sz="4" w:space="0"/>
              <w:right w:val="single" w:color="auto" w:sz="4" w:space="0"/>
            </w:tcBorders>
            <w:noWrap/>
            <w:vAlign w:val="center"/>
          </w:tcPr>
          <w:p w14:paraId="2BF88EAC">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食材质量检测能力（</w:t>
            </w:r>
            <w:r>
              <w:rPr>
                <w:rFonts w:hint="eastAsia" w:ascii="宋体" w:hAnsi="宋体" w:cs="宋体"/>
                <w:szCs w:val="21"/>
                <w:highlight w:val="none"/>
                <w:lang w:val="en-US" w:eastAsia="zh-CN"/>
              </w:rPr>
              <w:t>5</w:t>
            </w:r>
            <w:r>
              <w:rPr>
                <w:rFonts w:hint="eastAsia" w:ascii="宋体" w:hAnsi="宋体" w:eastAsia="宋体" w:cs="宋体"/>
                <w:szCs w:val="21"/>
                <w:highlight w:val="none"/>
              </w:rPr>
              <w:t>分</w:t>
            </w:r>
            <w:r>
              <w:rPr>
                <w:rFonts w:hint="eastAsia" w:ascii="宋体" w:hAnsi="宋体" w:eastAsia="宋体" w:cs="宋体"/>
                <w:szCs w:val="21"/>
                <w:highlight w:val="none"/>
                <w:lang w:val="zh-CN"/>
              </w:rPr>
              <w:t>）</w:t>
            </w:r>
          </w:p>
        </w:tc>
        <w:tc>
          <w:tcPr>
            <w:tcW w:w="7200" w:type="dxa"/>
            <w:tcBorders>
              <w:top w:val="single" w:color="auto" w:sz="4" w:space="0"/>
              <w:left w:val="single" w:color="auto" w:sz="4" w:space="0"/>
              <w:bottom w:val="single" w:color="auto" w:sz="4" w:space="0"/>
              <w:right w:val="single" w:color="auto" w:sz="4" w:space="0"/>
            </w:tcBorders>
            <w:noWrap/>
            <w:vAlign w:val="center"/>
          </w:tcPr>
          <w:p w14:paraId="15A51DBB">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投标人具有自有或租赁食品安全检测设备的，每提供1种设备得1分，本项最高得</w:t>
            </w:r>
            <w:r>
              <w:rPr>
                <w:rFonts w:hint="eastAsia" w:ascii="宋体" w:hAnsi="宋体" w:cs="宋体"/>
                <w:szCs w:val="21"/>
                <w:highlight w:val="none"/>
                <w:lang w:val="en-US" w:eastAsia="zh-CN"/>
              </w:rPr>
              <w:t>5</w:t>
            </w:r>
            <w:r>
              <w:rPr>
                <w:rFonts w:hint="eastAsia" w:ascii="宋体" w:hAnsi="宋体" w:eastAsia="宋体" w:cs="宋体"/>
                <w:szCs w:val="21"/>
                <w:highlight w:val="none"/>
                <w:lang w:val="zh-CN"/>
              </w:rPr>
              <w:t>分，不提供不得分。</w:t>
            </w:r>
          </w:p>
          <w:p w14:paraId="4EBA1150">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b/>
                <w:bCs/>
                <w:szCs w:val="21"/>
                <w:highlight w:val="none"/>
                <w:u w:val="single"/>
                <w:lang w:val="zh-CN"/>
              </w:rPr>
            </w:pPr>
            <w:r>
              <w:rPr>
                <w:rFonts w:hint="eastAsia" w:ascii="宋体" w:hAnsi="宋体" w:eastAsia="宋体" w:cs="宋体"/>
                <w:b/>
                <w:bCs/>
                <w:szCs w:val="21"/>
                <w:highlight w:val="none"/>
                <w:u w:val="single"/>
                <w:lang w:val="zh-CN"/>
              </w:rPr>
              <w:t>注：（1）自有设备须提供设备照片、设备购置发票原件复印件，发票内容须体现食品相关的检测设备名称。</w:t>
            </w:r>
          </w:p>
          <w:p w14:paraId="5A78D29D">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b/>
                <w:bCs/>
                <w:szCs w:val="21"/>
                <w:highlight w:val="none"/>
                <w:u w:val="single"/>
                <w:lang w:val="zh-CN"/>
              </w:rPr>
              <w:t>（2）租赁设备须提供设备照片、有效期内的租赁合同、出租方购置设备的发票原件复印件，租赁合同和发票内容须体现食品相关的检测设备名称。</w:t>
            </w:r>
          </w:p>
        </w:tc>
        <w:tc>
          <w:tcPr>
            <w:tcW w:w="310" w:type="dxa"/>
            <w:tcBorders>
              <w:top w:val="single" w:color="auto" w:sz="4" w:space="0"/>
              <w:left w:val="single" w:color="auto" w:sz="4" w:space="0"/>
              <w:bottom w:val="single" w:color="auto" w:sz="4" w:space="0"/>
              <w:right w:val="single" w:color="auto" w:sz="4" w:space="0"/>
            </w:tcBorders>
            <w:noWrap/>
            <w:vAlign w:val="center"/>
          </w:tcPr>
          <w:p w14:paraId="7764A061">
            <w:pPr>
              <w:widowControl/>
              <w:overflowPunct w:val="0"/>
              <w:topLinePunct w:val="0"/>
              <w:adjustRightInd w:val="0"/>
              <w:snapToGrid w:val="0"/>
              <w:spacing w:line="240" w:lineRule="auto"/>
              <w:ind w:left="0" w:leftChars="0" w:right="0" w:rightChars="0" w:firstLine="0" w:firstLineChars="0"/>
              <w:jc w:val="right"/>
              <w:textAlignment w:val="baseline"/>
              <w:rPr>
                <w:rFonts w:hint="eastAsia" w:ascii="宋体" w:hAnsi="宋体" w:eastAsia="宋体" w:cs="宋体"/>
                <w:szCs w:val="21"/>
                <w:highlight w:val="none"/>
                <w:lang w:eastAsia="zh-CN"/>
              </w:rPr>
            </w:pPr>
            <w:r>
              <w:rPr>
                <w:rFonts w:hint="eastAsia" w:ascii="宋体" w:hAnsi="宋体" w:cs="宋体"/>
                <w:szCs w:val="21"/>
                <w:highlight w:val="none"/>
                <w:lang w:val="en-US" w:eastAsia="zh-CN"/>
              </w:rPr>
              <w:t>5</w:t>
            </w:r>
          </w:p>
        </w:tc>
      </w:tr>
      <w:tr w14:paraId="76449F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8618" w:type="dxa"/>
            <w:gridSpan w:val="4"/>
            <w:tcBorders>
              <w:top w:val="single" w:color="auto" w:sz="4" w:space="0"/>
              <w:left w:val="single" w:color="auto" w:sz="4" w:space="0"/>
              <w:bottom w:val="single" w:color="auto" w:sz="4" w:space="0"/>
              <w:right w:val="single" w:color="auto" w:sz="4" w:space="0"/>
            </w:tcBorders>
            <w:noWrap/>
            <w:vAlign w:val="center"/>
          </w:tcPr>
          <w:p w14:paraId="06B49A58">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szCs w:val="21"/>
                <w:highlight w:val="none"/>
              </w:rPr>
            </w:pPr>
            <w:r>
              <w:rPr>
                <w:rFonts w:hint="eastAsia" w:ascii="宋体" w:hAnsi="宋体" w:eastAsia="宋体" w:cs="宋体"/>
                <w:b/>
                <w:bCs/>
                <w:szCs w:val="21"/>
                <w:highlight w:val="none"/>
              </w:rPr>
              <w:t>三、技术部分（</w:t>
            </w:r>
            <w:r>
              <w:rPr>
                <w:rFonts w:hint="eastAsia" w:ascii="宋体" w:hAnsi="宋体" w:cs="宋体"/>
                <w:b/>
                <w:bCs/>
                <w:szCs w:val="21"/>
                <w:highlight w:val="none"/>
                <w:lang w:val="en-US" w:eastAsia="zh-CN"/>
              </w:rPr>
              <w:t>40</w:t>
            </w:r>
            <w:r>
              <w:rPr>
                <w:rFonts w:hint="eastAsia" w:ascii="宋体" w:hAnsi="宋体" w:eastAsia="宋体" w:cs="宋体"/>
                <w:b/>
                <w:bCs/>
                <w:szCs w:val="21"/>
                <w:highlight w:val="none"/>
              </w:rPr>
              <w:t>分）</w:t>
            </w:r>
          </w:p>
        </w:tc>
      </w:tr>
      <w:tr w14:paraId="37641B9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09" w:type="dxa"/>
            <w:tcBorders>
              <w:top w:val="single" w:color="auto" w:sz="4" w:space="0"/>
              <w:left w:val="single" w:color="auto" w:sz="4" w:space="0"/>
              <w:bottom w:val="single" w:color="auto" w:sz="4" w:space="0"/>
              <w:right w:val="single" w:color="auto" w:sz="4" w:space="0"/>
            </w:tcBorders>
            <w:noWrap/>
            <w:vAlign w:val="center"/>
          </w:tcPr>
          <w:p w14:paraId="4A0F78D0">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1</w:t>
            </w:r>
          </w:p>
        </w:tc>
        <w:tc>
          <w:tcPr>
            <w:tcW w:w="799" w:type="dxa"/>
            <w:tcBorders>
              <w:top w:val="single" w:color="auto" w:sz="4" w:space="0"/>
              <w:left w:val="single" w:color="auto" w:sz="4" w:space="0"/>
              <w:bottom w:val="single" w:color="auto" w:sz="4" w:space="0"/>
              <w:right w:val="single" w:color="auto" w:sz="4" w:space="0"/>
            </w:tcBorders>
            <w:noWrap/>
            <w:vAlign w:val="center"/>
          </w:tcPr>
          <w:p w14:paraId="6FFAA817">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项目经理陈述（</w:t>
            </w:r>
            <w:r>
              <w:rPr>
                <w:rFonts w:hint="eastAsia" w:ascii="宋体" w:hAnsi="宋体" w:cs="宋体"/>
                <w:szCs w:val="21"/>
                <w:highlight w:val="none"/>
                <w:lang w:val="en-US" w:eastAsia="zh-CN"/>
              </w:rPr>
              <w:t>8</w:t>
            </w:r>
            <w:r>
              <w:rPr>
                <w:rFonts w:hint="eastAsia" w:ascii="宋体" w:hAnsi="宋体" w:eastAsia="宋体" w:cs="宋体"/>
                <w:szCs w:val="21"/>
                <w:highlight w:val="none"/>
              </w:rPr>
              <w:t>分</w:t>
            </w:r>
            <w:r>
              <w:rPr>
                <w:rFonts w:hint="eastAsia" w:ascii="宋体" w:hAnsi="宋体" w:eastAsia="宋体" w:cs="宋体"/>
                <w:szCs w:val="21"/>
                <w:highlight w:val="none"/>
                <w:lang w:val="zh-CN"/>
              </w:rPr>
              <w:t>）</w:t>
            </w:r>
          </w:p>
        </w:tc>
        <w:tc>
          <w:tcPr>
            <w:tcW w:w="7200" w:type="dxa"/>
            <w:tcBorders>
              <w:top w:val="single" w:color="auto" w:sz="4" w:space="0"/>
              <w:left w:val="single" w:color="auto" w:sz="4" w:space="0"/>
              <w:bottom w:val="single" w:color="auto" w:sz="4" w:space="0"/>
              <w:right w:val="single" w:color="auto" w:sz="4" w:space="0"/>
            </w:tcBorders>
            <w:noWrap/>
            <w:vAlign w:val="center"/>
          </w:tcPr>
          <w:p w14:paraId="5E731B2E">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现场陈述时间不超过</w:t>
            </w:r>
            <w:r>
              <w:rPr>
                <w:rFonts w:hint="eastAsia" w:ascii="宋体" w:hAnsi="宋体" w:eastAsia="宋体" w:cs="宋体"/>
                <w:szCs w:val="21"/>
                <w:highlight w:val="none"/>
              </w:rPr>
              <w:t>5</w:t>
            </w:r>
            <w:r>
              <w:rPr>
                <w:rFonts w:hint="eastAsia" w:ascii="宋体" w:hAnsi="宋体" w:eastAsia="宋体" w:cs="宋体"/>
                <w:szCs w:val="21"/>
                <w:highlight w:val="none"/>
                <w:lang w:val="zh-CN"/>
              </w:rPr>
              <w:t>分钟。投标人应对本包的整体业务需求进行全面、准确的阐述，主要包括：本项目管理的总体设想与安排；本项目管理的难点和重点，对应的管理措施；如何接受履约监督检查；对分项报价表构成的解说。</w:t>
            </w:r>
          </w:p>
          <w:p w14:paraId="387B4B0A">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（1）对项目需求理解全面、准确，对各部分内容的陈述针对性强、详细、透彻且有独到的思考和分析，得</w:t>
            </w:r>
            <w:r>
              <w:rPr>
                <w:rFonts w:hint="eastAsia" w:ascii="宋体" w:hAnsi="宋体" w:cs="宋体"/>
                <w:szCs w:val="21"/>
                <w:highlight w:val="none"/>
                <w:lang w:val="en-US" w:eastAsia="zh-CN"/>
              </w:rPr>
              <w:t>8</w:t>
            </w:r>
            <w:r>
              <w:rPr>
                <w:rFonts w:hint="eastAsia" w:ascii="宋体" w:hAnsi="宋体" w:eastAsia="宋体" w:cs="宋体"/>
                <w:szCs w:val="21"/>
                <w:highlight w:val="none"/>
                <w:lang w:val="zh-CN"/>
              </w:rPr>
              <w:t>分；</w:t>
            </w:r>
          </w:p>
          <w:p w14:paraId="0CE90811">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（2）对项目需求理解到位，对各部分内容有陈述、有一定的分析但不够有针对性、不够详尽的，得7分；</w:t>
            </w:r>
          </w:p>
          <w:p w14:paraId="18665F73">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（3）对项目需求有基本的理解，但陈述没有涵盖各部分内容的，得4分；</w:t>
            </w:r>
          </w:p>
          <w:p w14:paraId="1D1A2A7B">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（4）陈述只是简单重复（响应）采购人的采购需求的，得1分；</w:t>
            </w:r>
          </w:p>
          <w:p w14:paraId="354C4F44">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（5）对项目需求不理解或理解错误，以及未进行现场陈述的，得0分。</w:t>
            </w:r>
          </w:p>
        </w:tc>
        <w:tc>
          <w:tcPr>
            <w:tcW w:w="310" w:type="dxa"/>
            <w:tcBorders>
              <w:top w:val="single" w:color="auto" w:sz="4" w:space="0"/>
              <w:left w:val="single" w:color="auto" w:sz="4" w:space="0"/>
              <w:bottom w:val="single" w:color="auto" w:sz="4" w:space="0"/>
              <w:right w:val="single" w:color="auto" w:sz="4" w:space="0"/>
            </w:tcBorders>
            <w:noWrap/>
            <w:vAlign w:val="center"/>
          </w:tcPr>
          <w:p w14:paraId="372949E9">
            <w:pPr>
              <w:widowControl/>
              <w:overflowPunct w:val="0"/>
              <w:topLinePunct w:val="0"/>
              <w:adjustRightInd w:val="0"/>
              <w:snapToGrid w:val="0"/>
              <w:spacing w:line="240" w:lineRule="auto"/>
              <w:ind w:left="0" w:leftChars="0" w:right="0" w:rightChars="0" w:firstLine="0" w:firstLineChars="0"/>
              <w:jc w:val="right"/>
              <w:textAlignment w:val="baseline"/>
              <w:rPr>
                <w:rFonts w:hint="eastAsia" w:ascii="宋体" w:hAnsi="宋体" w:eastAsia="宋体" w:cs="宋体"/>
                <w:szCs w:val="21"/>
                <w:highlight w:val="none"/>
                <w:lang w:eastAsia="zh-CN"/>
              </w:rPr>
            </w:pPr>
            <w:r>
              <w:rPr>
                <w:rFonts w:hint="eastAsia" w:ascii="宋体" w:hAnsi="宋体" w:cs="宋体"/>
                <w:szCs w:val="21"/>
                <w:highlight w:val="none"/>
                <w:lang w:val="en-US" w:eastAsia="zh-CN"/>
              </w:rPr>
              <w:t>8</w:t>
            </w:r>
          </w:p>
        </w:tc>
      </w:tr>
      <w:tr w14:paraId="4333E2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09" w:type="dxa"/>
            <w:tcBorders>
              <w:top w:val="single" w:color="auto" w:sz="4" w:space="0"/>
              <w:left w:val="single" w:color="auto" w:sz="4" w:space="0"/>
              <w:bottom w:val="single" w:color="auto" w:sz="4" w:space="0"/>
              <w:right w:val="single" w:color="auto" w:sz="4" w:space="0"/>
            </w:tcBorders>
            <w:noWrap/>
            <w:vAlign w:val="center"/>
          </w:tcPr>
          <w:p w14:paraId="7AB2C823">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2</w:t>
            </w:r>
          </w:p>
        </w:tc>
        <w:tc>
          <w:tcPr>
            <w:tcW w:w="799" w:type="dxa"/>
            <w:tcBorders>
              <w:top w:val="single" w:color="auto" w:sz="4" w:space="0"/>
              <w:left w:val="single" w:color="auto" w:sz="4" w:space="0"/>
              <w:bottom w:val="single" w:color="auto" w:sz="4" w:space="0"/>
              <w:right w:val="single" w:color="auto" w:sz="4" w:space="0"/>
            </w:tcBorders>
            <w:noWrap/>
            <w:vAlign w:val="center"/>
          </w:tcPr>
          <w:p w14:paraId="173486E9">
            <w:pPr>
              <w:widowControl/>
              <w:overflowPunct w:val="0"/>
              <w:topLinePunct w:val="0"/>
              <w:adjustRightInd w:val="0"/>
              <w:snapToGrid w:val="0"/>
              <w:spacing w:line="240" w:lineRule="auto"/>
              <w:jc w:val="center"/>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质量安全把控方案（</w:t>
            </w:r>
            <w:r>
              <w:rPr>
                <w:rFonts w:hint="eastAsia" w:ascii="宋体" w:hAnsi="宋体" w:cs="宋体"/>
                <w:szCs w:val="21"/>
                <w:highlight w:val="none"/>
                <w:lang w:val="en-US" w:eastAsia="zh-CN"/>
              </w:rPr>
              <w:t>8</w:t>
            </w:r>
            <w:r>
              <w:rPr>
                <w:rFonts w:hint="eastAsia" w:ascii="宋体" w:hAnsi="宋体" w:eastAsia="宋体" w:cs="宋体"/>
                <w:szCs w:val="21"/>
                <w:highlight w:val="none"/>
                <w:lang w:val="zh-CN"/>
              </w:rPr>
              <w:t>分）</w:t>
            </w:r>
          </w:p>
        </w:tc>
        <w:tc>
          <w:tcPr>
            <w:tcW w:w="7200" w:type="dxa"/>
            <w:tcBorders>
              <w:top w:val="single" w:color="auto" w:sz="4" w:space="0"/>
              <w:left w:val="single" w:color="auto" w:sz="4" w:space="0"/>
              <w:bottom w:val="single" w:color="auto" w:sz="4" w:space="0"/>
              <w:right w:val="single" w:color="auto" w:sz="4" w:space="0"/>
            </w:tcBorders>
            <w:noWrap/>
            <w:vAlign w:val="center"/>
          </w:tcPr>
          <w:p w14:paraId="67263CD4">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根据投标人对需求中关于供应货物质量把控、检验检疫关键环节把控、不符合质量标准货品处置等质量安全把控内容的响应情况是否完整、详细、具有可操作性等进行打分。</w:t>
            </w:r>
          </w:p>
          <w:p w14:paraId="307AD4F9">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（1）方案内容完整、详细、可操作性强，阐述的内容针对性强、具体、透彻，能结合项目特点制定方案，得</w:t>
            </w:r>
            <w:r>
              <w:rPr>
                <w:rFonts w:hint="eastAsia" w:ascii="宋体" w:hAnsi="宋体" w:cs="宋体"/>
                <w:szCs w:val="21"/>
                <w:highlight w:val="none"/>
                <w:lang w:val="en-US" w:eastAsia="zh-CN"/>
              </w:rPr>
              <w:t>8</w:t>
            </w:r>
            <w:r>
              <w:rPr>
                <w:rFonts w:hint="eastAsia" w:ascii="宋体" w:hAnsi="宋体" w:eastAsia="宋体" w:cs="宋体"/>
                <w:szCs w:val="21"/>
                <w:highlight w:val="none"/>
                <w:lang w:val="zh-CN"/>
              </w:rPr>
              <w:t>分；</w:t>
            </w:r>
          </w:p>
          <w:p w14:paraId="78CD6743">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（2）方案内容完整，有具体措施描述，但操作性和针对性不够强或有漏缺1项的，得</w:t>
            </w:r>
            <w:r>
              <w:rPr>
                <w:rFonts w:hint="eastAsia" w:ascii="宋体" w:hAnsi="宋体" w:cs="宋体"/>
                <w:szCs w:val="21"/>
                <w:highlight w:val="none"/>
                <w:lang w:val="en-US" w:eastAsia="zh-CN"/>
              </w:rPr>
              <w:t>5</w:t>
            </w:r>
            <w:r>
              <w:rPr>
                <w:rFonts w:hint="eastAsia" w:ascii="宋体" w:hAnsi="宋体" w:eastAsia="宋体" w:cs="宋体"/>
                <w:szCs w:val="21"/>
                <w:highlight w:val="none"/>
                <w:lang w:val="zh-CN"/>
              </w:rPr>
              <w:t>分；</w:t>
            </w:r>
          </w:p>
          <w:p w14:paraId="7C518D41">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（3）方案内容仅简单重复（响应）采购人的采购需求或有漏缺</w:t>
            </w:r>
            <w:r>
              <w:rPr>
                <w:rFonts w:hint="eastAsia" w:ascii="宋体" w:hAnsi="宋体" w:eastAsia="宋体" w:cs="宋体"/>
                <w:szCs w:val="21"/>
                <w:highlight w:val="none"/>
              </w:rPr>
              <w:t>2</w:t>
            </w:r>
            <w:r>
              <w:rPr>
                <w:rFonts w:hint="eastAsia" w:ascii="宋体" w:hAnsi="宋体" w:eastAsia="宋体" w:cs="宋体"/>
                <w:szCs w:val="21"/>
                <w:highlight w:val="none"/>
                <w:lang w:val="zh-CN"/>
              </w:rPr>
              <w:t>项的，得</w:t>
            </w:r>
            <w:r>
              <w:rPr>
                <w:rFonts w:hint="eastAsia" w:ascii="宋体" w:hAnsi="宋体" w:cs="宋体"/>
                <w:szCs w:val="21"/>
                <w:highlight w:val="none"/>
                <w:lang w:val="en-US" w:eastAsia="zh-CN"/>
              </w:rPr>
              <w:t>2</w:t>
            </w:r>
            <w:r>
              <w:rPr>
                <w:rFonts w:hint="eastAsia" w:ascii="宋体" w:hAnsi="宋体" w:eastAsia="宋体" w:cs="宋体"/>
                <w:szCs w:val="21"/>
                <w:highlight w:val="none"/>
                <w:lang w:val="zh-CN"/>
              </w:rPr>
              <w:t>分；</w:t>
            </w:r>
          </w:p>
          <w:p w14:paraId="516B6655">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（4）方案内容不完整、不能满足采购需求、不可行的，以及未提供方案的，得0分。</w:t>
            </w:r>
          </w:p>
        </w:tc>
        <w:tc>
          <w:tcPr>
            <w:tcW w:w="310" w:type="dxa"/>
            <w:tcBorders>
              <w:top w:val="single" w:color="auto" w:sz="4" w:space="0"/>
              <w:left w:val="single" w:color="auto" w:sz="4" w:space="0"/>
              <w:bottom w:val="single" w:color="auto" w:sz="4" w:space="0"/>
              <w:right w:val="single" w:color="auto" w:sz="4" w:space="0"/>
            </w:tcBorders>
            <w:noWrap/>
            <w:vAlign w:val="center"/>
          </w:tcPr>
          <w:p w14:paraId="30F9E996">
            <w:pPr>
              <w:widowControl/>
              <w:overflowPunct w:val="0"/>
              <w:topLinePunct w:val="0"/>
              <w:adjustRightInd w:val="0"/>
              <w:snapToGrid w:val="0"/>
              <w:spacing w:line="240" w:lineRule="auto"/>
              <w:ind w:left="0" w:leftChars="0" w:right="0" w:rightChars="0" w:firstLine="0" w:firstLineChars="0"/>
              <w:jc w:val="right"/>
              <w:textAlignment w:val="baseline"/>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8</w:t>
            </w:r>
          </w:p>
        </w:tc>
      </w:tr>
      <w:tr w14:paraId="1F73B1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09" w:type="dxa"/>
            <w:tcBorders>
              <w:top w:val="single" w:color="auto" w:sz="4" w:space="0"/>
              <w:left w:val="single" w:color="auto" w:sz="4" w:space="0"/>
              <w:bottom w:val="single" w:color="auto" w:sz="4" w:space="0"/>
              <w:right w:val="single" w:color="auto" w:sz="4" w:space="0"/>
            </w:tcBorders>
            <w:noWrap/>
            <w:vAlign w:val="center"/>
          </w:tcPr>
          <w:p w14:paraId="0FA87D6C">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3</w:t>
            </w:r>
          </w:p>
        </w:tc>
        <w:tc>
          <w:tcPr>
            <w:tcW w:w="799" w:type="dxa"/>
            <w:tcBorders>
              <w:top w:val="single" w:color="auto" w:sz="4" w:space="0"/>
              <w:left w:val="single" w:color="auto" w:sz="4" w:space="0"/>
              <w:bottom w:val="single" w:color="auto" w:sz="4" w:space="0"/>
              <w:right w:val="single" w:color="auto" w:sz="4" w:space="0"/>
            </w:tcBorders>
            <w:noWrap/>
            <w:vAlign w:val="center"/>
          </w:tcPr>
          <w:p w14:paraId="5810442D">
            <w:pPr>
              <w:widowControl/>
              <w:overflowPunct w:val="0"/>
              <w:topLinePunct w:val="0"/>
              <w:adjustRightInd w:val="0"/>
              <w:snapToGrid w:val="0"/>
              <w:spacing w:line="240" w:lineRule="auto"/>
              <w:jc w:val="center"/>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供应方案（</w:t>
            </w:r>
            <w:r>
              <w:rPr>
                <w:rFonts w:hint="eastAsia" w:ascii="宋体" w:hAnsi="宋体" w:cs="宋体"/>
                <w:szCs w:val="21"/>
                <w:highlight w:val="none"/>
                <w:lang w:val="en-US" w:eastAsia="zh-CN"/>
              </w:rPr>
              <w:t>9</w:t>
            </w:r>
            <w:r>
              <w:rPr>
                <w:rFonts w:hint="eastAsia" w:ascii="宋体" w:hAnsi="宋体" w:eastAsia="宋体" w:cs="宋体"/>
                <w:szCs w:val="21"/>
                <w:highlight w:val="none"/>
                <w:lang w:val="zh-CN"/>
              </w:rPr>
              <w:t>分）</w:t>
            </w:r>
          </w:p>
        </w:tc>
        <w:tc>
          <w:tcPr>
            <w:tcW w:w="7200" w:type="dxa"/>
            <w:tcBorders>
              <w:top w:val="single" w:color="auto" w:sz="4" w:space="0"/>
              <w:left w:val="single" w:color="auto" w:sz="4" w:space="0"/>
              <w:bottom w:val="single" w:color="auto" w:sz="4" w:space="0"/>
              <w:right w:val="single" w:color="auto" w:sz="4" w:space="0"/>
            </w:tcBorders>
            <w:noWrap/>
            <w:vAlign w:val="center"/>
          </w:tcPr>
          <w:p w14:paraId="32AAC945">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根据投标人对需求中关于采购能力、储存分拣管理、现场加工、运输管理、配送时效及售后服务等内容的响应情况是否完整、详细、具有可操作性等进行打分。</w:t>
            </w:r>
          </w:p>
          <w:p w14:paraId="0CA07E82">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（1）方案内容完整、详细、可操作性强，阐述的内容针对性强、具体、透彻，能结合项目特点制定方案，得</w:t>
            </w:r>
            <w:r>
              <w:rPr>
                <w:rFonts w:hint="eastAsia" w:ascii="宋体" w:hAnsi="宋体" w:cs="宋体"/>
                <w:szCs w:val="21"/>
                <w:highlight w:val="none"/>
                <w:lang w:val="en-US" w:eastAsia="zh-CN"/>
              </w:rPr>
              <w:t>9</w:t>
            </w:r>
            <w:r>
              <w:rPr>
                <w:rFonts w:hint="eastAsia" w:ascii="宋体" w:hAnsi="宋体" w:eastAsia="宋体" w:cs="宋体"/>
                <w:szCs w:val="21"/>
                <w:highlight w:val="none"/>
                <w:lang w:val="zh-CN"/>
              </w:rPr>
              <w:t>分；</w:t>
            </w:r>
          </w:p>
          <w:p w14:paraId="41C47993">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（2）方案内容完整，有具体措施描述，但操作性和针对性不够强或有漏缺1项的，得</w:t>
            </w:r>
            <w:r>
              <w:rPr>
                <w:rFonts w:hint="eastAsia" w:ascii="宋体" w:hAnsi="宋体" w:cs="宋体"/>
                <w:szCs w:val="21"/>
                <w:highlight w:val="none"/>
                <w:lang w:val="en-US" w:eastAsia="zh-CN"/>
              </w:rPr>
              <w:t>6</w:t>
            </w:r>
            <w:r>
              <w:rPr>
                <w:rFonts w:hint="eastAsia" w:ascii="宋体" w:hAnsi="宋体" w:eastAsia="宋体" w:cs="宋体"/>
                <w:szCs w:val="21"/>
                <w:highlight w:val="none"/>
                <w:lang w:val="zh-CN"/>
              </w:rPr>
              <w:t>分；</w:t>
            </w:r>
          </w:p>
          <w:p w14:paraId="65E20D99">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（3）方案内容仅简单重复（响应）采购人的采购需求或有漏缺</w:t>
            </w:r>
            <w:r>
              <w:rPr>
                <w:rFonts w:hint="eastAsia" w:ascii="宋体" w:hAnsi="宋体" w:eastAsia="宋体" w:cs="宋体"/>
                <w:szCs w:val="21"/>
                <w:highlight w:val="none"/>
              </w:rPr>
              <w:t>2</w:t>
            </w:r>
            <w:r>
              <w:rPr>
                <w:rFonts w:hint="eastAsia" w:ascii="宋体" w:hAnsi="宋体" w:eastAsia="宋体" w:cs="宋体"/>
                <w:szCs w:val="21"/>
                <w:highlight w:val="none"/>
                <w:lang w:val="zh-CN"/>
              </w:rPr>
              <w:t>项的，得</w:t>
            </w:r>
            <w:r>
              <w:rPr>
                <w:rFonts w:hint="eastAsia" w:ascii="宋体" w:hAnsi="宋体" w:cs="宋体"/>
                <w:szCs w:val="21"/>
                <w:highlight w:val="none"/>
                <w:lang w:val="en-US" w:eastAsia="zh-CN"/>
              </w:rPr>
              <w:t>3</w:t>
            </w:r>
            <w:r>
              <w:rPr>
                <w:rFonts w:hint="eastAsia" w:ascii="宋体" w:hAnsi="宋体" w:eastAsia="宋体" w:cs="宋体"/>
                <w:szCs w:val="21"/>
                <w:highlight w:val="none"/>
                <w:lang w:val="zh-CN"/>
              </w:rPr>
              <w:t>分；</w:t>
            </w:r>
          </w:p>
          <w:p w14:paraId="50A3B874">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（4）方案内容不完整、不能满足采购需求、不可行的，以及未提供方案的，得0分。</w:t>
            </w:r>
          </w:p>
        </w:tc>
        <w:tc>
          <w:tcPr>
            <w:tcW w:w="310" w:type="dxa"/>
            <w:tcBorders>
              <w:top w:val="single" w:color="auto" w:sz="4" w:space="0"/>
              <w:left w:val="single" w:color="auto" w:sz="4" w:space="0"/>
              <w:bottom w:val="single" w:color="auto" w:sz="4" w:space="0"/>
              <w:right w:val="single" w:color="auto" w:sz="4" w:space="0"/>
            </w:tcBorders>
            <w:noWrap/>
            <w:vAlign w:val="center"/>
          </w:tcPr>
          <w:p w14:paraId="10B03DB8">
            <w:pPr>
              <w:widowControl/>
              <w:overflowPunct w:val="0"/>
              <w:topLinePunct w:val="0"/>
              <w:adjustRightInd w:val="0"/>
              <w:snapToGrid w:val="0"/>
              <w:spacing w:line="240" w:lineRule="auto"/>
              <w:ind w:left="0" w:leftChars="0" w:right="0" w:rightChars="0" w:firstLine="0" w:firstLineChars="0"/>
              <w:jc w:val="right"/>
              <w:textAlignment w:val="baseline"/>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9</w:t>
            </w:r>
          </w:p>
        </w:tc>
      </w:tr>
      <w:tr w14:paraId="2BCDA9F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09" w:type="dxa"/>
            <w:tcBorders>
              <w:top w:val="single" w:color="auto" w:sz="4" w:space="0"/>
              <w:left w:val="single" w:color="auto" w:sz="4" w:space="0"/>
              <w:bottom w:val="single" w:color="auto" w:sz="4" w:space="0"/>
              <w:right w:val="single" w:color="auto" w:sz="4" w:space="0"/>
            </w:tcBorders>
            <w:noWrap/>
            <w:vAlign w:val="center"/>
          </w:tcPr>
          <w:p w14:paraId="66F759FD">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4</w:t>
            </w:r>
          </w:p>
        </w:tc>
        <w:tc>
          <w:tcPr>
            <w:tcW w:w="799" w:type="dxa"/>
            <w:tcBorders>
              <w:top w:val="single" w:color="auto" w:sz="4" w:space="0"/>
              <w:left w:val="single" w:color="auto" w:sz="4" w:space="0"/>
              <w:bottom w:val="single" w:color="auto" w:sz="4" w:space="0"/>
              <w:right w:val="single" w:color="auto" w:sz="4" w:space="0"/>
            </w:tcBorders>
            <w:noWrap/>
            <w:vAlign w:val="center"/>
          </w:tcPr>
          <w:p w14:paraId="610ABEFF">
            <w:pPr>
              <w:widowControl/>
              <w:overflowPunct w:val="0"/>
              <w:topLinePunct w:val="0"/>
              <w:adjustRightInd w:val="0"/>
              <w:snapToGrid w:val="0"/>
              <w:spacing w:line="240" w:lineRule="auto"/>
              <w:jc w:val="center"/>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定价与结算要求方案（</w:t>
            </w:r>
            <w:r>
              <w:rPr>
                <w:rFonts w:hint="eastAsia" w:ascii="宋体" w:hAnsi="宋体" w:cs="宋体"/>
                <w:szCs w:val="21"/>
                <w:highlight w:val="none"/>
                <w:lang w:val="en-US" w:eastAsia="zh-CN"/>
              </w:rPr>
              <w:t>8</w:t>
            </w:r>
            <w:r>
              <w:rPr>
                <w:rFonts w:hint="eastAsia" w:ascii="宋体" w:hAnsi="宋体" w:eastAsia="宋体" w:cs="宋体"/>
                <w:szCs w:val="21"/>
                <w:highlight w:val="none"/>
                <w:lang w:val="zh-CN"/>
              </w:rPr>
              <w:t>分）</w:t>
            </w:r>
          </w:p>
        </w:tc>
        <w:tc>
          <w:tcPr>
            <w:tcW w:w="7200" w:type="dxa"/>
            <w:tcBorders>
              <w:top w:val="single" w:color="auto" w:sz="4" w:space="0"/>
              <w:left w:val="single" w:color="auto" w:sz="4" w:space="0"/>
              <w:bottom w:val="single" w:color="auto" w:sz="4" w:space="0"/>
              <w:right w:val="single" w:color="auto" w:sz="4" w:space="0"/>
            </w:tcBorders>
            <w:noWrap/>
            <w:vAlign w:val="center"/>
          </w:tcPr>
          <w:p w14:paraId="060F2D31">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根据投标人对需求中定价与结算等能力要求的响应情况是否完整、详细、具有可操作性等进行打分，包括但不限于实现价格信息搜集、执行价确定及对账、结算等数据加工处理能力所需的相关数据处理方法等进行打分。</w:t>
            </w:r>
          </w:p>
          <w:p w14:paraId="2D62532A">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（1）方案内容完整、详细、可操作性强，阐述的内容针对性强、具体、透彻，能结合项目特点制定方案，得</w:t>
            </w:r>
            <w:r>
              <w:rPr>
                <w:rFonts w:hint="eastAsia" w:ascii="宋体" w:hAnsi="宋体" w:cs="宋体"/>
                <w:szCs w:val="21"/>
                <w:highlight w:val="none"/>
                <w:lang w:val="en-US" w:eastAsia="zh-CN"/>
              </w:rPr>
              <w:t>8</w:t>
            </w:r>
            <w:r>
              <w:rPr>
                <w:rFonts w:hint="eastAsia" w:ascii="宋体" w:hAnsi="宋体" w:eastAsia="宋体" w:cs="宋体"/>
                <w:szCs w:val="21"/>
                <w:highlight w:val="none"/>
                <w:lang w:val="zh-CN"/>
              </w:rPr>
              <w:t>分；</w:t>
            </w:r>
          </w:p>
          <w:p w14:paraId="38A100A1">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（2）方案内容完整，有具体措施描述，但操作性和针对性不够强或有漏缺1项的，得</w:t>
            </w:r>
            <w:r>
              <w:rPr>
                <w:rFonts w:hint="eastAsia" w:ascii="宋体" w:hAnsi="宋体" w:cs="宋体"/>
                <w:szCs w:val="21"/>
                <w:highlight w:val="none"/>
                <w:lang w:val="en-US" w:eastAsia="zh-CN"/>
              </w:rPr>
              <w:t>5</w:t>
            </w:r>
            <w:r>
              <w:rPr>
                <w:rFonts w:hint="eastAsia" w:ascii="宋体" w:hAnsi="宋体" w:eastAsia="宋体" w:cs="宋体"/>
                <w:szCs w:val="21"/>
                <w:highlight w:val="none"/>
                <w:lang w:val="zh-CN"/>
              </w:rPr>
              <w:t>分；</w:t>
            </w:r>
          </w:p>
          <w:p w14:paraId="450EFA32">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（3）方案内容仅简单重复（响应）采购人的采购需求的或有漏缺</w:t>
            </w:r>
            <w:r>
              <w:rPr>
                <w:rFonts w:hint="eastAsia" w:ascii="宋体" w:hAnsi="宋体" w:eastAsia="宋体" w:cs="宋体"/>
                <w:szCs w:val="21"/>
                <w:highlight w:val="none"/>
              </w:rPr>
              <w:t>2</w:t>
            </w:r>
            <w:r>
              <w:rPr>
                <w:rFonts w:hint="eastAsia" w:ascii="宋体" w:hAnsi="宋体" w:eastAsia="宋体" w:cs="宋体"/>
                <w:szCs w:val="21"/>
                <w:highlight w:val="none"/>
                <w:lang w:val="zh-CN"/>
              </w:rPr>
              <w:t>项的，得</w:t>
            </w:r>
            <w:r>
              <w:rPr>
                <w:rFonts w:hint="eastAsia" w:ascii="宋体" w:hAnsi="宋体" w:cs="宋体"/>
                <w:szCs w:val="21"/>
                <w:highlight w:val="none"/>
                <w:lang w:val="en-US" w:eastAsia="zh-CN"/>
              </w:rPr>
              <w:t>2</w:t>
            </w:r>
            <w:r>
              <w:rPr>
                <w:rFonts w:hint="eastAsia" w:ascii="宋体" w:hAnsi="宋体" w:eastAsia="宋体" w:cs="宋体"/>
                <w:szCs w:val="21"/>
                <w:highlight w:val="none"/>
                <w:lang w:val="zh-CN"/>
              </w:rPr>
              <w:t>分；</w:t>
            </w:r>
          </w:p>
          <w:p w14:paraId="5CE65937">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（4）方案内容不完整、不能满足采购需求、不可行的，以及未提供方案的，得0分。</w:t>
            </w:r>
          </w:p>
        </w:tc>
        <w:tc>
          <w:tcPr>
            <w:tcW w:w="310" w:type="dxa"/>
            <w:tcBorders>
              <w:top w:val="single" w:color="auto" w:sz="4" w:space="0"/>
              <w:left w:val="single" w:color="auto" w:sz="4" w:space="0"/>
              <w:bottom w:val="single" w:color="auto" w:sz="4" w:space="0"/>
              <w:right w:val="single" w:color="auto" w:sz="4" w:space="0"/>
            </w:tcBorders>
            <w:noWrap/>
            <w:vAlign w:val="center"/>
          </w:tcPr>
          <w:p w14:paraId="530E3E98">
            <w:pPr>
              <w:widowControl/>
              <w:overflowPunct w:val="0"/>
              <w:topLinePunct w:val="0"/>
              <w:adjustRightInd w:val="0"/>
              <w:snapToGrid w:val="0"/>
              <w:spacing w:line="240" w:lineRule="auto"/>
              <w:ind w:left="0" w:leftChars="0" w:right="0" w:rightChars="0" w:firstLine="0" w:firstLineChars="0"/>
              <w:jc w:val="right"/>
              <w:textAlignment w:val="baseline"/>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8</w:t>
            </w:r>
          </w:p>
        </w:tc>
      </w:tr>
      <w:tr w14:paraId="5DC681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0" w:hRule="atLeast"/>
          <w:jc w:val="center"/>
        </w:trPr>
        <w:tc>
          <w:tcPr>
            <w:tcW w:w="309" w:type="dxa"/>
            <w:tcBorders>
              <w:top w:val="single" w:color="auto" w:sz="4" w:space="0"/>
              <w:left w:val="single" w:color="auto" w:sz="4" w:space="0"/>
              <w:bottom w:val="single" w:color="auto" w:sz="4" w:space="0"/>
              <w:right w:val="single" w:color="auto" w:sz="4" w:space="0"/>
            </w:tcBorders>
            <w:noWrap/>
            <w:vAlign w:val="center"/>
          </w:tcPr>
          <w:p w14:paraId="18A181B8">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5</w:t>
            </w:r>
          </w:p>
        </w:tc>
        <w:tc>
          <w:tcPr>
            <w:tcW w:w="799" w:type="dxa"/>
            <w:tcBorders>
              <w:top w:val="single" w:color="auto" w:sz="4" w:space="0"/>
              <w:left w:val="single" w:color="auto" w:sz="4" w:space="0"/>
              <w:bottom w:val="single" w:color="auto" w:sz="4" w:space="0"/>
              <w:right w:val="single" w:color="auto" w:sz="4" w:space="0"/>
            </w:tcBorders>
            <w:noWrap/>
            <w:vAlign w:val="center"/>
          </w:tcPr>
          <w:p w14:paraId="4EDE6611">
            <w:pPr>
              <w:widowControl/>
              <w:overflowPunct w:val="0"/>
              <w:topLinePunct w:val="0"/>
              <w:adjustRightInd w:val="0"/>
              <w:snapToGrid w:val="0"/>
              <w:spacing w:line="240" w:lineRule="auto"/>
              <w:ind w:left="0" w:leftChars="0" w:right="0" w:rightChars="0" w:firstLine="0" w:firstLineChars="0"/>
              <w:jc w:val="center"/>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应急保障方案（</w:t>
            </w:r>
            <w:r>
              <w:rPr>
                <w:rFonts w:hint="eastAsia" w:ascii="宋体" w:hAnsi="宋体" w:cs="宋体"/>
                <w:szCs w:val="21"/>
                <w:highlight w:val="none"/>
                <w:lang w:val="en-US" w:eastAsia="zh-CN"/>
              </w:rPr>
              <w:t>7</w:t>
            </w:r>
            <w:r>
              <w:rPr>
                <w:rFonts w:hint="eastAsia" w:ascii="宋体" w:hAnsi="宋体" w:eastAsia="宋体" w:cs="宋体"/>
                <w:szCs w:val="21"/>
                <w:highlight w:val="none"/>
                <w:lang w:val="zh-CN"/>
              </w:rPr>
              <w:t>分）</w:t>
            </w:r>
          </w:p>
        </w:tc>
        <w:tc>
          <w:tcPr>
            <w:tcW w:w="7200" w:type="dxa"/>
            <w:tcBorders>
              <w:top w:val="single" w:color="auto" w:sz="4" w:space="0"/>
              <w:left w:val="single" w:color="auto" w:sz="4" w:space="0"/>
              <w:bottom w:val="single" w:color="auto" w:sz="4" w:space="0"/>
              <w:right w:val="single" w:color="auto" w:sz="4" w:space="0"/>
            </w:tcBorders>
            <w:noWrap/>
            <w:vAlign w:val="center"/>
          </w:tcPr>
          <w:p w14:paraId="58ED666F">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根据需求中关于在自然灾害、极端事件、市场关闭、物资紧缺等情况下拟采取的应急保障措施等内容的响应情况是否完整、详细、具有可操作性等进行打分。</w:t>
            </w:r>
          </w:p>
          <w:p w14:paraId="78322CAD">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（1）方案内容完整、详细、可操作性强，阐述的内容针对性强、具体、透彻，能结合项目特点制定方案，得</w:t>
            </w:r>
            <w:r>
              <w:rPr>
                <w:rFonts w:hint="eastAsia" w:ascii="宋体" w:hAnsi="宋体" w:cs="宋体"/>
                <w:szCs w:val="21"/>
                <w:highlight w:val="none"/>
                <w:lang w:val="en-US" w:eastAsia="zh-CN"/>
              </w:rPr>
              <w:t>7</w:t>
            </w:r>
            <w:r>
              <w:rPr>
                <w:rFonts w:hint="eastAsia" w:ascii="宋体" w:hAnsi="宋体" w:eastAsia="宋体" w:cs="宋体"/>
                <w:szCs w:val="21"/>
                <w:highlight w:val="none"/>
                <w:lang w:val="zh-CN"/>
              </w:rPr>
              <w:t>分；</w:t>
            </w:r>
          </w:p>
          <w:p w14:paraId="1C685CF4">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（2）方案内容完整，有具体措施描述，但操作性和针对性不够强或有漏缺1项的，得</w:t>
            </w:r>
            <w:r>
              <w:rPr>
                <w:rFonts w:hint="eastAsia" w:ascii="宋体" w:hAnsi="宋体" w:cs="宋体"/>
                <w:szCs w:val="21"/>
                <w:highlight w:val="none"/>
                <w:lang w:val="en-US" w:eastAsia="zh-CN"/>
              </w:rPr>
              <w:t>5</w:t>
            </w:r>
            <w:r>
              <w:rPr>
                <w:rFonts w:hint="eastAsia" w:ascii="宋体" w:hAnsi="宋体" w:eastAsia="宋体" w:cs="宋体"/>
                <w:szCs w:val="21"/>
                <w:highlight w:val="none"/>
                <w:lang w:val="zh-CN"/>
              </w:rPr>
              <w:t>分；</w:t>
            </w:r>
          </w:p>
          <w:p w14:paraId="65206668">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（3）方案内容仅简单重复（响应）采购人的采购需求或有漏缺</w:t>
            </w:r>
            <w:r>
              <w:rPr>
                <w:rFonts w:hint="eastAsia" w:ascii="宋体" w:hAnsi="宋体" w:eastAsia="宋体" w:cs="宋体"/>
                <w:szCs w:val="21"/>
                <w:highlight w:val="none"/>
              </w:rPr>
              <w:t>2</w:t>
            </w:r>
            <w:r>
              <w:rPr>
                <w:rFonts w:hint="eastAsia" w:ascii="宋体" w:hAnsi="宋体" w:eastAsia="宋体" w:cs="宋体"/>
                <w:szCs w:val="21"/>
                <w:highlight w:val="none"/>
                <w:lang w:val="zh-CN"/>
              </w:rPr>
              <w:t>项的，得</w:t>
            </w:r>
            <w:r>
              <w:rPr>
                <w:rFonts w:hint="eastAsia" w:ascii="宋体" w:hAnsi="宋体" w:cs="宋体"/>
                <w:szCs w:val="21"/>
                <w:highlight w:val="none"/>
                <w:lang w:val="en-US" w:eastAsia="zh-CN"/>
              </w:rPr>
              <w:t>2</w:t>
            </w:r>
            <w:r>
              <w:rPr>
                <w:rFonts w:hint="eastAsia" w:ascii="宋体" w:hAnsi="宋体" w:eastAsia="宋体" w:cs="宋体"/>
                <w:szCs w:val="21"/>
                <w:highlight w:val="none"/>
                <w:lang w:val="zh-CN"/>
              </w:rPr>
              <w:t>分；</w:t>
            </w:r>
          </w:p>
          <w:p w14:paraId="11C7058B">
            <w:pPr>
              <w:widowControl/>
              <w:overflowPunct w:val="0"/>
              <w:topLinePunct w:val="0"/>
              <w:adjustRightInd w:val="0"/>
              <w:snapToGrid w:val="0"/>
              <w:spacing w:line="240" w:lineRule="auto"/>
              <w:ind w:left="0" w:leftChars="0" w:right="0" w:rightChars="0" w:firstLine="0" w:firstLineChars="0"/>
              <w:jc w:val="left"/>
              <w:textAlignment w:val="baseline"/>
              <w:rPr>
                <w:rFonts w:hint="eastAsia" w:ascii="宋体" w:hAnsi="宋体" w:eastAsia="宋体" w:cs="宋体"/>
                <w:szCs w:val="21"/>
                <w:highlight w:val="none"/>
                <w:lang w:val="zh-CN"/>
              </w:rPr>
            </w:pPr>
            <w:r>
              <w:rPr>
                <w:rFonts w:hint="eastAsia" w:ascii="宋体" w:hAnsi="宋体" w:eastAsia="宋体" w:cs="宋体"/>
                <w:szCs w:val="21"/>
                <w:highlight w:val="none"/>
                <w:lang w:val="zh-CN"/>
              </w:rPr>
              <w:t>（4）方案内容不完整、不能满足采购需求、不可行的，以及未提供方案的，得0分。</w:t>
            </w:r>
          </w:p>
        </w:tc>
        <w:tc>
          <w:tcPr>
            <w:tcW w:w="310" w:type="dxa"/>
            <w:tcBorders>
              <w:top w:val="single" w:color="auto" w:sz="4" w:space="0"/>
              <w:left w:val="single" w:color="auto" w:sz="4" w:space="0"/>
              <w:bottom w:val="single" w:color="auto" w:sz="4" w:space="0"/>
              <w:right w:val="single" w:color="auto" w:sz="4" w:space="0"/>
            </w:tcBorders>
            <w:noWrap/>
            <w:vAlign w:val="center"/>
          </w:tcPr>
          <w:p w14:paraId="604DD93B">
            <w:pPr>
              <w:widowControl/>
              <w:overflowPunct w:val="0"/>
              <w:topLinePunct w:val="0"/>
              <w:adjustRightInd w:val="0"/>
              <w:snapToGrid w:val="0"/>
              <w:spacing w:line="240" w:lineRule="auto"/>
              <w:ind w:left="0" w:leftChars="0" w:right="0" w:rightChars="0" w:firstLine="0" w:firstLineChars="0"/>
              <w:jc w:val="right"/>
              <w:textAlignment w:val="baseline"/>
              <w:rPr>
                <w:rFonts w:hint="eastAsia" w:ascii="宋体" w:hAnsi="宋体" w:eastAsia="宋体" w:cs="宋体"/>
                <w:szCs w:val="21"/>
                <w:highlight w:val="none"/>
                <w:lang w:eastAsia="zh-CN"/>
              </w:rPr>
            </w:pPr>
            <w:r>
              <w:rPr>
                <w:rFonts w:hint="eastAsia" w:ascii="宋体" w:hAnsi="宋体" w:cs="宋体"/>
                <w:szCs w:val="21"/>
                <w:highlight w:val="none"/>
                <w:lang w:val="en-US" w:eastAsia="zh-CN"/>
              </w:rPr>
              <w:t>7</w:t>
            </w:r>
          </w:p>
        </w:tc>
      </w:tr>
    </w:tbl>
    <w:p w14:paraId="79D158BC">
      <w:pPr>
        <w:shd w:val="clear"/>
        <w:rPr>
          <w:color w:val="auto"/>
          <w:sz w:val="24"/>
          <w:highlight w:val="none"/>
        </w:rPr>
      </w:pPr>
      <w:r>
        <w:rPr>
          <w:color w:val="auto"/>
          <w:highlight w:val="none"/>
        </w:rPr>
        <w:t>2.</w:t>
      </w:r>
      <w:r>
        <w:rPr>
          <w:rFonts w:hint="eastAsia"/>
          <w:color w:val="auto"/>
          <w:highlight w:val="none"/>
          <w:lang w:val="en-US" w:eastAsia="zh-CN"/>
        </w:rPr>
        <w:t>3</w:t>
      </w:r>
      <w:r>
        <w:rPr>
          <w:color w:val="auto"/>
          <w:highlight w:val="none"/>
        </w:rPr>
        <w:t xml:space="preserve"> 落实政府采购政策进行价格调整的规则：</w:t>
      </w:r>
    </w:p>
    <w:tbl>
      <w:tblPr>
        <w:tblStyle w:val="28"/>
        <w:tblW w:w="21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16"/>
        <w:gridCol w:w="3201"/>
        <w:gridCol w:w="3201"/>
      </w:tblGrid>
      <w:tr w14:paraId="36B19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blHeader/>
          <w:jc w:val="center"/>
        </w:trPr>
        <w:tc>
          <w:tcPr>
            <w:tcW w:w="2226" w:type="dxa"/>
            <w:noWrap/>
            <w:vAlign w:val="center"/>
          </w:tcPr>
          <w:p w14:paraId="2C47BC4B">
            <w:pPr>
              <w:pStyle w:val="39"/>
              <w:widowControl w:val="0"/>
              <w:shd w:val="clear"/>
              <w:snapToGrid w:val="0"/>
              <w:spacing w:line="240" w:lineRule="auto"/>
              <w:ind w:left="0" w:leftChars="0" w:right="0" w:rightChars="0" w:firstLine="0" w:firstLineChars="0"/>
              <w:jc w:val="center"/>
              <w:rPr>
                <w:rFonts w:hint="default" w:ascii="Times New Roman" w:hAnsi="Times New Roman"/>
                <w:b/>
                <w:color w:val="auto"/>
                <w:kern w:val="2"/>
                <w:sz w:val="21"/>
                <w:szCs w:val="21"/>
                <w:highlight w:val="none"/>
              </w:rPr>
            </w:pPr>
            <w:r>
              <w:rPr>
                <w:rFonts w:hint="default" w:ascii="Times New Roman" w:hAnsi="Times New Roman"/>
                <w:b/>
                <w:color w:val="auto"/>
                <w:kern w:val="2"/>
                <w:sz w:val="21"/>
                <w:szCs w:val="21"/>
                <w:highlight w:val="none"/>
              </w:rPr>
              <w:t>政府采购政策</w:t>
            </w:r>
          </w:p>
        </w:tc>
        <w:tc>
          <w:tcPr>
            <w:tcW w:w="3216" w:type="dxa"/>
            <w:noWrap/>
            <w:vAlign w:val="center"/>
          </w:tcPr>
          <w:p w14:paraId="5D84171E">
            <w:pPr>
              <w:pStyle w:val="39"/>
              <w:widowControl w:val="0"/>
              <w:shd w:val="clear"/>
              <w:snapToGrid w:val="0"/>
              <w:spacing w:line="240" w:lineRule="auto"/>
              <w:ind w:left="0" w:leftChars="0" w:right="0" w:rightChars="0" w:firstLine="0" w:firstLineChars="0"/>
              <w:jc w:val="center"/>
              <w:rPr>
                <w:rFonts w:hint="default" w:ascii="Times New Roman" w:hAnsi="Times New Roman"/>
                <w:b/>
                <w:color w:val="auto"/>
                <w:kern w:val="2"/>
                <w:sz w:val="21"/>
                <w:szCs w:val="21"/>
                <w:highlight w:val="none"/>
              </w:rPr>
            </w:pPr>
            <w:r>
              <w:rPr>
                <w:rFonts w:hint="default" w:ascii="Times New Roman" w:hAnsi="Times New Roman"/>
                <w:b/>
                <w:color w:val="auto"/>
                <w:kern w:val="2"/>
                <w:sz w:val="21"/>
                <w:szCs w:val="21"/>
                <w:highlight w:val="none"/>
              </w:rPr>
              <w:t>价格扣除规则</w:t>
            </w:r>
          </w:p>
        </w:tc>
        <w:tc>
          <w:tcPr>
            <w:tcW w:w="3216" w:type="dxa"/>
            <w:noWrap/>
            <w:vAlign w:val="center"/>
          </w:tcPr>
          <w:p w14:paraId="50EA857A">
            <w:pPr>
              <w:pStyle w:val="39"/>
              <w:widowControl w:val="0"/>
              <w:shd w:val="clear"/>
              <w:snapToGrid w:val="0"/>
              <w:spacing w:line="240" w:lineRule="auto"/>
              <w:ind w:left="0" w:leftChars="0" w:right="0" w:rightChars="0" w:firstLine="0" w:firstLineChars="0"/>
              <w:jc w:val="center"/>
              <w:rPr>
                <w:rFonts w:hint="default" w:ascii="Times New Roman" w:hAnsi="Times New Roman"/>
                <w:b/>
                <w:color w:val="auto"/>
                <w:kern w:val="2"/>
                <w:sz w:val="21"/>
                <w:szCs w:val="21"/>
                <w:highlight w:val="none"/>
              </w:rPr>
            </w:pPr>
            <w:r>
              <w:rPr>
                <w:rFonts w:hint="default" w:ascii="Times New Roman" w:hAnsi="Times New Roman"/>
                <w:b/>
                <w:color w:val="auto"/>
                <w:kern w:val="2"/>
                <w:sz w:val="21"/>
                <w:szCs w:val="21"/>
                <w:highlight w:val="none"/>
              </w:rPr>
              <w:t>享受价格扣除的条件</w:t>
            </w:r>
          </w:p>
        </w:tc>
      </w:tr>
      <w:tr w14:paraId="7C1D0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2226" w:type="dxa"/>
            <w:noWrap/>
            <w:vAlign w:val="center"/>
          </w:tcPr>
          <w:p w14:paraId="547F6E69">
            <w:pPr>
              <w:pStyle w:val="39"/>
              <w:widowControl w:val="0"/>
              <w:shd w:val="clear"/>
              <w:snapToGrid w:val="0"/>
              <w:spacing w:line="240" w:lineRule="auto"/>
              <w:ind w:left="0" w:leftChars="0" w:right="0" w:rightChars="0" w:firstLine="0" w:firstLineChars="0"/>
              <w:jc w:val="left"/>
              <w:rPr>
                <w:rFonts w:hint="default" w:ascii="宋体" w:hAnsi="宋体"/>
                <w:color w:val="auto"/>
                <w:kern w:val="2"/>
                <w:sz w:val="21"/>
                <w:szCs w:val="21"/>
                <w:highlight w:val="none"/>
              </w:rPr>
            </w:pPr>
            <w:r>
              <w:rPr>
                <w:rFonts w:ascii="宋体" w:hAnsi="宋体"/>
                <w:color w:val="auto"/>
                <w:kern w:val="2"/>
                <w:sz w:val="21"/>
                <w:szCs w:val="21"/>
                <w:highlight w:val="none"/>
              </w:rPr>
              <w:t>节约能源政策</w:t>
            </w:r>
          </w:p>
        </w:tc>
        <w:tc>
          <w:tcPr>
            <w:tcW w:w="3216" w:type="dxa"/>
            <w:noWrap/>
            <w:vAlign w:val="center"/>
          </w:tcPr>
          <w:p w14:paraId="1DF2EE38">
            <w:pPr>
              <w:pStyle w:val="39"/>
              <w:widowControl w:val="0"/>
              <w:shd w:val="clear"/>
              <w:snapToGrid w:val="0"/>
              <w:spacing w:line="240" w:lineRule="auto"/>
              <w:ind w:left="0" w:leftChars="0" w:right="0" w:rightChars="0" w:firstLine="0" w:firstLineChars="0"/>
              <w:jc w:val="left"/>
              <w:rPr>
                <w:rFonts w:hint="default" w:ascii="宋体" w:hAnsi="宋体"/>
                <w:color w:val="auto"/>
                <w:kern w:val="2"/>
                <w:sz w:val="21"/>
                <w:szCs w:val="21"/>
                <w:highlight w:val="none"/>
              </w:rPr>
            </w:pPr>
            <w:r>
              <w:rPr>
                <w:rFonts w:ascii="宋体" w:hAnsi="宋体"/>
                <w:color w:val="auto"/>
                <w:kern w:val="2"/>
                <w:sz w:val="21"/>
                <w:szCs w:val="21"/>
                <w:highlight w:val="none"/>
              </w:rPr>
              <w:t>/</w:t>
            </w:r>
          </w:p>
        </w:tc>
        <w:tc>
          <w:tcPr>
            <w:tcW w:w="3216" w:type="dxa"/>
            <w:noWrap/>
            <w:vAlign w:val="center"/>
          </w:tcPr>
          <w:p w14:paraId="15052044">
            <w:pPr>
              <w:pStyle w:val="39"/>
              <w:widowControl w:val="0"/>
              <w:shd w:val="clear"/>
              <w:snapToGrid w:val="0"/>
              <w:spacing w:line="240" w:lineRule="auto"/>
              <w:ind w:left="0" w:leftChars="0" w:right="0" w:rightChars="0" w:firstLine="0" w:firstLineChars="0"/>
              <w:jc w:val="left"/>
              <w:rPr>
                <w:rFonts w:hint="default" w:ascii="宋体" w:hAnsi="宋体"/>
                <w:color w:val="auto"/>
                <w:kern w:val="2"/>
                <w:sz w:val="21"/>
                <w:szCs w:val="21"/>
                <w:highlight w:val="none"/>
              </w:rPr>
            </w:pPr>
            <w:r>
              <w:rPr>
                <w:rFonts w:ascii="宋体" w:hAnsi="宋体"/>
                <w:color w:val="auto"/>
                <w:kern w:val="2"/>
                <w:sz w:val="21"/>
                <w:szCs w:val="21"/>
                <w:highlight w:val="none"/>
              </w:rPr>
              <w:t>/</w:t>
            </w:r>
          </w:p>
        </w:tc>
      </w:tr>
      <w:tr w14:paraId="1EC47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2226" w:type="dxa"/>
            <w:noWrap/>
            <w:vAlign w:val="center"/>
          </w:tcPr>
          <w:p w14:paraId="31828FC6">
            <w:pPr>
              <w:pStyle w:val="39"/>
              <w:widowControl w:val="0"/>
              <w:shd w:val="clear"/>
              <w:snapToGrid w:val="0"/>
              <w:spacing w:line="240" w:lineRule="auto"/>
              <w:ind w:left="0" w:leftChars="0" w:right="0" w:rightChars="0" w:firstLine="0" w:firstLineChars="0"/>
              <w:jc w:val="left"/>
              <w:rPr>
                <w:rFonts w:hint="default" w:ascii="宋体" w:hAnsi="宋体"/>
                <w:color w:val="auto"/>
                <w:kern w:val="2"/>
                <w:sz w:val="21"/>
                <w:szCs w:val="21"/>
                <w:highlight w:val="none"/>
              </w:rPr>
            </w:pPr>
            <w:r>
              <w:rPr>
                <w:rFonts w:ascii="宋体" w:hAnsi="宋体"/>
                <w:color w:val="auto"/>
                <w:kern w:val="2"/>
                <w:sz w:val="21"/>
                <w:szCs w:val="21"/>
                <w:highlight w:val="none"/>
              </w:rPr>
              <w:t>保护环境政策</w:t>
            </w:r>
          </w:p>
        </w:tc>
        <w:tc>
          <w:tcPr>
            <w:tcW w:w="3216" w:type="dxa"/>
            <w:noWrap/>
            <w:vAlign w:val="center"/>
          </w:tcPr>
          <w:p w14:paraId="54446905">
            <w:pPr>
              <w:pStyle w:val="39"/>
              <w:widowControl w:val="0"/>
              <w:shd w:val="clear"/>
              <w:snapToGrid w:val="0"/>
              <w:spacing w:line="240" w:lineRule="auto"/>
              <w:ind w:left="0" w:leftChars="0" w:right="0" w:rightChars="0" w:firstLine="0" w:firstLineChars="0"/>
              <w:jc w:val="left"/>
              <w:rPr>
                <w:rFonts w:hint="default" w:ascii="宋体" w:hAnsi="宋体"/>
                <w:color w:val="auto"/>
                <w:kern w:val="2"/>
                <w:sz w:val="21"/>
                <w:szCs w:val="21"/>
                <w:highlight w:val="none"/>
              </w:rPr>
            </w:pPr>
            <w:r>
              <w:rPr>
                <w:rFonts w:ascii="宋体" w:hAnsi="宋体"/>
                <w:color w:val="auto"/>
                <w:kern w:val="2"/>
                <w:sz w:val="21"/>
                <w:szCs w:val="21"/>
                <w:highlight w:val="none"/>
              </w:rPr>
              <w:t>/</w:t>
            </w:r>
          </w:p>
        </w:tc>
        <w:tc>
          <w:tcPr>
            <w:tcW w:w="3216" w:type="dxa"/>
            <w:noWrap/>
            <w:vAlign w:val="center"/>
          </w:tcPr>
          <w:p w14:paraId="4533967D">
            <w:pPr>
              <w:pStyle w:val="39"/>
              <w:widowControl w:val="0"/>
              <w:shd w:val="clear"/>
              <w:snapToGrid w:val="0"/>
              <w:spacing w:line="240" w:lineRule="auto"/>
              <w:ind w:left="0" w:leftChars="0" w:right="0" w:rightChars="0" w:firstLine="0" w:firstLineChars="0"/>
              <w:jc w:val="left"/>
              <w:rPr>
                <w:rFonts w:hint="default" w:ascii="宋体" w:hAnsi="宋体"/>
                <w:color w:val="auto"/>
                <w:kern w:val="2"/>
                <w:sz w:val="21"/>
                <w:szCs w:val="21"/>
                <w:highlight w:val="none"/>
              </w:rPr>
            </w:pPr>
            <w:r>
              <w:rPr>
                <w:rFonts w:ascii="宋体" w:hAnsi="宋体"/>
                <w:color w:val="auto"/>
                <w:kern w:val="2"/>
                <w:sz w:val="21"/>
                <w:szCs w:val="21"/>
                <w:highlight w:val="none"/>
              </w:rPr>
              <w:t>/</w:t>
            </w:r>
          </w:p>
        </w:tc>
      </w:tr>
      <w:tr w14:paraId="28091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2226" w:type="dxa"/>
            <w:noWrap/>
            <w:vAlign w:val="center"/>
          </w:tcPr>
          <w:p w14:paraId="40D2CCAD">
            <w:pPr>
              <w:pStyle w:val="39"/>
              <w:widowControl w:val="0"/>
              <w:shd w:val="clear"/>
              <w:snapToGrid w:val="0"/>
              <w:spacing w:line="240" w:lineRule="auto"/>
              <w:ind w:left="0" w:leftChars="0" w:right="0" w:rightChars="0" w:firstLine="0" w:firstLineChars="0"/>
              <w:jc w:val="left"/>
              <w:rPr>
                <w:rFonts w:hint="default" w:ascii="宋体" w:hAnsi="宋体"/>
                <w:color w:val="auto"/>
                <w:kern w:val="2"/>
                <w:sz w:val="21"/>
                <w:szCs w:val="21"/>
                <w:highlight w:val="none"/>
              </w:rPr>
            </w:pPr>
            <w:r>
              <w:rPr>
                <w:rFonts w:ascii="宋体" w:hAnsi="宋体"/>
                <w:color w:val="auto"/>
                <w:kern w:val="2"/>
                <w:sz w:val="21"/>
                <w:szCs w:val="21"/>
                <w:highlight w:val="none"/>
              </w:rPr>
              <w:t>促进中小企业</w:t>
            </w:r>
          </w:p>
          <w:p w14:paraId="4DCD32AA">
            <w:pPr>
              <w:pStyle w:val="39"/>
              <w:widowControl w:val="0"/>
              <w:shd w:val="clear"/>
              <w:snapToGrid w:val="0"/>
              <w:spacing w:line="240" w:lineRule="auto"/>
              <w:ind w:left="0" w:leftChars="0" w:right="0" w:rightChars="0" w:firstLine="0" w:firstLineChars="0"/>
              <w:jc w:val="left"/>
              <w:rPr>
                <w:rFonts w:hint="default" w:ascii="宋体" w:hAnsi="宋体"/>
                <w:color w:val="auto"/>
                <w:kern w:val="2"/>
                <w:sz w:val="21"/>
                <w:szCs w:val="21"/>
                <w:highlight w:val="none"/>
              </w:rPr>
            </w:pPr>
            <w:r>
              <w:rPr>
                <w:rFonts w:ascii="宋体" w:hAnsi="宋体"/>
                <w:color w:val="auto"/>
                <w:kern w:val="2"/>
                <w:sz w:val="21"/>
                <w:szCs w:val="21"/>
                <w:highlight w:val="none"/>
              </w:rPr>
              <w:t>发展政策</w:t>
            </w:r>
          </w:p>
        </w:tc>
        <w:tc>
          <w:tcPr>
            <w:tcW w:w="3216" w:type="dxa"/>
            <w:noWrap/>
            <w:vAlign w:val="center"/>
          </w:tcPr>
          <w:p w14:paraId="5F6DA501">
            <w:pPr>
              <w:pStyle w:val="39"/>
              <w:widowControl w:val="0"/>
              <w:snapToGrid w:val="0"/>
              <w:spacing w:line="240" w:lineRule="auto"/>
              <w:ind w:left="0" w:leftChars="0" w:right="0" w:rightChars="0" w:firstLine="0" w:firstLineChars="0"/>
              <w:jc w:val="left"/>
              <w:rPr>
                <w:rFonts w:hint="default" w:ascii="宋体" w:hAnsi="宋体"/>
                <w:color w:val="000000" w:themeColor="text1"/>
                <w:kern w:val="2"/>
                <w:sz w:val="21"/>
                <w:szCs w:val="21"/>
                <w:highlight w:val="none"/>
                <w14:textFill>
                  <w14:solidFill>
                    <w14:schemeClr w14:val="tx1"/>
                  </w14:solidFill>
                </w14:textFill>
              </w:rPr>
            </w:pPr>
            <w:r>
              <w:rPr>
                <w:rFonts w:hint="default" w:ascii="宋体" w:hAnsi="宋体"/>
                <w:color w:val="000000" w:themeColor="text1"/>
                <w:sz w:val="21"/>
                <w:szCs w:val="21"/>
                <w:highlight w:val="none"/>
                <w14:textFill>
                  <w14:solidFill>
                    <w14:schemeClr w14:val="tx1"/>
                  </w14:solidFill>
                </w14:textFill>
              </w:rPr>
              <w:t>专门面向中小企业采购项目</w:t>
            </w:r>
            <w:r>
              <w:rPr>
                <w:rFonts w:hint="eastAsia" w:ascii="宋体" w:hAnsi="宋体"/>
                <w:color w:val="000000" w:themeColor="text1"/>
                <w:sz w:val="21"/>
                <w:szCs w:val="21"/>
                <w:highlight w:val="none"/>
                <w:lang w:val="en-US" w:eastAsia="zh-CN"/>
                <w14:textFill>
                  <w14:solidFill>
                    <w14:schemeClr w14:val="tx1"/>
                  </w14:solidFill>
                </w14:textFill>
              </w:rPr>
              <w:t>、</w:t>
            </w:r>
            <w:r>
              <w:rPr>
                <w:rFonts w:hint="default" w:ascii="宋体" w:hAnsi="宋体"/>
                <w:color w:val="000000" w:themeColor="text1"/>
                <w:sz w:val="21"/>
                <w:szCs w:val="21"/>
                <w:highlight w:val="none"/>
                <w14:textFill>
                  <w14:solidFill>
                    <w14:schemeClr w14:val="tx1"/>
                  </w14:solidFill>
                </w14:textFill>
              </w:rPr>
              <w:t>预留份额面向中小企业采购项目。</w:t>
            </w:r>
            <w:r>
              <w:rPr>
                <w:rFonts w:ascii="宋体" w:hAnsi="宋体"/>
                <w:color w:val="000000" w:themeColor="text1"/>
                <w:sz w:val="21"/>
                <w:szCs w:val="21"/>
                <w:highlight w:val="none"/>
                <w14:textFill>
                  <w14:solidFill>
                    <w14:schemeClr w14:val="tx1"/>
                  </w14:solidFill>
                </w14:textFill>
              </w:rPr>
              <w:t>不再</w:t>
            </w:r>
            <w:r>
              <w:rPr>
                <w:rFonts w:hint="eastAsia" w:ascii="宋体" w:hAnsi="宋体"/>
                <w:color w:val="000000" w:themeColor="text1"/>
                <w:sz w:val="21"/>
                <w:szCs w:val="21"/>
                <w:highlight w:val="none"/>
                <w:lang w:val="en-US" w:eastAsia="zh-CN"/>
                <w14:textFill>
                  <w14:solidFill>
                    <w14:schemeClr w14:val="tx1"/>
                  </w14:solidFill>
                </w14:textFill>
              </w:rPr>
              <w:t>对其投标</w:t>
            </w:r>
            <w:r>
              <w:rPr>
                <w:rFonts w:ascii="宋体" w:hAnsi="宋体"/>
                <w:color w:val="000000" w:themeColor="text1"/>
                <w:sz w:val="21"/>
                <w:szCs w:val="21"/>
                <w:highlight w:val="none"/>
                <w14:textFill>
                  <w14:solidFill>
                    <w14:schemeClr w14:val="tx1"/>
                  </w14:solidFill>
                </w14:textFill>
              </w:rPr>
              <w:t>报价</w:t>
            </w:r>
            <w:r>
              <w:rPr>
                <w:rFonts w:hint="default" w:ascii="宋体" w:hAnsi="宋体"/>
                <w:color w:val="000000" w:themeColor="text1"/>
                <w:sz w:val="21"/>
                <w:szCs w:val="21"/>
                <w:highlight w:val="none"/>
                <w14:textFill>
                  <w14:solidFill>
                    <w14:schemeClr w14:val="tx1"/>
                  </w14:solidFill>
                </w14:textFill>
              </w:rPr>
              <w:t>给予</w:t>
            </w:r>
            <w:r>
              <w:rPr>
                <w:rFonts w:hint="eastAsia" w:ascii="宋体" w:hAnsi="宋体"/>
                <w:color w:val="000000" w:themeColor="text1"/>
                <w:sz w:val="21"/>
                <w:szCs w:val="21"/>
                <w:highlight w:val="none"/>
                <w:lang w:val="en-US" w:eastAsia="zh-CN"/>
                <w14:textFill>
                  <w14:solidFill>
                    <w14:schemeClr w14:val="tx1"/>
                  </w14:solidFill>
                </w14:textFill>
              </w:rPr>
              <w:t>价格</w:t>
            </w:r>
            <w:r>
              <w:rPr>
                <w:rFonts w:hint="default" w:ascii="宋体" w:hAnsi="宋体"/>
                <w:color w:val="000000" w:themeColor="text1"/>
                <w:sz w:val="21"/>
                <w:szCs w:val="21"/>
                <w:highlight w:val="none"/>
                <w14:textFill>
                  <w14:solidFill>
                    <w14:schemeClr w14:val="tx1"/>
                  </w14:solidFill>
                </w14:textFill>
              </w:rPr>
              <w:t>扣除。</w:t>
            </w:r>
          </w:p>
        </w:tc>
        <w:tc>
          <w:tcPr>
            <w:tcW w:w="3216" w:type="dxa"/>
            <w:noWrap/>
            <w:vAlign w:val="center"/>
          </w:tcPr>
          <w:p w14:paraId="37E478DE">
            <w:pPr>
              <w:pStyle w:val="39"/>
              <w:widowControl w:val="0"/>
              <w:shd w:val="clear"/>
              <w:snapToGrid w:val="0"/>
              <w:spacing w:line="240" w:lineRule="auto"/>
              <w:ind w:left="0" w:leftChars="0" w:right="0" w:rightChars="0" w:firstLine="0" w:firstLine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根据《政府采购促进中小企业发展管理办法》（财库〔2020〕46号）</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《关于进一步加大政府采购支持中小企业力度的通知》（财库（2022）19号），鼓励中小型企业参加本项目采购活动。</w:t>
            </w:r>
          </w:p>
        </w:tc>
      </w:tr>
      <w:tr w14:paraId="08C11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2226" w:type="dxa"/>
            <w:noWrap/>
            <w:vAlign w:val="center"/>
          </w:tcPr>
          <w:p w14:paraId="437EC815">
            <w:pPr>
              <w:pStyle w:val="39"/>
              <w:widowControl w:val="0"/>
              <w:shd w:val="clear"/>
              <w:snapToGrid w:val="0"/>
              <w:spacing w:line="240" w:lineRule="auto"/>
              <w:ind w:left="0" w:leftChars="0" w:right="0" w:rightChars="0" w:firstLine="0" w:firstLineChars="0"/>
              <w:jc w:val="left"/>
              <w:rPr>
                <w:rFonts w:hint="default" w:ascii="宋体" w:hAnsi="宋体"/>
                <w:color w:val="auto"/>
                <w:kern w:val="2"/>
                <w:sz w:val="21"/>
                <w:szCs w:val="21"/>
                <w:highlight w:val="none"/>
              </w:rPr>
            </w:pPr>
            <w:r>
              <w:rPr>
                <w:rFonts w:ascii="宋体" w:hAnsi="宋体"/>
                <w:color w:val="auto"/>
                <w:kern w:val="2"/>
                <w:sz w:val="21"/>
                <w:szCs w:val="21"/>
                <w:highlight w:val="none"/>
              </w:rPr>
              <w:t>促进残疾人就业政策</w:t>
            </w:r>
          </w:p>
        </w:tc>
        <w:tc>
          <w:tcPr>
            <w:tcW w:w="3216" w:type="dxa"/>
            <w:noWrap/>
            <w:vAlign w:val="center"/>
          </w:tcPr>
          <w:p w14:paraId="71F4235F">
            <w:pPr>
              <w:widowControl w:val="0"/>
              <w:snapToGrid w:val="0"/>
              <w:spacing w:line="240" w:lineRule="auto"/>
              <w:ind w:left="0" w:leftChars="0" w:right="0" w:rightChars="0" w:firstLine="0" w:firstLineChars="0"/>
              <w:jc w:val="left"/>
              <w:rPr>
                <w:rFonts w:hint="default" w:ascii="宋体" w:hAnsi="宋体"/>
                <w:color w:val="000000" w:themeColor="text1"/>
                <w:kern w:val="2"/>
                <w:sz w:val="21"/>
                <w:szCs w:val="21"/>
                <w:highlight w:val="none"/>
                <w14:textFill>
                  <w14:solidFill>
                    <w14:schemeClr w14:val="tx1"/>
                  </w14:solidFill>
                </w14:textFill>
              </w:rPr>
            </w:pPr>
            <w:r>
              <w:rPr>
                <w:rFonts w:hint="default" w:ascii="宋体" w:hAnsi="宋体"/>
                <w:color w:val="000000" w:themeColor="text1"/>
                <w:sz w:val="21"/>
                <w:szCs w:val="21"/>
                <w:highlight w:val="none"/>
                <w14:textFill>
                  <w14:solidFill>
                    <w14:schemeClr w14:val="tx1"/>
                  </w14:solidFill>
                </w14:textFill>
              </w:rPr>
              <w:t>专门面向中小企业采购项目</w:t>
            </w:r>
            <w:r>
              <w:rPr>
                <w:rFonts w:hint="eastAsia" w:ascii="宋体" w:hAnsi="宋体"/>
                <w:color w:val="000000" w:themeColor="text1"/>
                <w:sz w:val="21"/>
                <w:szCs w:val="21"/>
                <w:highlight w:val="none"/>
                <w:lang w:val="en-US" w:eastAsia="zh-CN"/>
                <w14:textFill>
                  <w14:solidFill>
                    <w14:schemeClr w14:val="tx1"/>
                  </w14:solidFill>
                </w14:textFill>
              </w:rPr>
              <w:t>、</w:t>
            </w:r>
            <w:r>
              <w:rPr>
                <w:rFonts w:hint="default" w:ascii="宋体" w:hAnsi="宋体"/>
                <w:color w:val="000000" w:themeColor="text1"/>
                <w:sz w:val="21"/>
                <w:szCs w:val="21"/>
                <w:highlight w:val="none"/>
                <w14:textFill>
                  <w14:solidFill>
                    <w14:schemeClr w14:val="tx1"/>
                  </w14:solidFill>
                </w14:textFill>
              </w:rPr>
              <w:t>预留份额面向中小企业采购项目。</w:t>
            </w:r>
            <w:r>
              <w:rPr>
                <w:rFonts w:ascii="宋体" w:hAnsi="宋体"/>
                <w:color w:val="000000" w:themeColor="text1"/>
                <w:sz w:val="21"/>
                <w:szCs w:val="21"/>
                <w:highlight w:val="none"/>
                <w14:textFill>
                  <w14:solidFill>
                    <w14:schemeClr w14:val="tx1"/>
                  </w14:solidFill>
                </w14:textFill>
              </w:rPr>
              <w:t>不再</w:t>
            </w:r>
            <w:r>
              <w:rPr>
                <w:rFonts w:hint="eastAsia" w:ascii="宋体" w:hAnsi="宋体"/>
                <w:color w:val="000000" w:themeColor="text1"/>
                <w:sz w:val="21"/>
                <w:szCs w:val="21"/>
                <w:highlight w:val="none"/>
                <w:lang w:val="en-US" w:eastAsia="zh-CN"/>
                <w14:textFill>
                  <w14:solidFill>
                    <w14:schemeClr w14:val="tx1"/>
                  </w14:solidFill>
                </w14:textFill>
              </w:rPr>
              <w:t>对其投标</w:t>
            </w:r>
            <w:r>
              <w:rPr>
                <w:rFonts w:ascii="宋体" w:hAnsi="宋体"/>
                <w:color w:val="000000" w:themeColor="text1"/>
                <w:sz w:val="21"/>
                <w:szCs w:val="21"/>
                <w:highlight w:val="none"/>
                <w14:textFill>
                  <w14:solidFill>
                    <w14:schemeClr w14:val="tx1"/>
                  </w14:solidFill>
                </w14:textFill>
              </w:rPr>
              <w:t>报价</w:t>
            </w:r>
            <w:r>
              <w:rPr>
                <w:rFonts w:hint="default" w:ascii="宋体" w:hAnsi="宋体"/>
                <w:color w:val="000000" w:themeColor="text1"/>
                <w:sz w:val="21"/>
                <w:szCs w:val="21"/>
                <w:highlight w:val="none"/>
                <w14:textFill>
                  <w14:solidFill>
                    <w14:schemeClr w14:val="tx1"/>
                  </w14:solidFill>
                </w14:textFill>
              </w:rPr>
              <w:t>给予</w:t>
            </w:r>
            <w:r>
              <w:rPr>
                <w:rFonts w:hint="eastAsia" w:ascii="宋体" w:hAnsi="宋体"/>
                <w:color w:val="000000" w:themeColor="text1"/>
                <w:sz w:val="21"/>
                <w:szCs w:val="21"/>
                <w:highlight w:val="none"/>
                <w:lang w:val="en-US" w:eastAsia="zh-CN"/>
                <w14:textFill>
                  <w14:solidFill>
                    <w14:schemeClr w14:val="tx1"/>
                  </w14:solidFill>
                </w14:textFill>
              </w:rPr>
              <w:t>价格</w:t>
            </w:r>
            <w:r>
              <w:rPr>
                <w:rFonts w:hint="default" w:ascii="宋体" w:hAnsi="宋体"/>
                <w:color w:val="000000" w:themeColor="text1"/>
                <w:sz w:val="21"/>
                <w:szCs w:val="21"/>
                <w:highlight w:val="none"/>
                <w14:textFill>
                  <w14:solidFill>
                    <w14:schemeClr w14:val="tx1"/>
                  </w14:solidFill>
                </w14:textFill>
              </w:rPr>
              <w:t>扣除。</w:t>
            </w:r>
          </w:p>
        </w:tc>
        <w:tc>
          <w:tcPr>
            <w:tcW w:w="3216" w:type="dxa"/>
            <w:noWrap/>
            <w:vAlign w:val="center"/>
          </w:tcPr>
          <w:p w14:paraId="426EAE5B">
            <w:pPr>
              <w:pStyle w:val="39"/>
              <w:widowControl w:val="0"/>
              <w:shd w:val="clear"/>
              <w:snapToGrid w:val="0"/>
              <w:spacing w:line="240" w:lineRule="auto"/>
              <w:ind w:left="0" w:leftChars="0" w:right="0" w:rightChars="0" w:firstLine="0" w:firstLine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根据《关于促进残疾人就业政府采购政策的通知》（财库〔2017〕141号），残疾人福利性单位视同小型、微型企业</w:t>
            </w:r>
          </w:p>
        </w:tc>
      </w:tr>
      <w:tr w14:paraId="48F60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2226" w:type="dxa"/>
            <w:noWrap/>
            <w:vAlign w:val="center"/>
          </w:tcPr>
          <w:p w14:paraId="4692C2B4">
            <w:pPr>
              <w:pStyle w:val="39"/>
              <w:widowControl w:val="0"/>
              <w:shd w:val="clear"/>
              <w:snapToGrid w:val="0"/>
              <w:spacing w:line="240" w:lineRule="auto"/>
              <w:ind w:left="0" w:leftChars="0" w:right="0" w:rightChars="0" w:firstLine="0" w:firstLineChars="0"/>
              <w:jc w:val="left"/>
              <w:rPr>
                <w:rFonts w:hint="default" w:ascii="宋体" w:hAnsi="宋体"/>
                <w:color w:val="auto"/>
                <w:kern w:val="2"/>
                <w:sz w:val="21"/>
                <w:szCs w:val="21"/>
                <w:highlight w:val="none"/>
              </w:rPr>
            </w:pPr>
            <w:r>
              <w:rPr>
                <w:rFonts w:ascii="宋体" w:hAnsi="宋体"/>
                <w:color w:val="auto"/>
                <w:kern w:val="2"/>
                <w:sz w:val="21"/>
                <w:szCs w:val="21"/>
                <w:highlight w:val="none"/>
              </w:rPr>
              <w:t>支持监狱企业</w:t>
            </w:r>
          </w:p>
          <w:p w14:paraId="4C8C4693">
            <w:pPr>
              <w:pStyle w:val="39"/>
              <w:widowControl w:val="0"/>
              <w:shd w:val="clear"/>
              <w:snapToGrid w:val="0"/>
              <w:spacing w:line="240" w:lineRule="auto"/>
              <w:ind w:left="0" w:leftChars="0" w:right="0" w:rightChars="0" w:firstLine="0" w:firstLineChars="0"/>
              <w:jc w:val="left"/>
              <w:rPr>
                <w:rFonts w:hint="default" w:ascii="宋体" w:hAnsi="宋体"/>
                <w:color w:val="auto"/>
                <w:kern w:val="2"/>
                <w:sz w:val="21"/>
                <w:szCs w:val="21"/>
                <w:highlight w:val="none"/>
              </w:rPr>
            </w:pPr>
            <w:r>
              <w:rPr>
                <w:rFonts w:ascii="宋体" w:hAnsi="宋体"/>
                <w:color w:val="auto"/>
                <w:kern w:val="2"/>
                <w:sz w:val="21"/>
                <w:szCs w:val="21"/>
                <w:highlight w:val="none"/>
              </w:rPr>
              <w:t>发展政策</w:t>
            </w:r>
          </w:p>
        </w:tc>
        <w:tc>
          <w:tcPr>
            <w:tcW w:w="3216" w:type="dxa"/>
            <w:noWrap/>
            <w:vAlign w:val="center"/>
          </w:tcPr>
          <w:p w14:paraId="7F7D610E">
            <w:pPr>
              <w:snapToGrid w:val="0"/>
              <w:spacing w:line="240" w:lineRule="auto"/>
              <w:ind w:left="0" w:leftChars="0" w:right="0" w:rightChars="0" w:firstLine="0" w:firstLineChars="0"/>
              <w:jc w:val="left"/>
              <w:rPr>
                <w:rFonts w:hint="default" w:ascii="宋体" w:hAnsi="宋体"/>
                <w:color w:val="000000" w:themeColor="text1"/>
                <w:kern w:val="2"/>
                <w:sz w:val="21"/>
                <w:szCs w:val="21"/>
                <w:highlight w:val="none"/>
                <w14:textFill>
                  <w14:solidFill>
                    <w14:schemeClr w14:val="tx1"/>
                  </w14:solidFill>
                </w14:textFill>
              </w:rPr>
            </w:pPr>
            <w:r>
              <w:rPr>
                <w:rFonts w:hint="default" w:ascii="宋体" w:hAnsi="宋体"/>
                <w:color w:val="000000" w:themeColor="text1"/>
                <w:sz w:val="21"/>
                <w:szCs w:val="21"/>
                <w:highlight w:val="none"/>
                <w14:textFill>
                  <w14:solidFill>
                    <w14:schemeClr w14:val="tx1"/>
                  </w14:solidFill>
                </w14:textFill>
              </w:rPr>
              <w:t>专门面向中小企业采购项目</w:t>
            </w:r>
            <w:r>
              <w:rPr>
                <w:rFonts w:hint="eastAsia" w:ascii="宋体" w:hAnsi="宋体"/>
                <w:color w:val="000000" w:themeColor="text1"/>
                <w:sz w:val="21"/>
                <w:szCs w:val="21"/>
                <w:highlight w:val="none"/>
                <w:lang w:val="en-US" w:eastAsia="zh-CN"/>
                <w14:textFill>
                  <w14:solidFill>
                    <w14:schemeClr w14:val="tx1"/>
                  </w14:solidFill>
                </w14:textFill>
              </w:rPr>
              <w:t>、</w:t>
            </w:r>
            <w:r>
              <w:rPr>
                <w:rFonts w:hint="default" w:ascii="宋体" w:hAnsi="宋体"/>
                <w:color w:val="000000" w:themeColor="text1"/>
                <w:sz w:val="21"/>
                <w:szCs w:val="21"/>
                <w:highlight w:val="none"/>
                <w14:textFill>
                  <w14:solidFill>
                    <w14:schemeClr w14:val="tx1"/>
                  </w14:solidFill>
                </w14:textFill>
              </w:rPr>
              <w:t>预留份额面向中小企业采购项目。</w:t>
            </w:r>
            <w:r>
              <w:rPr>
                <w:rFonts w:ascii="宋体" w:hAnsi="宋体"/>
                <w:color w:val="000000" w:themeColor="text1"/>
                <w:sz w:val="21"/>
                <w:szCs w:val="21"/>
                <w:highlight w:val="none"/>
                <w14:textFill>
                  <w14:solidFill>
                    <w14:schemeClr w14:val="tx1"/>
                  </w14:solidFill>
                </w14:textFill>
              </w:rPr>
              <w:t>不再</w:t>
            </w:r>
            <w:r>
              <w:rPr>
                <w:rFonts w:hint="eastAsia" w:ascii="宋体" w:hAnsi="宋体"/>
                <w:color w:val="000000" w:themeColor="text1"/>
                <w:sz w:val="21"/>
                <w:szCs w:val="21"/>
                <w:highlight w:val="none"/>
                <w:lang w:val="en-US" w:eastAsia="zh-CN"/>
                <w14:textFill>
                  <w14:solidFill>
                    <w14:schemeClr w14:val="tx1"/>
                  </w14:solidFill>
                </w14:textFill>
              </w:rPr>
              <w:t>对其投标</w:t>
            </w:r>
            <w:r>
              <w:rPr>
                <w:rFonts w:ascii="宋体" w:hAnsi="宋体"/>
                <w:color w:val="000000" w:themeColor="text1"/>
                <w:sz w:val="21"/>
                <w:szCs w:val="21"/>
                <w:highlight w:val="none"/>
                <w14:textFill>
                  <w14:solidFill>
                    <w14:schemeClr w14:val="tx1"/>
                  </w14:solidFill>
                </w14:textFill>
              </w:rPr>
              <w:t>报价</w:t>
            </w:r>
            <w:r>
              <w:rPr>
                <w:rFonts w:hint="default" w:ascii="宋体" w:hAnsi="宋体"/>
                <w:color w:val="000000" w:themeColor="text1"/>
                <w:sz w:val="21"/>
                <w:szCs w:val="21"/>
                <w:highlight w:val="none"/>
                <w14:textFill>
                  <w14:solidFill>
                    <w14:schemeClr w14:val="tx1"/>
                  </w14:solidFill>
                </w14:textFill>
              </w:rPr>
              <w:t>给予</w:t>
            </w:r>
            <w:r>
              <w:rPr>
                <w:rFonts w:hint="eastAsia" w:ascii="宋体" w:hAnsi="宋体"/>
                <w:color w:val="000000" w:themeColor="text1"/>
                <w:sz w:val="21"/>
                <w:szCs w:val="21"/>
                <w:highlight w:val="none"/>
                <w:lang w:val="en-US" w:eastAsia="zh-CN"/>
                <w14:textFill>
                  <w14:solidFill>
                    <w14:schemeClr w14:val="tx1"/>
                  </w14:solidFill>
                </w14:textFill>
              </w:rPr>
              <w:t>价格</w:t>
            </w:r>
            <w:r>
              <w:rPr>
                <w:rFonts w:hint="default" w:ascii="宋体" w:hAnsi="宋体"/>
                <w:color w:val="000000" w:themeColor="text1"/>
                <w:sz w:val="21"/>
                <w:szCs w:val="21"/>
                <w:highlight w:val="none"/>
                <w14:textFill>
                  <w14:solidFill>
                    <w14:schemeClr w14:val="tx1"/>
                  </w14:solidFill>
                </w14:textFill>
              </w:rPr>
              <w:t>扣除。</w:t>
            </w:r>
          </w:p>
        </w:tc>
        <w:tc>
          <w:tcPr>
            <w:tcW w:w="3216" w:type="dxa"/>
            <w:noWrap/>
            <w:vAlign w:val="center"/>
          </w:tcPr>
          <w:p w14:paraId="54ADFA58">
            <w:pPr>
              <w:pStyle w:val="39"/>
              <w:widowControl w:val="0"/>
              <w:shd w:val="clear"/>
              <w:snapToGrid w:val="0"/>
              <w:spacing w:line="240" w:lineRule="auto"/>
              <w:ind w:left="0" w:leftChars="0" w:right="0" w:rightChars="0" w:firstLine="0" w:firstLineChars="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根据《关于政府采购支持监狱企业发展有关问题的通知》（财库〔2014〕68号），监狱企业视同小型、微型企业</w:t>
            </w:r>
          </w:p>
        </w:tc>
      </w:tr>
    </w:tbl>
    <w:p w14:paraId="26453A1C">
      <w:pPr>
        <w:pStyle w:val="39"/>
        <w:widowControl w:val="0"/>
        <w:shd w:val="clear"/>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2.4推荐中标候选人</w:t>
      </w:r>
    </w:p>
    <w:p w14:paraId="2FA8238A">
      <w:pPr>
        <w:shd w:val="clear"/>
        <w:rPr>
          <w:rFonts w:hint="eastAsia" w:ascii="宋体" w:hAnsi="宋体" w:eastAsia="宋体" w:cs="宋体"/>
          <w:color w:val="auto"/>
          <w:highlight w:val="none"/>
        </w:rPr>
      </w:pPr>
      <w:r>
        <w:rPr>
          <w:rFonts w:hint="eastAsia" w:ascii="宋体" w:hAnsi="宋体" w:eastAsia="宋体" w:cs="宋体"/>
          <w:color w:val="auto"/>
          <w:highlight w:val="none"/>
        </w:rPr>
        <w:t>2.4.1按评审后得分由高到低顺序排列。得分相同的，按投标报价由低到高顺序排列。得分且投标报价相同的并列。</w:t>
      </w:r>
    </w:p>
    <w:p w14:paraId="0A645D9F">
      <w:pPr>
        <w:pStyle w:val="13"/>
        <w:rPr>
          <w:rFonts w:hint="eastAsia" w:ascii="宋体" w:hAnsi="宋体" w:eastAsia="宋体" w:cs="宋体"/>
          <w:color w:val="auto"/>
          <w:highlight w:val="none"/>
        </w:rPr>
      </w:pPr>
      <w:r>
        <w:rPr>
          <w:rFonts w:hint="eastAsia" w:ascii="宋体" w:hAnsi="宋体" w:eastAsia="宋体" w:cs="宋体"/>
          <w:color w:val="auto"/>
          <w:highlight w:val="none"/>
        </w:rPr>
        <w:t>2.4.2推荐中标候选人的数量：</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3</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家。</w:t>
      </w:r>
    </w:p>
    <w:p w14:paraId="368984FB">
      <w:pPr>
        <w:shd w:val="clear"/>
        <w:rPr>
          <w:rFonts w:hint="eastAsia" w:ascii="宋体" w:hAnsi="宋体" w:eastAsia="宋体" w:cs="宋体"/>
          <w:color w:val="auto"/>
          <w:szCs w:val="20"/>
          <w:highlight w:val="none"/>
        </w:rPr>
      </w:pPr>
      <w:r>
        <w:rPr>
          <w:rFonts w:hint="eastAsia" w:ascii="宋体" w:hAnsi="宋体" w:eastAsia="宋体" w:cs="宋体"/>
          <w:color w:val="auto"/>
          <w:highlight w:val="none"/>
        </w:rPr>
        <w:t>2.4.3中标人数量：</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1</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家。</w:t>
      </w:r>
    </w:p>
    <w:p w14:paraId="5603C4D3">
      <w:pPr>
        <w:shd w:val="clear"/>
        <w:rPr>
          <w:rFonts w:hint="eastAsia" w:ascii="宋体" w:hAnsi="宋体" w:eastAsia="宋体" w:cs="宋体"/>
          <w:color w:val="auto"/>
          <w:highlight w:val="none"/>
        </w:rPr>
      </w:pPr>
      <w:r>
        <w:rPr>
          <w:rFonts w:hint="eastAsia" w:ascii="宋体" w:hAnsi="宋体" w:eastAsia="宋体" w:cs="宋体"/>
          <w:color w:val="auto"/>
          <w:highlight w:val="none"/>
        </w:rPr>
        <w:t>中标候选人并列的，按照</w:t>
      </w:r>
      <w:r>
        <w:rPr>
          <w:rFonts w:hint="eastAsia" w:ascii="宋体" w:hAnsi="宋体" w:eastAsia="宋体" w:cs="宋体"/>
          <w:color w:val="auto"/>
          <w:highlight w:val="none"/>
          <w:u w:val="single"/>
        </w:rPr>
        <w:t xml:space="preserve"> 随机抽取 </w:t>
      </w:r>
      <w:r>
        <w:rPr>
          <w:rFonts w:hint="eastAsia" w:ascii="宋体" w:hAnsi="宋体" w:eastAsia="宋体" w:cs="宋体"/>
          <w:color w:val="auto"/>
          <w:highlight w:val="none"/>
        </w:rPr>
        <w:t>的方式确定中标人。招标文件未规定的，采取随机抽取的方式确定。</w:t>
      </w:r>
    </w:p>
    <w:p w14:paraId="645146EC">
      <w:pPr>
        <w:pStyle w:val="6"/>
        <w:shd w:val="clear"/>
        <w:rPr>
          <w:color w:val="auto"/>
          <w:highlight w:val="none"/>
        </w:rPr>
      </w:pPr>
    </w:p>
    <w:p w14:paraId="7D5F4CF9">
      <w:pPr>
        <w:pStyle w:val="6"/>
        <w:shd w:val="clear"/>
        <w:rPr>
          <w:color w:val="auto"/>
          <w:highlight w:val="none"/>
        </w:rPr>
      </w:pPr>
    </w:p>
    <w:p w14:paraId="1DAC9933">
      <w:pPr>
        <w:rPr>
          <w:color w:val="auto"/>
          <w:highlight w:val="none"/>
        </w:rPr>
      </w:pPr>
      <w:r>
        <w:rPr>
          <w:color w:val="auto"/>
          <w:highlight w:val="none"/>
        </w:rPr>
        <w:br w:type="page"/>
      </w:r>
    </w:p>
    <w:p w14:paraId="09941CC6">
      <w:pPr>
        <w:pStyle w:val="6"/>
        <w:shd w:val="clear"/>
        <w:jc w:val="center"/>
        <w:rPr>
          <w:rFonts w:hint="default"/>
          <w:color w:val="auto"/>
          <w:highlight w:val="none"/>
        </w:rPr>
      </w:pPr>
      <w:bookmarkStart w:id="74" w:name="_Toc30974"/>
      <w:r>
        <w:rPr>
          <w:color w:val="auto"/>
          <w:highlight w:val="none"/>
        </w:rPr>
        <w:t>第四章  政府采购合同文本</w:t>
      </w:r>
      <w:bookmarkEnd w:id="64"/>
      <w:bookmarkEnd w:id="65"/>
      <w:bookmarkEnd w:id="66"/>
      <w:bookmarkEnd w:id="67"/>
      <w:bookmarkEnd w:id="68"/>
      <w:bookmarkEnd w:id="69"/>
      <w:bookmarkEnd w:id="70"/>
      <w:bookmarkEnd w:id="71"/>
      <w:bookmarkEnd w:id="72"/>
      <w:bookmarkEnd w:id="73"/>
      <w:bookmarkEnd w:id="74"/>
    </w:p>
    <w:p w14:paraId="4B9A04CF">
      <w:pPr>
        <w:pStyle w:val="17"/>
        <w:jc w:val="center"/>
        <w:rPr>
          <w:rFonts w:hint="eastAsia" w:hAnsi="宋体" w:cs="宋体"/>
          <w:b/>
          <w:sz w:val="96"/>
          <w:szCs w:val="96"/>
          <w:highlight w:val="none"/>
        </w:rPr>
      </w:pPr>
    </w:p>
    <w:p w14:paraId="7AF417C2">
      <w:pPr>
        <w:pStyle w:val="17"/>
        <w:jc w:val="center"/>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合 同 书</w:t>
      </w:r>
    </w:p>
    <w:p w14:paraId="6363F1F3">
      <w:pPr>
        <w:pStyle w:val="17"/>
        <w:jc w:val="center"/>
        <w:rPr>
          <w:rFonts w:hint="eastAsia" w:ascii="宋体" w:hAnsi="宋体" w:eastAsia="宋体" w:cs="宋体"/>
          <w:b/>
          <w:bCs w:val="0"/>
          <w:sz w:val="32"/>
          <w:szCs w:val="32"/>
          <w:highlight w:val="none"/>
        </w:rPr>
      </w:pPr>
    </w:p>
    <w:p w14:paraId="5BB3E379">
      <w:pPr>
        <w:tabs>
          <w:tab w:val="left" w:pos="540"/>
          <w:tab w:val="left" w:pos="1080"/>
          <w:tab w:val="left" w:pos="1440"/>
        </w:tabs>
        <w:snapToGrid w:val="0"/>
        <w:jc w:val="both"/>
        <w:rPr>
          <w:rFonts w:hint="eastAsia" w:ascii="宋体" w:hAnsi="宋体" w:eastAsia="宋体" w:cs="宋体"/>
          <w:b/>
          <w:bCs w:val="0"/>
          <w:sz w:val="32"/>
          <w:szCs w:val="32"/>
          <w:highlight w:val="none"/>
        </w:rPr>
      </w:pPr>
    </w:p>
    <w:p w14:paraId="11C3FF36">
      <w:pPr>
        <w:keepNext w:val="0"/>
        <w:keepLines w:val="0"/>
        <w:pageBreakBefore w:val="0"/>
        <w:widowControl w:val="0"/>
        <w:tabs>
          <w:tab w:val="left" w:pos="2160"/>
        </w:tabs>
        <w:kinsoku/>
        <w:wordWrap/>
        <w:overflowPunct/>
        <w:topLinePunct/>
        <w:autoSpaceDE w:val="0"/>
        <w:autoSpaceDN w:val="0"/>
        <w:bidi w:val="0"/>
        <w:adjustRightInd/>
        <w:snapToGrid w:val="0"/>
        <w:spacing w:line="360" w:lineRule="auto"/>
        <w:ind w:left="2100" w:leftChars="1000"/>
        <w:textAlignment w:val="auto"/>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rPr>
        <w:t>项目名称：</w:t>
      </w:r>
      <w:r>
        <w:rPr>
          <w:rFonts w:hint="eastAsia" w:ascii="宋体" w:hAnsi="宋体" w:eastAsia="宋体" w:cs="宋体"/>
          <w:b/>
          <w:bCs w:val="0"/>
          <w:sz w:val="24"/>
          <w:szCs w:val="24"/>
          <w:highlight w:val="none"/>
          <w:u w:val="single"/>
        </w:rPr>
        <w:t xml:space="preserve"> </w:t>
      </w:r>
      <w:r>
        <w:rPr>
          <w:rFonts w:hint="eastAsia" w:ascii="宋体" w:hAnsi="宋体" w:cs="宋体"/>
          <w:b/>
          <w:bCs w:val="0"/>
          <w:sz w:val="24"/>
          <w:szCs w:val="24"/>
          <w:highlight w:val="none"/>
          <w:u w:val="single"/>
          <w:lang w:eastAsia="zh-CN"/>
        </w:rPr>
        <w:t>国家税务总局沭阳县税务局2026年食堂食材配送服务采购项目</w:t>
      </w:r>
    </w:p>
    <w:p w14:paraId="4E040B55">
      <w:pPr>
        <w:keepNext w:val="0"/>
        <w:keepLines w:val="0"/>
        <w:pageBreakBefore w:val="0"/>
        <w:widowControl w:val="0"/>
        <w:tabs>
          <w:tab w:val="left" w:pos="540"/>
          <w:tab w:val="left" w:pos="1080"/>
          <w:tab w:val="left" w:pos="1440"/>
        </w:tabs>
        <w:kinsoku/>
        <w:wordWrap/>
        <w:overflowPunct/>
        <w:topLinePunct/>
        <w:autoSpaceDE w:val="0"/>
        <w:autoSpaceDN w:val="0"/>
        <w:bidi w:val="0"/>
        <w:adjustRightInd/>
        <w:snapToGrid w:val="0"/>
        <w:spacing w:line="360" w:lineRule="auto"/>
        <w:ind w:left="2100" w:leftChars="1000"/>
        <w:textAlignment w:val="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合同编号：</w:t>
      </w:r>
      <w:r>
        <w:rPr>
          <w:rFonts w:hint="eastAsia" w:ascii="宋体" w:hAnsi="宋体" w:eastAsia="宋体" w:cs="宋体"/>
          <w:b/>
          <w:bCs w:val="0"/>
          <w:sz w:val="24"/>
          <w:szCs w:val="24"/>
          <w:highlight w:val="none"/>
          <w:u w:val="single"/>
        </w:rPr>
        <w:t xml:space="preserve">                   </w:t>
      </w:r>
      <w:r>
        <w:rPr>
          <w:rFonts w:hint="eastAsia" w:ascii="宋体" w:hAnsi="宋体" w:eastAsia="宋体" w:cs="宋体"/>
          <w:b/>
          <w:bCs w:val="0"/>
          <w:sz w:val="24"/>
          <w:szCs w:val="24"/>
          <w:highlight w:val="none"/>
        </w:rPr>
        <w:t xml:space="preserve"> </w:t>
      </w:r>
    </w:p>
    <w:p w14:paraId="478012A4">
      <w:pPr>
        <w:keepNext w:val="0"/>
        <w:keepLines w:val="0"/>
        <w:pageBreakBefore w:val="0"/>
        <w:widowControl w:val="0"/>
        <w:tabs>
          <w:tab w:val="left" w:pos="2160"/>
        </w:tabs>
        <w:kinsoku/>
        <w:wordWrap/>
        <w:overflowPunct/>
        <w:topLinePunct/>
        <w:autoSpaceDE w:val="0"/>
        <w:autoSpaceDN w:val="0"/>
        <w:bidi w:val="0"/>
        <w:adjustRightInd/>
        <w:snapToGrid w:val="0"/>
        <w:spacing w:line="360" w:lineRule="auto"/>
        <w:ind w:left="2885" w:leftChars="800" w:hanging="1205" w:hangingChars="500"/>
        <w:textAlignment w:val="auto"/>
        <w:rPr>
          <w:rFonts w:hint="eastAsia" w:ascii="宋体" w:hAnsi="宋体" w:eastAsia="宋体" w:cs="宋体"/>
          <w:b/>
          <w:bCs w:val="0"/>
          <w:sz w:val="24"/>
          <w:szCs w:val="24"/>
          <w:highlight w:val="none"/>
        </w:rPr>
      </w:pPr>
    </w:p>
    <w:p w14:paraId="25B0FF14">
      <w:pPr>
        <w:pStyle w:val="17"/>
        <w:keepNext w:val="0"/>
        <w:keepLines w:val="0"/>
        <w:pageBreakBefore w:val="0"/>
        <w:widowControl w:val="0"/>
        <w:kinsoku/>
        <w:wordWrap/>
        <w:overflowPunct/>
        <w:topLinePunct/>
        <w:autoSpaceDE w:val="0"/>
        <w:autoSpaceDN w:val="0"/>
        <w:bidi w:val="0"/>
        <w:adjustRightInd/>
        <w:spacing w:line="360" w:lineRule="auto"/>
        <w:jc w:val="center"/>
        <w:textAlignment w:val="auto"/>
        <w:rPr>
          <w:rFonts w:hint="eastAsia" w:ascii="宋体" w:hAnsi="宋体" w:eastAsia="宋体" w:cs="宋体"/>
          <w:b/>
          <w:bCs w:val="0"/>
          <w:sz w:val="24"/>
          <w:szCs w:val="24"/>
          <w:highlight w:val="none"/>
        </w:rPr>
      </w:pPr>
    </w:p>
    <w:p w14:paraId="141B82FA">
      <w:pPr>
        <w:pStyle w:val="17"/>
        <w:keepNext w:val="0"/>
        <w:keepLines w:val="0"/>
        <w:pageBreakBefore w:val="0"/>
        <w:widowControl w:val="0"/>
        <w:tabs>
          <w:tab w:val="left" w:pos="3045"/>
        </w:tabs>
        <w:kinsoku/>
        <w:wordWrap/>
        <w:overflowPunct/>
        <w:topLinePunct/>
        <w:autoSpaceDE w:val="0"/>
        <w:autoSpaceDN w:val="0"/>
        <w:bidi w:val="0"/>
        <w:adjustRightInd/>
        <w:spacing w:line="360" w:lineRule="auto"/>
        <w:textAlignment w:val="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ab/>
      </w:r>
    </w:p>
    <w:p w14:paraId="65310CEB">
      <w:pPr>
        <w:pStyle w:val="17"/>
        <w:keepNext w:val="0"/>
        <w:keepLines w:val="0"/>
        <w:pageBreakBefore w:val="0"/>
        <w:widowControl w:val="0"/>
        <w:kinsoku/>
        <w:wordWrap/>
        <w:overflowPunct/>
        <w:topLinePunct/>
        <w:autoSpaceDE w:val="0"/>
        <w:autoSpaceDN w:val="0"/>
        <w:bidi w:val="0"/>
        <w:adjustRightInd/>
        <w:spacing w:line="360" w:lineRule="auto"/>
        <w:textAlignment w:val="auto"/>
        <w:rPr>
          <w:rFonts w:hint="eastAsia" w:ascii="宋体" w:hAnsi="宋体" w:eastAsia="宋体" w:cs="宋体"/>
          <w:b/>
          <w:bCs w:val="0"/>
          <w:sz w:val="24"/>
          <w:szCs w:val="24"/>
          <w:highlight w:val="none"/>
        </w:rPr>
      </w:pPr>
    </w:p>
    <w:p w14:paraId="2701CCCA">
      <w:pPr>
        <w:pStyle w:val="17"/>
        <w:keepNext w:val="0"/>
        <w:keepLines w:val="0"/>
        <w:pageBreakBefore w:val="0"/>
        <w:widowControl w:val="0"/>
        <w:kinsoku/>
        <w:wordWrap/>
        <w:overflowPunct/>
        <w:topLinePunct/>
        <w:autoSpaceDE w:val="0"/>
        <w:autoSpaceDN w:val="0"/>
        <w:bidi w:val="0"/>
        <w:adjustRightInd/>
        <w:spacing w:line="360" w:lineRule="auto"/>
        <w:jc w:val="center"/>
        <w:textAlignment w:val="auto"/>
        <w:rPr>
          <w:rFonts w:hint="eastAsia" w:ascii="宋体" w:hAnsi="宋体" w:eastAsia="宋体" w:cs="宋体"/>
          <w:b/>
          <w:bCs w:val="0"/>
          <w:sz w:val="24"/>
          <w:szCs w:val="24"/>
          <w:highlight w:val="none"/>
        </w:rPr>
      </w:pPr>
    </w:p>
    <w:p w14:paraId="327362C4">
      <w:pPr>
        <w:keepNext w:val="0"/>
        <w:keepLines w:val="0"/>
        <w:pageBreakBefore w:val="0"/>
        <w:widowControl w:val="0"/>
        <w:kinsoku/>
        <w:wordWrap/>
        <w:overflowPunct/>
        <w:topLinePunct/>
        <w:autoSpaceDE w:val="0"/>
        <w:autoSpaceDN w:val="0"/>
        <w:bidi w:val="0"/>
        <w:adjustRightInd/>
        <w:spacing w:line="360" w:lineRule="auto"/>
        <w:ind w:left="840" w:leftChars="400" w:firstLine="1303" w:firstLineChars="541"/>
        <w:textAlignment w:val="auto"/>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rPr>
        <w:t xml:space="preserve">甲    方： </w:t>
      </w:r>
      <w:r>
        <w:rPr>
          <w:rFonts w:hint="eastAsia" w:ascii="宋体" w:hAnsi="宋体" w:cs="宋体"/>
          <w:b/>
          <w:bCs w:val="0"/>
          <w:sz w:val="24"/>
          <w:szCs w:val="24"/>
          <w:highlight w:val="none"/>
          <w:u w:val="single"/>
          <w:lang w:eastAsia="zh-CN"/>
        </w:rPr>
        <w:t>国家税务总局沭阳县税务局</w:t>
      </w:r>
    </w:p>
    <w:p w14:paraId="6F7D0A3A">
      <w:pPr>
        <w:keepNext w:val="0"/>
        <w:keepLines w:val="0"/>
        <w:pageBreakBefore w:val="0"/>
        <w:widowControl w:val="0"/>
        <w:kinsoku/>
        <w:wordWrap/>
        <w:overflowPunct/>
        <w:topLinePunct/>
        <w:autoSpaceDE w:val="0"/>
        <w:autoSpaceDN w:val="0"/>
        <w:bidi w:val="0"/>
        <w:adjustRightInd/>
        <w:spacing w:line="360" w:lineRule="auto"/>
        <w:ind w:left="840" w:leftChars="400" w:firstLine="1303" w:firstLineChars="541"/>
        <w:textAlignment w:val="auto"/>
        <w:rPr>
          <w:rFonts w:hint="eastAsia" w:ascii="宋体" w:hAnsi="宋体" w:eastAsia="宋体" w:cs="宋体"/>
          <w:b/>
          <w:bCs w:val="0"/>
          <w:sz w:val="24"/>
          <w:szCs w:val="24"/>
          <w:highlight w:val="none"/>
          <w:u w:val="single"/>
        </w:rPr>
      </w:pPr>
      <w:r>
        <w:rPr>
          <w:rFonts w:hint="eastAsia" w:ascii="宋体" w:hAnsi="宋体" w:eastAsia="宋体" w:cs="宋体"/>
          <w:b/>
          <w:bCs w:val="0"/>
          <w:sz w:val="24"/>
          <w:szCs w:val="24"/>
          <w:highlight w:val="none"/>
        </w:rPr>
        <w:t xml:space="preserve">乙    方： </w:t>
      </w:r>
      <w:r>
        <w:rPr>
          <w:rFonts w:hint="eastAsia" w:ascii="宋体" w:hAnsi="宋体" w:eastAsia="宋体" w:cs="宋体"/>
          <w:b/>
          <w:bCs w:val="0"/>
          <w:sz w:val="24"/>
          <w:szCs w:val="24"/>
          <w:highlight w:val="none"/>
          <w:u w:val="single"/>
        </w:rPr>
        <w:t xml:space="preserve">                     </w:t>
      </w:r>
    </w:p>
    <w:p w14:paraId="51E630DC">
      <w:pPr>
        <w:keepNext w:val="0"/>
        <w:keepLines w:val="0"/>
        <w:pageBreakBefore w:val="0"/>
        <w:widowControl w:val="0"/>
        <w:kinsoku/>
        <w:wordWrap/>
        <w:overflowPunct/>
        <w:topLinePunct/>
        <w:autoSpaceDE w:val="0"/>
        <w:autoSpaceDN w:val="0"/>
        <w:bidi w:val="0"/>
        <w:adjustRightInd/>
        <w:spacing w:line="360" w:lineRule="auto"/>
        <w:ind w:left="840" w:leftChars="400" w:firstLine="1303" w:firstLineChars="541"/>
        <w:textAlignment w:val="auto"/>
        <w:rPr>
          <w:rFonts w:hint="eastAsia" w:ascii="宋体" w:hAnsi="宋体" w:eastAsia="宋体" w:cs="宋体"/>
          <w:b/>
          <w:bCs w:val="0"/>
          <w:sz w:val="24"/>
          <w:szCs w:val="24"/>
          <w:highlight w:val="none"/>
          <w:u w:val="single"/>
        </w:rPr>
      </w:pPr>
      <w:r>
        <w:rPr>
          <w:rFonts w:hint="eastAsia" w:ascii="宋体" w:hAnsi="宋体" w:eastAsia="宋体" w:cs="宋体"/>
          <w:b/>
          <w:bCs w:val="0"/>
          <w:sz w:val="24"/>
          <w:szCs w:val="24"/>
          <w:highlight w:val="none"/>
        </w:rPr>
        <w:t xml:space="preserve">日    期： </w:t>
      </w:r>
      <w:r>
        <w:rPr>
          <w:rFonts w:hint="eastAsia" w:ascii="宋体" w:hAnsi="宋体" w:eastAsia="宋体" w:cs="宋体"/>
          <w:b/>
          <w:bCs w:val="0"/>
          <w:sz w:val="24"/>
          <w:szCs w:val="24"/>
          <w:highlight w:val="none"/>
          <w:u w:val="single"/>
        </w:rPr>
        <w:t xml:space="preserve">        年    月   日</w:t>
      </w:r>
    </w:p>
    <w:p w14:paraId="2DB7BBEE">
      <w:pPr>
        <w:keepNext w:val="0"/>
        <w:keepLines w:val="0"/>
        <w:pageBreakBefore w:val="0"/>
        <w:widowControl w:val="0"/>
        <w:kinsoku/>
        <w:wordWrap/>
        <w:overflowPunct/>
        <w:topLinePunct/>
        <w:autoSpaceDE w:val="0"/>
        <w:autoSpaceDN w:val="0"/>
        <w:bidi w:val="0"/>
        <w:adjustRightInd/>
        <w:snapToGrid/>
        <w:spacing w:line="300" w:lineRule="auto"/>
        <w:jc w:val="center"/>
        <w:textAlignment w:val="auto"/>
        <w:outlineLvl w:val="2"/>
        <w:rPr>
          <w:rFonts w:hint="eastAsia" w:ascii="宋体" w:hAnsi="宋体" w:eastAsia="宋体" w:cs="宋体"/>
          <w:b/>
          <w:sz w:val="24"/>
          <w:szCs w:val="24"/>
          <w:highlight w:val="none"/>
        </w:rPr>
      </w:pPr>
      <w:r>
        <w:rPr>
          <w:rFonts w:hint="eastAsia" w:ascii="宋体" w:hAnsi="宋体" w:eastAsia="宋体" w:cs="宋体"/>
          <w:bCs/>
          <w:sz w:val="24"/>
          <w:szCs w:val="24"/>
          <w:highlight w:val="none"/>
          <w:u w:val="single"/>
        </w:rPr>
        <w:br w:type="page"/>
      </w:r>
      <w:bookmarkStart w:id="75" w:name="_Toc24261"/>
      <w:bookmarkStart w:id="76" w:name="_Toc17101"/>
      <w:r>
        <w:rPr>
          <w:rFonts w:hint="eastAsia" w:ascii="宋体" w:hAnsi="宋体" w:eastAsia="宋体" w:cs="宋体"/>
          <w:b/>
          <w:sz w:val="24"/>
          <w:szCs w:val="24"/>
          <w:highlight w:val="none"/>
        </w:rPr>
        <w:t>合同条款前附表</w:t>
      </w:r>
      <w:bookmarkEnd w:id="75"/>
      <w:bookmarkEnd w:id="76"/>
    </w:p>
    <w:tbl>
      <w:tblPr>
        <w:tblStyle w:val="27"/>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409"/>
        <w:gridCol w:w="1500"/>
        <w:gridCol w:w="5779"/>
      </w:tblGrid>
      <w:tr w14:paraId="75CFE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noWrap w:val="0"/>
            <w:vAlign w:val="center"/>
          </w:tcPr>
          <w:p w14:paraId="3C7B33AC">
            <w:pPr>
              <w:tabs>
                <w:tab w:val="left" w:pos="700"/>
              </w:tabs>
              <w:adjustRightInd w:val="0"/>
              <w:snapToGrid w:val="0"/>
              <w:jc w:val="center"/>
              <w:rPr>
                <w:rFonts w:hint="eastAsia" w:ascii="宋体" w:hAnsi="宋体" w:eastAsia="宋体" w:cs="宋体"/>
                <w:b/>
                <w:szCs w:val="21"/>
                <w:highlight w:val="none"/>
              </w:rPr>
            </w:pPr>
            <w:r>
              <w:rPr>
                <w:rFonts w:hint="eastAsia" w:ascii="宋体" w:hAnsi="宋体" w:eastAsia="宋体" w:cs="宋体"/>
                <w:b/>
                <w:szCs w:val="21"/>
                <w:highlight w:val="none"/>
              </w:rPr>
              <w:t>序号</w:t>
            </w:r>
          </w:p>
        </w:tc>
        <w:tc>
          <w:tcPr>
            <w:tcW w:w="7688" w:type="dxa"/>
            <w:gridSpan w:val="3"/>
            <w:tcBorders>
              <w:top w:val="single" w:color="auto" w:sz="4" w:space="0"/>
              <w:left w:val="single" w:color="auto" w:sz="4" w:space="0"/>
              <w:bottom w:val="single" w:color="auto" w:sz="4" w:space="0"/>
              <w:right w:val="single" w:color="auto" w:sz="4" w:space="0"/>
            </w:tcBorders>
            <w:noWrap w:val="0"/>
            <w:vAlign w:val="center"/>
          </w:tcPr>
          <w:p w14:paraId="335FCE63">
            <w:pPr>
              <w:tabs>
                <w:tab w:val="left" w:pos="700"/>
              </w:tabs>
              <w:adjustRightInd w:val="0"/>
              <w:snapToGrid w:val="0"/>
              <w:jc w:val="center"/>
              <w:rPr>
                <w:rFonts w:hint="eastAsia" w:ascii="宋体" w:hAnsi="宋体" w:eastAsia="宋体" w:cs="宋体"/>
                <w:b/>
                <w:szCs w:val="21"/>
                <w:highlight w:val="none"/>
              </w:rPr>
            </w:pPr>
            <w:r>
              <w:rPr>
                <w:rFonts w:hint="eastAsia" w:ascii="宋体" w:hAnsi="宋体" w:eastAsia="宋体" w:cs="宋体"/>
                <w:b/>
                <w:szCs w:val="21"/>
                <w:highlight w:val="none"/>
              </w:rPr>
              <w:t>内        容</w:t>
            </w:r>
          </w:p>
        </w:tc>
      </w:tr>
      <w:tr w14:paraId="279F9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exact"/>
        </w:trPr>
        <w:tc>
          <w:tcPr>
            <w:tcW w:w="655" w:type="dxa"/>
            <w:tcBorders>
              <w:top w:val="single" w:color="auto" w:sz="4" w:space="0"/>
              <w:left w:val="single" w:color="auto" w:sz="4" w:space="0"/>
              <w:bottom w:val="single" w:color="auto" w:sz="4" w:space="0"/>
              <w:right w:val="single" w:color="auto" w:sz="4" w:space="0"/>
            </w:tcBorders>
            <w:noWrap w:val="0"/>
            <w:vAlign w:val="center"/>
          </w:tcPr>
          <w:p w14:paraId="330F8212">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1</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5039FF50">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合同名称</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3B6A634B">
            <w:pPr>
              <w:tabs>
                <w:tab w:val="left" w:pos="700"/>
              </w:tabs>
              <w:adjustRightInd w:val="0"/>
              <w:snapToGrid w:val="0"/>
              <w:rPr>
                <w:rFonts w:hint="eastAsia" w:ascii="宋体" w:hAnsi="宋体" w:eastAsia="宋体" w:cs="宋体"/>
                <w:bCs/>
                <w:szCs w:val="21"/>
                <w:highlight w:val="none"/>
                <w:lang w:eastAsia="zh-CN"/>
              </w:rPr>
            </w:pPr>
            <w:r>
              <w:rPr>
                <w:rFonts w:hint="eastAsia" w:ascii="宋体" w:hAnsi="宋体" w:cs="宋体"/>
                <w:bCs/>
                <w:szCs w:val="21"/>
                <w:highlight w:val="none"/>
                <w:lang w:eastAsia="zh-CN"/>
              </w:rPr>
              <w:t>国家税务总局沭阳县税务局2026年食堂食材配送服务采购项目</w:t>
            </w:r>
          </w:p>
        </w:tc>
      </w:tr>
      <w:tr w14:paraId="5A845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noWrap w:val="0"/>
            <w:vAlign w:val="center"/>
          </w:tcPr>
          <w:p w14:paraId="7A484851">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2</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4FA46C89">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合同编号</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0CB770EA">
            <w:pPr>
              <w:tabs>
                <w:tab w:val="left" w:pos="2160"/>
              </w:tabs>
              <w:topLinePunct/>
              <w:autoSpaceDE w:val="0"/>
              <w:autoSpaceDN w:val="0"/>
              <w:adjustRightInd w:val="0"/>
              <w:snapToGrid w:val="0"/>
              <w:rPr>
                <w:rFonts w:hint="eastAsia" w:ascii="宋体" w:hAnsi="宋体" w:eastAsia="宋体" w:cs="宋体"/>
                <w:bCs/>
                <w:szCs w:val="21"/>
                <w:highlight w:val="none"/>
              </w:rPr>
            </w:pPr>
          </w:p>
        </w:tc>
      </w:tr>
      <w:tr w14:paraId="62614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noWrap w:val="0"/>
            <w:vAlign w:val="center"/>
          </w:tcPr>
          <w:p w14:paraId="25773DA8">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3</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1461D3FE">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合同类型</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113A7D5C">
            <w:pPr>
              <w:tabs>
                <w:tab w:val="left" w:pos="2160"/>
              </w:tabs>
              <w:topLinePunct/>
              <w:autoSpaceDE w:val="0"/>
              <w:autoSpaceDN w:val="0"/>
              <w:adjustRightInd w:val="0"/>
              <w:snapToGrid w:val="0"/>
              <w:rPr>
                <w:rFonts w:hint="eastAsia" w:ascii="宋体" w:hAnsi="宋体" w:eastAsia="宋体" w:cs="宋体"/>
                <w:b/>
                <w:bCs/>
                <w:szCs w:val="21"/>
                <w:highlight w:val="none"/>
              </w:rPr>
            </w:pPr>
          </w:p>
        </w:tc>
      </w:tr>
      <w:tr w14:paraId="122B5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tcBorders>
              <w:top w:val="single" w:color="auto" w:sz="4" w:space="0"/>
              <w:left w:val="single" w:color="auto" w:sz="4" w:space="0"/>
              <w:bottom w:val="single" w:color="auto" w:sz="4" w:space="0"/>
              <w:right w:val="single" w:color="auto" w:sz="4" w:space="0"/>
            </w:tcBorders>
            <w:noWrap w:val="0"/>
            <w:vAlign w:val="center"/>
          </w:tcPr>
          <w:p w14:paraId="766926CF">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4</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1CE28414">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定价方式</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7E1B0738">
            <w:pPr>
              <w:tabs>
                <w:tab w:val="left" w:pos="2160"/>
              </w:tabs>
              <w:topLinePunct/>
              <w:autoSpaceDE w:val="0"/>
              <w:autoSpaceDN w:val="0"/>
              <w:adjustRightInd w:val="0"/>
              <w:snapToGrid w:val="0"/>
              <w:rPr>
                <w:rFonts w:hint="eastAsia" w:ascii="宋体" w:hAnsi="宋体" w:eastAsia="宋体" w:cs="宋体"/>
                <w:b/>
                <w:bCs/>
                <w:szCs w:val="21"/>
                <w:highlight w:val="none"/>
              </w:rPr>
            </w:pPr>
          </w:p>
        </w:tc>
      </w:tr>
      <w:tr w14:paraId="4AA9C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restart"/>
            <w:tcBorders>
              <w:top w:val="single" w:color="auto" w:sz="4" w:space="0"/>
              <w:left w:val="single" w:color="auto" w:sz="4" w:space="0"/>
              <w:right w:val="single" w:color="auto" w:sz="4" w:space="0"/>
            </w:tcBorders>
            <w:noWrap w:val="0"/>
            <w:vAlign w:val="center"/>
          </w:tcPr>
          <w:p w14:paraId="7DE8D53E">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5</w:t>
            </w:r>
          </w:p>
        </w:tc>
        <w:tc>
          <w:tcPr>
            <w:tcW w:w="1909" w:type="dxa"/>
            <w:gridSpan w:val="2"/>
            <w:tcBorders>
              <w:top w:val="single" w:color="auto" w:sz="4" w:space="0"/>
              <w:left w:val="single" w:color="auto" w:sz="4" w:space="0"/>
              <w:bottom w:val="single" w:color="auto" w:sz="6" w:space="0"/>
              <w:right w:val="single" w:color="auto" w:sz="6" w:space="0"/>
            </w:tcBorders>
            <w:noWrap w:val="0"/>
            <w:vAlign w:val="center"/>
          </w:tcPr>
          <w:p w14:paraId="42632B33">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甲方名称</w:t>
            </w:r>
          </w:p>
        </w:tc>
        <w:tc>
          <w:tcPr>
            <w:tcW w:w="5779" w:type="dxa"/>
            <w:tcBorders>
              <w:top w:val="single" w:color="auto" w:sz="4" w:space="0"/>
              <w:left w:val="single" w:color="auto" w:sz="6" w:space="0"/>
              <w:bottom w:val="single" w:color="auto" w:sz="6" w:space="0"/>
              <w:right w:val="single" w:color="auto" w:sz="4" w:space="0"/>
            </w:tcBorders>
            <w:noWrap w:val="0"/>
            <w:vAlign w:val="center"/>
          </w:tcPr>
          <w:p w14:paraId="09ED3243">
            <w:pPr>
              <w:rPr>
                <w:rFonts w:hint="eastAsia" w:ascii="宋体" w:hAnsi="宋体" w:eastAsia="宋体" w:cs="宋体"/>
                <w:szCs w:val="21"/>
                <w:highlight w:val="none"/>
                <w:lang w:eastAsia="zh-CN"/>
              </w:rPr>
            </w:pPr>
            <w:r>
              <w:rPr>
                <w:rFonts w:hint="eastAsia" w:ascii="Times New Roman" w:hAnsi="Times New Roman"/>
                <w:color w:val="000000"/>
                <w:szCs w:val="21"/>
                <w:highlight w:val="none"/>
                <w:lang w:eastAsia="zh-CN"/>
              </w:rPr>
              <w:t>国家税务总局沭阳县税务局</w:t>
            </w:r>
          </w:p>
        </w:tc>
      </w:tr>
      <w:tr w14:paraId="14F58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0F5B5030">
            <w:pPr>
              <w:widowControl/>
              <w:adjustRightInd w:val="0"/>
              <w:snapToGrid w:val="0"/>
              <w:rPr>
                <w:rFonts w:hint="eastAsia" w:ascii="宋体" w:hAnsi="宋体" w:eastAsia="宋体" w:cs="宋体"/>
                <w:szCs w:val="21"/>
                <w:highlight w:val="none"/>
              </w:rPr>
            </w:pPr>
          </w:p>
        </w:tc>
        <w:tc>
          <w:tcPr>
            <w:tcW w:w="1909" w:type="dxa"/>
            <w:gridSpan w:val="2"/>
            <w:tcBorders>
              <w:top w:val="single" w:color="auto" w:sz="6" w:space="0"/>
              <w:left w:val="single" w:color="auto" w:sz="4" w:space="0"/>
              <w:bottom w:val="single" w:color="auto" w:sz="6" w:space="0"/>
              <w:right w:val="single" w:color="auto" w:sz="6" w:space="0"/>
            </w:tcBorders>
            <w:noWrap w:val="0"/>
            <w:vAlign w:val="center"/>
          </w:tcPr>
          <w:p w14:paraId="37EFC732">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甲方地址</w:t>
            </w:r>
          </w:p>
        </w:tc>
        <w:tc>
          <w:tcPr>
            <w:tcW w:w="5779" w:type="dxa"/>
            <w:tcBorders>
              <w:top w:val="single" w:color="auto" w:sz="6" w:space="0"/>
              <w:left w:val="single" w:color="auto" w:sz="6" w:space="0"/>
              <w:bottom w:val="single" w:color="auto" w:sz="6" w:space="0"/>
              <w:right w:val="single" w:color="auto" w:sz="4" w:space="0"/>
            </w:tcBorders>
            <w:noWrap w:val="0"/>
            <w:vAlign w:val="center"/>
          </w:tcPr>
          <w:p w14:paraId="754A4693">
            <w:pPr>
              <w:rPr>
                <w:rFonts w:hint="eastAsia" w:ascii="宋体" w:hAnsi="宋体" w:eastAsia="宋体" w:cs="宋体"/>
                <w:szCs w:val="21"/>
                <w:highlight w:val="none"/>
                <w:lang w:eastAsia="zh-CN"/>
              </w:rPr>
            </w:pPr>
            <w:r>
              <w:rPr>
                <w:rFonts w:hint="eastAsia"/>
                <w:color w:val="000000"/>
                <w:highlight w:val="none"/>
                <w:lang w:eastAsia="zh-CN"/>
              </w:rPr>
              <w:t>沭阳县上海中路82号</w:t>
            </w:r>
          </w:p>
        </w:tc>
      </w:tr>
      <w:tr w14:paraId="5951A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07847DBE">
            <w:pPr>
              <w:widowControl/>
              <w:adjustRightInd w:val="0"/>
              <w:snapToGrid w:val="0"/>
              <w:rPr>
                <w:rFonts w:hint="eastAsia" w:ascii="宋体" w:hAnsi="宋体" w:eastAsia="宋体" w:cs="宋体"/>
                <w:szCs w:val="21"/>
                <w:highlight w:val="none"/>
              </w:rPr>
            </w:pPr>
          </w:p>
        </w:tc>
        <w:tc>
          <w:tcPr>
            <w:tcW w:w="409" w:type="dxa"/>
            <w:vMerge w:val="restart"/>
            <w:tcBorders>
              <w:top w:val="single" w:color="auto" w:sz="6" w:space="0"/>
              <w:left w:val="single" w:color="auto" w:sz="4" w:space="0"/>
              <w:right w:val="single" w:color="auto" w:sz="4" w:space="0"/>
            </w:tcBorders>
            <w:noWrap w:val="0"/>
            <w:vAlign w:val="center"/>
          </w:tcPr>
          <w:p w14:paraId="42C0BC41">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甲方相关部门</w:t>
            </w:r>
          </w:p>
        </w:tc>
        <w:tc>
          <w:tcPr>
            <w:tcW w:w="1500" w:type="dxa"/>
            <w:tcBorders>
              <w:top w:val="single" w:color="auto" w:sz="6" w:space="0"/>
              <w:left w:val="single" w:color="auto" w:sz="4" w:space="0"/>
              <w:bottom w:val="single" w:color="auto" w:sz="6" w:space="0"/>
              <w:right w:val="single" w:color="auto" w:sz="6" w:space="0"/>
            </w:tcBorders>
            <w:noWrap w:val="0"/>
            <w:vAlign w:val="center"/>
          </w:tcPr>
          <w:p w14:paraId="7BACFC33">
            <w:pPr>
              <w:tabs>
                <w:tab w:val="left" w:pos="700"/>
              </w:tabs>
              <w:adjustRightInd w:val="0"/>
              <w:snapToGrid w:val="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甲方采购部门</w:t>
            </w:r>
          </w:p>
        </w:tc>
        <w:tc>
          <w:tcPr>
            <w:tcW w:w="5779" w:type="dxa"/>
            <w:tcBorders>
              <w:top w:val="single" w:color="auto" w:sz="6" w:space="0"/>
              <w:left w:val="single" w:color="auto" w:sz="6" w:space="0"/>
              <w:bottom w:val="single" w:color="auto" w:sz="6" w:space="0"/>
              <w:right w:val="single" w:color="auto" w:sz="4" w:space="0"/>
            </w:tcBorders>
            <w:noWrap w:val="0"/>
            <w:vAlign w:val="center"/>
          </w:tcPr>
          <w:p w14:paraId="3FF8101E">
            <w:pPr>
              <w:tabs>
                <w:tab w:val="left" w:pos="700"/>
              </w:tabs>
              <w:adjustRightInd w:val="0"/>
              <w:snapToGrid w:val="0"/>
              <w:jc w:val="left"/>
              <w:rPr>
                <w:rFonts w:hint="default" w:ascii="宋体" w:hAnsi="宋体" w:eastAsia="宋体" w:cs="宋体"/>
                <w:szCs w:val="21"/>
                <w:highlight w:val="none"/>
                <w:lang w:val="en-US" w:eastAsia="zh-CN"/>
              </w:rPr>
            </w:pPr>
            <w:r>
              <w:rPr>
                <w:rFonts w:hint="eastAsia" w:ascii="Times New Roman" w:hAnsi="Times New Roman"/>
                <w:szCs w:val="21"/>
                <w:highlight w:val="none"/>
                <w:lang w:eastAsia="zh-CN"/>
              </w:rPr>
              <w:t>国家税务总局沭阳县税务局</w:t>
            </w:r>
            <w:r>
              <w:rPr>
                <w:rFonts w:hint="eastAsia" w:ascii="Times New Roman" w:hAnsi="Times New Roman"/>
                <w:szCs w:val="21"/>
                <w:highlight w:val="none"/>
                <w:lang w:val="en-US" w:eastAsia="zh-CN"/>
              </w:rPr>
              <w:t>收入核算股</w:t>
            </w:r>
          </w:p>
        </w:tc>
      </w:tr>
      <w:tr w14:paraId="2DDBE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1177B46E">
            <w:pPr>
              <w:widowControl/>
              <w:adjustRightInd w:val="0"/>
              <w:snapToGrid w:val="0"/>
              <w:rPr>
                <w:rFonts w:hint="eastAsia" w:ascii="宋体" w:hAnsi="宋体" w:eastAsia="宋体" w:cs="宋体"/>
                <w:szCs w:val="21"/>
                <w:highlight w:val="none"/>
              </w:rPr>
            </w:pPr>
          </w:p>
        </w:tc>
        <w:tc>
          <w:tcPr>
            <w:tcW w:w="409" w:type="dxa"/>
            <w:vMerge w:val="continue"/>
            <w:tcBorders>
              <w:left w:val="single" w:color="auto" w:sz="4" w:space="0"/>
              <w:right w:val="single" w:color="auto" w:sz="4" w:space="0"/>
            </w:tcBorders>
            <w:noWrap w:val="0"/>
            <w:vAlign w:val="center"/>
          </w:tcPr>
          <w:p w14:paraId="4EBC9BF7">
            <w:pPr>
              <w:tabs>
                <w:tab w:val="left" w:pos="700"/>
              </w:tabs>
              <w:adjustRightInd w:val="0"/>
              <w:snapToGrid w:val="0"/>
              <w:jc w:val="center"/>
              <w:rPr>
                <w:rFonts w:hint="eastAsia" w:ascii="宋体" w:hAnsi="宋体" w:eastAsia="宋体" w:cs="宋体"/>
                <w:szCs w:val="21"/>
                <w:highlight w:val="none"/>
              </w:rPr>
            </w:pPr>
          </w:p>
        </w:tc>
        <w:tc>
          <w:tcPr>
            <w:tcW w:w="1500" w:type="dxa"/>
            <w:tcBorders>
              <w:top w:val="single" w:color="auto" w:sz="6" w:space="0"/>
              <w:left w:val="single" w:color="auto" w:sz="4" w:space="0"/>
              <w:bottom w:val="single" w:color="auto" w:sz="6" w:space="0"/>
              <w:right w:val="single" w:color="auto" w:sz="6" w:space="0"/>
            </w:tcBorders>
            <w:noWrap w:val="0"/>
            <w:vAlign w:val="center"/>
          </w:tcPr>
          <w:p w14:paraId="3F70E24A">
            <w:pPr>
              <w:tabs>
                <w:tab w:val="left" w:pos="700"/>
              </w:tabs>
              <w:adjustRightInd w:val="0"/>
              <w:snapToGrid w:val="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联系人</w:t>
            </w:r>
          </w:p>
        </w:tc>
        <w:tc>
          <w:tcPr>
            <w:tcW w:w="5779" w:type="dxa"/>
            <w:tcBorders>
              <w:top w:val="single" w:color="auto" w:sz="6" w:space="0"/>
              <w:left w:val="single" w:color="auto" w:sz="6" w:space="0"/>
              <w:bottom w:val="single" w:color="auto" w:sz="6" w:space="0"/>
              <w:right w:val="single" w:color="auto" w:sz="4" w:space="0"/>
            </w:tcBorders>
            <w:noWrap w:val="0"/>
            <w:vAlign w:val="center"/>
          </w:tcPr>
          <w:p w14:paraId="56D33ABA">
            <w:pPr>
              <w:rPr>
                <w:rFonts w:hint="eastAsia" w:cs="Times New Roman"/>
                <w:color w:val="000000"/>
                <w:highlight w:val="none"/>
                <w:lang w:eastAsia="zh-CN"/>
              </w:rPr>
            </w:pPr>
            <w:r>
              <w:rPr>
                <w:rFonts w:hint="eastAsia"/>
                <w:color w:val="auto"/>
                <w:highlight w:val="none"/>
                <w:lang w:eastAsia="zh-CN"/>
              </w:rPr>
              <w:t>黄老师</w:t>
            </w:r>
          </w:p>
        </w:tc>
      </w:tr>
      <w:tr w14:paraId="6B7B9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7DBA29F2">
            <w:pPr>
              <w:widowControl/>
              <w:adjustRightInd w:val="0"/>
              <w:snapToGrid w:val="0"/>
              <w:rPr>
                <w:rFonts w:hint="eastAsia" w:ascii="宋体" w:hAnsi="宋体" w:eastAsia="宋体" w:cs="宋体"/>
                <w:szCs w:val="21"/>
                <w:highlight w:val="none"/>
              </w:rPr>
            </w:pPr>
          </w:p>
        </w:tc>
        <w:tc>
          <w:tcPr>
            <w:tcW w:w="409" w:type="dxa"/>
            <w:vMerge w:val="continue"/>
            <w:tcBorders>
              <w:left w:val="single" w:color="auto" w:sz="4" w:space="0"/>
              <w:right w:val="single" w:color="auto" w:sz="4" w:space="0"/>
            </w:tcBorders>
            <w:noWrap w:val="0"/>
            <w:vAlign w:val="center"/>
          </w:tcPr>
          <w:p w14:paraId="735ED50D">
            <w:pPr>
              <w:tabs>
                <w:tab w:val="left" w:pos="700"/>
              </w:tabs>
              <w:adjustRightInd w:val="0"/>
              <w:snapToGrid w:val="0"/>
              <w:jc w:val="center"/>
              <w:rPr>
                <w:rFonts w:hint="eastAsia" w:ascii="宋体" w:hAnsi="宋体" w:eastAsia="宋体" w:cs="宋体"/>
                <w:szCs w:val="21"/>
                <w:highlight w:val="none"/>
              </w:rPr>
            </w:pPr>
          </w:p>
        </w:tc>
        <w:tc>
          <w:tcPr>
            <w:tcW w:w="1500" w:type="dxa"/>
            <w:tcBorders>
              <w:top w:val="single" w:color="auto" w:sz="6" w:space="0"/>
              <w:left w:val="single" w:color="auto" w:sz="4" w:space="0"/>
              <w:bottom w:val="single" w:color="auto" w:sz="4" w:space="0"/>
              <w:right w:val="single" w:color="auto" w:sz="6" w:space="0"/>
            </w:tcBorders>
            <w:noWrap w:val="0"/>
            <w:vAlign w:val="center"/>
          </w:tcPr>
          <w:p w14:paraId="42A3E22C">
            <w:pPr>
              <w:tabs>
                <w:tab w:val="left" w:pos="700"/>
              </w:tabs>
              <w:adjustRightInd w:val="0"/>
              <w:snapToGrid w:val="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联系电话</w:t>
            </w:r>
          </w:p>
        </w:tc>
        <w:tc>
          <w:tcPr>
            <w:tcW w:w="5779" w:type="dxa"/>
            <w:tcBorders>
              <w:top w:val="single" w:color="auto" w:sz="6" w:space="0"/>
              <w:left w:val="single" w:color="auto" w:sz="6" w:space="0"/>
              <w:bottom w:val="single" w:color="auto" w:sz="4" w:space="0"/>
              <w:right w:val="single" w:color="auto" w:sz="4" w:space="0"/>
            </w:tcBorders>
            <w:noWrap w:val="0"/>
            <w:vAlign w:val="center"/>
          </w:tcPr>
          <w:p w14:paraId="137BE32B">
            <w:pPr>
              <w:rPr>
                <w:rFonts w:hint="eastAsia" w:cs="Times New Roman"/>
                <w:color w:val="000000"/>
                <w:highlight w:val="none"/>
                <w:lang w:eastAsia="zh-CN"/>
              </w:rPr>
            </w:pPr>
            <w:r>
              <w:rPr>
                <w:rFonts w:hint="eastAsia"/>
                <w:color w:val="auto"/>
                <w:highlight w:val="none"/>
                <w:lang w:eastAsia="zh-CN"/>
              </w:rPr>
              <w:t>0527-</w:t>
            </w:r>
            <w:r>
              <w:rPr>
                <w:rFonts w:hint="eastAsia"/>
                <w:color w:val="auto"/>
                <w:highlight w:val="none"/>
                <w:lang w:val="en-US" w:eastAsia="zh-CN"/>
              </w:rPr>
              <w:t>80819939</w:t>
            </w:r>
          </w:p>
        </w:tc>
      </w:tr>
      <w:tr w14:paraId="6E7FE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5DB1BB82">
            <w:pPr>
              <w:widowControl/>
              <w:adjustRightInd w:val="0"/>
              <w:snapToGrid w:val="0"/>
              <w:rPr>
                <w:rFonts w:hint="eastAsia" w:ascii="宋体" w:hAnsi="宋体" w:eastAsia="宋体" w:cs="宋体"/>
                <w:szCs w:val="21"/>
                <w:highlight w:val="none"/>
              </w:rPr>
            </w:pPr>
          </w:p>
        </w:tc>
        <w:tc>
          <w:tcPr>
            <w:tcW w:w="409" w:type="dxa"/>
            <w:vMerge w:val="continue"/>
            <w:tcBorders>
              <w:left w:val="single" w:color="auto" w:sz="4" w:space="0"/>
              <w:right w:val="single" w:color="auto" w:sz="4" w:space="0"/>
            </w:tcBorders>
            <w:noWrap w:val="0"/>
            <w:vAlign w:val="center"/>
          </w:tcPr>
          <w:p w14:paraId="6C11DC2F">
            <w:pPr>
              <w:tabs>
                <w:tab w:val="left" w:pos="700"/>
              </w:tabs>
              <w:adjustRightInd w:val="0"/>
              <w:snapToGrid w:val="0"/>
              <w:jc w:val="center"/>
              <w:rPr>
                <w:rFonts w:hint="eastAsia" w:ascii="宋体" w:hAnsi="宋体" w:eastAsia="宋体" w:cs="宋体"/>
                <w:szCs w:val="21"/>
                <w:highlight w:val="none"/>
              </w:rPr>
            </w:pPr>
          </w:p>
        </w:tc>
        <w:tc>
          <w:tcPr>
            <w:tcW w:w="1500" w:type="dxa"/>
            <w:tcBorders>
              <w:top w:val="single" w:color="auto" w:sz="6" w:space="0"/>
              <w:left w:val="single" w:color="auto" w:sz="4" w:space="0"/>
              <w:bottom w:val="single" w:color="auto" w:sz="4" w:space="0"/>
              <w:right w:val="single" w:color="auto" w:sz="6" w:space="0"/>
            </w:tcBorders>
            <w:noWrap w:val="0"/>
            <w:vAlign w:val="center"/>
          </w:tcPr>
          <w:p w14:paraId="186AE2BB">
            <w:pPr>
              <w:tabs>
                <w:tab w:val="left" w:pos="700"/>
              </w:tabs>
              <w:adjustRightInd w:val="0"/>
              <w:snapToGrid w:val="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甲方需求部门</w:t>
            </w:r>
          </w:p>
        </w:tc>
        <w:tc>
          <w:tcPr>
            <w:tcW w:w="5779" w:type="dxa"/>
            <w:tcBorders>
              <w:top w:val="single" w:color="auto" w:sz="6" w:space="0"/>
              <w:left w:val="single" w:color="auto" w:sz="6" w:space="0"/>
              <w:bottom w:val="single" w:color="auto" w:sz="4" w:space="0"/>
              <w:right w:val="single" w:color="auto" w:sz="4" w:space="0"/>
            </w:tcBorders>
            <w:noWrap w:val="0"/>
            <w:vAlign w:val="center"/>
          </w:tcPr>
          <w:p w14:paraId="04B62E24">
            <w:pPr>
              <w:rPr>
                <w:rFonts w:hint="default" w:cs="Times New Roman"/>
                <w:color w:val="000000"/>
                <w:highlight w:val="none"/>
                <w:lang w:val="en-US" w:eastAsia="zh-CN"/>
              </w:rPr>
            </w:pPr>
            <w:r>
              <w:rPr>
                <w:rFonts w:hint="eastAsia" w:cs="Times New Roman"/>
                <w:color w:val="000000"/>
                <w:highlight w:val="none"/>
                <w:lang w:eastAsia="zh-CN"/>
              </w:rPr>
              <w:t>国家税务总局沭阳县税务局</w:t>
            </w:r>
            <w:r>
              <w:rPr>
                <w:rFonts w:hint="eastAsia" w:cs="Times New Roman"/>
                <w:color w:val="000000"/>
                <w:highlight w:val="none"/>
                <w:lang w:val="en-US" w:eastAsia="zh-CN"/>
              </w:rPr>
              <w:t>办公室</w:t>
            </w:r>
          </w:p>
        </w:tc>
      </w:tr>
      <w:tr w14:paraId="63BE3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right w:val="single" w:color="auto" w:sz="4" w:space="0"/>
            </w:tcBorders>
            <w:noWrap w:val="0"/>
            <w:vAlign w:val="center"/>
          </w:tcPr>
          <w:p w14:paraId="743C436F">
            <w:pPr>
              <w:widowControl/>
              <w:adjustRightInd w:val="0"/>
              <w:snapToGrid w:val="0"/>
              <w:rPr>
                <w:rFonts w:hint="eastAsia" w:ascii="宋体" w:hAnsi="宋体" w:eastAsia="宋体" w:cs="宋体"/>
                <w:szCs w:val="21"/>
                <w:highlight w:val="none"/>
              </w:rPr>
            </w:pPr>
          </w:p>
        </w:tc>
        <w:tc>
          <w:tcPr>
            <w:tcW w:w="409" w:type="dxa"/>
            <w:vMerge w:val="continue"/>
            <w:tcBorders>
              <w:left w:val="single" w:color="auto" w:sz="4" w:space="0"/>
              <w:right w:val="single" w:color="auto" w:sz="4" w:space="0"/>
            </w:tcBorders>
            <w:noWrap w:val="0"/>
            <w:vAlign w:val="center"/>
          </w:tcPr>
          <w:p w14:paraId="7D6C6092">
            <w:pPr>
              <w:tabs>
                <w:tab w:val="left" w:pos="700"/>
              </w:tabs>
              <w:adjustRightInd w:val="0"/>
              <w:snapToGrid w:val="0"/>
              <w:jc w:val="center"/>
              <w:rPr>
                <w:rFonts w:hint="eastAsia" w:ascii="宋体" w:hAnsi="宋体" w:eastAsia="宋体" w:cs="宋体"/>
                <w:szCs w:val="21"/>
                <w:highlight w:val="none"/>
              </w:rPr>
            </w:pPr>
          </w:p>
        </w:tc>
        <w:tc>
          <w:tcPr>
            <w:tcW w:w="1500" w:type="dxa"/>
            <w:tcBorders>
              <w:top w:val="single" w:color="auto" w:sz="6" w:space="0"/>
              <w:left w:val="single" w:color="auto" w:sz="4" w:space="0"/>
              <w:bottom w:val="single" w:color="auto" w:sz="4" w:space="0"/>
              <w:right w:val="single" w:color="auto" w:sz="6" w:space="0"/>
            </w:tcBorders>
            <w:noWrap w:val="0"/>
            <w:vAlign w:val="center"/>
          </w:tcPr>
          <w:p w14:paraId="067C45BB">
            <w:pPr>
              <w:tabs>
                <w:tab w:val="left" w:pos="700"/>
              </w:tabs>
              <w:adjustRightInd w:val="0"/>
              <w:snapToGrid w:val="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联系人</w:t>
            </w:r>
          </w:p>
        </w:tc>
        <w:tc>
          <w:tcPr>
            <w:tcW w:w="5779" w:type="dxa"/>
            <w:tcBorders>
              <w:top w:val="single" w:color="auto" w:sz="6" w:space="0"/>
              <w:left w:val="single" w:color="auto" w:sz="6" w:space="0"/>
              <w:bottom w:val="single" w:color="auto" w:sz="4" w:space="0"/>
              <w:right w:val="single" w:color="auto" w:sz="4" w:space="0"/>
            </w:tcBorders>
            <w:noWrap w:val="0"/>
            <w:vAlign w:val="center"/>
          </w:tcPr>
          <w:p w14:paraId="33BD52DF">
            <w:pPr>
              <w:rPr>
                <w:rFonts w:hint="eastAsia" w:cs="Times New Roman"/>
                <w:color w:val="000000"/>
                <w:highlight w:val="none"/>
                <w:lang w:eastAsia="zh-CN"/>
              </w:rPr>
            </w:pPr>
            <w:r>
              <w:rPr>
                <w:rFonts w:hint="eastAsia"/>
                <w:color w:val="auto"/>
                <w:highlight w:val="none"/>
                <w:lang w:val="zh-CN" w:eastAsia="zh-CN"/>
              </w:rPr>
              <w:t>葛老师</w:t>
            </w:r>
          </w:p>
        </w:tc>
      </w:tr>
      <w:tr w14:paraId="005F6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left w:val="single" w:color="auto" w:sz="4" w:space="0"/>
              <w:bottom w:val="single" w:color="auto" w:sz="4" w:space="0"/>
              <w:right w:val="single" w:color="auto" w:sz="4" w:space="0"/>
            </w:tcBorders>
            <w:noWrap w:val="0"/>
            <w:vAlign w:val="center"/>
          </w:tcPr>
          <w:p w14:paraId="76AE10D6">
            <w:pPr>
              <w:widowControl/>
              <w:adjustRightInd w:val="0"/>
              <w:snapToGrid w:val="0"/>
              <w:rPr>
                <w:rFonts w:hint="eastAsia" w:ascii="宋体" w:hAnsi="宋体" w:eastAsia="宋体" w:cs="宋体"/>
                <w:szCs w:val="21"/>
                <w:highlight w:val="none"/>
              </w:rPr>
            </w:pPr>
          </w:p>
        </w:tc>
        <w:tc>
          <w:tcPr>
            <w:tcW w:w="409" w:type="dxa"/>
            <w:vMerge w:val="continue"/>
            <w:tcBorders>
              <w:left w:val="single" w:color="auto" w:sz="4" w:space="0"/>
              <w:bottom w:val="single" w:color="auto" w:sz="4" w:space="0"/>
              <w:right w:val="single" w:color="auto" w:sz="4" w:space="0"/>
            </w:tcBorders>
            <w:noWrap w:val="0"/>
            <w:vAlign w:val="center"/>
          </w:tcPr>
          <w:p w14:paraId="5B137A11">
            <w:pPr>
              <w:tabs>
                <w:tab w:val="left" w:pos="700"/>
              </w:tabs>
              <w:adjustRightInd w:val="0"/>
              <w:snapToGrid w:val="0"/>
              <w:jc w:val="center"/>
              <w:rPr>
                <w:rFonts w:hint="eastAsia" w:ascii="宋体" w:hAnsi="宋体" w:eastAsia="宋体" w:cs="宋体"/>
                <w:szCs w:val="21"/>
                <w:highlight w:val="none"/>
              </w:rPr>
            </w:pPr>
          </w:p>
        </w:tc>
        <w:tc>
          <w:tcPr>
            <w:tcW w:w="1500" w:type="dxa"/>
            <w:tcBorders>
              <w:top w:val="single" w:color="auto" w:sz="6" w:space="0"/>
              <w:left w:val="single" w:color="auto" w:sz="4" w:space="0"/>
              <w:bottom w:val="single" w:color="auto" w:sz="4" w:space="0"/>
              <w:right w:val="single" w:color="auto" w:sz="6" w:space="0"/>
            </w:tcBorders>
            <w:noWrap w:val="0"/>
            <w:vAlign w:val="center"/>
          </w:tcPr>
          <w:p w14:paraId="50A38016">
            <w:pPr>
              <w:tabs>
                <w:tab w:val="left" w:pos="700"/>
              </w:tabs>
              <w:adjustRightInd w:val="0"/>
              <w:snapToGrid w:val="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联系电话</w:t>
            </w:r>
          </w:p>
        </w:tc>
        <w:tc>
          <w:tcPr>
            <w:tcW w:w="5779" w:type="dxa"/>
            <w:tcBorders>
              <w:top w:val="single" w:color="auto" w:sz="6" w:space="0"/>
              <w:left w:val="single" w:color="auto" w:sz="6" w:space="0"/>
              <w:bottom w:val="single" w:color="auto" w:sz="4" w:space="0"/>
              <w:right w:val="single" w:color="auto" w:sz="4" w:space="0"/>
            </w:tcBorders>
            <w:noWrap w:val="0"/>
            <w:vAlign w:val="center"/>
          </w:tcPr>
          <w:p w14:paraId="232D14D2">
            <w:pPr>
              <w:rPr>
                <w:rFonts w:hint="eastAsia" w:cs="Times New Roman"/>
                <w:color w:val="000000"/>
                <w:highlight w:val="none"/>
                <w:lang w:eastAsia="zh-CN"/>
              </w:rPr>
            </w:pPr>
            <w:r>
              <w:rPr>
                <w:rFonts w:hint="eastAsia"/>
                <w:color w:val="auto"/>
                <w:highlight w:val="none"/>
                <w:lang w:val="zh-CN" w:eastAsia="zh-CN"/>
              </w:rPr>
              <w:t>0527-</w:t>
            </w:r>
            <w:r>
              <w:rPr>
                <w:rFonts w:hint="eastAsia"/>
                <w:color w:val="auto"/>
                <w:highlight w:val="none"/>
                <w:lang w:val="en-US" w:eastAsia="zh-CN"/>
              </w:rPr>
              <w:t>80819008</w:t>
            </w:r>
          </w:p>
        </w:tc>
      </w:tr>
      <w:tr w14:paraId="24158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restart"/>
            <w:tcBorders>
              <w:top w:val="single" w:color="auto" w:sz="4" w:space="0"/>
              <w:left w:val="single" w:color="auto" w:sz="4" w:space="0"/>
              <w:bottom w:val="single" w:color="auto" w:sz="4" w:space="0"/>
              <w:right w:val="single" w:color="auto" w:sz="4" w:space="0"/>
            </w:tcBorders>
            <w:noWrap w:val="0"/>
            <w:vAlign w:val="center"/>
          </w:tcPr>
          <w:p w14:paraId="7DC1B27D">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6</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071D2DDF">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乙方名称</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3A9DECB5">
            <w:pPr>
              <w:tabs>
                <w:tab w:val="left" w:pos="700"/>
              </w:tabs>
              <w:adjustRightInd w:val="0"/>
              <w:snapToGrid w:val="0"/>
              <w:rPr>
                <w:rFonts w:hint="eastAsia" w:ascii="宋体" w:hAnsi="宋体" w:eastAsia="宋体" w:cs="宋体"/>
                <w:szCs w:val="21"/>
                <w:highlight w:val="none"/>
              </w:rPr>
            </w:pPr>
          </w:p>
        </w:tc>
      </w:tr>
      <w:tr w14:paraId="76064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4B98C952">
            <w:pPr>
              <w:widowControl/>
              <w:adjustRightInd w:val="0"/>
              <w:snapToGrid w:val="0"/>
              <w:rPr>
                <w:rFonts w:hint="eastAsia" w:ascii="宋体" w:hAnsi="宋体" w:eastAsia="宋体" w:cs="宋体"/>
                <w:szCs w:val="21"/>
                <w:highlight w:val="none"/>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3553BD12">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乙方企业性质</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4A14EBB7">
            <w:pPr>
              <w:tabs>
                <w:tab w:val="left" w:pos="700"/>
              </w:tabs>
              <w:adjustRightInd w:val="0"/>
              <w:snapToGrid w:val="0"/>
              <w:rPr>
                <w:rFonts w:hint="eastAsia" w:ascii="宋体" w:hAnsi="宋体" w:eastAsia="宋体" w:cs="宋体"/>
                <w:szCs w:val="21"/>
                <w:highlight w:val="none"/>
              </w:rPr>
            </w:pPr>
            <w:r>
              <w:rPr>
                <w:rFonts w:hint="eastAsia" w:ascii="宋体" w:hAnsi="宋体" w:eastAsia="宋体" w:cs="宋体"/>
                <w:szCs w:val="21"/>
                <w:highlight w:val="none"/>
              </w:rPr>
              <w:sym w:font="Wingdings 2" w:char="00A3"/>
            </w:r>
            <w:r>
              <w:rPr>
                <w:rFonts w:hint="eastAsia" w:ascii="宋体" w:hAnsi="宋体" w:eastAsia="宋体" w:cs="宋体"/>
                <w:szCs w:val="21"/>
                <w:highlight w:val="none"/>
              </w:rPr>
              <w:t xml:space="preserve"> 中型企业     </w:t>
            </w:r>
            <w:r>
              <w:rPr>
                <w:rFonts w:hint="eastAsia" w:ascii="宋体" w:hAnsi="宋体" w:eastAsia="宋体" w:cs="宋体"/>
                <w:szCs w:val="21"/>
                <w:highlight w:val="none"/>
              </w:rPr>
              <w:sym w:font="Wingdings 2" w:char="00A3"/>
            </w:r>
            <w:r>
              <w:rPr>
                <w:rFonts w:hint="eastAsia" w:ascii="宋体" w:hAnsi="宋体" w:eastAsia="宋体" w:cs="宋体"/>
                <w:szCs w:val="21"/>
                <w:highlight w:val="none"/>
              </w:rPr>
              <w:t xml:space="preserve"> 小型企业            </w:t>
            </w:r>
            <w:r>
              <w:rPr>
                <w:rFonts w:hint="eastAsia" w:ascii="宋体" w:hAnsi="宋体" w:eastAsia="宋体" w:cs="宋体"/>
                <w:szCs w:val="21"/>
                <w:highlight w:val="none"/>
              </w:rPr>
              <w:sym w:font="Wingdings 2" w:char="00A3"/>
            </w:r>
            <w:r>
              <w:rPr>
                <w:rFonts w:hint="eastAsia" w:ascii="宋体" w:hAnsi="宋体" w:eastAsia="宋体" w:cs="宋体"/>
                <w:szCs w:val="21"/>
                <w:highlight w:val="none"/>
              </w:rPr>
              <w:t xml:space="preserve"> 微型企业    </w:t>
            </w:r>
          </w:p>
          <w:p w14:paraId="55DDEEA2">
            <w:pPr>
              <w:tabs>
                <w:tab w:val="left" w:pos="700"/>
              </w:tabs>
              <w:adjustRightInd w:val="0"/>
              <w:snapToGrid w:val="0"/>
              <w:rPr>
                <w:rFonts w:hint="eastAsia" w:ascii="宋体" w:hAnsi="宋体" w:eastAsia="宋体" w:cs="宋体"/>
                <w:szCs w:val="21"/>
                <w:highlight w:val="none"/>
              </w:rPr>
            </w:pPr>
            <w:r>
              <w:rPr>
                <w:rFonts w:hint="eastAsia" w:ascii="宋体" w:hAnsi="宋体" w:eastAsia="宋体" w:cs="宋体"/>
                <w:szCs w:val="21"/>
                <w:highlight w:val="none"/>
              </w:rPr>
              <w:sym w:font="Wingdings 2" w:char="00A3"/>
            </w:r>
            <w:r>
              <w:rPr>
                <w:rFonts w:hint="eastAsia" w:ascii="宋体" w:hAnsi="宋体" w:eastAsia="宋体" w:cs="宋体"/>
                <w:szCs w:val="21"/>
                <w:highlight w:val="none"/>
              </w:rPr>
              <w:t xml:space="preserve"> 监狱企业     </w:t>
            </w:r>
            <w:r>
              <w:rPr>
                <w:rFonts w:hint="eastAsia" w:ascii="宋体" w:hAnsi="宋体" w:eastAsia="宋体" w:cs="宋体"/>
                <w:szCs w:val="21"/>
                <w:highlight w:val="none"/>
              </w:rPr>
              <w:sym w:font="Wingdings 2" w:char="00A3"/>
            </w:r>
            <w:r>
              <w:rPr>
                <w:rFonts w:hint="eastAsia" w:ascii="宋体" w:hAnsi="宋体" w:eastAsia="宋体" w:cs="宋体"/>
                <w:szCs w:val="21"/>
                <w:highlight w:val="none"/>
              </w:rPr>
              <w:t xml:space="preserve"> 残疾人福利性单位    </w:t>
            </w:r>
            <w:r>
              <w:rPr>
                <w:rFonts w:hint="eastAsia" w:ascii="宋体" w:hAnsi="宋体" w:eastAsia="宋体" w:cs="宋体"/>
                <w:szCs w:val="21"/>
                <w:highlight w:val="none"/>
              </w:rPr>
              <w:sym w:font="Wingdings 2" w:char="00A3"/>
            </w:r>
            <w:r>
              <w:rPr>
                <w:rFonts w:hint="eastAsia" w:ascii="宋体" w:hAnsi="宋体" w:eastAsia="宋体" w:cs="宋体"/>
                <w:szCs w:val="21"/>
                <w:highlight w:val="none"/>
              </w:rPr>
              <w:t xml:space="preserve"> 其他</w:t>
            </w:r>
          </w:p>
        </w:tc>
      </w:tr>
      <w:tr w14:paraId="5243D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312F2D9E">
            <w:pPr>
              <w:widowControl/>
              <w:adjustRightInd w:val="0"/>
              <w:snapToGrid w:val="0"/>
              <w:rPr>
                <w:rFonts w:hint="eastAsia" w:ascii="宋体" w:hAnsi="宋体" w:eastAsia="宋体" w:cs="宋体"/>
                <w:szCs w:val="21"/>
                <w:highlight w:val="none"/>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757C60EE">
            <w:pPr>
              <w:tabs>
                <w:tab w:val="left" w:pos="700"/>
              </w:tabs>
              <w:adjustRightInd w:val="0"/>
              <w:snapToGrid w:val="0"/>
              <w:jc w:val="center"/>
              <w:rPr>
                <w:rFonts w:hint="eastAsia" w:ascii="宋体" w:hAnsi="宋体" w:eastAsia="宋体" w:cs="宋体"/>
                <w:szCs w:val="21"/>
                <w:highlight w:val="none"/>
                <w:lang w:eastAsia="zh-CN"/>
              </w:rPr>
            </w:pPr>
            <w:r>
              <w:rPr>
                <w:rFonts w:hint="eastAsia" w:ascii="宋体" w:hAnsi="宋体" w:cs="宋体"/>
                <w:szCs w:val="21"/>
                <w:highlight w:val="none"/>
                <w:lang w:eastAsia="zh-CN"/>
              </w:rPr>
              <w:t>乙方银行账号</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44748138">
            <w:pPr>
              <w:tabs>
                <w:tab w:val="left" w:pos="700"/>
              </w:tabs>
              <w:adjustRightInd w:val="0"/>
              <w:snapToGrid w:val="0"/>
              <w:rPr>
                <w:rFonts w:hint="eastAsia" w:ascii="宋体" w:hAnsi="宋体" w:eastAsia="宋体" w:cs="宋体"/>
                <w:szCs w:val="21"/>
                <w:highlight w:val="none"/>
              </w:rPr>
            </w:pPr>
          </w:p>
        </w:tc>
      </w:tr>
      <w:tr w14:paraId="17A0F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5056598F">
            <w:pPr>
              <w:widowControl/>
              <w:adjustRightInd w:val="0"/>
              <w:snapToGrid w:val="0"/>
              <w:rPr>
                <w:rFonts w:hint="eastAsia" w:ascii="宋体" w:hAnsi="宋体" w:eastAsia="宋体" w:cs="宋体"/>
                <w:szCs w:val="21"/>
                <w:highlight w:val="none"/>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174E77F3">
            <w:pPr>
              <w:tabs>
                <w:tab w:val="left" w:pos="700"/>
              </w:tabs>
              <w:adjustRightInd w:val="0"/>
              <w:snapToGrid w:val="0"/>
              <w:jc w:val="center"/>
              <w:rPr>
                <w:rFonts w:hint="eastAsia" w:ascii="宋体" w:hAnsi="宋体" w:eastAsia="宋体" w:cs="宋体"/>
                <w:szCs w:val="21"/>
                <w:highlight w:val="none"/>
                <w:lang w:eastAsia="zh-CN"/>
              </w:rPr>
            </w:pPr>
            <w:r>
              <w:rPr>
                <w:rFonts w:hint="eastAsia" w:ascii="宋体" w:hAnsi="宋体" w:cs="宋体"/>
                <w:szCs w:val="21"/>
                <w:highlight w:val="none"/>
                <w:lang w:eastAsia="zh-CN"/>
              </w:rPr>
              <w:t>乙方开户行</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5D1AA1CB">
            <w:pPr>
              <w:tabs>
                <w:tab w:val="left" w:pos="700"/>
              </w:tabs>
              <w:adjustRightInd w:val="0"/>
              <w:snapToGrid w:val="0"/>
              <w:rPr>
                <w:rFonts w:hint="eastAsia" w:ascii="宋体" w:hAnsi="宋体" w:eastAsia="宋体" w:cs="宋体"/>
                <w:szCs w:val="21"/>
                <w:highlight w:val="none"/>
              </w:rPr>
            </w:pPr>
          </w:p>
        </w:tc>
      </w:tr>
      <w:tr w14:paraId="54279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0BE309BA">
            <w:pPr>
              <w:widowControl/>
              <w:adjustRightInd w:val="0"/>
              <w:snapToGrid w:val="0"/>
              <w:rPr>
                <w:rFonts w:hint="eastAsia" w:ascii="宋体" w:hAnsi="宋体" w:eastAsia="宋体" w:cs="宋体"/>
                <w:szCs w:val="21"/>
                <w:highlight w:val="none"/>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5A7D013F">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乙方地址</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4A3F3305">
            <w:pPr>
              <w:tabs>
                <w:tab w:val="left" w:pos="700"/>
              </w:tabs>
              <w:adjustRightInd w:val="0"/>
              <w:snapToGrid w:val="0"/>
              <w:rPr>
                <w:rFonts w:hint="eastAsia" w:ascii="宋体" w:hAnsi="宋体" w:eastAsia="宋体" w:cs="宋体"/>
                <w:szCs w:val="21"/>
                <w:highlight w:val="none"/>
              </w:rPr>
            </w:pPr>
          </w:p>
        </w:tc>
      </w:tr>
      <w:tr w14:paraId="3404C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74B18E6F">
            <w:pPr>
              <w:widowControl/>
              <w:adjustRightInd w:val="0"/>
              <w:snapToGrid w:val="0"/>
              <w:rPr>
                <w:rFonts w:hint="eastAsia" w:ascii="宋体" w:hAnsi="宋体" w:eastAsia="宋体" w:cs="宋体"/>
                <w:szCs w:val="21"/>
                <w:highlight w:val="none"/>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294382BF">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乙方联系人</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3C99A957">
            <w:pPr>
              <w:tabs>
                <w:tab w:val="left" w:pos="700"/>
              </w:tabs>
              <w:adjustRightInd w:val="0"/>
              <w:snapToGrid w:val="0"/>
              <w:rPr>
                <w:rFonts w:hint="eastAsia" w:ascii="宋体" w:hAnsi="宋体" w:eastAsia="宋体" w:cs="宋体"/>
                <w:szCs w:val="21"/>
                <w:highlight w:val="none"/>
              </w:rPr>
            </w:pPr>
          </w:p>
        </w:tc>
      </w:tr>
      <w:tr w14:paraId="67CC4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3F85DCAC">
            <w:pPr>
              <w:widowControl/>
              <w:adjustRightInd w:val="0"/>
              <w:snapToGrid w:val="0"/>
              <w:rPr>
                <w:rFonts w:hint="eastAsia" w:ascii="宋体" w:hAnsi="宋体" w:eastAsia="宋体" w:cs="宋体"/>
                <w:szCs w:val="21"/>
                <w:highlight w:val="none"/>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44E696EE">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联系电话</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38779B66">
            <w:pPr>
              <w:tabs>
                <w:tab w:val="left" w:pos="700"/>
              </w:tabs>
              <w:adjustRightInd w:val="0"/>
              <w:snapToGrid w:val="0"/>
              <w:rPr>
                <w:rFonts w:hint="eastAsia" w:ascii="宋体" w:hAnsi="宋体" w:eastAsia="宋体" w:cs="宋体"/>
                <w:szCs w:val="21"/>
                <w:highlight w:val="none"/>
              </w:rPr>
            </w:pPr>
          </w:p>
        </w:tc>
      </w:tr>
      <w:tr w14:paraId="7706F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5" w:type="dxa"/>
            <w:vMerge w:val="continue"/>
            <w:tcBorders>
              <w:top w:val="single" w:color="auto" w:sz="4" w:space="0"/>
              <w:left w:val="single" w:color="auto" w:sz="4" w:space="0"/>
              <w:bottom w:val="single" w:color="auto" w:sz="4" w:space="0"/>
              <w:right w:val="single" w:color="auto" w:sz="4" w:space="0"/>
            </w:tcBorders>
            <w:noWrap w:val="0"/>
            <w:vAlign w:val="center"/>
          </w:tcPr>
          <w:p w14:paraId="428B25CA">
            <w:pPr>
              <w:widowControl/>
              <w:adjustRightInd w:val="0"/>
              <w:snapToGrid w:val="0"/>
              <w:rPr>
                <w:rFonts w:hint="eastAsia" w:ascii="宋体" w:hAnsi="宋体" w:eastAsia="宋体" w:cs="宋体"/>
                <w:szCs w:val="21"/>
                <w:highlight w:val="none"/>
              </w:rPr>
            </w:pP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53DC926D">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传真</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32C1D0A8">
            <w:pPr>
              <w:tabs>
                <w:tab w:val="left" w:pos="700"/>
              </w:tabs>
              <w:adjustRightInd w:val="0"/>
              <w:snapToGrid w:val="0"/>
              <w:rPr>
                <w:rFonts w:hint="eastAsia" w:ascii="宋体" w:hAnsi="宋体" w:eastAsia="宋体" w:cs="宋体"/>
                <w:szCs w:val="21"/>
                <w:highlight w:val="none"/>
              </w:rPr>
            </w:pPr>
          </w:p>
        </w:tc>
      </w:tr>
      <w:tr w14:paraId="31237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7547C2C6">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7</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5EF386B9">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合同金额</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5371E793">
            <w:pPr>
              <w:tabs>
                <w:tab w:val="left" w:pos="700"/>
              </w:tabs>
              <w:adjustRightInd w:val="0"/>
              <w:snapToGrid w:val="0"/>
              <w:rPr>
                <w:rFonts w:hint="eastAsia" w:ascii="宋体" w:hAnsi="宋体" w:cs="宋体"/>
                <w:szCs w:val="21"/>
                <w:highlight w:val="none"/>
                <w:lang w:eastAsia="zh-CN"/>
              </w:rPr>
            </w:pPr>
            <w:r>
              <w:rPr>
                <w:rFonts w:hint="eastAsia" w:ascii="宋体" w:hAnsi="宋体" w:cs="宋体"/>
                <w:szCs w:val="21"/>
                <w:highlight w:val="none"/>
                <w:lang w:val="en-US" w:eastAsia="zh-CN"/>
              </w:rPr>
              <w:t>预算</w:t>
            </w:r>
            <w:r>
              <w:rPr>
                <w:rFonts w:hint="eastAsia" w:ascii="宋体" w:hAnsi="宋体" w:cs="宋体"/>
                <w:szCs w:val="21"/>
                <w:highlight w:val="none"/>
                <w:lang w:eastAsia="zh-CN"/>
              </w:rPr>
              <w:t>：人民币</w:t>
            </w:r>
            <w:r>
              <w:rPr>
                <w:rFonts w:hint="eastAsia" w:ascii="宋体" w:hAnsi="宋体" w:cs="宋体"/>
                <w:szCs w:val="21"/>
                <w:highlight w:val="none"/>
                <w:lang w:val="en-US" w:eastAsia="zh-CN"/>
              </w:rPr>
              <w:t>256万元</w:t>
            </w:r>
            <w:r>
              <w:rPr>
                <w:rFonts w:hint="eastAsia" w:ascii="宋体" w:hAnsi="宋体" w:cs="宋体"/>
                <w:szCs w:val="21"/>
                <w:highlight w:val="none"/>
                <w:lang w:eastAsia="zh-CN"/>
              </w:rPr>
              <w:t>，采购食材按实际采购量进行结算，实际执行总金额不超过采购预算；</w:t>
            </w:r>
          </w:p>
          <w:p w14:paraId="4299F0E1">
            <w:pPr>
              <w:tabs>
                <w:tab w:val="left" w:pos="700"/>
              </w:tabs>
              <w:adjustRightInd w:val="0"/>
              <w:snapToGrid w:val="0"/>
              <w:rPr>
                <w:rFonts w:hint="eastAsia" w:ascii="宋体" w:hAnsi="宋体" w:eastAsia="宋体" w:cs="宋体"/>
                <w:szCs w:val="21"/>
                <w:highlight w:val="none"/>
              </w:rPr>
            </w:pPr>
            <w:r>
              <w:rPr>
                <w:rFonts w:hint="eastAsia" w:ascii="宋体" w:hAnsi="宋体" w:cs="宋体"/>
                <w:szCs w:val="21"/>
                <w:highlight w:val="none"/>
                <w:lang w:eastAsia="zh-CN"/>
              </w:rPr>
              <w:t>费率：</w:t>
            </w:r>
            <w:r>
              <w:rPr>
                <w:rFonts w:hint="eastAsia" w:ascii="宋体" w:hAnsi="宋体" w:cs="宋体"/>
                <w:szCs w:val="21"/>
                <w:highlight w:val="none"/>
                <w:u w:val="single"/>
                <w:lang w:eastAsia="zh-CN"/>
              </w:rPr>
              <w:t xml:space="preserve">   </w:t>
            </w:r>
            <w:r>
              <w:rPr>
                <w:rFonts w:hint="eastAsia" w:ascii="宋体" w:hAnsi="宋体" w:cs="宋体"/>
                <w:szCs w:val="21"/>
                <w:highlight w:val="none"/>
                <w:lang w:eastAsia="zh-CN"/>
              </w:rPr>
              <w:t>%。</w:t>
            </w:r>
          </w:p>
        </w:tc>
      </w:tr>
      <w:tr w14:paraId="3580B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7436E4D5">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8</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78EA60D7">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服务内容</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60A1E820">
            <w:pPr>
              <w:tabs>
                <w:tab w:val="left" w:pos="700"/>
              </w:tabs>
              <w:adjustRightInd w:val="0"/>
              <w:snapToGrid w:val="0"/>
              <w:rPr>
                <w:rFonts w:hint="eastAsia" w:ascii="宋体" w:hAnsi="宋体" w:eastAsia="宋体" w:cs="宋体"/>
                <w:szCs w:val="21"/>
                <w:highlight w:val="none"/>
              </w:rPr>
            </w:pPr>
            <w:r>
              <w:rPr>
                <w:rFonts w:hint="eastAsia" w:ascii="宋体" w:hAnsi="宋体" w:eastAsia="宋体" w:cs="宋体"/>
                <w:szCs w:val="21"/>
                <w:highlight w:val="none"/>
              </w:rPr>
              <w:t>详见招标文件</w:t>
            </w:r>
            <w:r>
              <w:rPr>
                <w:rFonts w:hint="eastAsia" w:ascii="宋体" w:hAnsi="宋体" w:eastAsia="宋体" w:cs="宋体"/>
                <w:szCs w:val="21"/>
                <w:highlight w:val="none"/>
                <w:lang w:val="en-US" w:eastAsia="zh-CN"/>
              </w:rPr>
              <w:t>项目</w:t>
            </w:r>
            <w:r>
              <w:rPr>
                <w:rFonts w:hint="eastAsia" w:ascii="宋体" w:hAnsi="宋体" w:eastAsia="宋体" w:cs="宋体"/>
                <w:szCs w:val="21"/>
                <w:highlight w:val="none"/>
              </w:rPr>
              <w:t>采购需求。</w:t>
            </w:r>
          </w:p>
        </w:tc>
      </w:tr>
      <w:tr w14:paraId="17CC5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3F7204E8">
            <w:pPr>
              <w:tabs>
                <w:tab w:val="left" w:pos="700"/>
              </w:tabs>
              <w:adjustRightInd w:val="0"/>
              <w:snapToGrid w:val="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9</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3262C47A">
            <w:pPr>
              <w:tabs>
                <w:tab w:val="left" w:pos="700"/>
              </w:tabs>
              <w:adjustRightInd w:val="0"/>
              <w:snapToGrid w:val="0"/>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验 收</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11A5634C">
            <w:pPr>
              <w:tabs>
                <w:tab w:val="left" w:pos="700"/>
              </w:tabs>
              <w:adjustRightInd w:val="0"/>
              <w:snapToGrid w:val="0"/>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sym w:font="Wingdings 2" w:char="0052"/>
            </w:r>
            <w:r>
              <w:rPr>
                <w:rFonts w:hint="eastAsia" w:ascii="宋体" w:hAnsi="宋体" w:eastAsia="宋体" w:cs="宋体"/>
                <w:color w:val="000000" w:themeColor="text1"/>
                <w:szCs w:val="21"/>
                <w:highlight w:val="none"/>
                <w:lang w:val="en-US" w:eastAsia="zh-CN"/>
                <w14:textFill>
                  <w14:solidFill>
                    <w14:schemeClr w14:val="tx1"/>
                  </w14:solidFill>
                </w14:textFill>
              </w:rPr>
              <w:t>需要检验或验收，</w:t>
            </w:r>
            <w:r>
              <w:rPr>
                <w:rFonts w:hint="eastAsia" w:ascii="宋体" w:hAnsi="宋体" w:eastAsia="宋体" w:cs="宋体"/>
                <w:color w:val="000000" w:themeColor="text1"/>
                <w:szCs w:val="21"/>
                <w:highlight w:val="none"/>
                <w14:textFill>
                  <w14:solidFill>
                    <w14:schemeClr w14:val="tx1"/>
                  </w14:solidFill>
                </w14:textFill>
              </w:rPr>
              <w:t>甲方应在</w:t>
            </w:r>
            <w:r>
              <w:rPr>
                <w:rFonts w:hint="eastAsia" w:ascii="宋体" w:hAnsi="宋体" w:eastAsia="宋体" w:cs="宋体"/>
                <w:color w:val="000000" w:themeColor="text1"/>
                <w:szCs w:val="21"/>
                <w:highlight w:val="none"/>
                <w:lang w:val="en-US" w:eastAsia="zh-CN"/>
                <w14:textFill>
                  <w14:solidFill>
                    <w14:schemeClr w14:val="tx1"/>
                  </w14:solidFill>
                </w14:textFill>
              </w:rPr>
              <w:t>服务期满</w:t>
            </w:r>
            <w:r>
              <w:rPr>
                <w:rFonts w:hint="eastAsia" w:ascii="宋体" w:hAnsi="宋体" w:eastAsia="宋体" w:cs="宋体"/>
                <w:color w:val="000000" w:themeColor="text1"/>
                <w:szCs w:val="21"/>
                <w:highlight w:val="none"/>
                <w14:textFill>
                  <w14:solidFill>
                    <w14:schemeClr w14:val="tx1"/>
                  </w14:solidFill>
                </w14:textFill>
              </w:rPr>
              <w:t>之日</w:t>
            </w:r>
            <w:r>
              <w:rPr>
                <w:rFonts w:hint="eastAsia" w:ascii="宋体" w:hAnsi="宋体" w:eastAsia="宋体" w:cs="宋体"/>
                <w:color w:val="000000" w:themeColor="text1"/>
                <w:szCs w:val="21"/>
                <w:highlight w:val="none"/>
                <w:lang w:val="en-US" w:eastAsia="zh-CN"/>
                <w14:textFill>
                  <w14:solidFill>
                    <w14:schemeClr w14:val="tx1"/>
                  </w14:solidFill>
                </w14:textFill>
              </w:rPr>
              <w:t>起</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60</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日内</w:t>
            </w:r>
            <w:r>
              <w:rPr>
                <w:rFonts w:hint="eastAsia" w:ascii="宋体" w:hAnsi="宋体" w:eastAsia="宋体" w:cs="宋体"/>
                <w:color w:val="000000" w:themeColor="text1"/>
                <w:szCs w:val="21"/>
                <w:highlight w:val="none"/>
                <w:lang w:val="en-US" w:eastAsia="zh-CN"/>
                <w14:textFill>
                  <w14:solidFill>
                    <w14:schemeClr w14:val="tx1"/>
                  </w14:solidFill>
                </w14:textFill>
              </w:rPr>
              <w:t>完成</w:t>
            </w:r>
            <w:r>
              <w:rPr>
                <w:rFonts w:hint="eastAsia" w:ascii="宋体" w:hAnsi="宋体" w:eastAsia="宋体" w:cs="宋体"/>
                <w:color w:val="000000" w:themeColor="text1"/>
                <w:szCs w:val="21"/>
                <w:highlight w:val="none"/>
                <w14:textFill>
                  <w14:solidFill>
                    <w14:schemeClr w14:val="tx1"/>
                  </w14:solidFill>
                </w14:textFill>
              </w:rPr>
              <w:t>检验或验收，并出具检验或验收意见</w:t>
            </w:r>
            <w:r>
              <w:rPr>
                <w:rFonts w:hint="eastAsia" w:ascii="宋体" w:hAnsi="宋体" w:eastAsia="宋体" w:cs="宋体"/>
                <w:color w:val="000000" w:themeColor="text1"/>
                <w:szCs w:val="21"/>
                <w:highlight w:val="none"/>
                <w:lang w:eastAsia="zh-CN"/>
                <w14:textFill>
                  <w14:solidFill>
                    <w14:schemeClr w14:val="tx1"/>
                  </w14:solidFill>
                </w14:textFill>
              </w:rPr>
              <w:t>。</w:t>
            </w:r>
          </w:p>
          <w:p w14:paraId="06E32911">
            <w:pPr>
              <w:tabs>
                <w:tab w:val="left" w:pos="700"/>
              </w:tabs>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sym w:font="Wingdings 2" w:char="00A3"/>
            </w:r>
            <w:r>
              <w:rPr>
                <w:rFonts w:hint="eastAsia" w:ascii="宋体" w:hAnsi="宋体" w:eastAsia="宋体" w:cs="宋体"/>
                <w:color w:val="000000" w:themeColor="text1"/>
                <w:szCs w:val="21"/>
                <w:highlight w:val="none"/>
                <w:lang w:val="en-US" w:eastAsia="zh-CN"/>
                <w14:textFill>
                  <w14:solidFill>
                    <w14:schemeClr w14:val="tx1"/>
                  </w14:solidFill>
                </w14:textFill>
              </w:rPr>
              <w:t>不需要检验或验收</w:t>
            </w:r>
            <w:r>
              <w:rPr>
                <w:rFonts w:hint="eastAsia" w:ascii="宋体" w:hAnsi="宋体" w:eastAsia="宋体" w:cs="宋体"/>
                <w:color w:val="000000" w:themeColor="text1"/>
                <w:szCs w:val="21"/>
                <w:highlight w:val="none"/>
                <w:lang w:eastAsia="zh-CN"/>
                <w14:textFill>
                  <w14:solidFill>
                    <w14:schemeClr w14:val="tx1"/>
                  </w14:solidFill>
                </w14:textFill>
              </w:rPr>
              <w:t>。</w:t>
            </w:r>
          </w:p>
        </w:tc>
      </w:tr>
      <w:tr w14:paraId="01FFD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35BBA00D">
            <w:pPr>
              <w:tabs>
                <w:tab w:val="left" w:pos="700"/>
              </w:tabs>
              <w:adjustRightInd w:val="0"/>
              <w:snapToGrid w:val="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10</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4734E69B">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合同付款</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2FCEF956">
            <w:pPr>
              <w:pStyle w:val="40"/>
              <w:tabs>
                <w:tab w:val="left" w:pos="840"/>
              </w:tabs>
              <w:adjustRightInd w:val="0"/>
              <w:snapToGrid w:val="0"/>
              <w:ind w:firstLine="422" w:firstLineChars="200"/>
              <w:jc w:val="lef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1.食材定价要求</w:t>
            </w:r>
          </w:p>
          <w:p w14:paraId="65D4684D">
            <w:pPr>
              <w:pStyle w:val="40"/>
              <w:tabs>
                <w:tab w:val="left" w:pos="840"/>
              </w:tabs>
              <w:adjustRightInd w:val="0"/>
              <w:snapToGrid w:val="0"/>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价格确定：本项目投标报价须以供货当日“宿迁阳光物价网”网址：（http://ygwj.fgw.suqian.gov.cn/） 公布的最新主副食品价格计价进行折扣；如宿迁阳光物价网无网价的产品，以周边大型农贸市场、大型超市的食材价格进行折扣。</w:t>
            </w:r>
          </w:p>
          <w:p w14:paraId="70F1B32F">
            <w:pPr>
              <w:pStyle w:val="40"/>
              <w:tabs>
                <w:tab w:val="left" w:pos="840"/>
              </w:tabs>
              <w:adjustRightInd w:val="0"/>
              <w:snapToGrid w:val="0"/>
              <w:ind w:firstLine="422" w:firstLineChars="200"/>
              <w:jc w:val="lef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2.货款结算要求</w:t>
            </w:r>
          </w:p>
          <w:p w14:paraId="5ED63775">
            <w:pPr>
              <w:pStyle w:val="40"/>
              <w:tabs>
                <w:tab w:val="left" w:pos="840"/>
              </w:tabs>
              <w:adjustRightInd w:val="0"/>
              <w:snapToGrid w:val="0"/>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食材费用按月结算，食材验收及单据审核全部合格的，视为验收完成。每月验收完成后，甲乙双方进行上月货款核对，双方核实无误后据实结算。乙方在次月25日前报送正规发票，甲方在收到发票等合同约定付款申请资料后，进行核实，满足合同支付条件的，自收到发票后原则上10个工作日内将资金以转账方式支付到乙方账户，另有争议的除外。对账、开票、付款日遇节假日可顺延。</w:t>
            </w:r>
          </w:p>
        </w:tc>
      </w:tr>
      <w:tr w14:paraId="0D0E9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67E21E35">
            <w:pPr>
              <w:tabs>
                <w:tab w:val="left" w:pos="700"/>
              </w:tabs>
              <w:adjustRightInd w:val="0"/>
              <w:snapToGrid w:val="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rPr>
              <w:t>1</w:t>
            </w:r>
            <w:r>
              <w:rPr>
                <w:rFonts w:hint="eastAsia" w:ascii="宋体" w:hAnsi="宋体" w:eastAsia="宋体" w:cs="宋体"/>
                <w:szCs w:val="21"/>
                <w:highlight w:val="none"/>
                <w:lang w:val="en-US" w:eastAsia="zh-CN"/>
              </w:rPr>
              <w:t>1</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40C0F682">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履约保证金及返还</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6194CF02">
            <w:pPr>
              <w:tabs>
                <w:tab w:val="left" w:pos="700"/>
              </w:tabs>
              <w:adjustRightInd w:val="0"/>
              <w:snapToGrid w:val="0"/>
              <w:rPr>
                <w:rFonts w:hint="eastAsia" w:ascii="宋体" w:hAnsi="宋体" w:eastAsia="宋体" w:cs="宋体"/>
                <w:szCs w:val="21"/>
                <w:highlight w:val="none"/>
              </w:rPr>
            </w:pPr>
            <w:r>
              <w:rPr>
                <w:rFonts w:hint="eastAsia" w:ascii="宋体" w:hAnsi="宋体" w:eastAsia="宋体" w:cs="宋体"/>
                <w:szCs w:val="21"/>
                <w:highlight w:val="none"/>
                <w:lang w:eastAsia="zh-CN"/>
              </w:rPr>
              <w:t>☑</w:t>
            </w:r>
            <w:r>
              <w:rPr>
                <w:rFonts w:hint="eastAsia" w:ascii="宋体" w:hAnsi="宋体" w:eastAsia="宋体" w:cs="宋体"/>
                <w:szCs w:val="21"/>
                <w:highlight w:val="none"/>
              </w:rPr>
              <w:t>本项目不要求提供履约保证金。</w:t>
            </w:r>
          </w:p>
          <w:p w14:paraId="43ABF110">
            <w:pPr>
              <w:tabs>
                <w:tab w:val="left" w:pos="700"/>
              </w:tabs>
              <w:adjustRightInd w:val="0"/>
              <w:snapToGrid w:val="0"/>
              <w:rPr>
                <w:rFonts w:hint="eastAsia" w:ascii="宋体" w:hAnsi="宋体" w:eastAsia="宋体" w:cs="宋体"/>
                <w:szCs w:val="21"/>
                <w:highlight w:val="none"/>
              </w:rPr>
            </w:pPr>
            <w:r>
              <w:rPr>
                <w:rFonts w:hint="eastAsia" w:ascii="宋体" w:hAnsi="宋体" w:eastAsia="宋体" w:cs="宋体"/>
                <w:szCs w:val="21"/>
                <w:highlight w:val="none"/>
              </w:rPr>
              <w:t>□本项目要求提供履约保证金。履约保证金为合同总金额的</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%，即人民币</w:t>
            </w:r>
            <w:r>
              <w:rPr>
                <w:rFonts w:hint="eastAsia" w:ascii="宋体" w:hAnsi="宋体" w:eastAsia="宋体" w:cs="宋体"/>
                <w:szCs w:val="21"/>
                <w:highlight w:val="none"/>
                <w:u w:val="single"/>
                <w:lang w:val="e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
              </w:rPr>
              <w:t xml:space="preserve"> </w:t>
            </w:r>
            <w:r>
              <w:rPr>
                <w:rFonts w:hint="eastAsia" w:ascii="宋体" w:hAnsi="宋体" w:eastAsia="宋体" w:cs="宋体"/>
                <w:szCs w:val="21"/>
                <w:highlight w:val="none"/>
                <w:lang w:val="en"/>
              </w:rPr>
              <w:t>元</w:t>
            </w:r>
            <w:r>
              <w:rPr>
                <w:rFonts w:hint="eastAsia" w:ascii="宋体" w:hAnsi="宋体" w:eastAsia="宋体" w:cs="宋体"/>
                <w:szCs w:val="21"/>
                <w:highlight w:val="none"/>
              </w:rPr>
              <w:t>整（¥</w:t>
            </w:r>
            <w:r>
              <w:rPr>
                <w:rFonts w:hint="eastAsia" w:ascii="宋体" w:hAnsi="宋体" w:eastAsia="宋体" w:cs="宋体"/>
                <w:szCs w:val="21"/>
                <w:highlight w:val="none"/>
                <w:u w:val="single"/>
                <w:lang w:val="e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
              </w:rPr>
              <w:t xml:space="preserve"> </w:t>
            </w:r>
            <w:r>
              <w:rPr>
                <w:rFonts w:hint="eastAsia" w:ascii="宋体" w:hAnsi="宋体" w:eastAsia="宋体" w:cs="宋体"/>
                <w:szCs w:val="21"/>
                <w:highlight w:val="none"/>
              </w:rPr>
              <w:t>），乙方应在合同签订之日起 30 日内提交甲方。提交方式为银行电汇、金融机构或担保机构出具的保函。在合同履行期满，扣除应扣除的款项（如有）且双方无争议后，无息返还。</w:t>
            </w:r>
          </w:p>
          <w:p w14:paraId="0A4BE95C">
            <w:pPr>
              <w:tabs>
                <w:tab w:val="left" w:pos="700"/>
              </w:tabs>
              <w:adjustRightInd w:val="0"/>
              <w:snapToGrid w:val="0"/>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办理返还履约保证金时，乙方应提供履约保证金返还申请（格式另附）、合同或合同关键页复印件、合同约定的其他资料。涉及验收的，应同时提交甲方需求部门出具的项目终验意见或质量保证期（服务期）满验收意见。</w:t>
            </w:r>
          </w:p>
          <w:p w14:paraId="320437A6">
            <w:pPr>
              <w:tabs>
                <w:tab w:val="left" w:pos="700"/>
              </w:tabs>
              <w:adjustRightInd w:val="0"/>
              <w:snapToGrid w:val="0"/>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满足履约保证金返还条件的，甲方在收到返还相关信息等合同约定资料后，进行核实。对核实结果无异议的，自完成核实之日起30日内，以</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方式返还履约保证金或退回保函。</w:t>
            </w:r>
          </w:p>
        </w:tc>
      </w:tr>
      <w:tr w14:paraId="3BA34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3EA72AC0">
            <w:pPr>
              <w:tabs>
                <w:tab w:val="left" w:pos="700"/>
              </w:tabs>
              <w:adjustRightInd w:val="0"/>
              <w:snapToGrid w:val="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rPr>
              <w:t>1</w:t>
            </w:r>
            <w:r>
              <w:rPr>
                <w:rFonts w:hint="eastAsia" w:ascii="宋体" w:hAnsi="宋体" w:eastAsia="宋体" w:cs="宋体"/>
                <w:szCs w:val="21"/>
                <w:highlight w:val="none"/>
                <w:lang w:val="en-US" w:eastAsia="zh-CN"/>
              </w:rPr>
              <w:t>2</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1F65733C">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合同履行期限</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2CD906EB">
            <w:pPr>
              <w:tabs>
                <w:tab w:val="left" w:pos="700"/>
              </w:tabs>
              <w:adjustRightInd w:val="0"/>
              <w:snapToGrid w:val="0"/>
              <w:rPr>
                <w:rFonts w:hint="eastAsia" w:ascii="宋体" w:hAnsi="宋体" w:eastAsia="宋体" w:cs="宋体"/>
                <w:szCs w:val="21"/>
                <w:highlight w:val="none"/>
              </w:rPr>
            </w:pPr>
            <w:r>
              <w:rPr>
                <w:rFonts w:hint="eastAsia" w:ascii="Times New Roman" w:hAnsi="Times New Roman"/>
                <w:szCs w:val="21"/>
                <w:highlight w:val="none"/>
              </w:rPr>
              <w:t>自签订合同之日起一年。</w:t>
            </w:r>
          </w:p>
        </w:tc>
      </w:tr>
      <w:tr w14:paraId="673DA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5C5905F1">
            <w:pPr>
              <w:tabs>
                <w:tab w:val="left" w:pos="700"/>
              </w:tabs>
              <w:adjustRightInd w:val="0"/>
              <w:snapToGrid w:val="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rPr>
              <w:t>1</w:t>
            </w:r>
            <w:r>
              <w:rPr>
                <w:rFonts w:hint="eastAsia" w:ascii="宋体" w:hAnsi="宋体" w:eastAsia="宋体" w:cs="宋体"/>
                <w:szCs w:val="21"/>
                <w:highlight w:val="none"/>
                <w:lang w:val="en-US" w:eastAsia="zh-CN"/>
              </w:rPr>
              <w:t>3</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28AF910C">
            <w:pPr>
              <w:tabs>
                <w:tab w:val="left" w:pos="700"/>
              </w:tabs>
              <w:adjustRightInd w:val="0"/>
              <w:snapToGrid w:val="0"/>
              <w:jc w:val="center"/>
              <w:rPr>
                <w:rFonts w:hint="eastAsia" w:ascii="宋体" w:hAnsi="宋体" w:eastAsia="宋体" w:cs="宋体"/>
                <w:color w:val="0000FF"/>
                <w:szCs w:val="21"/>
                <w:highlight w:val="none"/>
                <w:lang w:val="en"/>
              </w:rPr>
            </w:pPr>
            <w:r>
              <w:rPr>
                <w:rFonts w:hint="eastAsia" w:ascii="宋体" w:hAnsi="宋体" w:eastAsia="宋体" w:cs="宋体"/>
                <w:color w:val="000000" w:themeColor="text1"/>
                <w:szCs w:val="21"/>
                <w:highlight w:val="none"/>
                <w14:textFill>
                  <w14:solidFill>
                    <w14:schemeClr w14:val="tx1"/>
                  </w14:solidFill>
                </w14:textFill>
              </w:rPr>
              <w:t>服务期</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510301F7">
            <w:pPr>
              <w:keepNext w:val="0"/>
              <w:keepLines w:val="0"/>
              <w:pageBreakBefore w:val="0"/>
              <w:widowControl w:val="0"/>
              <w:shd w:val="clear"/>
              <w:kinsoku/>
              <w:wordWrap/>
              <w:overflowPunct/>
              <w:topLinePunct/>
              <w:autoSpaceDE w:val="0"/>
              <w:autoSpaceDN w:val="0"/>
              <w:bidi w:val="0"/>
              <w:adjustRightInd/>
              <w:snapToGrid/>
              <w:textAlignment w:val="auto"/>
              <w:rPr>
                <w:rFonts w:hint="eastAsia" w:ascii="宋体" w:hAnsi="宋体" w:eastAsia="宋体" w:cs="宋体"/>
                <w:color w:val="0000FF"/>
                <w:szCs w:val="21"/>
                <w:highlight w:val="none"/>
                <w:lang w:eastAsia="zh-CN"/>
              </w:rPr>
            </w:pPr>
            <w:r>
              <w:rPr>
                <w:rFonts w:hint="eastAsia"/>
                <w:color w:val="auto"/>
                <w:highlight w:val="none"/>
                <w:lang w:val="en-US" w:eastAsia="zh-CN"/>
              </w:rPr>
              <w:t>自签订合同之日起</w:t>
            </w:r>
            <w:r>
              <w:rPr>
                <w:rFonts w:hint="eastAsia" w:ascii="Times New Roman" w:hAnsi="Times New Roman"/>
                <w:szCs w:val="21"/>
                <w:highlight w:val="none"/>
              </w:rPr>
              <w:t>一年</w:t>
            </w:r>
            <w:r>
              <w:rPr>
                <w:rFonts w:hint="eastAsia"/>
                <w:color w:val="auto"/>
                <w:highlight w:val="none"/>
                <w:lang w:val="en-US" w:eastAsia="zh-CN"/>
              </w:rPr>
              <w:t>。</w:t>
            </w:r>
          </w:p>
        </w:tc>
      </w:tr>
      <w:tr w14:paraId="243D6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 w:hRule="atLeast"/>
        </w:trPr>
        <w:tc>
          <w:tcPr>
            <w:tcW w:w="655" w:type="dxa"/>
            <w:tcBorders>
              <w:top w:val="single" w:color="auto" w:sz="4" w:space="0"/>
              <w:left w:val="single" w:color="auto" w:sz="4" w:space="0"/>
              <w:right w:val="single" w:color="auto" w:sz="4" w:space="0"/>
            </w:tcBorders>
            <w:noWrap w:val="0"/>
            <w:vAlign w:val="center"/>
          </w:tcPr>
          <w:p w14:paraId="0AA8ECB4">
            <w:pPr>
              <w:tabs>
                <w:tab w:val="left" w:pos="700"/>
              </w:tabs>
              <w:adjustRightInd w:val="0"/>
              <w:snapToGrid w:val="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rPr>
              <w:t>1</w:t>
            </w:r>
            <w:r>
              <w:rPr>
                <w:rFonts w:hint="eastAsia" w:ascii="宋体" w:hAnsi="宋体" w:eastAsia="宋体" w:cs="宋体"/>
                <w:szCs w:val="21"/>
                <w:highlight w:val="none"/>
                <w:lang w:val="en-US" w:eastAsia="zh-CN"/>
              </w:rPr>
              <w:t>4</w:t>
            </w:r>
          </w:p>
        </w:tc>
        <w:tc>
          <w:tcPr>
            <w:tcW w:w="1909" w:type="dxa"/>
            <w:gridSpan w:val="2"/>
            <w:tcBorders>
              <w:top w:val="single" w:color="auto" w:sz="4" w:space="0"/>
              <w:left w:val="single" w:color="auto" w:sz="4" w:space="0"/>
              <w:right w:val="single" w:color="auto" w:sz="4" w:space="0"/>
            </w:tcBorders>
            <w:noWrap w:val="0"/>
            <w:vAlign w:val="center"/>
          </w:tcPr>
          <w:p w14:paraId="54552D1D">
            <w:pPr>
              <w:tabs>
                <w:tab w:val="left" w:pos="700"/>
              </w:tabs>
              <w:adjustRightInd w:val="0"/>
              <w:snapToGrid w:val="0"/>
              <w:jc w:val="center"/>
              <w:rPr>
                <w:rFonts w:hint="eastAsia" w:ascii="宋体" w:hAnsi="宋体" w:eastAsia="宋体" w:cs="宋体"/>
                <w:szCs w:val="21"/>
                <w:highlight w:val="none"/>
              </w:rPr>
            </w:pPr>
            <w:r>
              <w:rPr>
                <w:rFonts w:hint="eastAsia" w:ascii="宋体" w:hAnsi="宋体" w:eastAsia="宋体" w:cs="宋体"/>
                <w:szCs w:val="21"/>
                <w:highlight w:val="none"/>
              </w:rPr>
              <w:t>合同履约地点</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2546A537">
            <w:pPr>
              <w:tabs>
                <w:tab w:val="left" w:pos="700"/>
              </w:tabs>
              <w:adjustRightInd w:val="0"/>
              <w:snapToGrid w:val="0"/>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国家税务总局沭阳县税务局上海路职工食堂（位于沭城街道上海路）、国家税务总局沭阳县税务局人民路职工食堂（位于沭城街道人民西路）、国家税务总局沭阳县税务局苏州路职工食堂（位于沭城街道苏州路）及国家税务总局沭阳县税务局马厂分局（位于沭阳县马厂镇）、国家税务总局沭阳县税务局塘沟分局（位于沭阳县塘沟镇）、国家税务总局沭阳县税务局陇集分局（位于沭阳县陇集镇）、国家税务总局沭阳县税务局韩山分局（位于沭阳县原官墩乡）、国家税务总局沭阳县税务局华冲分局（位于沭阳县华冲镇）、国家税务总局沭阳县税务局庙头分局（位于沭阳县庙头镇）职工食堂</w:t>
            </w:r>
            <w:r>
              <w:rPr>
                <w:rFonts w:hint="eastAsia" w:ascii="宋体" w:hAnsi="宋体" w:cs="宋体"/>
                <w:szCs w:val="21"/>
                <w:highlight w:val="none"/>
                <w:lang w:val="en-US" w:eastAsia="zh-CN"/>
              </w:rPr>
              <w:t>。</w:t>
            </w:r>
          </w:p>
        </w:tc>
      </w:tr>
      <w:tr w14:paraId="081F9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55" w:type="dxa"/>
            <w:tcBorders>
              <w:top w:val="single" w:color="auto" w:sz="4" w:space="0"/>
              <w:left w:val="single" w:color="auto" w:sz="4" w:space="0"/>
              <w:bottom w:val="single" w:color="auto" w:sz="4" w:space="0"/>
              <w:right w:val="single" w:color="auto" w:sz="4" w:space="0"/>
            </w:tcBorders>
            <w:noWrap w:val="0"/>
            <w:vAlign w:val="center"/>
          </w:tcPr>
          <w:p w14:paraId="3C0A5477">
            <w:pPr>
              <w:tabs>
                <w:tab w:val="left" w:pos="700"/>
              </w:tabs>
              <w:adjustRightInd w:val="0"/>
              <w:snapToGrid w:val="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rPr>
              <w:t>1</w:t>
            </w:r>
            <w:r>
              <w:rPr>
                <w:rFonts w:hint="eastAsia" w:ascii="宋体" w:hAnsi="宋体" w:eastAsia="宋体" w:cs="宋体"/>
                <w:szCs w:val="21"/>
                <w:highlight w:val="none"/>
                <w:lang w:val="en-US" w:eastAsia="zh-CN"/>
              </w:rPr>
              <w:t>5</w:t>
            </w:r>
          </w:p>
        </w:tc>
        <w:tc>
          <w:tcPr>
            <w:tcW w:w="1909" w:type="dxa"/>
            <w:gridSpan w:val="2"/>
            <w:tcBorders>
              <w:top w:val="single" w:color="auto" w:sz="4" w:space="0"/>
              <w:left w:val="single" w:color="auto" w:sz="4" w:space="0"/>
              <w:bottom w:val="single" w:color="auto" w:sz="4" w:space="0"/>
              <w:right w:val="single" w:color="auto" w:sz="4" w:space="0"/>
            </w:tcBorders>
            <w:noWrap w:val="0"/>
            <w:vAlign w:val="center"/>
          </w:tcPr>
          <w:p w14:paraId="47341A4C">
            <w:pPr>
              <w:tabs>
                <w:tab w:val="left" w:pos="700"/>
              </w:tabs>
              <w:adjustRightInd w:val="0"/>
              <w:snapToGrid w:val="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合同纠纷解决方式</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581CF1F4">
            <w:pPr>
              <w:tabs>
                <w:tab w:val="left" w:pos="700"/>
              </w:tabs>
              <w:adjustRightInd w:val="0"/>
              <w:snapToGrid w:val="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甲乙双方应首先通过友好协商解决在执行本合同中所发生的或与本合同有关的一切争端。如从协商开始</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天内仍不能解决，可以选择以下途径之一解决纠纷：</w:t>
            </w:r>
          </w:p>
          <w:p w14:paraId="7474B968">
            <w:pPr>
              <w:tabs>
                <w:tab w:val="left" w:pos="700"/>
              </w:tabs>
              <w:adjustRightInd w:val="0"/>
              <w:snapToGrid w:val="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向</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u w:val="single"/>
                <w:lang w:val="en-US" w:eastAsia="zh-CN"/>
                <w14:textFill>
                  <w14:solidFill>
                    <w14:schemeClr w14:val="tx1"/>
                  </w14:solidFill>
                </w14:textFill>
              </w:rPr>
              <w:t>宿迁</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仲裁委员会申请仲裁</w:t>
            </w:r>
            <w:r>
              <w:rPr>
                <w:rFonts w:hint="eastAsia" w:ascii="宋体" w:hAnsi="宋体" w:eastAsia="宋体" w:cs="宋体"/>
                <w:color w:val="000000" w:themeColor="text1"/>
                <w:highlight w:val="none"/>
                <w:lang w:eastAsia="zh-CN"/>
                <w14:textFill>
                  <w14:solidFill>
                    <w14:schemeClr w14:val="tx1"/>
                  </w14:solidFill>
                </w14:textFill>
              </w:rPr>
              <w:t>；</w:t>
            </w:r>
          </w:p>
          <w:p w14:paraId="5A2EB3DA">
            <w:pPr>
              <w:tabs>
                <w:tab w:val="left" w:pos="700"/>
              </w:tabs>
              <w:adjustRightInd w:val="0"/>
              <w:snapToGrid w:val="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向</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人民法院提起诉讼</w:t>
            </w:r>
            <w:r>
              <w:rPr>
                <w:rFonts w:hint="eastAsia" w:ascii="宋体" w:hAnsi="宋体" w:eastAsia="宋体" w:cs="宋体"/>
                <w:color w:val="000000" w:themeColor="text1"/>
                <w:highlight w:val="none"/>
                <w:lang w:eastAsia="zh-CN"/>
                <w14:textFill>
                  <w14:solidFill>
                    <w14:schemeClr w14:val="tx1"/>
                  </w14:solidFill>
                </w14:textFill>
              </w:rPr>
              <w:t>。</w:t>
            </w:r>
          </w:p>
        </w:tc>
      </w:tr>
    </w:tbl>
    <w:p w14:paraId="04171A17">
      <w:pPr>
        <w:tabs>
          <w:tab w:val="left" w:pos="700"/>
        </w:tabs>
        <w:topLinePunct/>
        <w:autoSpaceDE w:val="0"/>
        <w:autoSpaceDN w:val="0"/>
        <w:spacing w:line="460" w:lineRule="exact"/>
        <w:rPr>
          <w:rFonts w:hint="eastAsia" w:ascii="宋体" w:hAnsi="宋体" w:eastAsia="宋体" w:cs="宋体"/>
          <w:b/>
          <w:sz w:val="24"/>
          <w:highlight w:val="none"/>
        </w:rPr>
      </w:pPr>
      <w:r>
        <w:rPr>
          <w:rFonts w:hint="eastAsia" w:ascii="宋体" w:hAnsi="宋体" w:eastAsia="宋体" w:cs="宋体"/>
          <w:b/>
          <w:sz w:val="28"/>
          <w:highlight w:val="none"/>
        </w:rPr>
        <w:br w:type="page"/>
      </w:r>
    </w:p>
    <w:p w14:paraId="062AFFF0">
      <w:pPr>
        <w:keepNext w:val="0"/>
        <w:keepLines w:val="0"/>
        <w:pageBreakBefore w:val="0"/>
        <w:widowControl w:val="0"/>
        <w:tabs>
          <w:tab w:val="left" w:pos="0"/>
        </w:tabs>
        <w:kinsoku/>
        <w:wordWrap/>
        <w:overflowPunct/>
        <w:topLinePunct/>
        <w:autoSpaceDE w:val="0"/>
        <w:autoSpaceDN w:val="0"/>
        <w:bidi w:val="0"/>
        <w:adjustRightInd/>
        <w:snapToGrid/>
        <w:spacing w:line="360" w:lineRule="auto"/>
        <w:jc w:val="center"/>
        <w:textAlignment w:val="auto"/>
        <w:outlineLvl w:val="2"/>
        <w:rPr>
          <w:rFonts w:hint="eastAsia" w:ascii="宋体" w:hAnsi="宋体" w:eastAsia="宋体" w:cs="宋体"/>
          <w:b/>
          <w:sz w:val="24"/>
          <w:highlight w:val="none"/>
        </w:rPr>
      </w:pPr>
      <w:bookmarkStart w:id="77" w:name="_Toc17355"/>
      <w:bookmarkStart w:id="78" w:name="_Toc9159"/>
      <w:r>
        <w:rPr>
          <w:rFonts w:hint="eastAsia" w:ascii="宋体" w:hAnsi="宋体" w:eastAsia="宋体" w:cs="宋体"/>
          <w:b/>
          <w:sz w:val="24"/>
          <w:highlight w:val="none"/>
        </w:rPr>
        <w:t>一</w:t>
      </w:r>
      <w:r>
        <w:rPr>
          <w:rFonts w:hint="eastAsia" w:ascii="宋体" w:hAnsi="宋体" w:eastAsia="宋体" w:cs="宋体"/>
          <w:b/>
          <w:sz w:val="24"/>
          <w:highlight w:val="none"/>
          <w:lang w:eastAsia="zh-CN"/>
        </w:rPr>
        <w:t>、</w:t>
      </w:r>
      <w:r>
        <w:rPr>
          <w:rFonts w:hint="eastAsia" w:ascii="宋体" w:hAnsi="宋体" w:eastAsia="宋体" w:cs="宋体"/>
          <w:b/>
          <w:sz w:val="24"/>
          <w:highlight w:val="none"/>
        </w:rPr>
        <w:t>合  同</w:t>
      </w:r>
      <w:bookmarkEnd w:id="77"/>
      <w:bookmarkEnd w:id="78"/>
      <w:r>
        <w:rPr>
          <w:rFonts w:hint="eastAsia" w:ascii="宋体" w:hAnsi="宋体" w:eastAsia="宋体" w:cs="宋体"/>
          <w:b/>
          <w:sz w:val="24"/>
          <w:highlight w:val="none"/>
        </w:rPr>
        <w:t xml:space="preserve"> </w:t>
      </w:r>
    </w:p>
    <w:p w14:paraId="3E13D7CE">
      <w:pPr>
        <w:tabs>
          <w:tab w:val="left" w:pos="700"/>
        </w:tabs>
        <w:topLinePunct/>
        <w:autoSpaceDE w:val="0"/>
        <w:autoSpaceDN w:val="0"/>
        <w:snapToGrid w:val="0"/>
        <w:spacing w:line="360" w:lineRule="auto"/>
        <w:ind w:firstLine="420" w:firstLineChars="200"/>
        <w:rPr>
          <w:rFonts w:hint="eastAsia" w:ascii="宋体" w:hAnsi="宋体" w:eastAsia="宋体" w:cs="宋体"/>
          <w:szCs w:val="21"/>
          <w:highlight w:val="none"/>
        </w:rPr>
      </w:pPr>
      <w:r>
        <w:rPr>
          <w:rFonts w:hint="eastAsia" w:ascii="宋体" w:hAnsi="宋体" w:cs="宋体"/>
          <w:szCs w:val="21"/>
          <w:highlight w:val="none"/>
          <w:lang w:eastAsia="zh-CN"/>
        </w:rPr>
        <w:t>国家税务总局沭阳县税务局</w:t>
      </w:r>
      <w:r>
        <w:rPr>
          <w:rFonts w:hint="eastAsia" w:ascii="宋体" w:hAnsi="宋体" w:eastAsia="宋体" w:cs="宋体"/>
          <w:szCs w:val="21"/>
          <w:highlight w:val="none"/>
        </w:rPr>
        <w:t>（以下简称“甲方”）通过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公开招标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none"/>
          <w:lang w:val="en-US" w:eastAsia="zh-CN"/>
        </w:rPr>
        <w:t>方</w:t>
      </w:r>
      <w:r>
        <w:rPr>
          <w:rFonts w:hint="eastAsia" w:ascii="宋体" w:hAnsi="宋体" w:eastAsia="宋体" w:cs="宋体"/>
          <w:szCs w:val="21"/>
          <w:highlight w:val="none"/>
        </w:rPr>
        <w:t>式采购，确定_ _____公司（以下简称“乙方”）为《</w:t>
      </w:r>
      <w:r>
        <w:rPr>
          <w:rFonts w:hint="eastAsia" w:ascii="宋体" w:hAnsi="宋体" w:cs="宋体"/>
          <w:szCs w:val="21"/>
          <w:highlight w:val="none"/>
          <w:lang w:eastAsia="zh-CN"/>
        </w:rPr>
        <w:t>国家税务总局沭阳县税务局2026年食堂食材配送服务采购项目</w:t>
      </w:r>
      <w:r>
        <w:rPr>
          <w:rFonts w:hint="eastAsia" w:ascii="宋体" w:hAnsi="宋体" w:eastAsia="宋体" w:cs="宋体"/>
          <w:szCs w:val="21"/>
          <w:highlight w:val="none"/>
        </w:rPr>
        <w:t>》中标供应商。甲乙双方同意按照该项目招标文件约定的内容，签署《</w:t>
      </w:r>
      <w:r>
        <w:rPr>
          <w:rFonts w:hint="eastAsia" w:ascii="宋体" w:hAnsi="宋体" w:cs="宋体"/>
          <w:szCs w:val="21"/>
          <w:highlight w:val="none"/>
          <w:lang w:eastAsia="zh-CN"/>
        </w:rPr>
        <w:t>国家税务总局沭阳县税务局2026年食堂食材配送服务采购项目</w:t>
      </w:r>
      <w:r>
        <w:rPr>
          <w:rFonts w:hint="eastAsia" w:ascii="宋体" w:hAnsi="宋体" w:eastAsia="宋体" w:cs="宋体"/>
          <w:szCs w:val="21"/>
          <w:highlight w:val="none"/>
        </w:rPr>
        <w:t>合同书》（合同编号：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，以下简称“合同”)。</w:t>
      </w:r>
    </w:p>
    <w:p w14:paraId="1009932B">
      <w:pPr>
        <w:topLinePunct/>
        <w:autoSpaceDE w:val="0"/>
        <w:autoSpaceDN w:val="0"/>
        <w:snapToGrid w:val="0"/>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1.合同文件</w:t>
      </w:r>
    </w:p>
    <w:p w14:paraId="7E9A59DF">
      <w:pPr>
        <w:tabs>
          <w:tab w:val="left" w:pos="700"/>
        </w:tabs>
        <w:topLinePunct/>
        <w:autoSpaceDE w:val="0"/>
        <w:autoSpaceDN w:val="0"/>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本合同所附下列文件是构成本合同不可分割的部分：</w:t>
      </w:r>
    </w:p>
    <w:p w14:paraId="06D1FD73">
      <w:pPr>
        <w:tabs>
          <w:tab w:val="left" w:pos="700"/>
        </w:tabs>
        <w:topLinePunct/>
        <w:autoSpaceDE w:val="0"/>
        <w:autoSpaceDN w:val="0"/>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（1）合同通用条款；</w:t>
      </w:r>
    </w:p>
    <w:p w14:paraId="5C37E3E9">
      <w:pPr>
        <w:tabs>
          <w:tab w:val="left" w:pos="700"/>
        </w:tabs>
        <w:topLinePunct/>
        <w:autoSpaceDE w:val="0"/>
        <w:autoSpaceDN w:val="0"/>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（2）报价表（总报价表和分项报价表）；</w:t>
      </w:r>
    </w:p>
    <w:p w14:paraId="5DBAE6E7">
      <w:pPr>
        <w:tabs>
          <w:tab w:val="left" w:pos="700"/>
        </w:tabs>
        <w:topLinePunct/>
        <w:autoSpaceDE w:val="0"/>
        <w:autoSpaceDN w:val="0"/>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（3）招标文件；</w:t>
      </w:r>
    </w:p>
    <w:p w14:paraId="7727329A">
      <w:pPr>
        <w:tabs>
          <w:tab w:val="left" w:pos="700"/>
        </w:tabs>
        <w:topLinePunct/>
        <w:autoSpaceDE w:val="0"/>
        <w:autoSpaceDN w:val="0"/>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（4）投标文件。</w:t>
      </w:r>
    </w:p>
    <w:p w14:paraId="38FE86AB">
      <w:pPr>
        <w:topLinePunct/>
        <w:autoSpaceDE w:val="0"/>
        <w:autoSpaceDN w:val="0"/>
        <w:snapToGrid w:val="0"/>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2.合同范围和条件</w:t>
      </w:r>
    </w:p>
    <w:p w14:paraId="17089EC3">
      <w:pPr>
        <w:tabs>
          <w:tab w:val="left" w:pos="700"/>
        </w:tabs>
        <w:topLinePunct/>
        <w:autoSpaceDE w:val="0"/>
        <w:autoSpaceDN w:val="0"/>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本合同的范围和条件应与上述合同文件的规定相一致。</w:t>
      </w:r>
    </w:p>
    <w:p w14:paraId="10693431">
      <w:pPr>
        <w:tabs>
          <w:tab w:val="left" w:pos="700"/>
        </w:tabs>
        <w:topLinePunct/>
        <w:autoSpaceDE w:val="0"/>
        <w:autoSpaceDN w:val="0"/>
        <w:snapToGrid w:val="0"/>
        <w:spacing w:line="360" w:lineRule="auto"/>
        <w:ind w:firstLine="413" w:firstLineChars="196"/>
        <w:rPr>
          <w:rFonts w:hint="eastAsia" w:ascii="宋体" w:hAnsi="宋体" w:eastAsia="宋体" w:cs="宋体"/>
          <w:b/>
          <w:szCs w:val="21"/>
          <w:highlight w:val="none"/>
        </w:rPr>
      </w:pPr>
      <w:r>
        <w:rPr>
          <w:rFonts w:hint="eastAsia" w:ascii="宋体" w:hAnsi="宋体" w:eastAsia="宋体" w:cs="宋体"/>
          <w:b/>
          <w:szCs w:val="21"/>
          <w:highlight w:val="none"/>
        </w:rPr>
        <w:t>3.合同金额</w:t>
      </w:r>
    </w:p>
    <w:p w14:paraId="68512E6B">
      <w:pPr>
        <w:tabs>
          <w:tab w:val="left" w:pos="700"/>
        </w:tabs>
        <w:topLinePunct/>
        <w:autoSpaceDE w:val="0"/>
        <w:autoSpaceDN w:val="0"/>
        <w:snapToGrid w:val="0"/>
        <w:spacing w:line="360" w:lineRule="auto"/>
        <w:ind w:firstLine="420" w:firstLineChars="200"/>
        <w:rPr>
          <w:rFonts w:hint="eastAsia" w:ascii="宋体" w:hAnsi="宋体" w:eastAsia="宋体" w:cs="宋体"/>
          <w:szCs w:val="21"/>
          <w:highlight w:val="none"/>
        </w:rPr>
      </w:pPr>
      <w:r>
        <w:rPr>
          <w:rFonts w:hint="eastAsia" w:ascii="宋体" w:hAnsi="宋体" w:cs="宋体"/>
          <w:szCs w:val="21"/>
          <w:highlight w:val="none"/>
          <w:lang w:val="en-US" w:eastAsia="zh-CN"/>
        </w:rPr>
        <w:t>预算</w:t>
      </w:r>
      <w:r>
        <w:rPr>
          <w:rFonts w:hint="eastAsia" w:ascii="宋体" w:hAnsi="宋体" w:eastAsia="宋体" w:cs="宋体"/>
          <w:szCs w:val="21"/>
          <w:highlight w:val="none"/>
        </w:rPr>
        <w:t>：</w:t>
      </w:r>
      <w:r>
        <w:rPr>
          <w:rFonts w:hint="eastAsia" w:ascii="宋体" w:hAnsi="宋体" w:cs="宋体"/>
          <w:szCs w:val="21"/>
          <w:highlight w:val="none"/>
          <w:lang w:eastAsia="zh-CN"/>
        </w:rPr>
        <w:t>人民币</w:t>
      </w:r>
      <w:r>
        <w:rPr>
          <w:rFonts w:hint="eastAsia" w:ascii="宋体" w:hAnsi="宋体" w:cs="宋体"/>
          <w:szCs w:val="21"/>
          <w:highlight w:val="none"/>
          <w:lang w:val="en-US" w:eastAsia="zh-CN"/>
        </w:rPr>
        <w:t>256万元</w:t>
      </w:r>
      <w:r>
        <w:rPr>
          <w:rFonts w:hint="eastAsia" w:ascii="宋体" w:hAnsi="宋体" w:eastAsia="宋体" w:cs="宋体"/>
          <w:szCs w:val="21"/>
          <w:highlight w:val="none"/>
        </w:rPr>
        <w:t>，采购食材按实际采购量进行结算，实际执行总金额不超过采购预算。费率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333BD40B">
      <w:pPr>
        <w:tabs>
          <w:tab w:val="left" w:pos="700"/>
        </w:tabs>
        <w:topLinePunct/>
        <w:autoSpaceDE w:val="0"/>
        <w:autoSpaceDN w:val="0"/>
        <w:snapToGrid w:val="0"/>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lang w:val="en"/>
        </w:rPr>
        <w:t>4.</w:t>
      </w:r>
      <w:r>
        <w:rPr>
          <w:rFonts w:hint="eastAsia" w:ascii="宋体" w:hAnsi="宋体" w:eastAsia="宋体" w:cs="宋体"/>
          <w:b/>
          <w:szCs w:val="21"/>
          <w:highlight w:val="none"/>
        </w:rPr>
        <w:t>付款条件</w:t>
      </w:r>
    </w:p>
    <w:p w14:paraId="153BEB4E">
      <w:pPr>
        <w:keepNext w:val="0"/>
        <w:keepLines w:val="0"/>
        <w:pageBreakBefore w:val="0"/>
        <w:widowControl w:val="0"/>
        <w:tabs>
          <w:tab w:val="left" w:pos="700"/>
        </w:tabs>
        <w:kinsoku/>
        <w:wordWrap/>
        <w:overflowPunct/>
        <w:topLinePunct/>
        <w:autoSpaceDE w:val="0"/>
        <w:autoSpaceDN w:val="0"/>
        <w:bidi w:val="0"/>
        <w:snapToGrid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本项目每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1</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个月为 1 个服务周期，共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1</w:t>
      </w:r>
      <w:r>
        <w:rPr>
          <w:rFonts w:hint="eastAsia" w:ascii="宋体" w:hAnsi="宋体" w:cs="宋体"/>
          <w:szCs w:val="21"/>
          <w:highlight w:val="none"/>
          <w:u w:val="single"/>
          <w:lang w:val="en-US" w:eastAsia="zh-CN"/>
        </w:rPr>
        <w:t>2</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个服务周期。每个服务周期，甲方按照采购文件和合同约定对乙方提供的服务进行考核或验收后支付相应款项。</w:t>
      </w:r>
    </w:p>
    <w:p w14:paraId="6A401D0F">
      <w:pPr>
        <w:pStyle w:val="40"/>
        <w:tabs>
          <w:tab w:val="left" w:pos="840"/>
        </w:tabs>
        <w:topLinePunct w:val="0"/>
        <w:autoSpaceDE/>
        <w:autoSpaceDN/>
        <w:adjustRightInd w:val="0"/>
        <w:snapToGrid w:val="0"/>
        <w:ind w:firstLine="420" w:firstLineChars="20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合同以人民币结算，付款方式：</w:t>
      </w:r>
    </w:p>
    <w:p w14:paraId="1BD8FCD1">
      <w:pPr>
        <w:pStyle w:val="40"/>
        <w:tabs>
          <w:tab w:val="left" w:pos="840"/>
        </w:tabs>
        <w:topLinePunct w:val="0"/>
        <w:autoSpaceDE/>
        <w:autoSpaceDN/>
        <w:adjustRightInd w:val="0"/>
        <w:snapToGrid w:val="0"/>
        <w:ind w:firstLine="420" w:firstLineChars="200"/>
        <w:jc w:val="left"/>
        <w:textAlignment w:val="baseline"/>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食材定价要求</w:t>
      </w:r>
    </w:p>
    <w:p w14:paraId="1D340B1E">
      <w:pPr>
        <w:topLinePunct/>
        <w:autoSpaceDE w:val="0"/>
        <w:autoSpaceDN w:val="0"/>
        <w:snapToGrid w:val="0"/>
        <w:spacing w:line="360" w:lineRule="auto"/>
        <w:ind w:firstLine="420" w:firstLineChars="20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价格确定：本项目投标报价须以供货当日“宿迁阳光物价网”网址：（http://ygwj.fgw.suqian.gov.cn/） 公布的最新主副食品价格计价进行折扣；如宿迁阳光物价网无网价的产品，以周边大型农贸市场、大型超市的食材价格进行折扣。</w:t>
      </w:r>
    </w:p>
    <w:p w14:paraId="22169179">
      <w:pPr>
        <w:topLinePunct/>
        <w:autoSpaceDE w:val="0"/>
        <w:autoSpaceDN w:val="0"/>
        <w:snapToGrid w:val="0"/>
        <w:spacing w:line="360" w:lineRule="auto"/>
        <w:ind w:firstLine="420" w:firstLineChars="200"/>
        <w:rPr>
          <w:rFonts w:hint="eastAsia" w:ascii="宋体" w:hAnsi="宋体" w:eastAsia="宋体" w:cs="宋体"/>
          <w:b w:val="0"/>
          <w:bCs w:val="0"/>
          <w:sz w:val="21"/>
          <w:szCs w:val="21"/>
          <w:highlight w:val="none"/>
        </w:rPr>
      </w:pPr>
      <w:r>
        <w:rPr>
          <w:rFonts w:hint="eastAsia" w:ascii="宋体" w:hAnsi="宋体" w:cs="宋体"/>
          <w:b w:val="0"/>
          <w:bCs w:val="0"/>
          <w:sz w:val="21"/>
          <w:szCs w:val="21"/>
          <w:highlight w:val="none"/>
          <w:lang w:eastAsia="zh-CN"/>
        </w:rPr>
        <w:t>（</w:t>
      </w:r>
      <w:r>
        <w:rPr>
          <w:rFonts w:hint="eastAsia" w:ascii="宋体" w:hAnsi="宋体" w:cs="宋体"/>
          <w:b w:val="0"/>
          <w:bCs w:val="0"/>
          <w:sz w:val="21"/>
          <w:szCs w:val="21"/>
          <w:highlight w:val="none"/>
          <w:lang w:val="en-US" w:eastAsia="zh-CN"/>
        </w:rPr>
        <w:t>2</w:t>
      </w:r>
      <w:r>
        <w:rPr>
          <w:rFonts w:hint="eastAsia" w:ascii="宋体" w:hAnsi="宋体" w:cs="宋体"/>
          <w:b w:val="0"/>
          <w:bCs w:val="0"/>
          <w:sz w:val="21"/>
          <w:szCs w:val="21"/>
          <w:highlight w:val="none"/>
          <w:lang w:eastAsia="zh-CN"/>
        </w:rPr>
        <w:t>）</w:t>
      </w:r>
      <w:r>
        <w:rPr>
          <w:rFonts w:hint="eastAsia" w:ascii="宋体" w:hAnsi="宋体" w:eastAsia="宋体" w:cs="宋体"/>
          <w:b w:val="0"/>
          <w:bCs w:val="0"/>
          <w:sz w:val="21"/>
          <w:szCs w:val="21"/>
          <w:highlight w:val="none"/>
        </w:rPr>
        <w:t>货款结算要求</w:t>
      </w:r>
    </w:p>
    <w:p w14:paraId="3FCBD32B">
      <w:pPr>
        <w:topLinePunct/>
        <w:autoSpaceDE w:val="0"/>
        <w:autoSpaceDN w:val="0"/>
        <w:snapToGrid w:val="0"/>
        <w:spacing w:line="360" w:lineRule="auto"/>
        <w:ind w:firstLine="420" w:firstLineChars="20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食材费用按月结算，食材验收及单据审核全部合格的，视为验收完成。每月验收完成后，甲乙双方进行上月货款核对，双方核实无误后据实结算。乙方在次月25日前报送正规发票，甲方在收到发票等合同约定付款申请资料后，进行核实，满足合同支付条件的，自收到发票后原则上10个工作日内将资金以转账方式支付到乙方账户，另有争议的除外。对账、开票、付款日遇节假日可顺延。</w:t>
      </w:r>
    </w:p>
    <w:p w14:paraId="77A1A5C8">
      <w:pPr>
        <w:topLinePunct/>
        <w:autoSpaceDE w:val="0"/>
        <w:autoSpaceDN w:val="0"/>
        <w:snapToGrid w:val="0"/>
        <w:spacing w:line="360" w:lineRule="auto"/>
        <w:ind w:firstLine="422" w:firstLineChars="200"/>
        <w:rPr>
          <w:rFonts w:hint="eastAsia" w:ascii="宋体" w:hAnsi="宋体" w:eastAsia="宋体" w:cs="宋体"/>
          <w:b/>
          <w:bCs/>
          <w:szCs w:val="21"/>
          <w:highlight w:val="none"/>
        </w:rPr>
      </w:pPr>
      <w:r>
        <w:rPr>
          <w:rFonts w:hint="eastAsia" w:ascii="宋体" w:hAnsi="宋体" w:cs="宋体"/>
          <w:b/>
          <w:bCs/>
          <w:szCs w:val="21"/>
          <w:highlight w:val="none"/>
          <w:lang w:val="en-US" w:eastAsia="zh-CN"/>
        </w:rPr>
        <w:t>5.</w:t>
      </w:r>
      <w:r>
        <w:rPr>
          <w:rFonts w:hint="eastAsia" w:ascii="宋体" w:hAnsi="宋体" w:eastAsia="宋体" w:cs="宋体"/>
          <w:b/>
          <w:bCs/>
          <w:szCs w:val="21"/>
          <w:highlight w:val="none"/>
        </w:rPr>
        <w:t>合同签订及生效</w:t>
      </w:r>
    </w:p>
    <w:p w14:paraId="25D32FE5">
      <w:pPr>
        <w:pStyle w:val="40"/>
        <w:tabs>
          <w:tab w:val="left" w:pos="840"/>
        </w:tabs>
        <w:snapToGrid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本合同一式</w:t>
      </w:r>
      <w:r>
        <w:rPr>
          <w:rFonts w:hint="eastAsia" w:ascii="宋体" w:hAnsi="宋体" w:eastAsia="宋体" w:cs="宋体"/>
          <w:sz w:val="21"/>
          <w:szCs w:val="21"/>
          <w:highlight w:val="none"/>
          <w:u w:val="single"/>
          <w:lang w:val="en"/>
        </w:rPr>
        <w:t xml:space="preserve">   </w:t>
      </w:r>
      <w:r>
        <w:rPr>
          <w:rFonts w:hint="eastAsia" w:ascii="宋体" w:hAnsi="宋体" w:eastAsia="宋体" w:cs="宋体"/>
          <w:sz w:val="21"/>
          <w:szCs w:val="21"/>
          <w:highlight w:val="none"/>
        </w:rPr>
        <w:t>份，</w:t>
      </w:r>
      <w:r>
        <w:rPr>
          <w:rFonts w:hint="eastAsia" w:ascii="宋体" w:hAnsi="宋体" w:eastAsia="宋体" w:cs="宋体"/>
          <w:sz w:val="21"/>
          <w:szCs w:val="21"/>
          <w:highlight w:val="none"/>
          <w:lang w:eastAsia="zh-CN"/>
        </w:rPr>
        <w:t>甲方执</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份，乙方执</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份，</w:t>
      </w:r>
      <w:r>
        <w:rPr>
          <w:rFonts w:hint="eastAsia" w:ascii="宋体" w:hAnsi="宋体" w:eastAsia="宋体" w:cs="宋体"/>
          <w:sz w:val="21"/>
          <w:szCs w:val="21"/>
          <w:highlight w:val="none"/>
        </w:rPr>
        <w:t>由甲乙双方法定代表人或被授权人签字并盖章后生效。</w:t>
      </w:r>
    </w:p>
    <w:p w14:paraId="2AAAFE82">
      <w:pPr>
        <w:pStyle w:val="40"/>
        <w:tabs>
          <w:tab w:val="left" w:pos="840"/>
        </w:tabs>
        <w:snapToGrid w:val="0"/>
        <w:spacing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乙方由法定代表人签订合同的，应提供法定代表人身份证复印件；乙方由被授权人签订合同的，应提供授权委托书和法定代表人及被授权人身份证复印件。</w:t>
      </w:r>
    </w:p>
    <w:p w14:paraId="2AC27D3A">
      <w:pPr>
        <w:pStyle w:val="40"/>
        <w:tabs>
          <w:tab w:val="left" w:pos="840"/>
        </w:tabs>
        <w:snapToGrid w:val="0"/>
        <w:spacing w:line="360" w:lineRule="auto"/>
        <w:ind w:firstLine="420" w:firstLineChars="200"/>
        <w:rPr>
          <w:rFonts w:hint="eastAsia" w:ascii="宋体" w:hAnsi="宋体" w:eastAsia="宋体" w:cs="宋体"/>
          <w:sz w:val="21"/>
          <w:szCs w:val="21"/>
          <w:highlight w:val="none"/>
        </w:rPr>
      </w:pPr>
    </w:p>
    <w:p w14:paraId="59D63134">
      <w:pPr>
        <w:tabs>
          <w:tab w:val="left" w:pos="700"/>
        </w:tabs>
        <w:topLinePunct/>
        <w:autoSpaceDE w:val="0"/>
        <w:autoSpaceDN w:val="0"/>
        <w:spacing w:line="360" w:lineRule="auto"/>
        <w:rPr>
          <w:rFonts w:hint="eastAsia" w:ascii="宋体" w:hAnsi="宋体" w:eastAsia="宋体" w:cs="宋体"/>
          <w:szCs w:val="21"/>
          <w:highlight w:val="none"/>
        </w:rPr>
      </w:pPr>
    </w:p>
    <w:p w14:paraId="075B7F9E">
      <w:pPr>
        <w:tabs>
          <w:tab w:val="left" w:pos="700"/>
        </w:tabs>
        <w:topLinePunct/>
        <w:autoSpaceDE w:val="0"/>
        <w:autoSpaceDN w:val="0"/>
        <w:spacing w:line="360" w:lineRule="auto"/>
        <w:ind w:left="360"/>
        <w:rPr>
          <w:rFonts w:hint="eastAsia" w:ascii="宋体" w:hAnsi="宋体" w:eastAsia="宋体" w:cs="宋体"/>
          <w:szCs w:val="21"/>
          <w:highlight w:val="none"/>
        </w:rPr>
      </w:pPr>
      <w:r>
        <w:rPr>
          <w:rFonts w:hint="eastAsia" w:ascii="宋体" w:hAnsi="宋体" w:eastAsia="宋体" w:cs="宋体"/>
          <w:szCs w:val="21"/>
          <w:highlight w:val="none"/>
        </w:rPr>
        <w:t>甲方：</w:t>
      </w:r>
      <w:r>
        <w:rPr>
          <w:rFonts w:hint="eastAsia" w:ascii="宋体" w:hAnsi="宋体" w:cs="宋体"/>
          <w:szCs w:val="21"/>
          <w:highlight w:val="none"/>
          <w:lang w:eastAsia="zh-CN"/>
        </w:rPr>
        <w:t>国家税务总局沭阳县税务局</w:t>
      </w:r>
      <w:r>
        <w:rPr>
          <w:rFonts w:hint="eastAsia" w:ascii="宋体" w:hAnsi="宋体" w:eastAsia="宋体" w:cs="宋体"/>
          <w:szCs w:val="21"/>
          <w:highlight w:val="none"/>
        </w:rPr>
        <w:t xml:space="preserve">         乙方：</w:t>
      </w:r>
    </w:p>
    <w:p w14:paraId="56E221C7">
      <w:pPr>
        <w:tabs>
          <w:tab w:val="left" w:pos="700"/>
        </w:tabs>
        <w:topLinePunct/>
        <w:autoSpaceDE w:val="0"/>
        <w:autoSpaceDN w:val="0"/>
        <w:spacing w:line="360" w:lineRule="auto"/>
        <w:ind w:left="360"/>
        <w:rPr>
          <w:rFonts w:hint="eastAsia" w:ascii="宋体" w:hAnsi="宋体" w:eastAsia="宋体" w:cs="宋体"/>
          <w:szCs w:val="21"/>
          <w:highlight w:val="none"/>
        </w:rPr>
      </w:pPr>
      <w:r>
        <w:rPr>
          <w:rFonts w:hint="eastAsia" w:ascii="宋体" w:hAnsi="宋体" w:eastAsia="宋体" w:cs="宋体"/>
          <w:szCs w:val="21"/>
          <w:highlight w:val="none"/>
        </w:rPr>
        <w:t>签字：                                 签字：</w:t>
      </w:r>
    </w:p>
    <w:p w14:paraId="45C3FDDE">
      <w:pPr>
        <w:tabs>
          <w:tab w:val="left" w:pos="700"/>
        </w:tabs>
        <w:topLinePunct/>
        <w:autoSpaceDE w:val="0"/>
        <w:autoSpaceDN w:val="0"/>
        <w:spacing w:line="360" w:lineRule="auto"/>
        <w:ind w:left="360"/>
        <w:rPr>
          <w:rFonts w:hint="eastAsia" w:ascii="宋体" w:hAnsi="宋体" w:eastAsia="宋体" w:cs="宋体"/>
          <w:szCs w:val="21"/>
          <w:highlight w:val="none"/>
        </w:rPr>
      </w:pPr>
      <w:r>
        <w:rPr>
          <w:rFonts w:hint="eastAsia" w:ascii="宋体" w:hAnsi="宋体" w:eastAsia="宋体" w:cs="宋体"/>
          <w:szCs w:val="21"/>
          <w:highlight w:val="none"/>
        </w:rPr>
        <w:t xml:space="preserve">盖章：                                 盖章： </w:t>
      </w:r>
    </w:p>
    <w:p w14:paraId="675AB8DA">
      <w:pPr>
        <w:tabs>
          <w:tab w:val="left" w:pos="700"/>
        </w:tabs>
        <w:topLinePunct/>
        <w:autoSpaceDE w:val="0"/>
        <w:autoSpaceDN w:val="0"/>
        <w:spacing w:line="360" w:lineRule="auto"/>
        <w:ind w:left="360"/>
        <w:rPr>
          <w:rFonts w:hint="eastAsia" w:ascii="宋体" w:hAnsi="宋体" w:eastAsia="宋体" w:cs="宋体"/>
          <w:szCs w:val="21"/>
          <w:highlight w:val="none"/>
        </w:rPr>
      </w:pPr>
      <w:r>
        <w:rPr>
          <w:rFonts w:hint="eastAsia" w:ascii="宋体" w:hAnsi="宋体" w:eastAsia="宋体" w:cs="宋体"/>
          <w:szCs w:val="21"/>
          <w:highlight w:val="none"/>
        </w:rPr>
        <w:t>日期：    年    月    日               日期：     年   月   日</w:t>
      </w:r>
    </w:p>
    <w:p w14:paraId="72AF1EC3">
      <w:pPr>
        <w:topLinePunct/>
        <w:autoSpaceDE w:val="0"/>
        <w:autoSpaceDN w:val="0"/>
        <w:spacing w:line="360" w:lineRule="auto"/>
        <w:rPr>
          <w:rFonts w:hint="eastAsia" w:ascii="宋体" w:hAnsi="宋体" w:eastAsia="宋体" w:cs="宋体"/>
          <w:b/>
          <w:szCs w:val="21"/>
          <w:highlight w:val="none"/>
        </w:rPr>
      </w:pPr>
    </w:p>
    <w:p w14:paraId="358CB5E8">
      <w:pPr>
        <w:topLinePunct/>
        <w:autoSpaceDE w:val="0"/>
        <w:autoSpaceDN w:val="0"/>
        <w:spacing w:line="460" w:lineRule="exact"/>
        <w:jc w:val="center"/>
        <w:rPr>
          <w:rFonts w:hint="eastAsia" w:ascii="宋体" w:hAnsi="宋体" w:eastAsia="宋体" w:cs="宋体"/>
          <w:b/>
          <w:sz w:val="24"/>
          <w:highlight w:val="none"/>
        </w:rPr>
      </w:pPr>
    </w:p>
    <w:p w14:paraId="4C996C8A">
      <w:pPr>
        <w:topLinePunct/>
        <w:autoSpaceDE w:val="0"/>
        <w:autoSpaceDN w:val="0"/>
        <w:spacing w:line="460" w:lineRule="exact"/>
        <w:jc w:val="center"/>
        <w:rPr>
          <w:rFonts w:hint="eastAsia" w:ascii="宋体" w:hAnsi="宋体" w:eastAsia="宋体" w:cs="宋体"/>
          <w:b/>
          <w:sz w:val="24"/>
          <w:highlight w:val="none"/>
        </w:rPr>
      </w:pPr>
    </w:p>
    <w:p w14:paraId="1C74219B">
      <w:pPr>
        <w:keepNext w:val="0"/>
        <w:keepLines w:val="0"/>
        <w:pageBreakBefore w:val="0"/>
        <w:widowControl w:val="0"/>
        <w:kinsoku/>
        <w:wordWrap/>
        <w:overflowPunct/>
        <w:topLinePunct/>
        <w:autoSpaceDE w:val="0"/>
        <w:autoSpaceDN w:val="0"/>
        <w:bidi w:val="0"/>
        <w:adjustRightInd/>
        <w:snapToGrid/>
        <w:spacing w:line="360" w:lineRule="auto"/>
        <w:jc w:val="center"/>
        <w:textAlignment w:val="auto"/>
        <w:outlineLvl w:val="2"/>
        <w:rPr>
          <w:rFonts w:hint="eastAsia" w:ascii="宋体" w:hAnsi="宋体" w:eastAsia="宋体" w:cs="宋体"/>
          <w:b/>
          <w:sz w:val="24"/>
          <w:highlight w:val="none"/>
        </w:rPr>
      </w:pPr>
      <w:r>
        <w:rPr>
          <w:rFonts w:hint="eastAsia" w:ascii="宋体" w:hAnsi="宋体" w:eastAsia="宋体" w:cs="宋体"/>
          <w:b/>
          <w:sz w:val="24"/>
          <w:highlight w:val="none"/>
        </w:rPr>
        <w:br w:type="page"/>
      </w:r>
      <w:bookmarkStart w:id="79" w:name="_Toc21975"/>
      <w:bookmarkStart w:id="80" w:name="_Toc18266"/>
      <w:r>
        <w:rPr>
          <w:rFonts w:hint="eastAsia" w:ascii="宋体" w:hAnsi="宋体" w:eastAsia="宋体" w:cs="宋体"/>
          <w:b/>
          <w:sz w:val="24"/>
          <w:highlight w:val="none"/>
        </w:rPr>
        <w:t>二</w:t>
      </w:r>
      <w:r>
        <w:rPr>
          <w:rFonts w:hint="eastAsia" w:ascii="宋体" w:hAnsi="宋体" w:eastAsia="宋体" w:cs="宋体"/>
          <w:b/>
          <w:sz w:val="24"/>
          <w:highlight w:val="none"/>
          <w:lang w:eastAsia="zh-CN"/>
        </w:rPr>
        <w:t>、</w:t>
      </w:r>
      <w:r>
        <w:rPr>
          <w:rFonts w:hint="eastAsia" w:ascii="宋体" w:hAnsi="宋体" w:eastAsia="宋体" w:cs="宋体"/>
          <w:b/>
          <w:sz w:val="24"/>
          <w:highlight w:val="none"/>
        </w:rPr>
        <w:t>合 同 通 用 条 款</w:t>
      </w:r>
      <w:bookmarkEnd w:id="79"/>
      <w:bookmarkEnd w:id="80"/>
    </w:p>
    <w:p w14:paraId="781F2419">
      <w:pPr>
        <w:topLinePunct/>
        <w:autoSpaceDE w:val="0"/>
        <w:autoSpaceDN w:val="0"/>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1. 定义</w:t>
      </w:r>
    </w:p>
    <w:p w14:paraId="54EA968C">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本合同下列术语应解释为：</w:t>
      </w:r>
    </w:p>
    <w:p w14:paraId="406E1BBB">
      <w:pPr>
        <w:tabs>
          <w:tab w:val="left" w:pos="700"/>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1.1“甲方”是指</w:t>
      </w:r>
      <w:r>
        <w:rPr>
          <w:rFonts w:hint="eastAsia" w:ascii="宋体" w:hAnsi="宋体" w:cs="宋体"/>
          <w:szCs w:val="21"/>
          <w:highlight w:val="none"/>
          <w:lang w:eastAsia="zh-CN"/>
        </w:rPr>
        <w:t>国家税务总局沭阳县税务局</w:t>
      </w:r>
      <w:r>
        <w:rPr>
          <w:rFonts w:hint="eastAsia" w:ascii="宋体" w:hAnsi="宋体" w:eastAsia="宋体" w:cs="宋体"/>
          <w:szCs w:val="21"/>
          <w:highlight w:val="none"/>
        </w:rPr>
        <w:t>。</w:t>
      </w:r>
    </w:p>
    <w:p w14:paraId="417DC6F8">
      <w:pPr>
        <w:tabs>
          <w:tab w:val="left" w:pos="700"/>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1.1.1“甲方采购部门”见“合同条款前附表”第5项“甲方采购部门”。</w:t>
      </w:r>
    </w:p>
    <w:p w14:paraId="5F05DB40">
      <w:pPr>
        <w:tabs>
          <w:tab w:val="left" w:pos="700"/>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1.1.2“甲方需求部门”见“合同条款前附表”第5项“甲方需求部门”。</w:t>
      </w:r>
    </w:p>
    <w:p w14:paraId="7A2E262D">
      <w:pPr>
        <w:tabs>
          <w:tab w:val="left" w:pos="700"/>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1.2“乙方”见“合同条款前附表”第6项“乙方名称”。</w:t>
      </w:r>
    </w:p>
    <w:p w14:paraId="5C688459">
      <w:pPr>
        <w:tabs>
          <w:tab w:val="left" w:pos="700"/>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1.3 “合同”系指甲乙双方签订的、合同格式中载明的甲乙双方所达成的协议，包括所有的附件、附录和上述文件所提到的构成合同的所有文件。</w:t>
      </w:r>
    </w:p>
    <w:p w14:paraId="0C148C5C">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1.4 “天”除非特别指出，“天”均为自然天。</w:t>
      </w:r>
    </w:p>
    <w:p w14:paraId="5C276B63">
      <w:pPr>
        <w:topLinePunct/>
        <w:autoSpaceDE w:val="0"/>
        <w:autoSpaceDN w:val="0"/>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2. 标准</w:t>
      </w:r>
    </w:p>
    <w:p w14:paraId="2491D395">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2.1 乙方为甲方交付或提供的服务应符合招标（采购）文件所述的标准，如果没有提及适用标准，则应符合相应的国家标准。这些标准必须是有关机构发布的最新版本的标准。</w:t>
      </w:r>
    </w:p>
    <w:p w14:paraId="7CFB7A91">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2.2 除非技术要求中另有规定，计量单位均采用中华人民共和国法定计量单位。</w:t>
      </w:r>
    </w:p>
    <w:p w14:paraId="40F1C72B">
      <w:pPr>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3. 服务</w:t>
      </w:r>
    </w:p>
    <w:p w14:paraId="1508C1A0">
      <w:pPr>
        <w:tabs>
          <w:tab w:val="left" w:pos="700"/>
        </w:tabs>
        <w:spacing w:line="360" w:lineRule="auto"/>
        <w:ind w:firstLine="420" w:firstLineChars="200"/>
        <w:rPr>
          <w:rFonts w:hint="eastAsia" w:ascii="宋体" w:hAnsi="宋体" w:eastAsia="宋体" w:cs="宋体"/>
          <w:b/>
          <w:szCs w:val="21"/>
          <w:highlight w:val="none"/>
        </w:rPr>
      </w:pPr>
      <w:r>
        <w:rPr>
          <w:rFonts w:hint="eastAsia" w:ascii="宋体" w:hAnsi="宋体" w:eastAsia="宋体" w:cs="宋体"/>
          <w:bCs/>
          <w:szCs w:val="21"/>
          <w:highlight w:val="none"/>
        </w:rPr>
        <w:t>3.1 本项目的“服务”见“合同条款前附表”第8项“服务内容”。</w:t>
      </w:r>
    </w:p>
    <w:p w14:paraId="1941C6A3">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3.2 乙方应保证所提供的服务符合合同规定的要求。如不符时，乙方应负全责并尽快处理解决，由此造成的损失和相关费用由乙方负责，甲方保留终止合同及索赔的权利。</w:t>
      </w:r>
    </w:p>
    <w:p w14:paraId="7073EA9B">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3.3 乙方应保证通过执行合同中全部方案后，可以取得本合同约定的结果，达到本合同约定的预期目标。对任何情况下出现的问题，应尽快提出解决方案。</w:t>
      </w:r>
    </w:p>
    <w:p w14:paraId="467FCC6A">
      <w:pPr>
        <w:tabs>
          <w:tab w:val="left" w:pos="0"/>
          <w:tab w:val="left" w:pos="540"/>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3.4 如果乙方提供的服务和解决方案不符合甲方要求，或在规定的时间内没有弥补缺陷，甲方有权采取一切必要的补救措施，由此产生的费用全部由乙方负责。</w:t>
      </w:r>
    </w:p>
    <w:p w14:paraId="0FEF84A7">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3.5 除合同条款另行规定外，伴随服务的费用应含在合同价中，不单独进行支付。</w:t>
      </w:r>
    </w:p>
    <w:p w14:paraId="7617E19B">
      <w:pPr>
        <w:tabs>
          <w:tab w:val="left" w:pos="0"/>
          <w:tab w:val="left" w:pos="540"/>
        </w:tabs>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4. 知识产权</w:t>
      </w:r>
    </w:p>
    <w:p w14:paraId="66025302">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4.1 乙方应保证所提供的服务免受第三方提出侵犯其知识产权（专利权、商标权、软件著作权、版权等）的起诉。</w:t>
      </w:r>
    </w:p>
    <w:p w14:paraId="0CA24B4C">
      <w:pPr>
        <w:tabs>
          <w:tab w:val="left" w:pos="0"/>
          <w:tab w:val="left" w:pos="540"/>
        </w:tabs>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4.2 甲方对项目实施过程中所产生的所有成果（包括但不限于发明、发现、可运行系统、源代码及相关技术资料、文档等）享有永久使用权、复制权和修改权，其专利申请权、专利权、软件著作权、技术秘密的所有权、使用权、转让权等知识产权归甲方所有。</w:t>
      </w:r>
    </w:p>
    <w:p w14:paraId="0D0B30E3">
      <w:pPr>
        <w:tabs>
          <w:tab w:val="left" w:pos="0"/>
          <w:tab w:val="left" w:pos="540"/>
        </w:tabs>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4.3 乙方不得利用本项目实施过程中所产生的成果（包括但不限于发明、发现、可运行系统、源代码及相关技术资料、文档等），另行自行开发本合同业务范围内供纳税人缴费人使用的软件或产品，不得利用开发便利变相收费或搭车收费。</w:t>
      </w:r>
    </w:p>
    <w:p w14:paraId="34AAE53A">
      <w:pPr>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5. 保密条款</w:t>
      </w:r>
    </w:p>
    <w:p w14:paraId="7AE05F5D">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5.1 甲乙双方应对在本合同签订或履行过程中所接触的对方信息，包括但不限于知识产权、技术资料、技术诀窍、内部管理及其他相关信息，负有保密义务。</w:t>
      </w:r>
    </w:p>
    <w:p w14:paraId="521D8A7A">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5.2 乙方在使用甲方为乙方及其工作人员提供的数据、程序、用户名、口令、资料及甲方相关的业务和技术文档，包括税收政策、方案设计细节、程序文件、数据结构，以及相关业务系统的软硬件、文档、测试和测试产生的数据时，应遵循以下规定：</w:t>
      </w:r>
    </w:p>
    <w:p w14:paraId="426DD93A">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 应以审慎态度避免泄漏、公开或传播甲方的信息；</w:t>
      </w:r>
    </w:p>
    <w:p w14:paraId="3CC88410">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 在开发过程中对数据的处理方式应事先得到甲方的许可；</w:t>
      </w:r>
    </w:p>
    <w:p w14:paraId="0EAA08C0">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 未经甲方书面许可，不得对有关信息进行修改、补充、复制；</w:t>
      </w:r>
    </w:p>
    <w:p w14:paraId="287DF9E2">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 未经甲方书面许可，不得将信息以任何方式（如E-mail）携带出甲方场所；</w:t>
      </w:r>
    </w:p>
    <w:p w14:paraId="1272046D">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 xml:space="preserve">（5） 未经甲方书面许可，不得将信息透露给任何其他人； </w:t>
      </w:r>
    </w:p>
    <w:p w14:paraId="3D24DA69">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（6） 严禁在提交的软件产品中设置远程维护接口和后门程序；</w:t>
      </w:r>
    </w:p>
    <w:p w14:paraId="45C15605">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（7） 不得进行系统软硬件设备的远程维护；</w:t>
      </w:r>
    </w:p>
    <w:p w14:paraId="33349516">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（8） 甲方以书面形式提出的其他保密措施。</w:t>
      </w:r>
    </w:p>
    <w:p w14:paraId="1C850804">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5.3 保密期限不受合同有效期的限制，在合同有效期结束后，信息接受方仍应承担保密义务，直至该等信息成为公开信息。</w:t>
      </w:r>
    </w:p>
    <w:p w14:paraId="377849BC">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5.4 甲乙双方如出现泄密行为，泄密方应承担相关的法律责任，包括但是不限于对由此给对方造成的经济损失进行赔偿。</w:t>
      </w:r>
    </w:p>
    <w:p w14:paraId="04A87DF0">
      <w:pPr>
        <w:topLinePunct/>
        <w:autoSpaceDE w:val="0"/>
        <w:autoSpaceDN w:val="0"/>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6. 履约验收要求</w:t>
      </w:r>
    </w:p>
    <w:p w14:paraId="456F679E">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6.1 甲方需求部门严格按照采购合同开展履约验收时,应当按照本合同约定的技术、服务和安全标准，对供应商各项义务履行情况进行验收确认。未约定相关标准的，应当按照国家强制性规定、政策要求、安全标准和行业有关标准进行验收确认。验收结束后，应当出具验收意见，列明合同事项、验收标准及验收情况，由全体验收人员签字。</w:t>
      </w:r>
    </w:p>
    <w:p w14:paraId="00C11F2F">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6.2具体履约验收要求详见招标（采购）文件。</w:t>
      </w:r>
    </w:p>
    <w:p w14:paraId="1583B199">
      <w:pPr>
        <w:tabs>
          <w:tab w:val="left" w:pos="0"/>
          <w:tab w:val="left" w:pos="540"/>
        </w:tabs>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7. 履约保证金</w:t>
      </w:r>
    </w:p>
    <w:p w14:paraId="7F21A097">
      <w:pPr>
        <w:tabs>
          <w:tab w:val="left" w:pos="700"/>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7.1 需提交履约保证金的项目，乙方应按照“合同条款前附表”第 10 项“履约保证金及返还”提交履约保证金。</w:t>
      </w:r>
    </w:p>
    <w:p w14:paraId="69DA5EB2">
      <w:pPr>
        <w:tabs>
          <w:tab w:val="left" w:pos="700"/>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7.2 履约保证金的金额可用于补偿甲方因乙方不能完成其合同义务而蒙受的损失。</w:t>
      </w:r>
    </w:p>
    <w:p w14:paraId="3FEC349C">
      <w:pPr>
        <w:tabs>
          <w:tab w:val="left" w:pos="700"/>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7.3如乙方未能按时支付合同约定的违约金、赔偿金、其他应付款项等的，甲方有权按照本合同的约定从履约保证金中扣除上述款项。乙方应在甲方扣除履约保证金后 15 天内，及时补充扣除部分金额。若逾期补充的，每日应按应补充金额的万分之五（0.05%）支付甲方违约金。</w:t>
      </w:r>
    </w:p>
    <w:p w14:paraId="5458ECAA">
      <w:pPr>
        <w:tabs>
          <w:tab w:val="left" w:pos="700"/>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7.4 乙方不履行合同、或者履行合同义务不符合约定使得合同目的不能实现，履约保证金不予退还，并应按合同约定支付违约金、赔偿金等。</w:t>
      </w:r>
    </w:p>
    <w:p w14:paraId="09EF1317">
      <w:pPr>
        <w:tabs>
          <w:tab w:val="left" w:pos="700"/>
        </w:tabs>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7.5 履约保证金在合同履行期满后，扣除相应款项（如有）且双方无争议后，凭返还申请等资料一次性无息返还，详见“合同条款前附表”第10项“履约保证金及返还”。</w:t>
      </w:r>
    </w:p>
    <w:p w14:paraId="22D9DD17">
      <w:pPr>
        <w:tabs>
          <w:tab w:val="left" w:pos="0"/>
          <w:tab w:val="left" w:pos="540"/>
        </w:tabs>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8．履约延误</w:t>
      </w:r>
    </w:p>
    <w:p w14:paraId="13D742F0">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8.1 乙方应按照本合同的规定提供服务。</w:t>
      </w:r>
    </w:p>
    <w:p w14:paraId="543892B5">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8.2 如乙方迟延履行合同义务，甲方将从应付合同金额中扣除误期违约金，每延误一天误期违约金按合同总金额的万分之三（0.03%）计收。乙方支付的误期违约金不足以弥补甲方损失的，应继续承担赔偿责任。本合同约定的损失，包括但不限于：直接损失、调查取证费、诉讼费、律师费等。</w:t>
      </w:r>
    </w:p>
    <w:p w14:paraId="0613D313">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8.3 在履行合同过程中，如果乙方可能遇到妨碍按时提供服务的情况时，应及时以书面形式将拖延的事实，可能拖延的期限和理由通知甲方。甲方在收到乙方通知后，应尽快对情况进行评估，并确定是否酌情延长工期以及是否收取误期违约金。</w:t>
      </w:r>
    </w:p>
    <w:p w14:paraId="01FB8D34">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8.4 除不可抗力和根据合同规定延期取得甲方同意而不收取误期违约金之外，乙方延误工期，将按合同规定被收取误期违约金。</w:t>
      </w:r>
    </w:p>
    <w:p w14:paraId="2977F3C0">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8.5 逾期退还履约保证金的违约责任。满足履约保证金返还条件的，甲方在收到返还相关信息等合同约定资料后，进行核实。对核实结果无异议的，应当自完成核实之日起30日内返还履约保证金。无特殊原因逾期退还履约保证金的，乙方可要求甲方按银行同期活期存款利率支付逾期利息。特殊原因逾期返还的，双方协商解决。</w:t>
      </w:r>
    </w:p>
    <w:p w14:paraId="3C47D010">
      <w:pPr>
        <w:topLinePunct/>
        <w:autoSpaceDE w:val="0"/>
        <w:autoSpaceDN w:val="0"/>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9. 违约责任</w:t>
      </w:r>
    </w:p>
    <w:p w14:paraId="6C2262E3">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9.1 除本合同另有约定外，乙方不履行合同义务或者履行合同义务不符合合同约定的，按每违反一次从应付款项中扣除合同总金额的百分之一（1%）作为违约金；此外，应当承担继续履行、采取补救措施或者赔偿损失等违约责任。乙方支付的上述违约金、赔偿金等不足以弥补甲方损失的，应继续承担赔偿责任。本合同约定的损失，包括但不限于：直接损失、调查取证费、诉讼费、律师费等。</w:t>
      </w:r>
    </w:p>
    <w:p w14:paraId="4FF29D25">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9.2 乙方没有按照时限要求提供服务，且在甲方指定的延长期限内没有采取补救措施，甲方有权自行采取其他方式进行补救，乙方除按合同第8条约定向甲方支付误期违约金外，另外甲方所发生的一切费用和甲方损失，甲方有权从应付的乙方的合同款项中扣除，不足扣除的乙方应另行支付。</w:t>
      </w:r>
    </w:p>
    <w:p w14:paraId="3A078AD5">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9.3 除应支付甲方违约金等外，甲方有权根据合同或有关部门出具的检验证书向乙方提出索赔。</w:t>
      </w:r>
    </w:p>
    <w:p w14:paraId="4A7FC0C2">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9.4 如果乙方对差异负有责任而甲方提出索赔，乙方同意按照下列方式解决索赔事宜：</w:t>
      </w:r>
    </w:p>
    <w:p w14:paraId="019554F5">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如果在甲方发出索赔通知后5个工作日内，乙方未作书面答复，上述索赔应视为已被乙方接受。如乙方未能在甲方发出索赔通知后5个工作日内或甲方同意的延长期限内着手解决索赔事宜，甲方有权从应付乙方的合同款项中扣除索赔金额。</w:t>
      </w:r>
    </w:p>
    <w:p w14:paraId="76064F11">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9.5 对于本协议未约定的、招标（采购）文件（技术部分）中约定的违约处理条款，按招标（采购）文件（技术部分）相关约定执行；对本协议与招标（采购）文件（技术部分）约定不同的违约处理条款，以本协议约定为准。</w:t>
      </w:r>
    </w:p>
    <w:p w14:paraId="346F182B">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val="en-US" w:eastAsia="zh-CN"/>
        </w:rPr>
        <w:t>9.6 甲方如无正当理由延迟付款，应以应付款项为基数每日按合同订立时1年期贷款市场报价利率向乙方支付逾期利息，逾期利息最高不超过应付款项的30%。</w:t>
      </w:r>
    </w:p>
    <w:p w14:paraId="2A19BAFB">
      <w:pPr>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10. 不可抗力</w:t>
      </w:r>
    </w:p>
    <w:p w14:paraId="0B57ABAE">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10.1 本条所述的“不可抗力”系指双方不可预见、不可避免、不可克服的客观情况，但不包括双方的违约或疏忽。这些事件包括但不限于：战争、严重火灾、洪水、台风、地震等。</w:t>
      </w:r>
    </w:p>
    <w:p w14:paraId="687255B3">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10.2 如果乙方因不可抗力而导致合同实施延误或不能履行合同义务，不应承担误期赔偿或终止合同的责任。</w:t>
      </w:r>
    </w:p>
    <w:p w14:paraId="7BE3670D">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10.3 在不可抗力事件发生后，当事方应及时将不可抗力情况通知合同对方，在不可抗力事件结束后3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p>
    <w:p w14:paraId="21211686">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10.4 如因国家政策变化、技术实施所需的客观环境发生变化、重大技术变化、国家调减预算、乙方在执行合同的过程中发生对履行合同有直接影响的重大事故或变故、甲方工作计划调整及推广使用新应用系统导致本项目相关服务停止等原因，本合同不能继续全部或部分履行，甲方有权通知乙方解除本合同的全部或部分，双方将按已经实际履行并验收合格的合同内容进行结算。</w:t>
      </w:r>
    </w:p>
    <w:p w14:paraId="62375309">
      <w:pPr>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11. 争端的解决</w:t>
      </w:r>
    </w:p>
    <w:p w14:paraId="70DEEFFB">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szCs w:val="21"/>
          <w:highlight w:val="none"/>
        </w:rPr>
        <w:t>11.1 甲乙双方应首先通过友好协商解决在执行本合同中所发生的或与本合同有关的一切争端。</w:t>
      </w:r>
      <w:r>
        <w:rPr>
          <w:rFonts w:hint="eastAsia" w:ascii="宋体" w:hAnsi="宋体" w:eastAsia="宋体" w:cs="宋体"/>
          <w:color w:val="000000" w:themeColor="text1"/>
          <w:szCs w:val="21"/>
          <w:highlight w:val="none"/>
          <w14:textFill>
            <w14:solidFill>
              <w14:schemeClr w14:val="tx1"/>
            </w14:solidFill>
          </w14:textFill>
        </w:rPr>
        <w:t>如从协商开始</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天内仍不能解决，可以选择以下途径之一解决纠纷：</w:t>
      </w:r>
    </w:p>
    <w:p w14:paraId="66408F4B">
      <w:pPr>
        <w:spacing w:line="360" w:lineRule="auto"/>
        <w:ind w:firstLine="420" w:firstLineChars="20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11.1.1</w:t>
      </w:r>
      <w:r>
        <w:rPr>
          <w:rFonts w:hint="eastAsia" w:ascii="宋体" w:hAnsi="宋体" w:eastAsia="宋体" w:cs="宋体"/>
          <w:color w:val="000000" w:themeColor="text1"/>
          <w:szCs w:val="21"/>
          <w:highlight w:val="none"/>
          <w14:textFill>
            <w14:solidFill>
              <w14:schemeClr w14:val="tx1"/>
            </w14:solidFill>
          </w14:textFill>
        </w:rPr>
        <w:t>向</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eastAsia="zh-CN"/>
          <w14:textFill>
            <w14:solidFill>
              <w14:schemeClr w14:val="tx1"/>
            </w14:solidFill>
          </w14:textFill>
        </w:rPr>
        <w:t>宿迁</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仲裁委员会申请仲裁</w:t>
      </w:r>
      <w:r>
        <w:rPr>
          <w:rFonts w:hint="eastAsia" w:ascii="宋体" w:hAnsi="宋体" w:eastAsia="宋体" w:cs="宋体"/>
          <w:color w:val="000000" w:themeColor="text1"/>
          <w:szCs w:val="21"/>
          <w:highlight w:val="none"/>
          <w:lang w:eastAsia="zh-CN"/>
          <w14:textFill>
            <w14:solidFill>
              <w14:schemeClr w14:val="tx1"/>
            </w14:solidFill>
          </w14:textFill>
        </w:rPr>
        <w:t>。</w:t>
      </w:r>
    </w:p>
    <w:p w14:paraId="5BA1ED83">
      <w:pPr>
        <w:spacing w:line="360" w:lineRule="auto"/>
        <w:ind w:firstLine="840" w:firstLineChars="400"/>
        <w:rPr>
          <w:rFonts w:hint="eastAsia" w:ascii="宋体" w:hAnsi="宋体" w:eastAsia="宋体" w:cs="宋体"/>
          <w:szCs w:val="21"/>
          <w:highlight w:val="none"/>
        </w:rPr>
      </w:pPr>
      <w:r>
        <w:rPr>
          <w:rFonts w:hint="eastAsia" w:ascii="宋体" w:hAnsi="宋体" w:eastAsia="宋体" w:cs="宋体"/>
          <w:szCs w:val="21"/>
          <w:highlight w:val="none"/>
        </w:rPr>
        <w:t>11.</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1.1</w:t>
      </w:r>
      <w:r>
        <w:rPr>
          <w:rFonts w:hint="eastAsia" w:ascii="宋体" w:hAnsi="宋体" w:eastAsia="宋体" w:cs="宋体"/>
          <w:szCs w:val="21"/>
          <w:highlight w:val="none"/>
        </w:rPr>
        <w:t xml:space="preserve"> 仲裁裁决应为最终裁决，对双方均具有约束力。</w:t>
      </w:r>
    </w:p>
    <w:p w14:paraId="2348DE16">
      <w:pPr>
        <w:spacing w:line="360" w:lineRule="auto"/>
        <w:ind w:firstLine="840" w:firstLineChars="400"/>
        <w:rPr>
          <w:rFonts w:hint="eastAsia" w:ascii="宋体" w:hAnsi="宋体" w:eastAsia="宋体" w:cs="宋体"/>
          <w:szCs w:val="21"/>
          <w:highlight w:val="none"/>
        </w:rPr>
      </w:pPr>
      <w:r>
        <w:rPr>
          <w:rFonts w:hint="eastAsia" w:ascii="宋体" w:hAnsi="宋体" w:eastAsia="宋体" w:cs="宋体"/>
          <w:szCs w:val="21"/>
          <w:highlight w:val="none"/>
        </w:rPr>
        <w:t>11.</w:t>
      </w:r>
      <w:r>
        <w:rPr>
          <w:rFonts w:hint="eastAsia" w:ascii="宋体" w:hAnsi="宋体" w:eastAsia="宋体" w:cs="宋体"/>
          <w:szCs w:val="21"/>
          <w:highlight w:val="none"/>
          <w:lang w:eastAsia="zh-CN"/>
        </w:rPr>
        <w:t>1</w:t>
      </w:r>
      <w:r>
        <w:rPr>
          <w:rFonts w:hint="eastAsia" w:ascii="宋体" w:hAnsi="宋体" w:eastAsia="宋体" w:cs="宋体"/>
          <w:szCs w:val="21"/>
          <w:highlight w:val="none"/>
          <w:lang w:val="en-US" w:eastAsia="zh-CN"/>
        </w:rPr>
        <w:t>.1.2</w:t>
      </w:r>
      <w:r>
        <w:rPr>
          <w:rFonts w:hint="eastAsia" w:ascii="宋体" w:hAnsi="宋体" w:eastAsia="宋体" w:cs="宋体"/>
          <w:szCs w:val="21"/>
          <w:highlight w:val="none"/>
        </w:rPr>
        <w:t>仲裁费除仲裁机关另有裁决外应由败诉方负担。</w:t>
      </w:r>
    </w:p>
    <w:p w14:paraId="414AFDDB">
      <w:pPr>
        <w:spacing w:line="360" w:lineRule="auto"/>
        <w:ind w:firstLine="840" w:firstLineChars="400"/>
        <w:rPr>
          <w:rFonts w:hint="eastAsia" w:ascii="宋体" w:hAnsi="宋体" w:eastAsia="宋体" w:cs="宋体"/>
          <w:szCs w:val="21"/>
          <w:highlight w:val="none"/>
          <w:lang w:val="en-US" w:eastAsia="zh-CN"/>
        </w:rPr>
      </w:pPr>
      <w:r>
        <w:rPr>
          <w:rFonts w:hint="eastAsia" w:ascii="宋体" w:hAnsi="宋体" w:eastAsia="宋体" w:cs="宋体"/>
          <w:szCs w:val="21"/>
          <w:highlight w:val="none"/>
        </w:rPr>
        <w:t>11.</w:t>
      </w:r>
      <w:r>
        <w:rPr>
          <w:rFonts w:hint="eastAsia" w:ascii="宋体" w:hAnsi="宋体" w:eastAsia="宋体" w:cs="宋体"/>
          <w:szCs w:val="21"/>
          <w:highlight w:val="none"/>
          <w:lang w:eastAsia="zh-CN"/>
        </w:rPr>
        <w:t>1</w:t>
      </w:r>
      <w:r>
        <w:rPr>
          <w:rFonts w:hint="eastAsia" w:ascii="宋体" w:hAnsi="宋体" w:eastAsia="宋体" w:cs="宋体"/>
          <w:szCs w:val="21"/>
          <w:highlight w:val="none"/>
          <w:lang w:val="en-US" w:eastAsia="zh-CN"/>
        </w:rPr>
        <w:t>.1.3</w:t>
      </w:r>
      <w:r>
        <w:rPr>
          <w:rFonts w:hint="eastAsia" w:ascii="宋体" w:hAnsi="宋体" w:eastAsia="宋体" w:cs="宋体"/>
          <w:szCs w:val="21"/>
          <w:highlight w:val="none"/>
        </w:rPr>
        <w:t>在仲裁期间，除正在进行仲裁部分外，本合同的其它部分应继续执行。</w:t>
      </w:r>
    </w:p>
    <w:p w14:paraId="70C68CD7">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val="en-US" w:eastAsia="zh-CN"/>
        </w:rPr>
        <w:t>11.1.2</w:t>
      </w:r>
      <w:r>
        <w:rPr>
          <w:rFonts w:hint="eastAsia" w:ascii="宋体" w:hAnsi="宋体" w:eastAsia="宋体" w:cs="宋体"/>
          <w:szCs w:val="21"/>
          <w:highlight w:val="none"/>
        </w:rPr>
        <w:t>向</w:t>
      </w:r>
      <w:r>
        <w:rPr>
          <w:rFonts w:hint="eastAsia" w:ascii="宋体" w:hAnsi="宋体" w:eastAsia="宋体" w:cs="宋体"/>
          <w:szCs w:val="21"/>
          <w:highlight w:val="none"/>
          <w:u w:val="none"/>
          <w:lang w:eastAsia="zh-CN"/>
        </w:rPr>
        <w:t>甲方</w:t>
      </w:r>
      <w:r>
        <w:rPr>
          <w:rFonts w:hint="eastAsia" w:ascii="宋体" w:hAnsi="宋体" w:eastAsia="宋体" w:cs="宋体"/>
          <w:szCs w:val="21"/>
          <w:highlight w:val="none"/>
        </w:rPr>
        <w:t>所在地人民法院提起诉讼。</w:t>
      </w:r>
    </w:p>
    <w:p w14:paraId="5C34EA88">
      <w:pPr>
        <w:spacing w:line="360" w:lineRule="auto"/>
        <w:ind w:firstLine="840" w:firstLineChars="400"/>
        <w:rPr>
          <w:rFonts w:hint="eastAsia" w:ascii="宋体" w:hAnsi="宋体" w:eastAsia="宋体" w:cs="宋体"/>
          <w:szCs w:val="21"/>
          <w:highlight w:val="none"/>
        </w:rPr>
      </w:pPr>
      <w:r>
        <w:rPr>
          <w:rFonts w:hint="eastAsia" w:ascii="宋体" w:hAnsi="宋体" w:eastAsia="宋体" w:cs="宋体"/>
          <w:szCs w:val="21"/>
          <w:highlight w:val="none"/>
        </w:rPr>
        <w:t>11.</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2.1</w:t>
      </w:r>
      <w:r>
        <w:rPr>
          <w:rFonts w:hint="eastAsia" w:ascii="宋体" w:hAnsi="宋体" w:eastAsia="宋体" w:cs="宋体"/>
          <w:szCs w:val="21"/>
          <w:highlight w:val="none"/>
        </w:rPr>
        <w:t>诉讼费除人民法院另有判决外，应由败诉方负担。</w:t>
      </w:r>
    </w:p>
    <w:p w14:paraId="511E547B">
      <w:pPr>
        <w:spacing w:line="360" w:lineRule="auto"/>
        <w:ind w:firstLine="840" w:firstLineChars="400"/>
        <w:rPr>
          <w:rFonts w:hint="eastAsia" w:ascii="宋体" w:hAnsi="宋体" w:eastAsia="宋体" w:cs="宋体"/>
          <w:szCs w:val="21"/>
          <w:highlight w:val="none"/>
        </w:rPr>
      </w:pPr>
      <w:r>
        <w:rPr>
          <w:rFonts w:hint="eastAsia" w:ascii="宋体" w:hAnsi="宋体" w:eastAsia="宋体" w:cs="宋体"/>
          <w:szCs w:val="21"/>
          <w:highlight w:val="none"/>
        </w:rPr>
        <w:t>11.</w:t>
      </w:r>
      <w:r>
        <w:rPr>
          <w:rFonts w:hint="eastAsia" w:ascii="宋体" w:hAnsi="宋体" w:eastAsia="宋体" w:cs="宋体"/>
          <w:szCs w:val="21"/>
          <w:highlight w:val="none"/>
          <w:lang w:val="en-US" w:eastAsia="zh-CN"/>
        </w:rPr>
        <w:t>1.2</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在诉讼期间，除正在进行诉讼部分外，本合同的其它部分应继续执行。</w:t>
      </w:r>
    </w:p>
    <w:p w14:paraId="2DEBF5F0">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12. 违约</w:t>
      </w:r>
      <w:r>
        <w:rPr>
          <w:rFonts w:hint="eastAsia" w:ascii="宋体" w:hAnsi="宋体" w:eastAsia="宋体" w:cs="宋体"/>
          <w:b/>
          <w:color w:val="auto"/>
          <w:szCs w:val="21"/>
          <w:highlight w:val="none"/>
          <w:lang w:eastAsia="zh-CN"/>
        </w:rPr>
        <w:t>解除</w:t>
      </w:r>
      <w:r>
        <w:rPr>
          <w:rFonts w:hint="eastAsia" w:ascii="宋体" w:hAnsi="宋体" w:eastAsia="宋体" w:cs="宋体"/>
          <w:b/>
          <w:color w:val="auto"/>
          <w:szCs w:val="21"/>
          <w:highlight w:val="none"/>
        </w:rPr>
        <w:t>合同</w:t>
      </w:r>
    </w:p>
    <w:p w14:paraId="1E2DAB92">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12.1 若出现如下情况，在甲方对乙方违约行为而采取的任何补救措施不受影响的情况下，甲方可向乙方发出书面通知书，提出解除部分或全部合同。自甲方发出书面通知书之日起30日内，乙方应支付甲方合同总金额20%的违约金，并根据合同执行情况返还部分或全部已收取款项。乙方支付的违约金不足以弥补甲方损失的，应继续承担赔偿责任。本合同约定的损失，包括但不限于：直接损失、调查取证费、诉讼费、律师费等。</w:t>
      </w:r>
    </w:p>
    <w:p w14:paraId="5248B7DC">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12.1.1 乙方不履行合同义务或者履行合同义务不符合合同约定累计达两次的；</w:t>
      </w:r>
    </w:p>
    <w:p w14:paraId="144974EF">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12.1.2 如果乙方未能在合同规定的期限或甲方同意延长的期限内提供服务，迟延累计达20日的；</w:t>
      </w:r>
    </w:p>
    <w:p w14:paraId="6D3C0E5A">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12.1.3 因乙方人员自身技术能力、经验不足等问题造成甲方发生重大紧急故障，带来重大影响和损失的；</w:t>
      </w:r>
    </w:p>
    <w:p w14:paraId="41FD6167">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12.1.4 乙方对重大紧急故障没有及时响应，或不能在规定时间内解决处理故障、恢复正常运行的；</w:t>
      </w:r>
    </w:p>
    <w:p w14:paraId="28323ED7">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12.1.5 乙方不能满足本项目技术需求的管理要求和规范，且经两次整改无明显改进的；</w:t>
      </w:r>
    </w:p>
    <w:p w14:paraId="73F21F9F">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12.1.6 乙方利用本项目实施过程中所产生的成果（包括但不限于发明、发现、可运行系统、源代码及相关技术资料、文档等），另行自行开发本合同业务范围内供纳税人缴费人使用的软件或产品的，或利用为税务机关提供信息化服务的便利，向纳税人缴费人搭车收费或变相收费的，或有其他失信行为的；</w:t>
      </w:r>
    </w:p>
    <w:p w14:paraId="346CF978">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12.1.7 乙方在本项目实施过程中发生违反网络安全规定行为造成不良后果的。</w:t>
      </w:r>
    </w:p>
    <w:p w14:paraId="5C80DEDE">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12.1.8 乙方提供的服务侵犯甲方、第三方知识产权等合法权益的；</w:t>
      </w:r>
    </w:p>
    <w:p w14:paraId="4862CC2E">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12.1.9 乙方或乙方人员造成甲方或第三方经济损失而拒不赔偿的；</w:t>
      </w:r>
    </w:p>
    <w:p w14:paraId="13C9D207">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12.1.10 乙方转让其应履行的合同义务，或未经甲方同意采取分包方式履行合同的；</w:t>
      </w:r>
    </w:p>
    <w:p w14:paraId="06C373FD">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12.1.11 乙方有其他严重违约行为的。</w:t>
      </w:r>
    </w:p>
    <w:p w14:paraId="135647D2">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12.2 如果甲方根据上述第12.1条的规定，解除了全部或部分合同，甲方可以适当的条件和方法购买乙方未能提供的服务，乙方应对甲方购买类似服务所超出的费用负责。同时，乙方应继续执行合同中未解除的部分。</w:t>
      </w:r>
    </w:p>
    <w:p w14:paraId="55107A89">
      <w:pPr>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13. 破产终止合同</w:t>
      </w:r>
    </w:p>
    <w:p w14:paraId="1DF9359F">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13.1 如果乙方破产或无清偿能力，甲方可在任何时候以书面形式通知乙方终止合同而不给乙方补偿。</w:t>
      </w:r>
    </w:p>
    <w:p w14:paraId="2285B4B9">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13.2该终止合同将不损害或影响甲方已经采取或将要采取的任何行动或补救措施的权利。</w:t>
      </w:r>
    </w:p>
    <w:p w14:paraId="4B9312AC">
      <w:pPr>
        <w:topLinePunct/>
        <w:autoSpaceDE w:val="0"/>
        <w:autoSpaceDN w:val="0"/>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14. 其他情况的终止合同</w:t>
      </w:r>
    </w:p>
    <w:p w14:paraId="6330903A">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14.1 乙方在执行合同的过程中发生重大事故或变故，对履行合同有直接影响的，甲方可以提出终止合同而不给予乙方任何补偿。</w:t>
      </w:r>
    </w:p>
    <w:p w14:paraId="78C20FAA">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14.2 在服务期内，由于甲方工作计划调整，推广使用新应用系统导致本项目相关服务停止的，甲方可以提出终止合同而不给予乙方任何补偿。</w:t>
      </w:r>
    </w:p>
    <w:p w14:paraId="33C7E82D">
      <w:pPr>
        <w:tabs>
          <w:tab w:val="left" w:pos="700"/>
        </w:tabs>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15. 合同修改或变更</w:t>
      </w:r>
    </w:p>
    <w:p w14:paraId="2D8B5099">
      <w:pPr>
        <w:spacing w:line="360" w:lineRule="auto"/>
        <w:ind w:firstLine="482"/>
        <w:rPr>
          <w:rFonts w:hint="eastAsia" w:ascii="宋体" w:hAnsi="宋体" w:eastAsia="宋体" w:cs="宋体"/>
          <w:szCs w:val="21"/>
          <w:highlight w:val="none"/>
        </w:rPr>
      </w:pPr>
      <w:r>
        <w:rPr>
          <w:rFonts w:hint="eastAsia" w:ascii="宋体" w:hAnsi="宋体" w:eastAsia="宋体" w:cs="宋体"/>
          <w:szCs w:val="21"/>
          <w:highlight w:val="none"/>
        </w:rPr>
        <w:t>15.1 合同如有未尽事宜，须经甲乙双方共同协商，做出补充约定，并签订书面补充合同或变更协议。补充合同或变更协议作为本合同的一部分，与本合同具有同等效力。</w:t>
      </w:r>
    </w:p>
    <w:p w14:paraId="5E2DCB4F">
      <w:pPr>
        <w:topLinePunct/>
        <w:autoSpaceDE w:val="0"/>
        <w:autoSpaceDN w:val="0"/>
        <w:spacing w:line="360" w:lineRule="auto"/>
        <w:ind w:firstLine="420" w:firstLineChars="200"/>
        <w:rPr>
          <w:rFonts w:hint="eastAsia" w:ascii="宋体" w:hAnsi="宋体" w:eastAsia="宋体" w:cs="宋体"/>
          <w:b/>
          <w:szCs w:val="21"/>
          <w:highlight w:val="none"/>
        </w:rPr>
      </w:pPr>
      <w:r>
        <w:rPr>
          <w:rFonts w:hint="eastAsia" w:ascii="宋体" w:hAnsi="宋体" w:eastAsia="宋体" w:cs="宋体"/>
          <w:szCs w:val="21"/>
          <w:highlight w:val="none"/>
        </w:rPr>
        <w:t>15.2 除了双方签署书面修改或变更协议，并成为本合同不可分割的一部分的情况之外，本合同的条款不得有任何变化或修改。</w:t>
      </w:r>
    </w:p>
    <w:p w14:paraId="18F5BC6C">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15.3 项目需求或目标由于国家、地方政策调整等原因导致本项目停止部分服务的，甲方将与乙方协商处理。</w:t>
      </w:r>
    </w:p>
    <w:p w14:paraId="53564010">
      <w:pPr>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16. 转让和分包</w:t>
      </w:r>
    </w:p>
    <w:p w14:paraId="4436BFB9">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16.1 乙方不得部分转让或全部转让其应履行的合同义务。</w:t>
      </w:r>
    </w:p>
    <w:p w14:paraId="60C0C6F9">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16.2 未经甲方同意，乙方不得采取分包方式履行合同。经甲方同意分包履行合同的，乙方就采购项目及分包项目向甲方负责，分包供应商就分包项目承担责任。</w:t>
      </w:r>
    </w:p>
    <w:p w14:paraId="08572C2E">
      <w:pPr>
        <w:topLinePunct/>
        <w:autoSpaceDE w:val="0"/>
        <w:autoSpaceDN w:val="0"/>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17. 合同语言</w:t>
      </w:r>
    </w:p>
    <w:p w14:paraId="7E9A8D6B">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17.1 本合同语言为中文。</w:t>
      </w:r>
    </w:p>
    <w:p w14:paraId="706718F6">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17.2 双方交换的与合同有关的信件和其他文件应用合同语言书写。</w:t>
      </w:r>
    </w:p>
    <w:p w14:paraId="5DBDBCC7">
      <w:pPr>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18. 适用法律</w:t>
      </w:r>
    </w:p>
    <w:p w14:paraId="761C7544">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18.1 本合同按照中华人民共和国现行法律进行解释。</w:t>
      </w:r>
    </w:p>
    <w:p w14:paraId="0DBEC835">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18.2 本合同的履行、违约责任和解决争议的方法等适用《中华人民共和国民法典》。</w:t>
      </w:r>
    </w:p>
    <w:p w14:paraId="3848F8B0">
      <w:pPr>
        <w:topLinePunct/>
        <w:autoSpaceDE w:val="0"/>
        <w:autoSpaceDN w:val="0"/>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19. 税费</w:t>
      </w:r>
    </w:p>
    <w:p w14:paraId="4E9A596A">
      <w:pPr>
        <w:topLinePunct/>
        <w:autoSpaceDE w:val="0"/>
        <w:autoSpaceDN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19.1 乙方应依法缴纳的合同服务相关税费，均已包含于合同总金额中，甲方不再另行支付。</w:t>
      </w:r>
    </w:p>
    <w:p w14:paraId="078618C2">
      <w:pPr>
        <w:tabs>
          <w:tab w:val="left" w:pos="700"/>
        </w:tabs>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20. 合同生效</w:t>
      </w:r>
    </w:p>
    <w:p w14:paraId="2F3B00E7">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20.1 本合同一式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份，</w:t>
      </w:r>
      <w:r>
        <w:rPr>
          <w:rFonts w:hint="eastAsia" w:ascii="宋体" w:hAnsi="宋体" w:eastAsia="宋体" w:cs="宋体"/>
          <w:szCs w:val="21"/>
          <w:highlight w:val="none"/>
          <w:lang w:val="en-US" w:eastAsia="zh-CN"/>
        </w:rPr>
        <w:t>甲方</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en-US" w:eastAsia="zh-CN"/>
        </w:rPr>
        <w:t>份，乙方</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en-US" w:eastAsia="zh-CN"/>
        </w:rPr>
        <w:t>份，</w:t>
      </w:r>
      <w:r>
        <w:rPr>
          <w:rFonts w:hint="eastAsia" w:ascii="宋体" w:hAnsi="宋体" w:eastAsia="宋体" w:cs="宋体"/>
          <w:szCs w:val="21"/>
          <w:highlight w:val="none"/>
        </w:rPr>
        <w:t>由甲乙双方法定代表人或被授权人签字并盖章后生效。</w:t>
      </w:r>
    </w:p>
    <w:p w14:paraId="60E0F7D8">
      <w:pPr>
        <w:spacing w:line="360" w:lineRule="auto"/>
        <w:ind w:firstLine="420" w:firstLineChars="200"/>
        <w:rPr>
          <w:rFonts w:hint="eastAsia" w:ascii="宋体" w:hAnsi="宋体" w:eastAsia="宋体" w:cs="宋体"/>
          <w:szCs w:val="21"/>
          <w:highlight w:val="none"/>
        </w:rPr>
      </w:pPr>
    </w:p>
    <w:p w14:paraId="04950662">
      <w:pPr>
        <w:spacing w:line="360" w:lineRule="auto"/>
        <w:ind w:firstLine="420" w:firstLineChars="200"/>
        <w:rPr>
          <w:rFonts w:hint="eastAsia" w:ascii="宋体" w:hAnsi="宋体" w:eastAsia="宋体" w:cs="宋体"/>
          <w:szCs w:val="21"/>
          <w:highlight w:val="none"/>
        </w:rPr>
      </w:pPr>
    </w:p>
    <w:p w14:paraId="30662921">
      <w:pPr>
        <w:rPr>
          <w:rFonts w:hint="eastAsia" w:ascii="宋体" w:hAnsi="宋体" w:eastAsia="宋体" w:cs="宋体"/>
          <w:sz w:val="24"/>
          <w:highlight w:val="none"/>
        </w:rPr>
      </w:pPr>
    </w:p>
    <w:p w14:paraId="2C4EC9EB">
      <w:pPr>
        <w:pStyle w:val="4"/>
        <w:rPr>
          <w:rFonts w:hint="eastAsia" w:ascii="宋体" w:hAnsi="宋体" w:eastAsia="宋体" w:cs="宋体"/>
          <w:sz w:val="24"/>
          <w:highlight w:val="none"/>
        </w:rPr>
      </w:pPr>
    </w:p>
    <w:p w14:paraId="4594628D">
      <w:pPr>
        <w:pStyle w:val="4"/>
        <w:rPr>
          <w:rFonts w:hint="eastAsia" w:ascii="宋体" w:hAnsi="宋体" w:eastAsia="宋体" w:cs="宋体"/>
          <w:sz w:val="24"/>
          <w:highlight w:val="none"/>
        </w:rPr>
      </w:pPr>
    </w:p>
    <w:p w14:paraId="6CFE0506">
      <w:pPr>
        <w:pStyle w:val="4"/>
        <w:rPr>
          <w:rFonts w:hint="eastAsia" w:ascii="宋体" w:hAnsi="宋体" w:eastAsia="宋体" w:cs="宋体"/>
          <w:sz w:val="24"/>
          <w:highlight w:val="none"/>
        </w:rPr>
      </w:pPr>
    </w:p>
    <w:p w14:paraId="00AD7352">
      <w:pPr>
        <w:pStyle w:val="4"/>
        <w:rPr>
          <w:rFonts w:hint="eastAsia" w:ascii="宋体" w:hAnsi="宋体" w:eastAsia="宋体" w:cs="宋体"/>
          <w:sz w:val="24"/>
          <w:highlight w:val="none"/>
        </w:rPr>
      </w:pPr>
    </w:p>
    <w:p w14:paraId="7A02E4A4">
      <w:pPr>
        <w:rPr>
          <w:rFonts w:hint="eastAsia" w:ascii="宋体" w:hAnsi="宋体" w:eastAsia="宋体" w:cs="宋体"/>
          <w:b/>
          <w:sz w:val="24"/>
          <w:highlight w:val="none"/>
        </w:rPr>
      </w:pPr>
      <w:r>
        <w:rPr>
          <w:rFonts w:hint="eastAsia" w:ascii="宋体" w:hAnsi="宋体" w:eastAsia="宋体" w:cs="宋体"/>
          <w:b/>
          <w:sz w:val="24"/>
          <w:highlight w:val="none"/>
        </w:rPr>
        <w:br w:type="page"/>
      </w:r>
    </w:p>
    <w:p w14:paraId="7ED604B4">
      <w:pPr>
        <w:keepNext w:val="0"/>
        <w:keepLines w:val="0"/>
        <w:pageBreakBefore w:val="0"/>
        <w:widowControl w:val="0"/>
        <w:kinsoku/>
        <w:wordWrap/>
        <w:overflowPunct/>
        <w:topLinePunct/>
        <w:autoSpaceDE w:val="0"/>
        <w:autoSpaceDN w:val="0"/>
        <w:bidi w:val="0"/>
        <w:adjustRightInd/>
        <w:snapToGrid/>
        <w:spacing w:line="360" w:lineRule="auto"/>
        <w:jc w:val="center"/>
        <w:textAlignment w:val="auto"/>
        <w:outlineLvl w:val="2"/>
        <w:rPr>
          <w:rFonts w:hint="eastAsia" w:ascii="宋体" w:hAnsi="宋体" w:eastAsia="宋体" w:cs="宋体"/>
          <w:b/>
          <w:sz w:val="24"/>
          <w:highlight w:val="none"/>
        </w:rPr>
      </w:pPr>
      <w:bookmarkStart w:id="81" w:name="_Toc16121"/>
      <w:bookmarkStart w:id="82" w:name="_Toc20510"/>
      <w:r>
        <w:rPr>
          <w:rFonts w:hint="eastAsia" w:ascii="宋体" w:hAnsi="宋体" w:eastAsia="宋体" w:cs="宋体"/>
          <w:b/>
          <w:sz w:val="24"/>
          <w:highlight w:val="none"/>
        </w:rPr>
        <w:t>三</w:t>
      </w:r>
      <w:r>
        <w:rPr>
          <w:rFonts w:hint="eastAsia" w:ascii="宋体" w:hAnsi="宋体" w:eastAsia="宋体" w:cs="宋体"/>
          <w:b/>
          <w:sz w:val="24"/>
          <w:highlight w:val="none"/>
          <w:lang w:eastAsia="zh-CN"/>
        </w:rPr>
        <w:t>、</w:t>
      </w:r>
      <w:r>
        <w:rPr>
          <w:rFonts w:hint="eastAsia" w:ascii="宋体" w:hAnsi="宋体" w:eastAsia="宋体" w:cs="宋体"/>
          <w:b/>
          <w:sz w:val="24"/>
          <w:highlight w:val="none"/>
        </w:rPr>
        <w:t>招标文件及投标文件（如需要，可另附）</w:t>
      </w:r>
      <w:bookmarkEnd w:id="81"/>
      <w:bookmarkEnd w:id="82"/>
    </w:p>
    <w:p w14:paraId="6285D225">
      <w:pPr>
        <w:keepNext w:val="0"/>
        <w:keepLines w:val="0"/>
        <w:pageBreakBefore w:val="0"/>
        <w:widowControl w:val="0"/>
        <w:kinsoku/>
        <w:wordWrap/>
        <w:overflowPunct/>
        <w:topLinePunct/>
        <w:autoSpaceDE w:val="0"/>
        <w:autoSpaceDN w:val="0"/>
        <w:bidi w:val="0"/>
        <w:adjustRightInd/>
        <w:snapToGrid/>
        <w:spacing w:line="360" w:lineRule="auto"/>
        <w:jc w:val="center"/>
        <w:textAlignment w:val="auto"/>
        <w:outlineLvl w:val="2"/>
        <w:rPr>
          <w:rFonts w:hint="eastAsia" w:ascii="宋体" w:hAnsi="宋体" w:eastAsia="宋体" w:cs="宋体"/>
          <w:b/>
          <w:sz w:val="24"/>
          <w:highlight w:val="none"/>
        </w:rPr>
      </w:pPr>
      <w:r>
        <w:rPr>
          <w:rFonts w:hint="eastAsia" w:ascii="宋体" w:hAnsi="宋体" w:eastAsia="宋体" w:cs="宋体"/>
          <w:sz w:val="24"/>
          <w:highlight w:val="none"/>
        </w:rPr>
        <w:br w:type="page"/>
      </w:r>
      <w:bookmarkStart w:id="83" w:name="_Toc16783"/>
      <w:bookmarkStart w:id="84" w:name="_Toc17060"/>
      <w:r>
        <w:rPr>
          <w:rFonts w:hint="eastAsia" w:ascii="宋体" w:hAnsi="宋体" w:eastAsia="宋体" w:cs="宋体"/>
          <w:b/>
          <w:sz w:val="24"/>
          <w:highlight w:val="none"/>
        </w:rPr>
        <w:t>四</w:t>
      </w:r>
      <w:r>
        <w:rPr>
          <w:rFonts w:hint="eastAsia" w:ascii="宋体" w:hAnsi="宋体" w:eastAsia="宋体" w:cs="宋体"/>
          <w:b/>
          <w:sz w:val="24"/>
          <w:highlight w:val="none"/>
          <w:lang w:eastAsia="zh-CN"/>
        </w:rPr>
        <w:t>、</w:t>
      </w:r>
      <w:r>
        <w:rPr>
          <w:rFonts w:hint="eastAsia" w:ascii="宋体" w:hAnsi="宋体" w:eastAsia="宋体" w:cs="宋体"/>
          <w:b/>
          <w:sz w:val="24"/>
          <w:highlight w:val="none"/>
        </w:rPr>
        <w:t>报价表（总报价表和分项报价表，如有需要可另附）</w:t>
      </w:r>
      <w:bookmarkEnd w:id="83"/>
      <w:bookmarkEnd w:id="84"/>
    </w:p>
    <w:p w14:paraId="02CB35ED">
      <w:pPr>
        <w:shd w:val="clear"/>
        <w:spacing w:line="360" w:lineRule="auto"/>
        <w:jc w:val="both"/>
        <w:rPr>
          <w:color w:val="auto"/>
          <w:sz w:val="24"/>
          <w:szCs w:val="24"/>
          <w:highlight w:val="none"/>
        </w:rPr>
      </w:pPr>
    </w:p>
    <w:p w14:paraId="0A6D9851">
      <w:pPr>
        <w:shd w:val="clear"/>
        <w:rPr>
          <w:rFonts w:ascii="宋体" w:hAnsi="宋体" w:cs="宋体"/>
          <w:b/>
          <w:color w:val="auto"/>
          <w:sz w:val="24"/>
          <w:highlight w:val="none"/>
        </w:rPr>
      </w:pPr>
      <w:r>
        <w:rPr>
          <w:color w:val="auto"/>
          <w:highlight w:val="none"/>
        </w:rPr>
        <w:br w:type="page"/>
      </w:r>
    </w:p>
    <w:p w14:paraId="6CD2E12B">
      <w:pPr>
        <w:shd w:val="clear"/>
        <w:rPr>
          <w:color w:val="auto"/>
          <w:highlight w:val="none"/>
        </w:rPr>
        <w:sectPr>
          <w:footerReference r:id="rId13" w:type="default"/>
          <w:pgSz w:w="11906" w:h="16838"/>
          <w:pgMar w:top="1440" w:right="1752" w:bottom="1440" w:left="1752" w:header="851" w:footer="992" w:gutter="0"/>
          <w:pgNumType w:fmt="decimal"/>
          <w:cols w:space="720" w:num="1"/>
          <w:titlePg/>
          <w:docGrid w:type="lines" w:linePitch="312" w:charSpace="0"/>
        </w:sectPr>
      </w:pPr>
    </w:p>
    <w:p w14:paraId="3C81CE4F">
      <w:pPr>
        <w:pStyle w:val="6"/>
        <w:shd w:val="clear"/>
        <w:jc w:val="center"/>
        <w:rPr>
          <w:rFonts w:hint="default"/>
          <w:color w:val="auto"/>
          <w:highlight w:val="none"/>
        </w:rPr>
      </w:pPr>
      <w:bookmarkStart w:id="85" w:name="_Toc28505"/>
      <w:bookmarkStart w:id="86" w:name="_Toc25534"/>
      <w:bookmarkStart w:id="87" w:name="_Toc22362"/>
      <w:r>
        <w:rPr>
          <w:color w:val="auto"/>
          <w:highlight w:val="none"/>
        </w:rPr>
        <w:t>第五章</w:t>
      </w:r>
      <w:r>
        <w:rPr>
          <w:rFonts w:hint="eastAsia"/>
          <w:color w:val="auto"/>
          <w:highlight w:val="none"/>
          <w:lang w:val="en-US" w:eastAsia="zh-CN"/>
        </w:rPr>
        <w:t xml:space="preserve">  </w:t>
      </w:r>
      <w:r>
        <w:rPr>
          <w:color w:val="auto"/>
          <w:highlight w:val="none"/>
        </w:rPr>
        <w:t>投标文件格式</w:t>
      </w:r>
      <w:bookmarkEnd w:id="85"/>
      <w:bookmarkEnd w:id="86"/>
      <w:bookmarkEnd w:id="87"/>
    </w:p>
    <w:p w14:paraId="756444A5">
      <w:pPr>
        <w:shd w:val="clea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必须按下列文本格式，如实提供具有法律效力的资格证明文件和真实有效的其他文件资料。</w:t>
      </w:r>
    </w:p>
    <w:p w14:paraId="2E0079DA">
      <w:pPr>
        <w:shd w:val="clea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应严格按照本章规定填写和提交全部格式文件以及其他有关资料，混乱的编排导致投标文件被误读或查找不到，后果由</w:t>
      </w:r>
      <w:r>
        <w:rPr>
          <w:rFonts w:hint="eastAsia"/>
          <w:color w:val="000000" w:themeColor="text1"/>
          <w:highlight w:val="none"/>
          <w:lang w:eastAsia="zh-CN"/>
          <w14:textFill>
            <w14:solidFill>
              <w14:schemeClr w14:val="tx1"/>
            </w14:solidFill>
          </w14:textFill>
        </w:rPr>
        <w:t>投标人</w:t>
      </w:r>
      <w:r>
        <w:rPr>
          <w:color w:val="000000" w:themeColor="text1"/>
          <w:highlight w:val="none"/>
          <w14:textFill>
            <w14:solidFill>
              <w14:schemeClr w14:val="tx1"/>
            </w14:solidFill>
          </w14:textFill>
        </w:rPr>
        <w:t>承担。</w:t>
      </w:r>
    </w:p>
    <w:p w14:paraId="39A38BB0">
      <w:pPr>
        <w:shd w:val="clear"/>
        <w:rPr>
          <w:color w:val="auto"/>
          <w:highlight w:val="none"/>
        </w:rPr>
      </w:pPr>
      <w:r>
        <w:rPr>
          <w:color w:val="auto"/>
          <w:highlight w:val="none"/>
        </w:rPr>
        <w:t>2.所附表格中要求回答的全部问题和信息都必须正面回答。</w:t>
      </w:r>
    </w:p>
    <w:p w14:paraId="0CDB21D4">
      <w:pPr>
        <w:shd w:val="clear"/>
        <w:rPr>
          <w:color w:val="auto"/>
          <w:highlight w:val="none"/>
        </w:rPr>
      </w:pPr>
      <w:r>
        <w:rPr>
          <w:color w:val="auto"/>
          <w:highlight w:val="none"/>
        </w:rPr>
        <w:t>3.资格声明文件的签字人应保证全部声明和问题的回答是真实的和准确的。</w:t>
      </w:r>
    </w:p>
    <w:p w14:paraId="226AFE24">
      <w:pPr>
        <w:shd w:val="clear"/>
        <w:rPr>
          <w:color w:val="auto"/>
          <w:highlight w:val="none"/>
        </w:rPr>
      </w:pPr>
      <w:r>
        <w:rPr>
          <w:color w:val="auto"/>
          <w:highlight w:val="none"/>
        </w:rPr>
        <w:t>4.评标委员会将应用</w:t>
      </w:r>
      <w:r>
        <w:rPr>
          <w:rFonts w:hint="eastAsia"/>
          <w:color w:val="auto"/>
          <w:highlight w:val="none"/>
          <w:lang w:eastAsia="zh-CN"/>
        </w:rPr>
        <w:t>投标人</w:t>
      </w:r>
      <w:r>
        <w:rPr>
          <w:color w:val="auto"/>
          <w:highlight w:val="none"/>
        </w:rPr>
        <w:t>提交的资料并根据自己的判断，决定</w:t>
      </w:r>
      <w:r>
        <w:rPr>
          <w:rFonts w:hint="eastAsia"/>
          <w:color w:val="auto"/>
          <w:highlight w:val="none"/>
          <w:lang w:eastAsia="zh-CN"/>
        </w:rPr>
        <w:t>投标人</w:t>
      </w:r>
      <w:r>
        <w:rPr>
          <w:color w:val="auto"/>
          <w:highlight w:val="none"/>
        </w:rPr>
        <w:t>履行合同的合格性及能力。</w:t>
      </w:r>
    </w:p>
    <w:p w14:paraId="048DC387">
      <w:pPr>
        <w:shd w:val="clear"/>
        <w:rPr>
          <w:color w:val="auto"/>
          <w:highlight w:val="none"/>
        </w:rPr>
      </w:pPr>
      <w:r>
        <w:rPr>
          <w:color w:val="auto"/>
          <w:highlight w:val="none"/>
        </w:rPr>
        <w:t>5.全部文件应按</w:t>
      </w:r>
      <w:r>
        <w:rPr>
          <w:rFonts w:hint="eastAsia"/>
          <w:color w:val="auto"/>
          <w:highlight w:val="none"/>
          <w:lang w:eastAsia="zh-CN"/>
        </w:rPr>
        <w:t>投标人</w:t>
      </w:r>
      <w:r>
        <w:rPr>
          <w:color w:val="auto"/>
          <w:highlight w:val="none"/>
        </w:rPr>
        <w:t>须知中规定的语言提交。</w:t>
      </w:r>
    </w:p>
    <w:p w14:paraId="71BE907B">
      <w:pPr>
        <w:pStyle w:val="38"/>
        <w:shd w:val="clear"/>
        <w:rPr>
          <w:color w:val="auto"/>
          <w:highlight w:val="none"/>
        </w:rPr>
      </w:pPr>
    </w:p>
    <w:p w14:paraId="255D6D8E">
      <w:pPr>
        <w:pStyle w:val="38"/>
        <w:shd w:val="clear"/>
        <w:rPr>
          <w:color w:val="auto"/>
          <w:highlight w:val="none"/>
        </w:rPr>
      </w:pPr>
    </w:p>
    <w:p w14:paraId="0359F286">
      <w:pPr>
        <w:pStyle w:val="38"/>
        <w:shd w:val="clear"/>
        <w:rPr>
          <w:color w:val="auto"/>
          <w:highlight w:val="none"/>
        </w:rPr>
      </w:pPr>
    </w:p>
    <w:p w14:paraId="00A82B9B">
      <w:pPr>
        <w:pStyle w:val="38"/>
        <w:shd w:val="clear"/>
        <w:rPr>
          <w:color w:val="auto"/>
          <w:highlight w:val="none"/>
        </w:rPr>
      </w:pPr>
    </w:p>
    <w:p w14:paraId="768667CA">
      <w:pPr>
        <w:pStyle w:val="38"/>
        <w:shd w:val="clear"/>
        <w:rPr>
          <w:color w:val="auto"/>
          <w:highlight w:val="none"/>
        </w:rPr>
      </w:pPr>
    </w:p>
    <w:p w14:paraId="1A1AF652">
      <w:pPr>
        <w:pStyle w:val="38"/>
        <w:shd w:val="clear"/>
        <w:rPr>
          <w:color w:val="auto"/>
          <w:highlight w:val="none"/>
        </w:rPr>
      </w:pPr>
    </w:p>
    <w:p w14:paraId="3FE8C8F8">
      <w:pPr>
        <w:pStyle w:val="38"/>
        <w:shd w:val="clear"/>
        <w:rPr>
          <w:color w:val="auto"/>
          <w:highlight w:val="none"/>
        </w:rPr>
      </w:pPr>
    </w:p>
    <w:p w14:paraId="321BBD79">
      <w:pPr>
        <w:pStyle w:val="38"/>
        <w:shd w:val="clear"/>
        <w:rPr>
          <w:color w:val="auto"/>
          <w:highlight w:val="none"/>
        </w:rPr>
      </w:pPr>
    </w:p>
    <w:p w14:paraId="0220DB67">
      <w:pPr>
        <w:pStyle w:val="38"/>
        <w:shd w:val="clear"/>
        <w:rPr>
          <w:color w:val="auto"/>
          <w:highlight w:val="none"/>
        </w:rPr>
      </w:pPr>
    </w:p>
    <w:p w14:paraId="42FAC206">
      <w:pPr>
        <w:pStyle w:val="38"/>
        <w:shd w:val="clear"/>
        <w:rPr>
          <w:color w:val="auto"/>
          <w:highlight w:val="none"/>
        </w:rPr>
      </w:pPr>
    </w:p>
    <w:p w14:paraId="43548D2E">
      <w:pPr>
        <w:pStyle w:val="38"/>
        <w:shd w:val="clear"/>
        <w:rPr>
          <w:color w:val="auto"/>
          <w:highlight w:val="none"/>
        </w:rPr>
      </w:pPr>
    </w:p>
    <w:p w14:paraId="2B62B3AF">
      <w:pPr>
        <w:pStyle w:val="38"/>
        <w:shd w:val="clear"/>
        <w:rPr>
          <w:color w:val="auto"/>
          <w:highlight w:val="none"/>
        </w:rPr>
      </w:pPr>
    </w:p>
    <w:p w14:paraId="7415AF36">
      <w:pPr>
        <w:pStyle w:val="38"/>
        <w:shd w:val="clear"/>
        <w:rPr>
          <w:color w:val="auto"/>
          <w:highlight w:val="none"/>
        </w:rPr>
      </w:pPr>
    </w:p>
    <w:p w14:paraId="51A22CB7">
      <w:pPr>
        <w:pStyle w:val="38"/>
        <w:shd w:val="clear"/>
        <w:rPr>
          <w:color w:val="auto"/>
          <w:highlight w:val="none"/>
        </w:rPr>
      </w:pPr>
    </w:p>
    <w:p w14:paraId="0898C98C">
      <w:pPr>
        <w:pStyle w:val="14"/>
        <w:shd w:val="clear"/>
        <w:rPr>
          <w:color w:val="auto"/>
          <w:highlight w:val="none"/>
        </w:rPr>
      </w:pPr>
      <w:bookmarkStart w:id="88" w:name="_Toc494291090"/>
      <w:bookmarkStart w:id="89" w:name="_Toc485738715"/>
    </w:p>
    <w:p w14:paraId="75BDA797">
      <w:pPr>
        <w:rPr>
          <w:color w:val="auto"/>
          <w:highlight w:val="none"/>
        </w:rPr>
      </w:pPr>
    </w:p>
    <w:p w14:paraId="006278EA">
      <w:pPr>
        <w:pStyle w:val="14"/>
        <w:rPr>
          <w:highlight w:val="none"/>
        </w:rPr>
      </w:pPr>
    </w:p>
    <w:p w14:paraId="2B4FDEBA">
      <w:pPr>
        <w:pStyle w:val="14"/>
        <w:shd w:val="clear"/>
        <w:rPr>
          <w:color w:val="auto"/>
          <w:highlight w:val="none"/>
        </w:rPr>
      </w:pPr>
    </w:p>
    <w:p w14:paraId="5E4A7A73">
      <w:pPr>
        <w:pStyle w:val="14"/>
        <w:shd w:val="clear"/>
        <w:jc w:val="center"/>
        <w:rPr>
          <w:color w:val="auto"/>
          <w:highlight w:val="none"/>
        </w:rPr>
      </w:pPr>
      <w:r>
        <w:rPr>
          <w:rFonts w:hint="eastAsia"/>
          <w:color w:val="auto"/>
          <w:highlight w:val="none"/>
        </w:rPr>
        <w:t>评分索引表</w:t>
      </w:r>
      <w:bookmarkEnd w:id="88"/>
      <w:bookmarkEnd w:id="89"/>
    </w:p>
    <w:tbl>
      <w:tblPr>
        <w:tblStyle w:val="27"/>
        <w:tblW w:w="8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24"/>
        <w:gridCol w:w="3595"/>
      </w:tblGrid>
      <w:tr w14:paraId="57910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1607B325">
            <w:pPr>
              <w:pStyle w:val="41"/>
              <w:shd w:val="clear"/>
              <w:jc w:val="center"/>
              <w:rPr>
                <w:color w:val="auto"/>
                <w:highlight w:val="none"/>
              </w:rPr>
            </w:pPr>
            <w:r>
              <w:rPr>
                <w:rFonts w:hint="eastAsia"/>
                <w:color w:val="auto"/>
                <w:highlight w:val="none"/>
              </w:rPr>
              <w:t>评分项目</w:t>
            </w:r>
          </w:p>
        </w:tc>
        <w:tc>
          <w:tcPr>
            <w:tcW w:w="3595" w:type="dxa"/>
            <w:tcBorders>
              <w:top w:val="single" w:color="auto" w:sz="4" w:space="0"/>
              <w:left w:val="single" w:color="auto" w:sz="4" w:space="0"/>
              <w:bottom w:val="single" w:color="auto" w:sz="4" w:space="0"/>
              <w:right w:val="single" w:color="auto" w:sz="4" w:space="0"/>
            </w:tcBorders>
            <w:noWrap/>
            <w:vAlign w:val="center"/>
          </w:tcPr>
          <w:p w14:paraId="1558CAA8">
            <w:pPr>
              <w:pStyle w:val="41"/>
              <w:shd w:val="clear"/>
              <w:jc w:val="center"/>
              <w:rPr>
                <w:color w:val="auto"/>
                <w:highlight w:val="none"/>
              </w:rPr>
            </w:pPr>
            <w:r>
              <w:rPr>
                <w:rFonts w:hint="eastAsia"/>
                <w:color w:val="auto"/>
                <w:highlight w:val="none"/>
              </w:rPr>
              <w:t>在投标文件中的页码位置</w:t>
            </w:r>
          </w:p>
        </w:tc>
      </w:tr>
      <w:tr w14:paraId="3B89F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15D2D82D">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51C75A5F">
            <w:pPr>
              <w:pStyle w:val="41"/>
              <w:shd w:val="clear"/>
              <w:rPr>
                <w:color w:val="auto"/>
                <w:highlight w:val="none"/>
              </w:rPr>
            </w:pPr>
          </w:p>
        </w:tc>
      </w:tr>
      <w:tr w14:paraId="4B20D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0E93BF23">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73AC024D">
            <w:pPr>
              <w:pStyle w:val="41"/>
              <w:shd w:val="clear"/>
              <w:rPr>
                <w:color w:val="auto"/>
                <w:highlight w:val="none"/>
              </w:rPr>
            </w:pPr>
          </w:p>
        </w:tc>
      </w:tr>
      <w:tr w14:paraId="7A2CC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76FD8715">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4879E8AB">
            <w:pPr>
              <w:pStyle w:val="41"/>
              <w:shd w:val="clear"/>
              <w:rPr>
                <w:color w:val="auto"/>
                <w:highlight w:val="none"/>
              </w:rPr>
            </w:pPr>
          </w:p>
        </w:tc>
      </w:tr>
      <w:tr w14:paraId="0DAB4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19D5AD23">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1EB3183A">
            <w:pPr>
              <w:pStyle w:val="41"/>
              <w:shd w:val="clear"/>
              <w:rPr>
                <w:color w:val="auto"/>
                <w:highlight w:val="none"/>
              </w:rPr>
            </w:pPr>
          </w:p>
        </w:tc>
      </w:tr>
      <w:tr w14:paraId="0C134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1F09B972">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6FF61BBD">
            <w:pPr>
              <w:pStyle w:val="41"/>
              <w:shd w:val="clear"/>
              <w:rPr>
                <w:color w:val="auto"/>
                <w:highlight w:val="none"/>
              </w:rPr>
            </w:pPr>
          </w:p>
        </w:tc>
      </w:tr>
      <w:tr w14:paraId="15D4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42A33D2F">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6DF5B912">
            <w:pPr>
              <w:pStyle w:val="41"/>
              <w:shd w:val="clear"/>
              <w:rPr>
                <w:color w:val="auto"/>
                <w:highlight w:val="none"/>
              </w:rPr>
            </w:pPr>
          </w:p>
        </w:tc>
      </w:tr>
      <w:tr w14:paraId="42089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3DD9F975">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4E3BE598">
            <w:pPr>
              <w:pStyle w:val="41"/>
              <w:shd w:val="clear"/>
              <w:rPr>
                <w:color w:val="auto"/>
                <w:highlight w:val="none"/>
              </w:rPr>
            </w:pPr>
          </w:p>
        </w:tc>
      </w:tr>
      <w:tr w14:paraId="21A3B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264E1267">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429ADBEB">
            <w:pPr>
              <w:pStyle w:val="41"/>
              <w:shd w:val="clear"/>
              <w:rPr>
                <w:color w:val="auto"/>
                <w:highlight w:val="none"/>
              </w:rPr>
            </w:pPr>
          </w:p>
        </w:tc>
      </w:tr>
      <w:tr w14:paraId="5B702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114B38FE">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3CFA1218">
            <w:pPr>
              <w:pStyle w:val="41"/>
              <w:shd w:val="clear"/>
              <w:rPr>
                <w:color w:val="auto"/>
                <w:highlight w:val="none"/>
              </w:rPr>
            </w:pPr>
          </w:p>
        </w:tc>
      </w:tr>
      <w:tr w14:paraId="19853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6E7534C6">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73198890">
            <w:pPr>
              <w:pStyle w:val="41"/>
              <w:shd w:val="clear"/>
              <w:rPr>
                <w:color w:val="auto"/>
                <w:highlight w:val="none"/>
              </w:rPr>
            </w:pPr>
          </w:p>
        </w:tc>
      </w:tr>
      <w:tr w14:paraId="46249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1C388C1D">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56C2712F">
            <w:pPr>
              <w:pStyle w:val="41"/>
              <w:shd w:val="clear"/>
              <w:rPr>
                <w:color w:val="auto"/>
                <w:highlight w:val="none"/>
              </w:rPr>
            </w:pPr>
          </w:p>
        </w:tc>
      </w:tr>
      <w:tr w14:paraId="2C51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6E1B9AA1">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7312BEBA">
            <w:pPr>
              <w:pStyle w:val="41"/>
              <w:shd w:val="clear"/>
              <w:rPr>
                <w:color w:val="auto"/>
                <w:highlight w:val="none"/>
              </w:rPr>
            </w:pPr>
          </w:p>
        </w:tc>
      </w:tr>
      <w:tr w14:paraId="34C6B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2854C58F">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5FF08624">
            <w:pPr>
              <w:pStyle w:val="41"/>
              <w:shd w:val="clear"/>
              <w:rPr>
                <w:color w:val="auto"/>
                <w:highlight w:val="none"/>
              </w:rPr>
            </w:pPr>
          </w:p>
        </w:tc>
      </w:tr>
      <w:tr w14:paraId="60665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096A7E15">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38CBFA63">
            <w:pPr>
              <w:pStyle w:val="41"/>
              <w:shd w:val="clear"/>
              <w:rPr>
                <w:color w:val="auto"/>
                <w:highlight w:val="none"/>
              </w:rPr>
            </w:pPr>
          </w:p>
        </w:tc>
      </w:tr>
      <w:tr w14:paraId="4F690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407D7343">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4A68C7D6">
            <w:pPr>
              <w:pStyle w:val="41"/>
              <w:shd w:val="clear"/>
              <w:rPr>
                <w:color w:val="auto"/>
                <w:highlight w:val="none"/>
              </w:rPr>
            </w:pPr>
          </w:p>
        </w:tc>
      </w:tr>
      <w:tr w14:paraId="68811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472FAA65">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0EFCF3C5">
            <w:pPr>
              <w:pStyle w:val="41"/>
              <w:shd w:val="clear"/>
              <w:rPr>
                <w:color w:val="auto"/>
                <w:highlight w:val="none"/>
              </w:rPr>
            </w:pPr>
          </w:p>
        </w:tc>
      </w:tr>
      <w:tr w14:paraId="69DAF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40A01073">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67D45F0D">
            <w:pPr>
              <w:pStyle w:val="41"/>
              <w:shd w:val="clear"/>
              <w:rPr>
                <w:color w:val="auto"/>
                <w:highlight w:val="none"/>
              </w:rPr>
            </w:pPr>
          </w:p>
        </w:tc>
      </w:tr>
      <w:tr w14:paraId="1EA8C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1982AA7A">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3C10159E">
            <w:pPr>
              <w:pStyle w:val="41"/>
              <w:shd w:val="clear"/>
              <w:rPr>
                <w:color w:val="auto"/>
                <w:highlight w:val="none"/>
              </w:rPr>
            </w:pPr>
          </w:p>
        </w:tc>
      </w:tr>
      <w:tr w14:paraId="2CBD9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5124" w:type="dxa"/>
            <w:tcBorders>
              <w:top w:val="single" w:color="auto" w:sz="4" w:space="0"/>
              <w:left w:val="single" w:color="auto" w:sz="4" w:space="0"/>
              <w:bottom w:val="single" w:color="auto" w:sz="4" w:space="0"/>
              <w:right w:val="single" w:color="auto" w:sz="4" w:space="0"/>
            </w:tcBorders>
            <w:noWrap/>
            <w:vAlign w:val="center"/>
          </w:tcPr>
          <w:p w14:paraId="45F50A4E">
            <w:pPr>
              <w:pStyle w:val="41"/>
              <w:shd w:val="clear"/>
              <w:rPr>
                <w:color w:val="auto"/>
                <w:highlight w:val="none"/>
              </w:rPr>
            </w:pPr>
          </w:p>
        </w:tc>
        <w:tc>
          <w:tcPr>
            <w:tcW w:w="3595" w:type="dxa"/>
            <w:tcBorders>
              <w:top w:val="single" w:color="auto" w:sz="4" w:space="0"/>
              <w:left w:val="single" w:color="auto" w:sz="4" w:space="0"/>
              <w:bottom w:val="single" w:color="auto" w:sz="4" w:space="0"/>
              <w:right w:val="single" w:color="auto" w:sz="4" w:space="0"/>
            </w:tcBorders>
            <w:noWrap/>
            <w:vAlign w:val="center"/>
          </w:tcPr>
          <w:p w14:paraId="28624A8C">
            <w:pPr>
              <w:pStyle w:val="41"/>
              <w:shd w:val="clear"/>
              <w:rPr>
                <w:color w:val="auto"/>
                <w:highlight w:val="none"/>
              </w:rPr>
            </w:pPr>
          </w:p>
        </w:tc>
      </w:tr>
    </w:tbl>
    <w:p w14:paraId="2C1DE74D">
      <w:pPr>
        <w:shd w:val="clear"/>
        <w:topLinePunct w:val="0"/>
        <w:autoSpaceDE/>
        <w:autoSpaceDN/>
        <w:adjustRightInd w:val="0"/>
        <w:snapToGrid w:val="0"/>
        <w:spacing w:before="62" w:beforeLines="20" w:after="4"/>
        <w:jc w:val="center"/>
        <w:rPr>
          <w:rFonts w:hAnsi="宋体"/>
          <w:b/>
          <w:color w:val="auto"/>
          <w:sz w:val="32"/>
          <w:szCs w:val="24"/>
          <w:highlight w:val="none"/>
        </w:rPr>
      </w:pPr>
      <w:r>
        <w:rPr>
          <w:rFonts w:hint="eastAsia" w:hAnsi="宋体"/>
          <w:b/>
          <w:color w:val="auto"/>
          <w:sz w:val="24"/>
          <w:szCs w:val="24"/>
          <w:highlight w:val="none"/>
        </w:rPr>
        <w:t>（说明：各</w:t>
      </w:r>
      <w:r>
        <w:rPr>
          <w:rFonts w:hint="eastAsia" w:hAnsi="宋体"/>
          <w:b/>
          <w:color w:val="auto"/>
          <w:sz w:val="24"/>
          <w:szCs w:val="24"/>
          <w:highlight w:val="none"/>
          <w:lang w:eastAsia="zh-CN"/>
        </w:rPr>
        <w:t>投标人</w:t>
      </w:r>
      <w:r>
        <w:rPr>
          <w:rFonts w:hint="eastAsia" w:hAnsi="宋体"/>
          <w:b/>
          <w:color w:val="auto"/>
          <w:sz w:val="24"/>
          <w:szCs w:val="24"/>
          <w:highlight w:val="none"/>
        </w:rPr>
        <w:t>需填写此表，按照招标文件中评分办法逐项填写）</w:t>
      </w:r>
      <w:r>
        <w:rPr>
          <w:rFonts w:hint="eastAsia" w:hAnsi="宋体"/>
          <w:b/>
          <w:color w:val="auto"/>
          <w:sz w:val="32"/>
          <w:szCs w:val="24"/>
          <w:highlight w:val="none"/>
        </w:rPr>
        <w:br w:type="page"/>
      </w:r>
    </w:p>
    <w:p w14:paraId="47454B87">
      <w:pPr>
        <w:shd w:val="clear"/>
        <w:topLinePunct w:val="0"/>
        <w:autoSpaceDE/>
        <w:autoSpaceDN/>
        <w:spacing w:line="600" w:lineRule="auto"/>
        <w:jc w:val="center"/>
        <w:rPr>
          <w:rFonts w:hint="eastAsia" w:ascii="华文中宋" w:hAnsi="华文中宋" w:eastAsia="华文中宋" w:cs="华文中宋"/>
          <w:bCs/>
          <w:color w:val="auto"/>
          <w:kern w:val="0"/>
          <w:sz w:val="32"/>
          <w:szCs w:val="32"/>
          <w:highlight w:val="none"/>
        </w:rPr>
      </w:pPr>
    </w:p>
    <w:p w14:paraId="13F2A6B2">
      <w:pPr>
        <w:shd w:val="clear"/>
        <w:topLinePunct w:val="0"/>
        <w:autoSpaceDE/>
        <w:autoSpaceDN/>
        <w:spacing w:line="600" w:lineRule="auto"/>
        <w:jc w:val="center"/>
        <w:rPr>
          <w:rFonts w:hint="eastAsia" w:ascii="华文中宋" w:hAnsi="华文中宋" w:eastAsia="华文中宋" w:cs="华文中宋"/>
          <w:bCs/>
          <w:color w:val="auto"/>
          <w:kern w:val="0"/>
          <w:sz w:val="32"/>
          <w:szCs w:val="32"/>
          <w:highlight w:val="none"/>
        </w:rPr>
      </w:pPr>
    </w:p>
    <w:p w14:paraId="138E67BA">
      <w:pPr>
        <w:shd w:val="clear"/>
        <w:topLinePunct w:val="0"/>
        <w:autoSpaceDE/>
        <w:autoSpaceDN/>
        <w:spacing w:line="600" w:lineRule="auto"/>
        <w:jc w:val="center"/>
        <w:rPr>
          <w:rFonts w:hint="eastAsia" w:ascii="华文中宋" w:hAnsi="华文中宋" w:eastAsia="华文中宋" w:cs="华文中宋"/>
          <w:bCs/>
          <w:color w:val="auto"/>
          <w:kern w:val="0"/>
          <w:sz w:val="32"/>
          <w:szCs w:val="32"/>
          <w:highlight w:val="none"/>
        </w:rPr>
      </w:pPr>
    </w:p>
    <w:p w14:paraId="28AF513E">
      <w:pPr>
        <w:shd w:val="clear"/>
        <w:topLinePunct w:val="0"/>
        <w:autoSpaceDE/>
        <w:autoSpaceDN/>
        <w:spacing w:line="600" w:lineRule="auto"/>
        <w:jc w:val="center"/>
        <w:rPr>
          <w:rFonts w:hint="eastAsia" w:asciiTheme="minorEastAsia" w:hAnsiTheme="minorEastAsia" w:eastAsiaTheme="minorEastAsia" w:cstheme="minorEastAsia"/>
          <w:b/>
          <w:bCs w:val="0"/>
          <w:color w:val="auto"/>
          <w:kern w:val="0"/>
          <w:sz w:val="32"/>
          <w:szCs w:val="32"/>
          <w:highlight w:val="none"/>
        </w:rPr>
      </w:pPr>
      <w:r>
        <w:rPr>
          <w:rFonts w:hint="eastAsia" w:asciiTheme="minorEastAsia" w:hAnsiTheme="minorEastAsia" w:eastAsiaTheme="minorEastAsia" w:cstheme="minorEastAsia"/>
          <w:b/>
          <w:bCs w:val="0"/>
          <w:color w:val="auto"/>
          <w:kern w:val="0"/>
          <w:sz w:val="32"/>
          <w:szCs w:val="32"/>
          <w:highlight w:val="none"/>
        </w:rPr>
        <w:t>投  标  文  件</w:t>
      </w:r>
    </w:p>
    <w:p w14:paraId="1434A947">
      <w:pPr>
        <w:keepNext w:val="0"/>
        <w:keepLines w:val="0"/>
        <w:pageBreakBefore w:val="0"/>
        <w:widowControl w:val="0"/>
        <w:shd w:val="clear"/>
        <w:kinsoku/>
        <w:wordWrap/>
        <w:overflowPunct/>
        <w:topLinePunct w:val="0"/>
        <w:autoSpaceDE/>
        <w:autoSpaceDN/>
        <w:bidi w:val="0"/>
        <w:adjustRightInd/>
        <w:snapToGrid/>
        <w:spacing w:line="600" w:lineRule="auto"/>
        <w:jc w:val="center"/>
        <w:textAlignment w:val="auto"/>
        <w:outlineLvl w:val="2"/>
        <w:rPr>
          <w:rFonts w:hint="eastAsia" w:asciiTheme="minorEastAsia" w:hAnsiTheme="minorEastAsia" w:eastAsiaTheme="minorEastAsia" w:cstheme="minorEastAsia"/>
          <w:b/>
          <w:bCs w:val="0"/>
          <w:color w:val="auto"/>
          <w:kern w:val="0"/>
          <w:sz w:val="32"/>
          <w:szCs w:val="32"/>
          <w:highlight w:val="none"/>
        </w:rPr>
      </w:pPr>
      <w:bookmarkStart w:id="90" w:name="_Toc30415"/>
      <w:bookmarkStart w:id="91" w:name="_Toc30993"/>
      <w:r>
        <w:rPr>
          <w:rFonts w:hint="eastAsia" w:asciiTheme="minorEastAsia" w:hAnsiTheme="minorEastAsia" w:eastAsiaTheme="minorEastAsia" w:cstheme="minorEastAsia"/>
          <w:b/>
          <w:bCs w:val="0"/>
          <w:color w:val="auto"/>
          <w:kern w:val="0"/>
          <w:sz w:val="32"/>
          <w:szCs w:val="32"/>
          <w:highlight w:val="none"/>
        </w:rPr>
        <w:t>商务部分</w:t>
      </w:r>
      <w:bookmarkEnd w:id="90"/>
      <w:bookmarkEnd w:id="91"/>
    </w:p>
    <w:p w14:paraId="26E32CE6">
      <w:pPr>
        <w:shd w:val="clear"/>
        <w:rPr>
          <w:color w:val="auto"/>
          <w:highlight w:val="none"/>
        </w:rPr>
      </w:pPr>
    </w:p>
    <w:p w14:paraId="498DD7D8">
      <w:pPr>
        <w:shd w:val="clear"/>
        <w:topLinePunct w:val="0"/>
        <w:autoSpaceDE/>
        <w:autoSpaceDN/>
        <w:jc w:val="center"/>
        <w:rPr>
          <w:rFonts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rPr>
        <w:t>（填写正本或副本）</w:t>
      </w:r>
    </w:p>
    <w:p w14:paraId="3D0FC82B">
      <w:pPr>
        <w:shd w:val="clear"/>
        <w:rPr>
          <w:color w:val="auto"/>
          <w:highlight w:val="none"/>
        </w:rPr>
      </w:pPr>
    </w:p>
    <w:p w14:paraId="3C70FEE0">
      <w:pPr>
        <w:shd w:val="clear"/>
        <w:topLinePunct w:val="0"/>
        <w:autoSpaceDE/>
        <w:autoSpaceDN/>
        <w:ind w:left="1197" w:leftChars="570"/>
        <w:rPr>
          <w:rFonts w:hint="eastAsia" w:asciiTheme="minorEastAsia" w:hAnsiTheme="minorEastAsia" w:eastAsiaTheme="minorEastAsia" w:cstheme="minorEastAsia"/>
          <w:bCs/>
          <w:color w:val="auto"/>
          <w:kern w:val="0"/>
          <w:sz w:val="24"/>
          <w:szCs w:val="24"/>
          <w:highlight w:val="none"/>
          <w:u w:val="none"/>
          <w:lang w:eastAsia="zh-CN"/>
        </w:rPr>
      </w:pPr>
      <w:r>
        <w:rPr>
          <w:rFonts w:hint="eastAsia" w:asciiTheme="minorEastAsia" w:hAnsiTheme="minorEastAsia" w:eastAsiaTheme="minorEastAsia" w:cstheme="minorEastAsia"/>
          <w:bCs/>
          <w:color w:val="auto"/>
          <w:kern w:val="0"/>
          <w:sz w:val="24"/>
          <w:szCs w:val="24"/>
          <w:highlight w:val="none"/>
          <w:u w:val="none"/>
        </w:rPr>
        <w:t>项目名称：</w:t>
      </w:r>
      <w:r>
        <w:rPr>
          <w:rFonts w:hint="eastAsia" w:asciiTheme="minorEastAsia" w:hAnsiTheme="minorEastAsia" w:eastAsiaTheme="minorEastAsia" w:cstheme="minorEastAsia"/>
          <w:bCs/>
          <w:color w:val="auto"/>
          <w:kern w:val="0"/>
          <w:sz w:val="24"/>
          <w:szCs w:val="24"/>
          <w:highlight w:val="none"/>
          <w:u w:val="none"/>
          <w:lang w:eastAsia="zh-CN"/>
        </w:rPr>
        <w:t>国家税务总局沭阳县税务局2026年食堂食材配送服务采购项目</w:t>
      </w:r>
    </w:p>
    <w:p w14:paraId="762A1D80">
      <w:pPr>
        <w:shd w:val="clear"/>
        <w:topLinePunct w:val="0"/>
        <w:autoSpaceDE/>
        <w:autoSpaceDN/>
        <w:ind w:left="1197" w:leftChars="570"/>
        <w:rPr>
          <w:rFonts w:hint="eastAsia" w:asciiTheme="minorEastAsia" w:hAnsiTheme="minorEastAsia" w:eastAsiaTheme="minorEastAsia" w:cstheme="minorEastAsia"/>
          <w:bCs/>
          <w:color w:val="000000" w:themeColor="text1"/>
          <w:kern w:val="0"/>
          <w:sz w:val="24"/>
          <w:szCs w:val="24"/>
          <w:highlight w:val="none"/>
          <w:u w:val="none"/>
          <w:lang w:eastAsia="zh-CN"/>
          <w14:textFill>
            <w14:solidFill>
              <w14:schemeClr w14:val="tx1"/>
            </w14:solidFill>
          </w14:textFill>
        </w:rPr>
      </w:pPr>
      <w:r>
        <w:rPr>
          <w:rFonts w:hint="eastAsia" w:asciiTheme="minorEastAsia" w:hAnsiTheme="minorEastAsia" w:eastAsiaTheme="minorEastAsia" w:cstheme="minorEastAsia"/>
          <w:bCs/>
          <w:color w:val="000000" w:themeColor="text1"/>
          <w:kern w:val="0"/>
          <w:sz w:val="24"/>
          <w:szCs w:val="24"/>
          <w:highlight w:val="none"/>
          <w:u w:val="none"/>
          <w:lang w:eastAsia="zh-CN"/>
          <w14:textFill>
            <w14:solidFill>
              <w14:schemeClr w14:val="tx1"/>
            </w14:solidFill>
          </w14:textFill>
        </w:rPr>
        <w:t>采购人项目编号：JS2026-DLGK-C0214-B00</w:t>
      </w:r>
    </w:p>
    <w:p w14:paraId="263116C9">
      <w:pPr>
        <w:shd w:val="clear"/>
        <w:topLinePunct w:val="0"/>
        <w:autoSpaceDE/>
        <w:autoSpaceDN/>
        <w:ind w:left="1197" w:leftChars="570"/>
        <w:rPr>
          <w:rFonts w:hint="eastAsia" w:asciiTheme="minorEastAsia" w:hAnsiTheme="minorEastAsia" w:eastAsiaTheme="minorEastAsia" w:cstheme="minorEastAsia"/>
          <w:bCs/>
          <w:color w:val="auto"/>
          <w:kern w:val="0"/>
          <w:sz w:val="24"/>
          <w:szCs w:val="24"/>
          <w:highlight w:val="none"/>
          <w:u w:val="none"/>
          <w:lang w:eastAsia="zh-CN"/>
        </w:rPr>
      </w:pPr>
      <w:r>
        <w:rPr>
          <w:rFonts w:hint="eastAsia" w:asciiTheme="minorEastAsia" w:hAnsiTheme="minorEastAsia" w:eastAsiaTheme="minorEastAsia" w:cstheme="minorEastAsia"/>
          <w:bCs/>
          <w:color w:val="auto"/>
          <w:kern w:val="0"/>
          <w:sz w:val="24"/>
          <w:szCs w:val="24"/>
          <w:highlight w:val="none"/>
          <w:u w:val="none"/>
          <w:lang w:eastAsia="zh-CN"/>
        </w:rPr>
        <w:t>代理机构项目编号：JSHZ[2026]0809号</w:t>
      </w:r>
    </w:p>
    <w:p w14:paraId="50D9B8EC">
      <w:pPr>
        <w:shd w:val="clear"/>
        <w:topLinePunct w:val="0"/>
        <w:autoSpaceDE/>
        <w:autoSpaceDN/>
        <w:ind w:left="1197" w:leftChars="570"/>
        <w:rPr>
          <w:rFonts w:asciiTheme="minorEastAsia" w:hAnsiTheme="minorEastAsia" w:eastAsiaTheme="minorEastAsia" w:cstheme="minorEastAsia"/>
          <w:bCs/>
          <w:color w:val="auto"/>
          <w:kern w:val="0"/>
          <w:sz w:val="24"/>
          <w:szCs w:val="24"/>
          <w:highlight w:val="none"/>
        </w:rPr>
      </w:pPr>
      <w:r>
        <w:rPr>
          <w:rFonts w:asciiTheme="minorEastAsia" w:hAnsiTheme="minorEastAsia" w:eastAsiaTheme="minorEastAsia" w:cstheme="minorEastAsia"/>
          <w:bCs/>
          <w:color w:val="auto"/>
          <w:kern w:val="0"/>
          <w:sz w:val="24"/>
          <w:szCs w:val="24"/>
          <w:highlight w:val="none"/>
        </w:rPr>
        <w:t>开标时间</w:t>
      </w:r>
      <w:r>
        <w:rPr>
          <w:rFonts w:hint="eastAsia" w:asciiTheme="minorEastAsia" w:hAnsiTheme="minorEastAsia" w:eastAsiaTheme="minorEastAsia" w:cstheme="minorEastAsia"/>
          <w:bCs/>
          <w:color w:val="auto"/>
          <w:kern w:val="0"/>
          <w:sz w:val="24"/>
          <w:szCs w:val="24"/>
          <w:highlight w:val="none"/>
        </w:rPr>
        <w:t>：</w:t>
      </w:r>
      <w:r>
        <w:rPr>
          <w:rFonts w:hint="eastAsia" w:asciiTheme="minorEastAsia" w:hAnsiTheme="minorEastAsia" w:eastAsiaTheme="minorEastAsia" w:cstheme="minorEastAsia"/>
          <w:bCs/>
          <w:color w:val="auto"/>
          <w:kern w:val="0"/>
          <w:sz w:val="24"/>
          <w:szCs w:val="24"/>
          <w:highlight w:val="none"/>
          <w:lang w:val="en-US" w:eastAsia="zh-CN"/>
        </w:rPr>
        <w:t xml:space="preserve">    </w:t>
      </w:r>
      <w:r>
        <w:rPr>
          <w:rFonts w:hint="eastAsia" w:asciiTheme="minorEastAsia" w:hAnsiTheme="minorEastAsia" w:eastAsiaTheme="minorEastAsia" w:cstheme="minorEastAsia"/>
          <w:bCs/>
          <w:color w:val="auto"/>
          <w:kern w:val="0"/>
          <w:sz w:val="24"/>
          <w:szCs w:val="24"/>
          <w:highlight w:val="none"/>
        </w:rPr>
        <w:t>年</w:t>
      </w:r>
      <w:r>
        <w:rPr>
          <w:rFonts w:hint="eastAsia" w:asciiTheme="minorEastAsia" w:hAnsiTheme="minorEastAsia" w:eastAsiaTheme="minorEastAsia" w:cstheme="minorEastAsia"/>
          <w:bCs/>
          <w:color w:val="auto"/>
          <w:kern w:val="0"/>
          <w:sz w:val="24"/>
          <w:szCs w:val="24"/>
          <w:highlight w:val="none"/>
          <w:lang w:val="en-US" w:eastAsia="zh-CN"/>
        </w:rPr>
        <w:t xml:space="preserve">  </w:t>
      </w:r>
      <w:r>
        <w:rPr>
          <w:rFonts w:hint="eastAsia" w:asciiTheme="minorEastAsia" w:hAnsiTheme="minorEastAsia" w:eastAsiaTheme="minorEastAsia" w:cstheme="minorEastAsia"/>
          <w:bCs/>
          <w:color w:val="auto"/>
          <w:kern w:val="0"/>
          <w:sz w:val="24"/>
          <w:szCs w:val="24"/>
          <w:highlight w:val="none"/>
        </w:rPr>
        <w:t>月</w:t>
      </w:r>
      <w:r>
        <w:rPr>
          <w:rFonts w:hint="eastAsia" w:asciiTheme="minorEastAsia" w:hAnsiTheme="minorEastAsia" w:eastAsiaTheme="minorEastAsia" w:cstheme="minorEastAsia"/>
          <w:bCs/>
          <w:color w:val="auto"/>
          <w:kern w:val="0"/>
          <w:sz w:val="24"/>
          <w:szCs w:val="24"/>
          <w:highlight w:val="none"/>
          <w:lang w:val="en-US" w:eastAsia="zh-CN"/>
        </w:rPr>
        <w:t xml:space="preserve">  </w:t>
      </w:r>
      <w:r>
        <w:rPr>
          <w:rFonts w:hint="eastAsia" w:asciiTheme="minorEastAsia" w:hAnsiTheme="minorEastAsia" w:eastAsiaTheme="minorEastAsia" w:cstheme="minorEastAsia"/>
          <w:bCs/>
          <w:color w:val="auto"/>
          <w:kern w:val="0"/>
          <w:sz w:val="24"/>
          <w:szCs w:val="24"/>
          <w:highlight w:val="none"/>
        </w:rPr>
        <w:t>日</w:t>
      </w:r>
    </w:p>
    <w:p w14:paraId="21373FE4">
      <w:pPr>
        <w:shd w:val="clear"/>
        <w:topLinePunct w:val="0"/>
        <w:autoSpaceDE/>
        <w:autoSpaceDN/>
        <w:ind w:left="1197" w:leftChars="570"/>
        <w:rPr>
          <w:rFonts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lang w:eastAsia="zh-CN"/>
        </w:rPr>
        <w:t>投标人</w:t>
      </w:r>
      <w:r>
        <w:rPr>
          <w:rFonts w:hint="eastAsia" w:asciiTheme="minorEastAsia" w:hAnsiTheme="minorEastAsia" w:eastAsiaTheme="minorEastAsia" w:cstheme="minorEastAsia"/>
          <w:bCs/>
          <w:color w:val="auto"/>
          <w:kern w:val="0"/>
          <w:sz w:val="24"/>
          <w:szCs w:val="24"/>
          <w:highlight w:val="none"/>
          <w:lang w:val="en-US" w:eastAsia="zh-CN"/>
        </w:rPr>
        <w:t>名称</w:t>
      </w:r>
      <w:r>
        <w:rPr>
          <w:rFonts w:hint="eastAsia" w:asciiTheme="minorEastAsia" w:hAnsiTheme="minorEastAsia" w:eastAsiaTheme="minorEastAsia" w:cstheme="minorEastAsia"/>
          <w:bCs/>
          <w:color w:val="auto"/>
          <w:kern w:val="0"/>
          <w:sz w:val="24"/>
          <w:szCs w:val="24"/>
          <w:highlight w:val="none"/>
        </w:rPr>
        <w:t>：</w:t>
      </w:r>
    </w:p>
    <w:p w14:paraId="17E8F070">
      <w:pPr>
        <w:shd w:val="clear"/>
        <w:topLinePunct w:val="0"/>
        <w:autoSpaceDE/>
        <w:autoSpaceDN/>
        <w:ind w:left="1197" w:leftChars="570"/>
        <w:rPr>
          <w:rFonts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rPr>
        <w:t>日  期：</w:t>
      </w:r>
      <w:r>
        <w:rPr>
          <w:rFonts w:hint="eastAsia" w:asciiTheme="minorEastAsia" w:hAnsiTheme="minorEastAsia" w:eastAsiaTheme="minorEastAsia" w:cstheme="minorEastAsia"/>
          <w:bCs/>
          <w:color w:val="auto"/>
          <w:kern w:val="0"/>
          <w:sz w:val="24"/>
          <w:szCs w:val="24"/>
          <w:highlight w:val="none"/>
        </w:rPr>
        <w:br w:type="page"/>
      </w:r>
    </w:p>
    <w:p w14:paraId="6ABB51FA">
      <w:pPr>
        <w:pStyle w:val="8"/>
        <w:shd w:val="clear"/>
        <w:jc w:val="center"/>
        <w:rPr>
          <w:color w:val="auto"/>
          <w:highlight w:val="none"/>
        </w:rPr>
      </w:pPr>
      <w:bookmarkStart w:id="92" w:name="_Toc22624"/>
      <w:r>
        <w:rPr>
          <w:rFonts w:hint="eastAsia"/>
          <w:color w:val="auto"/>
          <w:highlight w:val="none"/>
        </w:rPr>
        <w:t>格式1  授权委托书</w:t>
      </w:r>
      <w:bookmarkEnd w:id="92"/>
    </w:p>
    <w:p w14:paraId="4E7749DA">
      <w:pPr>
        <w:shd w:val="clear"/>
        <w:jc w:val="center"/>
        <w:rPr>
          <w:rFonts w:ascii="宋体" w:hAnsi="宋体" w:cs="宋体"/>
          <w:b/>
          <w:color w:val="auto"/>
          <w:sz w:val="28"/>
          <w:highlight w:val="none"/>
        </w:rPr>
      </w:pPr>
      <w:r>
        <w:rPr>
          <w:rFonts w:hint="eastAsia" w:ascii="宋体" w:hAnsi="宋体" w:cs="宋体"/>
          <w:b/>
          <w:color w:val="auto"/>
          <w:sz w:val="28"/>
          <w:highlight w:val="none"/>
        </w:rPr>
        <w:t>1-1法定代表人授权委托书</w:t>
      </w:r>
    </w:p>
    <w:p w14:paraId="4DF45BCC">
      <w:pPr>
        <w:shd w:val="clear"/>
        <w:jc w:val="center"/>
        <w:rPr>
          <w:b/>
          <w:bCs/>
          <w:color w:val="auto"/>
          <w:sz w:val="24"/>
          <w:highlight w:val="none"/>
        </w:rPr>
      </w:pPr>
      <w:r>
        <w:rPr>
          <w:color w:val="auto"/>
          <w:highlight w:val="none"/>
        </w:rPr>
        <w:t>(</w:t>
      </w:r>
      <w:r>
        <w:rPr>
          <w:rFonts w:hint="eastAsia"/>
          <w:color w:val="auto"/>
          <w:highlight w:val="none"/>
        </w:rPr>
        <w:t>适用于授权代表参加投标</w:t>
      </w:r>
      <w:r>
        <w:rPr>
          <w:color w:val="auto"/>
          <w:highlight w:val="none"/>
        </w:rPr>
        <w:t>)</w:t>
      </w:r>
    </w:p>
    <w:p w14:paraId="30AAF132">
      <w:pPr>
        <w:pStyle w:val="17"/>
        <w:shd w:val="clear"/>
        <w:rPr>
          <w:color w:val="auto"/>
          <w:highlight w:val="none"/>
        </w:rPr>
      </w:pPr>
    </w:p>
    <w:p w14:paraId="40C3930D">
      <w:pPr>
        <w:shd w:val="clear"/>
        <w:rPr>
          <w:color w:val="auto"/>
          <w:highlight w:val="none"/>
        </w:rPr>
      </w:pPr>
      <w:r>
        <w:rPr>
          <w:color w:val="auto"/>
          <w:highlight w:val="none"/>
        </w:rPr>
        <w:t>致____________(采购人或采购代理机构)：</w:t>
      </w:r>
    </w:p>
    <w:p w14:paraId="39913A08">
      <w:pPr>
        <w:shd w:val="clear"/>
        <w:ind w:firstLine="420" w:firstLineChars="200"/>
        <w:rPr>
          <w:color w:val="auto"/>
          <w:highlight w:val="none"/>
        </w:rPr>
      </w:pPr>
      <w:r>
        <w:rPr>
          <w:rFonts w:hint="eastAsia"/>
          <w:color w:val="auto"/>
          <w:highlight w:val="none"/>
        </w:rPr>
        <w:t>本授权书声明：注册于___________（</w:t>
      </w:r>
      <w:r>
        <w:rPr>
          <w:rFonts w:hint="eastAsia"/>
          <w:color w:val="auto"/>
          <w:highlight w:val="none"/>
          <w:lang w:eastAsia="zh-CN"/>
        </w:rPr>
        <w:t>投标人</w:t>
      </w:r>
      <w:r>
        <w:rPr>
          <w:rFonts w:hint="eastAsia"/>
          <w:color w:val="auto"/>
          <w:highlight w:val="none"/>
        </w:rPr>
        <w:t>住址）的___________（</w:t>
      </w:r>
      <w:r>
        <w:rPr>
          <w:rFonts w:hint="eastAsia"/>
          <w:color w:val="auto"/>
          <w:highlight w:val="none"/>
          <w:lang w:eastAsia="zh-CN"/>
        </w:rPr>
        <w:t>投标人</w:t>
      </w:r>
      <w:r>
        <w:rPr>
          <w:rFonts w:hint="eastAsia"/>
          <w:color w:val="auto"/>
          <w:highlight w:val="none"/>
        </w:rPr>
        <w:t>名称）法定代表人_______（姓名、职务）代表本公司授权_______（被授权投标代表姓名、职务）为本公司的合法投标代表，就贵方组织的《</w:t>
      </w:r>
      <w:r>
        <w:rPr>
          <w:rFonts w:hint="eastAsia"/>
          <w:color w:val="auto"/>
          <w:highlight w:val="none"/>
          <w:u w:val="single"/>
          <w:lang w:val="en" w:eastAsia="zh-CN"/>
        </w:rPr>
        <w:t>国家税务总局沭阳县税务局2026年食堂食材配送服务采购项目</w:t>
      </w:r>
      <w:r>
        <w:rPr>
          <w:rFonts w:hint="eastAsia"/>
          <w:color w:val="auto"/>
          <w:highlight w:val="none"/>
        </w:rPr>
        <w:t>》（采购人项目编号：</w:t>
      </w:r>
      <w:r>
        <w:rPr>
          <w:rFonts w:hint="eastAsia"/>
          <w:color w:val="auto"/>
          <w:highlight w:val="none"/>
          <w:lang w:eastAsia="zh-CN"/>
        </w:rPr>
        <w:t>JS2026-DLGK-C0214-B00</w:t>
      </w:r>
      <w:r>
        <w:rPr>
          <w:rFonts w:hint="eastAsia"/>
          <w:color w:val="auto"/>
          <w:highlight w:val="none"/>
          <w:lang w:val="en-US" w:eastAsia="zh-CN"/>
        </w:rPr>
        <w:t>,代理机构项目编号</w:t>
      </w:r>
      <w:r>
        <w:rPr>
          <w:rFonts w:hint="eastAsia"/>
          <w:color w:val="auto"/>
          <w:highlight w:val="none"/>
        </w:rPr>
        <w:t>：</w:t>
      </w:r>
      <w:r>
        <w:rPr>
          <w:rFonts w:hint="eastAsia"/>
          <w:color w:val="auto"/>
          <w:highlight w:val="none"/>
          <w:u w:val="single"/>
          <w:lang w:eastAsia="zh-CN"/>
        </w:rPr>
        <w:t>JSHZ[2026]0809号</w:t>
      </w:r>
      <w:r>
        <w:rPr>
          <w:rFonts w:hint="eastAsia"/>
          <w:color w:val="auto"/>
          <w:highlight w:val="none"/>
        </w:rPr>
        <w:t>）投标、合同的执行，以本公司名义处理一切与之有关的事务。</w:t>
      </w:r>
    </w:p>
    <w:p w14:paraId="6E88F615">
      <w:pPr>
        <w:shd w:val="clear"/>
        <w:ind w:firstLine="420" w:firstLineChars="200"/>
        <w:rPr>
          <w:color w:val="auto"/>
          <w:highlight w:val="none"/>
        </w:rPr>
      </w:pPr>
      <w:r>
        <w:rPr>
          <w:rFonts w:hint="eastAsia"/>
          <w:color w:val="auto"/>
          <w:highlight w:val="none"/>
        </w:rPr>
        <w:t>本授权书于______年______月_____日生效，特此声明。</w:t>
      </w:r>
    </w:p>
    <w:p w14:paraId="37A9C254">
      <w:pPr>
        <w:pStyle w:val="17"/>
        <w:shd w:val="clear"/>
        <w:ind w:firstLine="420" w:firstLineChars="200"/>
        <w:rPr>
          <w:color w:val="auto"/>
          <w:highlight w:val="none"/>
        </w:rPr>
      </w:pPr>
      <w:r>
        <w:rPr>
          <w:rFonts w:hint="eastAsia"/>
          <w:color w:val="auto"/>
          <w:highlight w:val="none"/>
        </w:rPr>
        <w:t>被授权投标代表无转委托权。</w:t>
      </w:r>
    </w:p>
    <w:tbl>
      <w:tblPr>
        <w:tblStyle w:val="27"/>
        <w:tblW w:w="7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0"/>
      </w:tblGrid>
      <w:tr w14:paraId="7B7AE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3" w:hRule="atLeast"/>
          <w:jc w:val="center"/>
        </w:trPr>
        <w:tc>
          <w:tcPr>
            <w:tcW w:w="7400" w:type="dxa"/>
            <w:noWrap/>
            <w:vAlign w:val="center"/>
          </w:tcPr>
          <w:p w14:paraId="6FEF7020">
            <w:pPr>
              <w:pStyle w:val="17"/>
              <w:shd w:val="clear"/>
              <w:rPr>
                <w:color w:val="auto"/>
                <w:highlight w:val="none"/>
              </w:rPr>
            </w:pPr>
          </w:p>
          <w:p w14:paraId="44901DC0">
            <w:pPr>
              <w:pStyle w:val="17"/>
              <w:shd w:val="clear"/>
              <w:rPr>
                <w:color w:val="auto"/>
                <w:highlight w:val="none"/>
              </w:rPr>
            </w:pPr>
          </w:p>
          <w:p w14:paraId="1B1076F7">
            <w:pPr>
              <w:pStyle w:val="17"/>
              <w:shd w:val="clear"/>
              <w:rPr>
                <w:color w:val="auto"/>
                <w:highlight w:val="none"/>
              </w:rPr>
            </w:pPr>
          </w:p>
          <w:p w14:paraId="63FEBFFE">
            <w:pPr>
              <w:pStyle w:val="17"/>
              <w:shd w:val="clear"/>
              <w:jc w:val="center"/>
              <w:rPr>
                <w:color w:val="auto"/>
                <w:highlight w:val="none"/>
              </w:rPr>
            </w:pPr>
            <w:r>
              <w:rPr>
                <w:rFonts w:hint="eastAsia"/>
                <w:color w:val="auto"/>
                <w:highlight w:val="none"/>
              </w:rPr>
              <w:t>法定代表人 和 被授权投标代表身份证复印件</w:t>
            </w:r>
          </w:p>
          <w:p w14:paraId="49CEAAFA">
            <w:pPr>
              <w:pStyle w:val="17"/>
              <w:shd w:val="clear"/>
              <w:rPr>
                <w:color w:val="auto"/>
                <w:highlight w:val="none"/>
              </w:rPr>
            </w:pPr>
          </w:p>
          <w:p w14:paraId="566FA202">
            <w:pPr>
              <w:pStyle w:val="17"/>
              <w:shd w:val="clear"/>
              <w:rPr>
                <w:color w:val="auto"/>
                <w:highlight w:val="none"/>
              </w:rPr>
            </w:pPr>
          </w:p>
          <w:p w14:paraId="0A05A169">
            <w:pPr>
              <w:pStyle w:val="17"/>
              <w:shd w:val="clear"/>
              <w:rPr>
                <w:color w:val="auto"/>
                <w:highlight w:val="none"/>
              </w:rPr>
            </w:pPr>
          </w:p>
        </w:tc>
      </w:tr>
    </w:tbl>
    <w:p w14:paraId="16B02972">
      <w:pPr>
        <w:pStyle w:val="17"/>
        <w:shd w:val="clear"/>
        <w:rPr>
          <w:color w:val="auto"/>
          <w:highlight w:val="none"/>
        </w:rPr>
      </w:pPr>
    </w:p>
    <w:p w14:paraId="2866C9DF">
      <w:pPr>
        <w:shd w:val="clear"/>
        <w:ind w:firstLine="420" w:firstLineChars="200"/>
        <w:rPr>
          <w:color w:val="auto"/>
          <w:highlight w:val="none"/>
        </w:rPr>
      </w:pPr>
      <w:r>
        <w:rPr>
          <w:rFonts w:hint="eastAsia"/>
          <w:color w:val="auto"/>
          <w:highlight w:val="none"/>
          <w:lang w:eastAsia="zh-CN"/>
        </w:rPr>
        <w:t>投标人</w:t>
      </w:r>
      <w:r>
        <w:rPr>
          <w:rFonts w:hint="eastAsia"/>
          <w:color w:val="auto"/>
          <w:highlight w:val="none"/>
        </w:rPr>
        <w:t>名称（公章）：________________</w:t>
      </w:r>
    </w:p>
    <w:p w14:paraId="70D62ECA">
      <w:pPr>
        <w:shd w:val="clear"/>
        <w:ind w:firstLine="420" w:firstLineChars="200"/>
        <w:rPr>
          <w:color w:val="auto"/>
          <w:highlight w:val="none"/>
        </w:rPr>
      </w:pPr>
      <w:r>
        <w:rPr>
          <w:rFonts w:hint="eastAsia"/>
          <w:color w:val="auto"/>
          <w:highlight w:val="none"/>
        </w:rPr>
        <w:t>法定代表人（签字或签章）：________________</w:t>
      </w:r>
    </w:p>
    <w:p w14:paraId="0EED4B4B">
      <w:pPr>
        <w:shd w:val="clear"/>
        <w:ind w:firstLine="420" w:firstLineChars="200"/>
        <w:rPr>
          <w:color w:val="auto"/>
          <w:highlight w:val="none"/>
        </w:rPr>
      </w:pPr>
      <w:r>
        <w:rPr>
          <w:rFonts w:hint="eastAsia"/>
          <w:color w:val="auto"/>
          <w:highlight w:val="none"/>
        </w:rPr>
        <w:t>被授权投标代表（签字）：________________</w:t>
      </w:r>
    </w:p>
    <w:p w14:paraId="0707307F">
      <w:pPr>
        <w:shd w:val="clear"/>
        <w:ind w:firstLine="420" w:firstLineChars="200"/>
        <w:rPr>
          <w:color w:val="auto"/>
          <w:highlight w:val="none"/>
        </w:rPr>
      </w:pPr>
      <w:r>
        <w:rPr>
          <w:rFonts w:hint="eastAsia"/>
          <w:color w:val="auto"/>
          <w:highlight w:val="none"/>
        </w:rPr>
        <w:t>被授权投标代表联系电话：____________</w:t>
      </w:r>
    </w:p>
    <w:p w14:paraId="3E19AA0C">
      <w:pPr>
        <w:shd w:val="clear"/>
        <w:ind w:firstLine="420" w:firstLineChars="200"/>
        <w:rPr>
          <w:color w:val="auto"/>
          <w:highlight w:val="none"/>
        </w:rPr>
      </w:pPr>
      <w:r>
        <w:rPr>
          <w:rFonts w:hint="eastAsia"/>
          <w:color w:val="auto"/>
          <w:highlight w:val="none"/>
        </w:rPr>
        <w:t>日期：____________</w:t>
      </w:r>
    </w:p>
    <w:p w14:paraId="6BD0EB77">
      <w:pPr>
        <w:shd w:val="clear"/>
        <w:rPr>
          <w:i/>
          <w:iCs/>
          <w:color w:val="auto"/>
          <w:highlight w:val="none"/>
        </w:rPr>
      </w:pPr>
      <w:r>
        <w:rPr>
          <w:color w:val="auto"/>
          <w:highlight w:val="none"/>
        </w:rPr>
        <w:t>特别说明：</w:t>
      </w:r>
    </w:p>
    <w:p w14:paraId="658F4A35">
      <w:pPr>
        <w:shd w:val="clear"/>
        <w:ind w:firstLine="420" w:firstLineChars="200"/>
        <w:rPr>
          <w:rFonts w:ascii="宋体" w:hAnsi="宋体" w:cs="宋体"/>
          <w:color w:val="auto"/>
          <w:highlight w:val="none"/>
        </w:rPr>
      </w:pPr>
      <w:r>
        <w:rPr>
          <w:color w:val="auto"/>
          <w:highlight w:val="none"/>
        </w:rPr>
        <w:t>1.</w:t>
      </w:r>
      <w:r>
        <w:rPr>
          <w:rFonts w:hint="eastAsia"/>
          <w:color w:val="auto"/>
          <w:highlight w:val="none"/>
          <w:lang w:eastAsia="zh-CN"/>
        </w:rPr>
        <w:t>投标人</w:t>
      </w:r>
      <w:r>
        <w:rPr>
          <w:color w:val="auto"/>
          <w:highlight w:val="none"/>
        </w:rPr>
        <w:t>如由被授权投标代表参与投标活动的，须同时提供《法定代表人授权委托书》和被授权投标代表身份证复印件。《法定代表人授权委托书》应当按本格式要求加盖与</w:t>
      </w:r>
      <w:r>
        <w:rPr>
          <w:rFonts w:hint="eastAsia"/>
          <w:color w:val="auto"/>
          <w:highlight w:val="none"/>
          <w:lang w:eastAsia="zh-CN"/>
        </w:rPr>
        <w:t>投标人</w:t>
      </w:r>
      <w:r>
        <w:rPr>
          <w:color w:val="auto"/>
          <w:highlight w:val="none"/>
        </w:rPr>
        <w:t>名称全称一致的标准公章，并签署法定代表人或被授权投标代表的全名或加盖名章。</w:t>
      </w:r>
    </w:p>
    <w:p w14:paraId="688C609C">
      <w:pPr>
        <w:shd w:val="clear"/>
        <w:jc w:val="center"/>
        <w:rPr>
          <w:rFonts w:ascii="宋体" w:hAnsi="宋体" w:cs="宋体"/>
          <w:b/>
          <w:color w:val="auto"/>
          <w:sz w:val="28"/>
          <w:highlight w:val="none"/>
        </w:rPr>
      </w:pPr>
      <w:r>
        <w:rPr>
          <w:rFonts w:ascii="宋体" w:hAnsi="宋体" w:cs="宋体"/>
          <w:color w:val="auto"/>
          <w:sz w:val="36"/>
          <w:szCs w:val="36"/>
          <w:highlight w:val="none"/>
        </w:rPr>
        <w:br w:type="page"/>
      </w:r>
      <w:r>
        <w:rPr>
          <w:rFonts w:hint="eastAsia" w:ascii="宋体" w:hAnsi="宋体" w:cs="宋体"/>
          <w:b/>
          <w:color w:val="auto"/>
          <w:sz w:val="28"/>
          <w:highlight w:val="none"/>
        </w:rPr>
        <w:t>1-2法定代表人身份证明复印件</w:t>
      </w:r>
    </w:p>
    <w:p w14:paraId="3AB41D5A">
      <w:pPr>
        <w:shd w:val="clear"/>
        <w:jc w:val="center"/>
        <w:rPr>
          <w:color w:val="auto"/>
          <w:highlight w:val="none"/>
        </w:rPr>
      </w:pPr>
      <w:r>
        <w:rPr>
          <w:color w:val="auto"/>
          <w:highlight w:val="none"/>
        </w:rPr>
        <w:t>(适用于法定代表人参加投标)</w:t>
      </w:r>
    </w:p>
    <w:p w14:paraId="5139E51B">
      <w:pPr>
        <w:shd w:val="clear"/>
        <w:rPr>
          <w:color w:val="auto"/>
          <w:highlight w:val="none"/>
        </w:rPr>
      </w:pPr>
    </w:p>
    <w:tbl>
      <w:tblPr>
        <w:tblStyle w:val="27"/>
        <w:tblW w:w="7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9"/>
      </w:tblGrid>
      <w:tr w14:paraId="45958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9" w:type="dxa"/>
            <w:noWrap/>
            <w:vAlign w:val="center"/>
          </w:tcPr>
          <w:p w14:paraId="166530C2">
            <w:pPr>
              <w:pStyle w:val="17"/>
              <w:shd w:val="clear"/>
              <w:rPr>
                <w:color w:val="auto"/>
                <w:highlight w:val="none"/>
              </w:rPr>
            </w:pPr>
          </w:p>
          <w:p w14:paraId="09D05723">
            <w:pPr>
              <w:pStyle w:val="17"/>
              <w:shd w:val="clear"/>
              <w:rPr>
                <w:color w:val="auto"/>
                <w:highlight w:val="none"/>
              </w:rPr>
            </w:pPr>
          </w:p>
          <w:p w14:paraId="3E13C1A4">
            <w:pPr>
              <w:pStyle w:val="17"/>
              <w:shd w:val="clear"/>
              <w:rPr>
                <w:color w:val="auto"/>
                <w:highlight w:val="none"/>
              </w:rPr>
            </w:pPr>
          </w:p>
          <w:p w14:paraId="41F29E5C">
            <w:pPr>
              <w:pStyle w:val="17"/>
              <w:shd w:val="clear"/>
              <w:rPr>
                <w:color w:val="auto"/>
                <w:highlight w:val="none"/>
              </w:rPr>
            </w:pPr>
          </w:p>
          <w:p w14:paraId="64EBABE3">
            <w:pPr>
              <w:pStyle w:val="17"/>
              <w:shd w:val="clear"/>
              <w:jc w:val="center"/>
              <w:rPr>
                <w:color w:val="auto"/>
                <w:highlight w:val="none"/>
              </w:rPr>
            </w:pPr>
            <w:r>
              <w:rPr>
                <w:color w:val="auto"/>
                <w:highlight w:val="none"/>
              </w:rPr>
              <w:t>法定代表人身份证明复印件</w:t>
            </w:r>
          </w:p>
          <w:p w14:paraId="7CF5B2B0">
            <w:pPr>
              <w:pStyle w:val="17"/>
              <w:shd w:val="clear"/>
              <w:rPr>
                <w:color w:val="auto"/>
                <w:highlight w:val="none"/>
              </w:rPr>
            </w:pPr>
          </w:p>
          <w:p w14:paraId="38E3520E">
            <w:pPr>
              <w:pStyle w:val="17"/>
              <w:shd w:val="clear"/>
              <w:rPr>
                <w:color w:val="auto"/>
                <w:highlight w:val="none"/>
              </w:rPr>
            </w:pPr>
          </w:p>
          <w:p w14:paraId="584E8AD0">
            <w:pPr>
              <w:pStyle w:val="17"/>
              <w:shd w:val="clear"/>
              <w:rPr>
                <w:color w:val="auto"/>
                <w:highlight w:val="none"/>
              </w:rPr>
            </w:pPr>
          </w:p>
          <w:p w14:paraId="39FBF1B6">
            <w:pPr>
              <w:pStyle w:val="17"/>
              <w:shd w:val="clear"/>
              <w:rPr>
                <w:color w:val="auto"/>
                <w:highlight w:val="none"/>
              </w:rPr>
            </w:pPr>
          </w:p>
        </w:tc>
      </w:tr>
    </w:tbl>
    <w:p w14:paraId="07558F4D">
      <w:pPr>
        <w:shd w:val="clear"/>
        <w:rPr>
          <w:color w:val="auto"/>
          <w:highlight w:val="none"/>
        </w:rPr>
      </w:pPr>
    </w:p>
    <w:p w14:paraId="0E7C9501">
      <w:pPr>
        <w:shd w:val="clear"/>
        <w:rPr>
          <w:i/>
          <w:iCs/>
          <w:color w:val="auto"/>
          <w:highlight w:val="none"/>
        </w:rPr>
      </w:pPr>
      <w:r>
        <w:rPr>
          <w:rFonts w:hint="eastAsia"/>
          <w:color w:val="auto"/>
          <w:highlight w:val="none"/>
        </w:rPr>
        <w:t>特别说明：</w:t>
      </w:r>
    </w:p>
    <w:p w14:paraId="6AE45E13">
      <w:pPr>
        <w:shd w:val="clear"/>
        <w:rPr>
          <w:color w:val="auto"/>
          <w:highlight w:val="none"/>
        </w:rPr>
      </w:pPr>
      <w:r>
        <w:rPr>
          <w:rFonts w:hint="eastAsia"/>
          <w:color w:val="auto"/>
          <w:highlight w:val="none"/>
          <w:lang w:eastAsia="zh-CN"/>
        </w:rPr>
        <w:t>投标人</w:t>
      </w:r>
      <w:r>
        <w:rPr>
          <w:rFonts w:hint="eastAsia"/>
          <w:color w:val="auto"/>
          <w:highlight w:val="none"/>
        </w:rPr>
        <w:t>如由法定代表人作为投标代表参与投标活动的，仅须提供法定代表人身份证复印件。</w:t>
      </w:r>
    </w:p>
    <w:p w14:paraId="51BC8154">
      <w:pPr>
        <w:pStyle w:val="17"/>
        <w:shd w:val="clear"/>
        <w:rPr>
          <w:color w:val="auto"/>
          <w:highlight w:val="none"/>
        </w:rPr>
      </w:pPr>
    </w:p>
    <w:p w14:paraId="1B7A5609">
      <w:pPr>
        <w:shd w:val="clear"/>
        <w:rPr>
          <w:color w:val="auto"/>
          <w:highlight w:val="none"/>
        </w:rPr>
      </w:pPr>
      <w:r>
        <w:rPr>
          <w:color w:val="auto"/>
          <w:highlight w:val="none"/>
        </w:rPr>
        <w:br w:type="page"/>
      </w:r>
    </w:p>
    <w:p w14:paraId="1E04228C">
      <w:pPr>
        <w:shd w:val="clear"/>
        <w:jc w:val="center"/>
        <w:rPr>
          <w:rFonts w:ascii="宋体" w:hAnsi="宋体" w:cs="宋体"/>
          <w:b/>
          <w:color w:val="auto"/>
          <w:sz w:val="28"/>
          <w:highlight w:val="none"/>
        </w:rPr>
      </w:pPr>
      <w:r>
        <w:rPr>
          <w:rFonts w:hint="eastAsia" w:ascii="宋体" w:hAnsi="宋体" w:cs="宋体"/>
          <w:b/>
          <w:color w:val="auto"/>
          <w:sz w:val="28"/>
          <w:highlight w:val="none"/>
        </w:rPr>
        <w:t>1-3自然人授权委托书</w:t>
      </w:r>
    </w:p>
    <w:p w14:paraId="1304F0F6">
      <w:pPr>
        <w:shd w:val="clear"/>
        <w:rPr>
          <w:color w:val="auto"/>
          <w:highlight w:val="none"/>
        </w:rPr>
      </w:pPr>
      <w:r>
        <w:rPr>
          <w:color w:val="auto"/>
          <w:highlight w:val="none"/>
        </w:rPr>
        <w:t>(</w:t>
      </w:r>
      <w:r>
        <w:rPr>
          <w:rFonts w:hint="eastAsia"/>
          <w:color w:val="auto"/>
          <w:highlight w:val="none"/>
        </w:rPr>
        <w:t>适用于自然人投标</w:t>
      </w:r>
      <w:r>
        <w:rPr>
          <w:color w:val="auto"/>
          <w:highlight w:val="none"/>
        </w:rPr>
        <w:t>)</w:t>
      </w:r>
    </w:p>
    <w:p w14:paraId="1A5FA299">
      <w:pPr>
        <w:pStyle w:val="17"/>
        <w:shd w:val="clear"/>
        <w:rPr>
          <w:color w:val="auto"/>
          <w:highlight w:val="none"/>
        </w:rPr>
      </w:pPr>
    </w:p>
    <w:p w14:paraId="1E0D4715">
      <w:pPr>
        <w:shd w:val="clear"/>
        <w:rPr>
          <w:color w:val="auto"/>
          <w:highlight w:val="none"/>
        </w:rPr>
      </w:pPr>
      <w:r>
        <w:rPr>
          <w:color w:val="auto"/>
          <w:highlight w:val="none"/>
        </w:rPr>
        <w:t>致____________(采购人或采购代理机构)：</w:t>
      </w:r>
    </w:p>
    <w:p w14:paraId="1F65E06D">
      <w:pPr>
        <w:shd w:val="clear"/>
        <w:rPr>
          <w:color w:val="auto"/>
          <w:highlight w:val="none"/>
        </w:rPr>
      </w:pPr>
      <w:r>
        <w:rPr>
          <w:rFonts w:hint="eastAsia"/>
          <w:color w:val="auto"/>
          <w:highlight w:val="none"/>
        </w:rPr>
        <w:t>本授权书声明：</w:t>
      </w:r>
      <w:r>
        <w:rPr>
          <w:color w:val="auto"/>
          <w:highlight w:val="none"/>
        </w:rPr>
        <w:t>我________(姓名</w:t>
      </w:r>
      <w:r>
        <w:rPr>
          <w:rFonts w:hint="eastAsia"/>
          <w:color w:val="auto"/>
          <w:highlight w:val="none"/>
        </w:rPr>
        <w:t>、</w:t>
      </w:r>
      <w:r>
        <w:rPr>
          <w:color w:val="auto"/>
          <w:highlight w:val="none"/>
        </w:rPr>
        <w:t>身份证号码)系自然人，现授权委托____________(姓名</w:t>
      </w:r>
      <w:r>
        <w:rPr>
          <w:rFonts w:hint="eastAsia"/>
          <w:color w:val="auto"/>
          <w:highlight w:val="none"/>
        </w:rPr>
        <w:t>、</w:t>
      </w:r>
      <w:r>
        <w:rPr>
          <w:color w:val="auto"/>
          <w:highlight w:val="none"/>
        </w:rPr>
        <w:t>身份证号码)以本人名义参加</w:t>
      </w:r>
      <w:r>
        <w:rPr>
          <w:rFonts w:hint="eastAsia"/>
          <w:color w:val="auto"/>
          <w:highlight w:val="none"/>
        </w:rPr>
        <w:t>《          项目》（采购人项目编号：</w:t>
      </w:r>
      <w:r>
        <w:rPr>
          <w:rFonts w:hint="eastAsia"/>
          <w:color w:val="auto"/>
          <w:highlight w:val="none"/>
          <w:lang w:eastAsia="zh-CN"/>
        </w:rPr>
        <w:t>JS2026-DLGK-C0214-B00</w:t>
      </w:r>
      <w:r>
        <w:rPr>
          <w:rFonts w:hint="eastAsia"/>
          <w:color w:val="auto"/>
          <w:highlight w:val="none"/>
          <w:lang w:val="en-US" w:eastAsia="zh-CN"/>
        </w:rPr>
        <w:t>,代理机构项目编号</w:t>
      </w:r>
      <w:r>
        <w:rPr>
          <w:rFonts w:hint="eastAsia"/>
          <w:color w:val="auto"/>
          <w:highlight w:val="none"/>
        </w:rPr>
        <w:t>：</w:t>
      </w:r>
      <w:r>
        <w:rPr>
          <w:rFonts w:hint="eastAsia"/>
          <w:color w:val="auto"/>
          <w:highlight w:val="none"/>
          <w:u w:val="single"/>
          <w:lang w:eastAsia="zh-CN"/>
        </w:rPr>
        <w:t>JSHZ[2026]0809号</w:t>
      </w:r>
      <w:r>
        <w:rPr>
          <w:rFonts w:hint="eastAsia"/>
          <w:color w:val="auto"/>
          <w:highlight w:val="none"/>
        </w:rPr>
        <w:t>）</w:t>
      </w:r>
      <w:r>
        <w:rPr>
          <w:color w:val="auto"/>
          <w:highlight w:val="none"/>
        </w:rPr>
        <w:t>的投标活动，并代表本人全权办理针对上述项目的投</w:t>
      </w:r>
      <w:r>
        <w:rPr>
          <w:rFonts w:hint="eastAsia"/>
          <w:color w:val="auto"/>
          <w:highlight w:val="none"/>
        </w:rPr>
        <w:t>标、签约等具体事务和签署相关文件。</w:t>
      </w:r>
    </w:p>
    <w:p w14:paraId="49ED5A55">
      <w:pPr>
        <w:shd w:val="clear"/>
        <w:rPr>
          <w:color w:val="auto"/>
          <w:highlight w:val="none"/>
        </w:rPr>
      </w:pPr>
      <w:r>
        <w:rPr>
          <w:rFonts w:hint="eastAsia"/>
          <w:color w:val="auto"/>
          <w:highlight w:val="none"/>
        </w:rPr>
        <w:t>本人对被授权人的签字事项负全部责任。</w:t>
      </w:r>
    </w:p>
    <w:p w14:paraId="7462F9E7">
      <w:pPr>
        <w:shd w:val="clear"/>
        <w:rPr>
          <w:color w:val="auto"/>
          <w:highlight w:val="none"/>
        </w:rPr>
      </w:pPr>
      <w:r>
        <w:rPr>
          <w:rFonts w:hint="eastAsia"/>
          <w:color w:val="auto"/>
          <w:highlight w:val="none"/>
        </w:rPr>
        <w:t>授权委托代理期限：从　　年　　月　　日起至　　年　　月　　日止。</w:t>
      </w:r>
    </w:p>
    <w:p w14:paraId="2C033C30">
      <w:pPr>
        <w:shd w:val="clear"/>
        <w:rPr>
          <w:color w:val="auto"/>
          <w:highlight w:val="none"/>
        </w:rPr>
      </w:pPr>
    </w:p>
    <w:p w14:paraId="114B45BB">
      <w:pPr>
        <w:shd w:val="clear"/>
        <w:rPr>
          <w:color w:val="auto"/>
          <w:highlight w:val="none"/>
        </w:rPr>
      </w:pPr>
      <w:r>
        <w:rPr>
          <w:rFonts w:hint="eastAsia"/>
          <w:color w:val="auto"/>
          <w:highlight w:val="none"/>
        </w:rPr>
        <w:t>代理人无转委托权，特此委托。</w:t>
      </w:r>
    </w:p>
    <w:p w14:paraId="70023B60">
      <w:pPr>
        <w:shd w:val="clear"/>
        <w:rPr>
          <w:color w:val="auto"/>
          <w:highlight w:val="none"/>
        </w:rPr>
      </w:pPr>
    </w:p>
    <w:p w14:paraId="33404115">
      <w:pPr>
        <w:shd w:val="clear"/>
        <w:rPr>
          <w:color w:val="auto"/>
          <w:highlight w:val="none"/>
        </w:rPr>
      </w:pPr>
      <w:r>
        <w:rPr>
          <w:rFonts w:hint="eastAsia"/>
          <w:color w:val="auto"/>
          <w:highlight w:val="none"/>
        </w:rPr>
        <w:t>我已在下面签字，以资证明。</w:t>
      </w:r>
    </w:p>
    <w:p w14:paraId="1149BC72">
      <w:pPr>
        <w:shd w:val="clear"/>
        <w:rPr>
          <w:color w:val="auto"/>
          <w:highlight w:val="none"/>
        </w:rPr>
      </w:pPr>
    </w:p>
    <w:p w14:paraId="61C8C900">
      <w:pPr>
        <w:shd w:val="clear"/>
        <w:rPr>
          <w:color w:val="auto"/>
          <w:highlight w:val="none"/>
        </w:rPr>
      </w:pPr>
      <w:r>
        <w:rPr>
          <w:rFonts w:hint="eastAsia"/>
          <w:color w:val="auto"/>
          <w:highlight w:val="none"/>
        </w:rPr>
        <w:t>自然人签字并在签名处加盖食指指印：　　　　年　　月　　日</w:t>
      </w:r>
    </w:p>
    <w:p w14:paraId="50FAECA6">
      <w:pPr>
        <w:pStyle w:val="17"/>
        <w:shd w:val="clear"/>
        <w:rPr>
          <w:color w:val="auto"/>
          <w:highlight w:val="none"/>
        </w:rPr>
      </w:pPr>
    </w:p>
    <w:p w14:paraId="546739A0">
      <w:pPr>
        <w:shd w:val="clear"/>
        <w:rPr>
          <w:color w:val="auto"/>
          <w:highlight w:val="none"/>
        </w:rPr>
      </w:pPr>
    </w:p>
    <w:p w14:paraId="78FA206A">
      <w:pPr>
        <w:shd w:val="clear"/>
        <w:rPr>
          <w:i/>
          <w:iCs/>
          <w:color w:val="auto"/>
          <w:highlight w:val="none"/>
        </w:rPr>
      </w:pPr>
      <w:r>
        <w:rPr>
          <w:rFonts w:hint="eastAsia"/>
          <w:color w:val="auto"/>
          <w:highlight w:val="none"/>
        </w:rPr>
        <w:t>特别说明：</w:t>
      </w:r>
    </w:p>
    <w:p w14:paraId="1AF1F44D">
      <w:pPr>
        <w:shd w:val="clear"/>
        <w:rPr>
          <w:color w:val="auto"/>
          <w:highlight w:val="none"/>
        </w:rPr>
      </w:pPr>
      <w:r>
        <w:rPr>
          <w:rFonts w:hint="eastAsia"/>
          <w:color w:val="auto"/>
          <w:highlight w:val="none"/>
          <w:lang w:eastAsia="zh-CN"/>
        </w:rPr>
        <w:t>投标人</w:t>
      </w:r>
      <w:r>
        <w:rPr>
          <w:rFonts w:hint="eastAsia"/>
          <w:color w:val="auto"/>
          <w:highlight w:val="none"/>
        </w:rPr>
        <w:t>如由</w:t>
      </w:r>
      <w:r>
        <w:rPr>
          <w:rFonts w:hint="eastAsia"/>
          <w:b/>
          <w:bCs/>
          <w:color w:val="auto"/>
          <w:highlight w:val="none"/>
        </w:rPr>
        <w:t>被授权人参与投标活动的，</w:t>
      </w:r>
      <w:r>
        <w:rPr>
          <w:rFonts w:hint="eastAsia"/>
          <w:color w:val="auto"/>
          <w:highlight w:val="none"/>
        </w:rPr>
        <w:t>须提供《自然人授权委托书》，《自然人授权委托书》应当按本格式要求签字并由自然人在签名处加盖食指指印</w:t>
      </w:r>
      <w:r>
        <w:rPr>
          <w:rFonts w:hint="eastAsia"/>
          <w:color w:val="auto"/>
          <w:szCs w:val="21"/>
          <w:highlight w:val="none"/>
        </w:rPr>
        <w:t>。</w:t>
      </w:r>
    </w:p>
    <w:p w14:paraId="516AA001">
      <w:pPr>
        <w:pStyle w:val="17"/>
        <w:shd w:val="clear"/>
        <w:rPr>
          <w:color w:val="auto"/>
          <w:highlight w:val="none"/>
        </w:rPr>
      </w:pPr>
    </w:p>
    <w:p w14:paraId="29CC1333">
      <w:pPr>
        <w:pStyle w:val="17"/>
        <w:shd w:val="clear"/>
        <w:rPr>
          <w:rFonts w:hAnsi="宋体" w:cs="宋体"/>
          <w:color w:val="auto"/>
          <w:sz w:val="36"/>
          <w:szCs w:val="36"/>
          <w:highlight w:val="none"/>
        </w:rPr>
      </w:pPr>
      <w:r>
        <w:rPr>
          <w:color w:val="auto"/>
          <w:highlight w:val="none"/>
        </w:rPr>
        <w:br w:type="page"/>
      </w:r>
    </w:p>
    <w:p w14:paraId="7C5CD1A2">
      <w:pPr>
        <w:pStyle w:val="8"/>
        <w:shd w:val="clear"/>
        <w:jc w:val="center"/>
        <w:rPr>
          <w:color w:val="auto"/>
          <w:highlight w:val="none"/>
        </w:rPr>
      </w:pPr>
      <w:bookmarkStart w:id="93" w:name="_Toc3217"/>
      <w:r>
        <w:rPr>
          <w:rFonts w:hint="eastAsia"/>
          <w:color w:val="auto"/>
          <w:highlight w:val="none"/>
        </w:rPr>
        <w:t>格式2  投标函</w:t>
      </w:r>
      <w:bookmarkEnd w:id="93"/>
    </w:p>
    <w:p w14:paraId="66ED21F1">
      <w:pPr>
        <w:shd w:val="clear"/>
        <w:rPr>
          <w:color w:val="auto"/>
          <w:highlight w:val="none"/>
        </w:rPr>
      </w:pPr>
      <w:r>
        <w:rPr>
          <w:rFonts w:hint="eastAsia"/>
          <w:color w:val="auto"/>
          <w:highlight w:val="none"/>
        </w:rPr>
        <w:t>致________（采购人或采购代理机构）：</w:t>
      </w:r>
    </w:p>
    <w:p w14:paraId="623B9D95">
      <w:pPr>
        <w:shd w:val="clear"/>
        <w:rPr>
          <w:color w:val="auto"/>
          <w:highlight w:val="none"/>
        </w:rPr>
      </w:pPr>
      <w:r>
        <w:rPr>
          <w:rFonts w:hint="eastAsia"/>
          <w:color w:val="auto"/>
          <w:highlight w:val="none"/>
        </w:rPr>
        <w:t>根据</w:t>
      </w:r>
      <w:r>
        <w:rPr>
          <w:rFonts w:hint="eastAsia"/>
          <w:color w:val="auto"/>
          <w:highlight w:val="none"/>
          <w:u w:val="single"/>
          <w:lang w:val="en" w:eastAsia="zh-CN"/>
        </w:rPr>
        <w:t>国家税务总局沭阳县税务局2026年食堂食材配送服务采购项目</w:t>
      </w:r>
      <w:r>
        <w:rPr>
          <w:rFonts w:hint="eastAsia"/>
          <w:color w:val="auto"/>
          <w:highlight w:val="none"/>
        </w:rPr>
        <w:t>（项目名称）（采购人项目编号：</w:t>
      </w:r>
      <w:r>
        <w:rPr>
          <w:rFonts w:hint="eastAsia"/>
          <w:color w:val="auto"/>
          <w:highlight w:val="none"/>
          <w:lang w:eastAsia="zh-CN"/>
        </w:rPr>
        <w:t>JS2026-DLGK-C0214-B00</w:t>
      </w:r>
      <w:r>
        <w:rPr>
          <w:rFonts w:hint="eastAsia"/>
          <w:color w:val="auto"/>
          <w:highlight w:val="none"/>
          <w:lang w:val="en-US" w:eastAsia="zh-CN"/>
        </w:rPr>
        <w:t>,代理机构项目编号</w:t>
      </w:r>
      <w:r>
        <w:rPr>
          <w:rFonts w:hint="eastAsia"/>
          <w:color w:val="auto"/>
          <w:highlight w:val="none"/>
        </w:rPr>
        <w:t>：</w:t>
      </w:r>
      <w:r>
        <w:rPr>
          <w:rFonts w:hint="eastAsia"/>
          <w:color w:val="auto"/>
          <w:highlight w:val="none"/>
          <w:u w:val="single"/>
          <w:lang w:eastAsia="zh-CN"/>
        </w:rPr>
        <w:t>JSHZ[2026]0809号</w:t>
      </w:r>
      <w:r>
        <w:rPr>
          <w:rFonts w:hint="eastAsia"/>
          <w:color w:val="auto"/>
          <w:highlight w:val="none"/>
        </w:rPr>
        <w:t>）的招标公告，______（姓名、职务）代表</w:t>
      </w:r>
      <w:r>
        <w:rPr>
          <w:rFonts w:hint="eastAsia"/>
          <w:color w:val="auto"/>
          <w:highlight w:val="none"/>
          <w:lang w:eastAsia="zh-CN"/>
        </w:rPr>
        <w:t>投标人</w:t>
      </w:r>
      <w:r>
        <w:rPr>
          <w:rFonts w:hint="eastAsia"/>
          <w:color w:val="auto"/>
          <w:highlight w:val="none"/>
        </w:rPr>
        <w:t>______（</w:t>
      </w:r>
      <w:r>
        <w:rPr>
          <w:rFonts w:hint="eastAsia"/>
          <w:color w:val="auto"/>
          <w:highlight w:val="none"/>
          <w:lang w:eastAsia="zh-CN"/>
        </w:rPr>
        <w:t>投标人</w:t>
      </w:r>
      <w:r>
        <w:rPr>
          <w:rFonts w:hint="eastAsia"/>
          <w:color w:val="auto"/>
          <w:highlight w:val="none"/>
        </w:rPr>
        <w:t>名称、地址）参加项目招标的有关活动。据此函，作如下承诺：</w:t>
      </w:r>
    </w:p>
    <w:p w14:paraId="562E2AFB">
      <w:pPr>
        <w:shd w:val="clear"/>
        <w:rPr>
          <w:color w:val="auto"/>
          <w:highlight w:val="none"/>
        </w:rPr>
      </w:pPr>
      <w:r>
        <w:rPr>
          <w:rFonts w:hint="eastAsia"/>
          <w:color w:val="auto"/>
          <w:highlight w:val="none"/>
        </w:rPr>
        <w:t>1.同意在本项目招标文件中规定的开标日起</w:t>
      </w:r>
      <w:r>
        <w:rPr>
          <w:rFonts w:hint="eastAsia"/>
          <w:color w:val="auto"/>
          <w:highlight w:val="none"/>
          <w:u w:val="none"/>
        </w:rPr>
        <w:t>60个</w:t>
      </w:r>
      <w:r>
        <w:rPr>
          <w:color w:val="auto"/>
          <w:highlight w:val="none"/>
        </w:rPr>
        <w:t>日历日</w:t>
      </w:r>
      <w:r>
        <w:rPr>
          <w:rFonts w:hint="eastAsia"/>
          <w:color w:val="auto"/>
          <w:highlight w:val="none"/>
        </w:rPr>
        <w:t>遵守本投标文件中的承诺，且在期满之前均具有约束力。</w:t>
      </w:r>
    </w:p>
    <w:p w14:paraId="7C18D555">
      <w:pPr>
        <w:shd w:val="clear"/>
        <w:rPr>
          <w:color w:val="auto"/>
          <w:highlight w:val="none"/>
        </w:rPr>
      </w:pPr>
      <w:r>
        <w:rPr>
          <w:rFonts w:hint="eastAsia"/>
          <w:color w:val="auto"/>
          <w:highlight w:val="none"/>
        </w:rPr>
        <w:t>2.具备政府采购相关法律法规规定的参加政府采购活动的</w:t>
      </w:r>
      <w:r>
        <w:rPr>
          <w:rFonts w:hint="eastAsia"/>
          <w:color w:val="auto"/>
          <w:highlight w:val="none"/>
          <w:lang w:eastAsia="zh-CN"/>
        </w:rPr>
        <w:t>投标人</w:t>
      </w:r>
      <w:r>
        <w:rPr>
          <w:rFonts w:hint="eastAsia"/>
          <w:color w:val="auto"/>
          <w:highlight w:val="none"/>
        </w:rPr>
        <w:t>应当具备的条件：</w:t>
      </w:r>
    </w:p>
    <w:p w14:paraId="45EBD6F0">
      <w:pPr>
        <w:shd w:val="clear"/>
        <w:rPr>
          <w:color w:val="auto"/>
          <w:highlight w:val="none"/>
        </w:rPr>
      </w:pPr>
      <w:r>
        <w:rPr>
          <w:rFonts w:hint="eastAsia"/>
          <w:color w:val="auto"/>
          <w:highlight w:val="none"/>
        </w:rPr>
        <w:t>（1）具有独立承担民事责任的能力；</w:t>
      </w:r>
    </w:p>
    <w:p w14:paraId="25A91BED">
      <w:pPr>
        <w:shd w:val="clear"/>
        <w:rPr>
          <w:color w:val="auto"/>
          <w:highlight w:val="none"/>
        </w:rPr>
      </w:pPr>
      <w:r>
        <w:rPr>
          <w:rFonts w:hint="eastAsia"/>
          <w:color w:val="auto"/>
          <w:highlight w:val="none"/>
        </w:rPr>
        <w:t>（2）具有良好的商业信誉和健全的财务会计制度；</w:t>
      </w:r>
    </w:p>
    <w:p w14:paraId="220C5044">
      <w:pPr>
        <w:shd w:val="clear"/>
        <w:rPr>
          <w:color w:val="auto"/>
          <w:highlight w:val="none"/>
        </w:rPr>
      </w:pPr>
      <w:r>
        <w:rPr>
          <w:rFonts w:hint="eastAsia"/>
          <w:color w:val="auto"/>
          <w:highlight w:val="none"/>
        </w:rPr>
        <w:t>（3）具有履行合同所必需的设备和专业技术能力；</w:t>
      </w:r>
    </w:p>
    <w:p w14:paraId="1983A28D">
      <w:pPr>
        <w:shd w:val="clear"/>
        <w:rPr>
          <w:color w:val="auto"/>
          <w:highlight w:val="none"/>
        </w:rPr>
      </w:pPr>
      <w:r>
        <w:rPr>
          <w:rFonts w:hint="eastAsia"/>
          <w:color w:val="auto"/>
          <w:highlight w:val="none"/>
        </w:rPr>
        <w:t>（4）有依法缴纳税收和社会保障资金的良好记录；</w:t>
      </w:r>
    </w:p>
    <w:p w14:paraId="23B09CA3">
      <w:pPr>
        <w:shd w:val="clear"/>
        <w:rPr>
          <w:color w:val="auto"/>
          <w:highlight w:val="none"/>
        </w:rPr>
      </w:pPr>
      <w:r>
        <w:rPr>
          <w:rFonts w:hint="eastAsia"/>
          <w:color w:val="auto"/>
          <w:highlight w:val="none"/>
        </w:rPr>
        <w:t>（5）参加此项采购活动前三年内，在经营活动中没有重大违法记录。</w:t>
      </w:r>
    </w:p>
    <w:p w14:paraId="7F0F1FF0">
      <w:pPr>
        <w:shd w:val="clear"/>
        <w:rPr>
          <w:color w:val="auto"/>
          <w:highlight w:val="none"/>
        </w:rPr>
      </w:pPr>
      <w:r>
        <w:rPr>
          <w:rFonts w:hint="eastAsia"/>
          <w:color w:val="auto"/>
          <w:highlight w:val="none"/>
        </w:rPr>
        <w:t xml:space="preserve">（6）法律、行政法规规定的其他条件。 </w:t>
      </w:r>
    </w:p>
    <w:p w14:paraId="6E7BD55D">
      <w:pPr>
        <w:shd w:val="clear"/>
        <w:rPr>
          <w:color w:val="auto"/>
          <w:highlight w:val="none"/>
        </w:rPr>
      </w:pPr>
      <w:r>
        <w:rPr>
          <w:rFonts w:hint="eastAsia"/>
          <w:color w:val="auto"/>
          <w:highlight w:val="none"/>
        </w:rPr>
        <w:t>3.具备本项目招标文件中规定的其他要求和资质条件。</w:t>
      </w:r>
    </w:p>
    <w:p w14:paraId="453657FA">
      <w:pPr>
        <w:shd w:val="clear"/>
        <w:rPr>
          <w:color w:val="auto"/>
          <w:highlight w:val="none"/>
        </w:rPr>
      </w:pPr>
      <w:r>
        <w:rPr>
          <w:rFonts w:hint="eastAsia"/>
          <w:color w:val="auto"/>
          <w:highlight w:val="none"/>
        </w:rPr>
        <w:t>4.提供</w:t>
      </w:r>
      <w:r>
        <w:rPr>
          <w:rFonts w:hint="eastAsia"/>
          <w:color w:val="auto"/>
          <w:highlight w:val="none"/>
          <w:lang w:eastAsia="zh-CN"/>
        </w:rPr>
        <w:t>投标人</w:t>
      </w:r>
      <w:r>
        <w:rPr>
          <w:rFonts w:hint="eastAsia"/>
          <w:color w:val="auto"/>
          <w:highlight w:val="none"/>
        </w:rPr>
        <w:t>须知规定的全部投标文件。</w:t>
      </w:r>
    </w:p>
    <w:p w14:paraId="3CA7E8AA">
      <w:pPr>
        <w:shd w:val="clear"/>
        <w:rPr>
          <w:color w:val="auto"/>
          <w:highlight w:val="none"/>
        </w:rPr>
      </w:pPr>
      <w:r>
        <w:rPr>
          <w:rFonts w:hint="eastAsia"/>
          <w:color w:val="auto"/>
          <w:highlight w:val="none"/>
        </w:rPr>
        <w:t>5.已详细审阅全部招标文件（包括招标文件澄清函），理解</w:t>
      </w:r>
      <w:r>
        <w:rPr>
          <w:rFonts w:hint="eastAsia"/>
          <w:color w:val="auto"/>
          <w:highlight w:val="none"/>
          <w:lang w:eastAsia="zh-CN"/>
        </w:rPr>
        <w:t>投标人</w:t>
      </w:r>
      <w:r>
        <w:rPr>
          <w:rFonts w:hint="eastAsia"/>
          <w:color w:val="auto"/>
          <w:highlight w:val="none"/>
        </w:rPr>
        <w:t>须知的所有条款。</w:t>
      </w:r>
    </w:p>
    <w:p w14:paraId="24CCA130">
      <w:pPr>
        <w:shd w:val="clear"/>
        <w:rPr>
          <w:color w:val="auto"/>
          <w:highlight w:val="none"/>
        </w:rPr>
      </w:pPr>
      <w:r>
        <w:rPr>
          <w:rFonts w:hint="eastAsia"/>
          <w:color w:val="auto"/>
          <w:highlight w:val="none"/>
        </w:rPr>
        <w:t>6.完全理解贵方“最低报价不能作为中标的保证”的规定。</w:t>
      </w:r>
    </w:p>
    <w:p w14:paraId="441D2DA9">
      <w:pPr>
        <w:shd w:val="clear"/>
        <w:rPr>
          <w:color w:val="auto"/>
          <w:highlight w:val="none"/>
        </w:rPr>
      </w:pPr>
      <w:r>
        <w:rPr>
          <w:rFonts w:hint="eastAsia"/>
          <w:color w:val="auto"/>
          <w:highlight w:val="none"/>
        </w:rPr>
        <w:t>7.接受招标文件中全部合同条款，且无任何异议；保证忠实地执行双方所签订的合同，并承担合同规定的责任和义务。</w:t>
      </w:r>
    </w:p>
    <w:p w14:paraId="12106E0F">
      <w:pPr>
        <w:shd w:val="clear"/>
        <w:rPr>
          <w:color w:val="auto"/>
          <w:highlight w:val="none"/>
        </w:rPr>
      </w:pPr>
      <w:r>
        <w:rPr>
          <w:rFonts w:hint="eastAsia"/>
          <w:color w:val="auto"/>
          <w:highlight w:val="none"/>
        </w:rPr>
        <w:t>8.完全满足和响应招标文件中的各项商务和技术要求，若有偏差，已在投标文件中明确说明。</w:t>
      </w:r>
    </w:p>
    <w:p w14:paraId="592D30F8">
      <w:pPr>
        <w:shd w:val="clear"/>
        <w:rPr>
          <w:color w:val="auto"/>
          <w:highlight w:val="none"/>
        </w:rPr>
      </w:pPr>
      <w:r>
        <w:rPr>
          <w:rFonts w:hint="eastAsia"/>
          <w:color w:val="auto"/>
          <w:highlight w:val="none"/>
        </w:rPr>
        <w:t>9.愿意提供任何与投标有关的数据、情况和技术资料等。若贵方需要，愿意提供一切证明材料。</w:t>
      </w:r>
    </w:p>
    <w:p w14:paraId="3A0323CF">
      <w:pPr>
        <w:shd w:val="clear"/>
        <w:rPr>
          <w:color w:val="auto"/>
          <w:highlight w:val="none"/>
        </w:rPr>
      </w:pPr>
      <w:r>
        <w:rPr>
          <w:rFonts w:hint="eastAsia"/>
          <w:color w:val="auto"/>
          <w:highlight w:val="none"/>
        </w:rPr>
        <w:t>10.我方已详细审核全部投标文件、参考资料及有关附件，确认无误。</w:t>
      </w:r>
    </w:p>
    <w:p w14:paraId="2DD7104B">
      <w:pPr>
        <w:shd w:val="clear"/>
        <w:rPr>
          <w:color w:val="auto"/>
          <w:highlight w:val="none"/>
        </w:rPr>
      </w:pPr>
      <w:r>
        <w:rPr>
          <w:rFonts w:hint="eastAsia"/>
          <w:color w:val="auto"/>
          <w:highlight w:val="none"/>
        </w:rPr>
        <w:t>11.对本次招标内容及与本项目有关的知识产权、技术资料、商业秘密及相关信息保密。</w:t>
      </w:r>
    </w:p>
    <w:p w14:paraId="1EF2E331">
      <w:pPr>
        <w:shd w:val="clear"/>
        <w:rPr>
          <w:rFonts w:hint="eastAsia"/>
          <w:color w:val="auto"/>
          <w:highlight w:val="none"/>
          <w:lang w:eastAsia="zh-CN"/>
        </w:rPr>
      </w:pPr>
    </w:p>
    <w:p w14:paraId="7A298768">
      <w:pPr>
        <w:shd w:val="clear"/>
        <w:rPr>
          <w:rFonts w:hint="eastAsia"/>
          <w:color w:val="auto"/>
          <w:highlight w:val="none"/>
          <w:lang w:eastAsia="zh-CN"/>
        </w:rPr>
      </w:pPr>
    </w:p>
    <w:p w14:paraId="076FBB75">
      <w:pPr>
        <w:shd w:val="clear"/>
        <w:rPr>
          <w:rFonts w:hint="eastAsia"/>
          <w:color w:val="auto"/>
          <w:highlight w:val="none"/>
          <w:lang w:eastAsia="zh-CN"/>
        </w:rPr>
      </w:pPr>
    </w:p>
    <w:p w14:paraId="6FBE92B1">
      <w:pPr>
        <w:shd w:val="clear"/>
        <w:rPr>
          <w:color w:val="auto"/>
          <w:highlight w:val="none"/>
        </w:rPr>
      </w:pPr>
      <w:r>
        <w:rPr>
          <w:rFonts w:hint="eastAsia"/>
          <w:color w:val="auto"/>
          <w:highlight w:val="none"/>
          <w:lang w:eastAsia="zh-CN"/>
        </w:rPr>
        <w:t>投标人</w:t>
      </w:r>
      <w:r>
        <w:rPr>
          <w:rFonts w:hint="eastAsia"/>
          <w:color w:val="auto"/>
          <w:highlight w:val="none"/>
        </w:rPr>
        <w:t>名称（公章）：____________</w:t>
      </w:r>
    </w:p>
    <w:p w14:paraId="71415863">
      <w:pPr>
        <w:shd w:val="clear"/>
        <w:rPr>
          <w:color w:val="auto"/>
          <w:highlight w:val="none"/>
        </w:rPr>
      </w:pPr>
      <w:r>
        <w:rPr>
          <w:rFonts w:hint="eastAsia"/>
          <w:color w:val="auto"/>
          <w:highlight w:val="none"/>
        </w:rPr>
        <w:t>法定代表人（签字或签章）/被授权投标代表（签字）：____________</w:t>
      </w:r>
    </w:p>
    <w:p w14:paraId="1609CC43">
      <w:pPr>
        <w:shd w:val="clear"/>
        <w:rPr>
          <w:color w:val="auto"/>
          <w:highlight w:val="none"/>
        </w:rPr>
      </w:pPr>
      <w:r>
        <w:rPr>
          <w:rFonts w:hint="eastAsia"/>
          <w:color w:val="auto"/>
          <w:highlight w:val="none"/>
          <w:lang w:eastAsia="zh-CN"/>
        </w:rPr>
        <w:t>投标人</w:t>
      </w:r>
      <w:r>
        <w:rPr>
          <w:rFonts w:hint="eastAsia"/>
          <w:color w:val="auto"/>
          <w:highlight w:val="none"/>
        </w:rPr>
        <w:t>地址：____________</w:t>
      </w:r>
    </w:p>
    <w:p w14:paraId="3A13D278">
      <w:pPr>
        <w:shd w:val="clear"/>
        <w:rPr>
          <w:color w:val="auto"/>
          <w:highlight w:val="none"/>
        </w:rPr>
      </w:pPr>
      <w:r>
        <w:rPr>
          <w:rFonts w:hint="eastAsia"/>
          <w:color w:val="auto"/>
          <w:highlight w:val="none"/>
        </w:rPr>
        <w:t>邮编：____________</w:t>
      </w:r>
    </w:p>
    <w:p w14:paraId="13440039">
      <w:pPr>
        <w:shd w:val="clear"/>
        <w:rPr>
          <w:color w:val="auto"/>
          <w:highlight w:val="none"/>
        </w:rPr>
      </w:pPr>
      <w:r>
        <w:rPr>
          <w:rFonts w:hint="eastAsia"/>
          <w:color w:val="auto"/>
          <w:highlight w:val="none"/>
        </w:rPr>
        <w:t>电话：____________</w:t>
      </w:r>
    </w:p>
    <w:p w14:paraId="2BDE6300">
      <w:pPr>
        <w:shd w:val="clear"/>
        <w:rPr>
          <w:color w:val="auto"/>
          <w:highlight w:val="none"/>
        </w:rPr>
      </w:pPr>
      <w:r>
        <w:rPr>
          <w:rFonts w:hint="eastAsia"/>
          <w:color w:val="auto"/>
          <w:highlight w:val="none"/>
        </w:rPr>
        <w:t>传真：____________</w:t>
      </w:r>
    </w:p>
    <w:p w14:paraId="419634C2">
      <w:pPr>
        <w:shd w:val="clear"/>
        <w:rPr>
          <w:color w:val="auto"/>
          <w:highlight w:val="none"/>
        </w:rPr>
      </w:pPr>
      <w:r>
        <w:rPr>
          <w:rFonts w:hint="eastAsia"/>
          <w:color w:val="auto"/>
          <w:highlight w:val="none"/>
        </w:rPr>
        <w:t xml:space="preserve">日  期：____________          </w:t>
      </w:r>
    </w:p>
    <w:p w14:paraId="1F00D514">
      <w:pPr>
        <w:shd w:val="clear"/>
        <w:rPr>
          <w:color w:val="auto"/>
          <w:highlight w:val="none"/>
        </w:rPr>
      </w:pPr>
    </w:p>
    <w:p w14:paraId="65DB12A1">
      <w:pPr>
        <w:shd w:val="clear"/>
        <w:rPr>
          <w:color w:val="auto"/>
          <w:highlight w:val="none"/>
        </w:rPr>
      </w:pPr>
    </w:p>
    <w:p w14:paraId="029D6395">
      <w:pPr>
        <w:shd w:val="clear"/>
        <w:rPr>
          <w:color w:val="auto"/>
          <w:highlight w:val="none"/>
        </w:rPr>
      </w:pPr>
      <w:r>
        <w:rPr>
          <w:rFonts w:hint="eastAsia"/>
          <w:color w:val="auto"/>
          <w:highlight w:val="none"/>
        </w:rPr>
        <w:t>特别说明：</w:t>
      </w:r>
    </w:p>
    <w:p w14:paraId="5A69EC4B">
      <w:pPr>
        <w:shd w:val="clear"/>
        <w:rPr>
          <w:color w:val="auto"/>
          <w:highlight w:val="none"/>
        </w:rPr>
      </w:pPr>
      <w:r>
        <w:rPr>
          <w:rFonts w:hint="eastAsia"/>
          <w:color w:val="auto"/>
          <w:highlight w:val="none"/>
          <w:lang w:eastAsia="zh-CN"/>
        </w:rPr>
        <w:t>投标人</w:t>
      </w:r>
      <w:r>
        <w:rPr>
          <w:rFonts w:hint="eastAsia"/>
          <w:color w:val="auto"/>
          <w:highlight w:val="none"/>
        </w:rPr>
        <w:t>应当按上述格式要求加盖与</w:t>
      </w:r>
      <w:r>
        <w:rPr>
          <w:rFonts w:hint="eastAsia"/>
          <w:color w:val="auto"/>
          <w:highlight w:val="none"/>
          <w:lang w:eastAsia="zh-CN"/>
        </w:rPr>
        <w:t>投标人</w:t>
      </w:r>
      <w:r>
        <w:rPr>
          <w:rFonts w:hint="eastAsia"/>
          <w:color w:val="auto"/>
          <w:highlight w:val="none"/>
        </w:rPr>
        <w:t>名称全称一致的标准公章，并签署法定代表人或</w:t>
      </w:r>
      <w:r>
        <w:rPr>
          <w:rFonts w:hint="eastAsia"/>
          <w:bCs/>
          <w:color w:val="auto"/>
          <w:highlight w:val="none"/>
        </w:rPr>
        <w:t>被授权投标代表</w:t>
      </w:r>
      <w:r>
        <w:rPr>
          <w:rFonts w:hint="eastAsia"/>
          <w:color w:val="auto"/>
          <w:highlight w:val="none"/>
        </w:rPr>
        <w:t>的全名或加盖名章。</w:t>
      </w:r>
    </w:p>
    <w:p w14:paraId="70746FA4">
      <w:pPr>
        <w:pStyle w:val="8"/>
        <w:shd w:val="clear"/>
        <w:jc w:val="center"/>
        <w:rPr>
          <w:color w:val="auto"/>
          <w:highlight w:val="none"/>
        </w:rPr>
      </w:pPr>
      <w:r>
        <w:rPr>
          <w:rFonts w:hint="eastAsia"/>
          <w:bCs/>
          <w:color w:val="auto"/>
          <w:szCs w:val="28"/>
          <w:highlight w:val="none"/>
        </w:rPr>
        <w:br w:type="page"/>
      </w:r>
      <w:bookmarkStart w:id="94" w:name="_Toc23359"/>
      <w:bookmarkStart w:id="95" w:name="_Toc18153"/>
      <w:bookmarkStart w:id="96" w:name="_Toc8860"/>
      <w:r>
        <w:rPr>
          <w:rFonts w:hint="eastAsia"/>
          <w:color w:val="auto"/>
          <w:highlight w:val="none"/>
        </w:rPr>
        <w:t>格式3  投标报价表</w:t>
      </w:r>
      <w:bookmarkEnd w:id="94"/>
    </w:p>
    <w:bookmarkEnd w:id="95"/>
    <w:bookmarkEnd w:id="96"/>
    <w:p w14:paraId="36D076FA">
      <w:pPr>
        <w:shd w:val="clear"/>
        <w:tabs>
          <w:tab w:val="left" w:pos="1230"/>
        </w:tabs>
        <w:adjustRightInd w:val="0"/>
        <w:snapToGrid w:val="0"/>
        <w:ind w:firstLine="562" w:firstLineChars="200"/>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1.开标一览表（总报价表）</w:t>
      </w:r>
    </w:p>
    <w:p w14:paraId="6B6E618E">
      <w:pPr>
        <w:pStyle w:val="17"/>
        <w:topLinePunct/>
        <w:autoSpaceDE w:val="0"/>
        <w:autoSpaceDN w:val="0"/>
        <w:adjustRightInd w:val="0"/>
        <w:snapToGrid w:val="0"/>
        <w:spacing w:line="360" w:lineRule="auto"/>
        <w:ind w:left="2"/>
        <w:jc w:val="center"/>
        <w:rPr>
          <w:rFonts w:hAnsi="宋体" w:cs="宋体"/>
          <w:b w:val="0"/>
          <w:bCs w:val="0"/>
          <w:color w:val="auto"/>
          <w:kern w:val="2"/>
          <w:sz w:val="21"/>
          <w:highlight w:val="none"/>
        </w:rPr>
      </w:pPr>
      <w:r>
        <w:rPr>
          <w:rFonts w:hAnsi="宋体" w:cs="宋体"/>
          <w:b w:val="0"/>
          <w:bCs w:val="0"/>
          <w:color w:val="auto"/>
          <w:kern w:val="2"/>
          <w:sz w:val="21"/>
          <w:highlight w:val="none"/>
        </w:rPr>
        <w:t>(</w:t>
      </w:r>
      <w:r>
        <w:rPr>
          <w:rFonts w:hint="eastAsia" w:hAnsi="宋体" w:cs="宋体"/>
          <w:b w:val="0"/>
          <w:bCs w:val="0"/>
          <w:color w:val="auto"/>
          <w:kern w:val="2"/>
          <w:sz w:val="21"/>
          <w:highlight w:val="none"/>
          <w:lang w:val="en-US" w:eastAsia="zh-CN"/>
        </w:rPr>
        <w:t>服务类</w:t>
      </w:r>
      <w:r>
        <w:rPr>
          <w:rFonts w:hAnsi="宋体" w:cs="宋体"/>
          <w:b w:val="0"/>
          <w:bCs w:val="0"/>
          <w:color w:val="auto"/>
          <w:kern w:val="2"/>
          <w:sz w:val="21"/>
          <w:highlight w:val="none"/>
        </w:rPr>
        <w:t>项目适用)</w:t>
      </w:r>
    </w:p>
    <w:p w14:paraId="38CC3FDB">
      <w:pPr>
        <w:topLinePunct/>
        <w:autoSpaceDE w:val="0"/>
        <w:autoSpaceDN w:val="0"/>
        <w:adjustRightInd w:val="0"/>
        <w:snapToGrid w:val="0"/>
        <w:spacing w:after="0" w:line="360" w:lineRule="auto"/>
        <w:jc w:val="left"/>
        <w:rPr>
          <w:rFonts w:hint="eastAsia" w:ascii="宋体" w:hAnsi="宋体" w:eastAsia="宋体" w:cs="宋体"/>
          <w:color w:val="auto"/>
          <w:highlight w:val="none"/>
          <w:lang w:eastAsia="zh-CN"/>
        </w:rPr>
      </w:pPr>
      <w:r>
        <w:rPr>
          <w:rFonts w:hint="eastAsia" w:ascii="宋体" w:hAnsi="宋体" w:cs="宋体"/>
          <w:color w:val="auto"/>
          <w:highlight w:val="none"/>
        </w:rPr>
        <w:t>项目名称：</w:t>
      </w:r>
      <w:r>
        <w:rPr>
          <w:rFonts w:hint="eastAsia" w:ascii="宋体" w:hAnsi="宋体" w:cs="宋体"/>
          <w:color w:val="auto"/>
          <w:highlight w:val="none"/>
          <w:lang w:eastAsia="zh-CN"/>
        </w:rPr>
        <w:t>国家税务总局沭阳县税务局2026年食堂食材配送服务采购项目</w:t>
      </w:r>
    </w:p>
    <w:p w14:paraId="33887878">
      <w:pPr>
        <w:topLinePunct/>
        <w:autoSpaceDE w:val="0"/>
        <w:autoSpaceDN w:val="0"/>
        <w:adjustRightInd w:val="0"/>
        <w:snapToGrid w:val="0"/>
        <w:spacing w:after="0" w:line="360" w:lineRule="auto"/>
        <w:jc w:val="left"/>
        <w:rPr>
          <w:rFonts w:hint="eastAsia" w:ascii="宋体" w:hAnsi="宋体" w:cs="宋体"/>
          <w:color w:val="auto"/>
          <w:highlight w:val="none"/>
          <w:lang w:val="en-US" w:eastAsia="zh-CN"/>
        </w:rPr>
      </w:pPr>
      <w:r>
        <w:rPr>
          <w:rFonts w:hint="eastAsia" w:ascii="宋体" w:hAnsi="宋体" w:cs="宋体"/>
          <w:color w:val="auto"/>
          <w:highlight w:val="none"/>
        </w:rPr>
        <w:t>采购人项目编号：</w:t>
      </w:r>
      <w:r>
        <w:rPr>
          <w:rFonts w:hint="eastAsia" w:ascii="宋体" w:hAnsi="宋体" w:cs="宋体"/>
          <w:color w:val="auto"/>
          <w:highlight w:val="none"/>
          <w:lang w:eastAsia="zh-CN"/>
        </w:rPr>
        <w:t>JS2026-DLGK-C0214-B00</w:t>
      </w:r>
    </w:p>
    <w:p w14:paraId="61896A74">
      <w:pPr>
        <w:topLinePunct/>
        <w:autoSpaceDE w:val="0"/>
        <w:autoSpaceDN w:val="0"/>
        <w:adjustRightInd w:val="0"/>
        <w:snapToGrid w:val="0"/>
        <w:spacing w:after="0" w:line="360" w:lineRule="auto"/>
        <w:jc w:val="left"/>
        <w:rPr>
          <w:rFonts w:hint="eastAsia" w:ascii="宋体" w:hAnsi="宋体" w:eastAsia="宋体" w:cs="宋体"/>
          <w:color w:val="auto"/>
          <w:highlight w:val="none"/>
          <w:lang w:eastAsia="zh-CN"/>
        </w:rPr>
      </w:pPr>
      <w:r>
        <w:rPr>
          <w:rFonts w:hint="eastAsia" w:ascii="宋体" w:hAnsi="宋体" w:cs="宋体"/>
          <w:color w:val="auto"/>
          <w:highlight w:val="none"/>
        </w:rPr>
        <w:t>代理机构项目编号：</w:t>
      </w:r>
      <w:r>
        <w:rPr>
          <w:rFonts w:hint="eastAsia" w:ascii="宋体" w:hAnsi="宋体" w:cs="宋体"/>
          <w:color w:val="auto"/>
          <w:highlight w:val="none"/>
          <w:lang w:eastAsia="zh-CN"/>
        </w:rPr>
        <w:t>JSHZ[2026]0809号</w:t>
      </w:r>
    </w:p>
    <w:tbl>
      <w:tblPr>
        <w:tblStyle w:val="27"/>
        <w:tblW w:w="8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7"/>
        <w:gridCol w:w="7081"/>
        <w:gridCol w:w="767"/>
      </w:tblGrid>
      <w:tr w14:paraId="6A272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noWrap/>
            <w:vAlign w:val="center"/>
          </w:tcPr>
          <w:p w14:paraId="45358479">
            <w:pPr>
              <w:adjustRightInd w:val="0"/>
              <w:snapToGrid w:val="0"/>
              <w:spacing w:beforeLines="20" w:afterLines="20" w:line="240" w:lineRule="auto"/>
              <w:ind w:left="0" w:leftChars="0" w:right="0" w:rightChars="0" w:firstLine="0" w:firstLineChars="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序号</w:t>
            </w:r>
          </w:p>
        </w:tc>
        <w:tc>
          <w:tcPr>
            <w:tcW w:w="0" w:type="auto"/>
            <w:noWrap/>
            <w:vAlign w:val="center"/>
          </w:tcPr>
          <w:p w14:paraId="1266EB67">
            <w:pPr>
              <w:adjustRightInd w:val="0"/>
              <w:snapToGrid w:val="0"/>
              <w:spacing w:beforeLines="20" w:afterLines="20" w:line="240" w:lineRule="auto"/>
              <w:ind w:left="0" w:leftChars="0" w:right="0" w:rightChars="0" w:firstLine="0" w:firstLineChars="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内容</w:t>
            </w:r>
          </w:p>
        </w:tc>
        <w:tc>
          <w:tcPr>
            <w:tcW w:w="767" w:type="dxa"/>
            <w:noWrap/>
            <w:vAlign w:val="center"/>
          </w:tcPr>
          <w:p w14:paraId="10997314">
            <w:pPr>
              <w:adjustRightInd w:val="0"/>
              <w:snapToGrid w:val="0"/>
              <w:spacing w:beforeLines="20" w:afterLines="20" w:line="240" w:lineRule="auto"/>
              <w:ind w:left="0" w:leftChars="0" w:right="0" w:rightChars="0" w:firstLine="0" w:firstLineChars="0"/>
              <w:jc w:val="center"/>
              <w:rPr>
                <w:rFonts w:hint="default" w:ascii="Times New Roman" w:hAnsi="Times New Roman" w:cs="Times New Roman"/>
                <w:b/>
                <w:color w:val="auto"/>
                <w:sz w:val="21"/>
                <w:szCs w:val="21"/>
                <w:highlight w:val="none"/>
              </w:rPr>
            </w:pPr>
            <w:r>
              <w:rPr>
                <w:rFonts w:hint="eastAsia" w:ascii="Times New Roman" w:hAnsi="Times New Roman" w:cs="Times New Roman"/>
                <w:b/>
                <w:color w:val="auto"/>
                <w:sz w:val="21"/>
                <w:szCs w:val="21"/>
                <w:highlight w:val="none"/>
                <w:lang w:val="en-US" w:eastAsia="zh-CN"/>
              </w:rPr>
              <w:t>费</w:t>
            </w:r>
            <w:r>
              <w:rPr>
                <w:rFonts w:hint="default" w:ascii="Times New Roman" w:hAnsi="Times New Roman" w:cs="Times New Roman"/>
                <w:b/>
                <w:color w:val="auto"/>
                <w:sz w:val="21"/>
                <w:szCs w:val="21"/>
                <w:highlight w:val="none"/>
              </w:rPr>
              <w:t>率</w:t>
            </w:r>
          </w:p>
        </w:tc>
      </w:tr>
      <w:tr w14:paraId="6D981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7" w:type="dxa"/>
            <w:noWrap/>
            <w:vAlign w:val="center"/>
          </w:tcPr>
          <w:p w14:paraId="47888626">
            <w:pPr>
              <w:adjustRightInd w:val="0"/>
              <w:snapToGrid w:val="0"/>
              <w:spacing w:beforeLines="20" w:afterLines="20" w:line="240" w:lineRule="auto"/>
              <w:ind w:left="0" w:leftChars="0" w:right="0" w:rightChars="0" w:firstLine="0" w:firstLineChars="0"/>
              <w:jc w:val="center"/>
              <w:rPr>
                <w:rFonts w:hint="eastAsia" w:ascii="Times New Roman" w:hAnsi="Times New Roman" w:eastAsia="宋体" w:cs="Times New Roman"/>
                <w:color w:val="auto"/>
                <w:sz w:val="21"/>
                <w:szCs w:val="21"/>
                <w:highlight w:val="none"/>
                <w:lang w:eastAsia="zh-CN"/>
              </w:rPr>
            </w:pPr>
            <w:r>
              <w:rPr>
                <w:rFonts w:hint="eastAsia" w:ascii="Times New Roman" w:eastAsia="宋体" w:cs="Times New Roman"/>
                <w:color w:val="auto"/>
                <w:sz w:val="21"/>
                <w:szCs w:val="21"/>
                <w:highlight w:val="none"/>
                <w:lang w:val="en-US" w:eastAsia="zh-CN"/>
              </w:rPr>
              <w:t>1</w:t>
            </w:r>
          </w:p>
        </w:tc>
        <w:tc>
          <w:tcPr>
            <w:tcW w:w="7081" w:type="dxa"/>
            <w:noWrap/>
            <w:vAlign w:val="center"/>
          </w:tcPr>
          <w:p w14:paraId="227D0E4F">
            <w:pPr>
              <w:snapToGrid w:val="0"/>
              <w:spacing w:line="240" w:lineRule="auto"/>
              <w:ind w:left="0" w:leftChars="0" w:right="0" w:rightChars="0" w:firstLine="0" w:firstLineChars="0"/>
              <w:jc w:val="center"/>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国家税务总局</w:t>
            </w:r>
            <w:r>
              <w:rPr>
                <w:rFonts w:hint="eastAsia" w:ascii="Times New Roman" w:hAnsi="Times New Roman" w:cs="Times New Roman"/>
                <w:color w:val="auto"/>
                <w:sz w:val="21"/>
                <w:szCs w:val="21"/>
                <w:highlight w:val="none"/>
                <w:lang w:eastAsia="zh-CN"/>
              </w:rPr>
              <w:t>沭阳县</w:t>
            </w:r>
            <w:r>
              <w:rPr>
                <w:rFonts w:hint="eastAsia" w:ascii="Times New Roman" w:hAnsi="Times New Roman" w:eastAsia="宋体" w:cs="Times New Roman"/>
                <w:color w:val="auto"/>
                <w:sz w:val="21"/>
                <w:szCs w:val="21"/>
                <w:highlight w:val="none"/>
                <w:lang w:eastAsia="zh-CN"/>
              </w:rPr>
              <w:t>税务局2026年食堂食材配送服务采购项目</w:t>
            </w:r>
          </w:p>
        </w:tc>
        <w:tc>
          <w:tcPr>
            <w:tcW w:w="767" w:type="dxa"/>
            <w:noWrap/>
            <w:vAlign w:val="center"/>
          </w:tcPr>
          <w:p w14:paraId="0D16C00C">
            <w:pPr>
              <w:adjustRightInd w:val="0"/>
              <w:snapToGrid w:val="0"/>
              <w:spacing w:beforeLines="20" w:afterLines="20" w:line="240" w:lineRule="auto"/>
              <w:ind w:left="0" w:leftChars="0" w:right="0" w:rightChars="0" w:firstLine="0" w:firstLineChars="0"/>
              <w:jc w:val="righ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w:t>
            </w:r>
          </w:p>
        </w:tc>
      </w:tr>
    </w:tbl>
    <w:p w14:paraId="641F3004">
      <w:pPr>
        <w:topLinePunct/>
        <w:autoSpaceDE w:val="0"/>
        <w:autoSpaceDN w:val="0"/>
        <w:spacing w:after="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特别说明：</w:t>
      </w:r>
    </w:p>
    <w:p w14:paraId="3A6AF1F4">
      <w:pPr>
        <w:topLinePunct/>
        <w:autoSpaceDE w:val="0"/>
        <w:autoSpaceDN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1.本项目总价及分项报价均不接受任何形式的赠送、“零”报价。</w:t>
      </w:r>
    </w:p>
    <w:p w14:paraId="17F70F64">
      <w:pPr>
        <w:topLinePunct/>
        <w:autoSpaceDE w:val="0"/>
        <w:autoSpaceDN w:val="0"/>
        <w:spacing w:after="0" w:line="360" w:lineRule="auto"/>
        <w:ind w:firstLine="422" w:firstLineChars="20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2.投标费率（折扣）计算方式：</w:t>
      </w:r>
      <w:r>
        <w:rPr>
          <w:rFonts w:hint="eastAsia" w:ascii="Times New Roman" w:hAnsi="Times New Roman" w:cs="Times New Roman"/>
          <w:color w:val="auto"/>
          <w:sz w:val="21"/>
          <w:szCs w:val="21"/>
          <w:highlight w:val="none"/>
          <w:lang w:val="en-US" w:eastAsia="zh-CN"/>
        </w:rPr>
        <w:t>假设商品“宿迁阳光物价网”或“周边大型农贸市场、大型超市”单价为100元，当费率为95%，则结算时该商品单价=100元*95%=95元；当费率为93%，则结算时该商品单价=100元*93%=93元，以此类推。</w:t>
      </w:r>
    </w:p>
    <w:p w14:paraId="5819EEFF">
      <w:pPr>
        <w:topLinePunct/>
        <w:autoSpaceDE w:val="0"/>
        <w:autoSpaceDN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2.本项目执行中所发生的所有费用均计入投标报价中，采购人不再另行支付其他任何费用。</w:t>
      </w:r>
    </w:p>
    <w:p w14:paraId="0E054B6D">
      <w:pPr>
        <w:topLinePunct/>
        <w:autoSpaceDE w:val="0"/>
        <w:autoSpaceDN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3.投标人应根据《招标文件-技术部分》相关要求填报。</w:t>
      </w:r>
    </w:p>
    <w:p w14:paraId="499392A7">
      <w:pPr>
        <w:topLinePunct/>
        <w:autoSpaceDE w:val="0"/>
        <w:autoSpaceDN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4.如报价不一致，按照投标人须知“19.核价原则”进行修正。</w:t>
      </w:r>
    </w:p>
    <w:p w14:paraId="2BDF5AD5">
      <w:pPr>
        <w:topLinePunct/>
        <w:autoSpaceDE w:val="0"/>
        <w:autoSpaceDN w:val="0"/>
        <w:adjustRightInd w:val="0"/>
        <w:snapToGrid w:val="0"/>
        <w:spacing w:after="0" w:line="360" w:lineRule="auto"/>
        <w:ind w:firstLine="525" w:firstLineChars="250"/>
        <w:jc w:val="left"/>
        <w:rPr>
          <w:rFonts w:hint="default" w:ascii="Times New Roman" w:hAnsi="Times New Roman" w:cs="Times New Roman"/>
          <w:color w:val="auto"/>
          <w:sz w:val="21"/>
          <w:szCs w:val="21"/>
          <w:highlight w:val="none"/>
        </w:rPr>
      </w:pPr>
    </w:p>
    <w:p w14:paraId="5A09A562">
      <w:pPr>
        <w:tabs>
          <w:tab w:val="left" w:pos="1230"/>
        </w:tabs>
        <w:topLinePunct/>
        <w:autoSpaceDE w:val="0"/>
        <w:autoSpaceDN w:val="0"/>
        <w:adjustRightInd w:val="0"/>
        <w:snapToGrid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投标人</w:t>
      </w:r>
      <w:r>
        <w:rPr>
          <w:rFonts w:hint="default" w:ascii="Times New Roman" w:hAnsi="Times New Roman" w:cs="Times New Roman"/>
          <w:color w:val="auto"/>
          <w:kern w:val="0"/>
          <w:sz w:val="21"/>
          <w:szCs w:val="21"/>
          <w:highlight w:val="none"/>
        </w:rPr>
        <w:t>（全称并加盖公章</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u w:val="single"/>
        </w:rPr>
        <w:t xml:space="preserve">             </w:t>
      </w:r>
    </w:p>
    <w:p w14:paraId="62159D44">
      <w:pPr>
        <w:tabs>
          <w:tab w:val="left" w:pos="1230"/>
        </w:tabs>
        <w:topLinePunct/>
        <w:autoSpaceDE w:val="0"/>
        <w:autoSpaceDN w:val="0"/>
        <w:adjustRightInd w:val="0"/>
        <w:snapToGrid w:val="0"/>
        <w:spacing w:after="0" w:line="360" w:lineRule="auto"/>
        <w:ind w:firstLine="420" w:firstLineChars="200"/>
        <w:rPr>
          <w:rFonts w:hint="default" w:ascii="Times New Roman" w:hAnsi="Times New Roman" w:cs="Times New Roman"/>
          <w:color w:val="auto"/>
          <w:sz w:val="21"/>
          <w:szCs w:val="21"/>
          <w:highlight w:val="none"/>
          <w:u w:val="single"/>
        </w:rPr>
      </w:pPr>
      <w:r>
        <w:rPr>
          <w:rFonts w:hint="default" w:ascii="Times New Roman" w:hAnsi="Times New Roman" w:cs="Times New Roman"/>
          <w:color w:val="auto"/>
          <w:kern w:val="0"/>
          <w:sz w:val="21"/>
          <w:szCs w:val="21"/>
          <w:highlight w:val="none"/>
        </w:rPr>
        <w:t>投标人代表（签字或盖章）</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u w:val="single"/>
        </w:rPr>
        <w:t xml:space="preserve">             </w:t>
      </w:r>
    </w:p>
    <w:p w14:paraId="12CFA581">
      <w:pPr>
        <w:tabs>
          <w:tab w:val="left" w:pos="1230"/>
        </w:tabs>
        <w:topLinePunct/>
        <w:autoSpaceDE w:val="0"/>
        <w:autoSpaceDN w:val="0"/>
        <w:adjustRightInd w:val="0"/>
        <w:snapToGrid w:val="0"/>
        <w:spacing w:after="0" w:line="360" w:lineRule="auto"/>
        <w:ind w:firstLine="420" w:firstLineChars="200"/>
        <w:rPr>
          <w:color w:val="auto"/>
          <w:highlight w:val="none"/>
        </w:rPr>
      </w:pPr>
      <w:r>
        <w:rPr>
          <w:rFonts w:hint="default" w:ascii="Times New Roman" w:hAnsi="Times New Roman" w:cs="Times New Roman"/>
          <w:color w:val="auto"/>
          <w:sz w:val="21"/>
          <w:szCs w:val="21"/>
          <w:highlight w:val="none"/>
        </w:rPr>
        <w:t>日期：</w:t>
      </w:r>
      <w:r>
        <w:rPr>
          <w:rFonts w:hint="default" w:ascii="Times New Roman" w:hAnsi="Times New Roman" w:cs="Times New Roman"/>
          <w:color w:val="auto"/>
          <w:sz w:val="21"/>
          <w:szCs w:val="21"/>
          <w:highlight w:val="none"/>
          <w:u w:val="single"/>
        </w:rPr>
        <w:t xml:space="preserve">                                 </w:t>
      </w:r>
    </w:p>
    <w:p w14:paraId="3D4724C8">
      <w:pPr>
        <w:shd w:val="clear"/>
        <w:jc w:val="center"/>
        <w:rPr>
          <w:rFonts w:ascii="宋体" w:hAnsi="宋体" w:cs="宋体"/>
          <w:b/>
          <w:bCs/>
          <w:color w:val="auto"/>
          <w:sz w:val="28"/>
          <w:szCs w:val="28"/>
          <w:highlight w:val="none"/>
        </w:rPr>
      </w:pPr>
      <w:r>
        <w:rPr>
          <w:rFonts w:hAnsi="宋体" w:cs="宋体"/>
          <w:color w:val="auto"/>
          <w:szCs w:val="21"/>
          <w:highlight w:val="none"/>
        </w:rPr>
        <w:br w:type="page"/>
      </w:r>
      <w:r>
        <w:rPr>
          <w:rFonts w:hint="eastAsia" w:ascii="宋体" w:hAnsi="宋体" w:cs="宋体"/>
          <w:b/>
          <w:bCs/>
          <w:color w:val="auto"/>
          <w:sz w:val="28"/>
          <w:szCs w:val="28"/>
          <w:highlight w:val="none"/>
        </w:rPr>
        <w:t>2.分项报价表</w:t>
      </w:r>
    </w:p>
    <w:p w14:paraId="4F823AE7">
      <w:pPr>
        <w:shd w:val="clear"/>
        <w:jc w:val="center"/>
        <w:rPr>
          <w:color w:val="auto"/>
          <w:highlight w:val="none"/>
        </w:rPr>
      </w:pPr>
      <w:r>
        <w:rPr>
          <w:color w:val="auto"/>
          <w:highlight w:val="none"/>
        </w:rPr>
        <w:t>2.</w:t>
      </w:r>
      <w:r>
        <w:rPr>
          <w:rFonts w:hint="eastAsia"/>
          <w:color w:val="auto"/>
          <w:highlight w:val="none"/>
        </w:rPr>
        <w:t>1分项报价表</w:t>
      </w:r>
    </w:p>
    <w:p w14:paraId="076207AA">
      <w:pPr>
        <w:pStyle w:val="17"/>
        <w:shd w:val="clear"/>
        <w:jc w:val="center"/>
        <w:rPr>
          <w:b/>
          <w:bCs/>
          <w:color w:val="auto"/>
          <w:highlight w:val="none"/>
        </w:rPr>
      </w:pPr>
      <w:r>
        <w:rPr>
          <w:rFonts w:hint="eastAsia"/>
          <w:color w:val="auto"/>
          <w:highlight w:val="none"/>
        </w:rPr>
        <w:t>(</w:t>
      </w:r>
      <w:r>
        <w:rPr>
          <w:rFonts w:hint="eastAsia"/>
          <w:color w:val="auto"/>
          <w:highlight w:val="none"/>
          <w:lang w:val="en-US" w:eastAsia="zh-CN"/>
        </w:rPr>
        <w:t>服务类</w:t>
      </w:r>
      <w:r>
        <w:rPr>
          <w:rFonts w:hint="eastAsia"/>
          <w:color w:val="auto"/>
          <w:highlight w:val="none"/>
        </w:rPr>
        <w:t>项目适用)</w:t>
      </w:r>
    </w:p>
    <w:p w14:paraId="334C592F">
      <w:pPr>
        <w:topLinePunct/>
        <w:autoSpaceDE w:val="0"/>
        <w:autoSpaceDN w:val="0"/>
        <w:adjustRightInd w:val="0"/>
        <w:snapToGrid w:val="0"/>
        <w:spacing w:after="0" w:line="360" w:lineRule="auto"/>
        <w:jc w:val="left"/>
        <w:rPr>
          <w:rFonts w:hint="eastAsia" w:ascii="宋体" w:hAnsi="宋体" w:eastAsia="宋体" w:cs="宋体"/>
          <w:color w:val="auto"/>
          <w:highlight w:val="none"/>
          <w:lang w:eastAsia="zh-CN"/>
        </w:rPr>
      </w:pPr>
      <w:r>
        <w:rPr>
          <w:rFonts w:hint="eastAsia" w:ascii="宋体" w:hAnsi="宋体" w:cs="宋体"/>
          <w:color w:val="auto"/>
          <w:highlight w:val="none"/>
        </w:rPr>
        <w:t>项目名称：</w:t>
      </w:r>
      <w:r>
        <w:rPr>
          <w:rFonts w:hint="eastAsia" w:ascii="宋体" w:hAnsi="宋体" w:cs="宋体"/>
          <w:color w:val="auto"/>
          <w:highlight w:val="none"/>
          <w:lang w:eastAsia="zh-CN"/>
        </w:rPr>
        <w:t>国家税务总局沭阳县税务局2026年食堂食材配送服务采购项目</w:t>
      </w:r>
    </w:p>
    <w:p w14:paraId="006A7B17">
      <w:pPr>
        <w:topLinePunct/>
        <w:autoSpaceDE w:val="0"/>
        <w:autoSpaceDN w:val="0"/>
        <w:adjustRightInd w:val="0"/>
        <w:snapToGrid w:val="0"/>
        <w:spacing w:after="0" w:line="360" w:lineRule="auto"/>
        <w:jc w:val="left"/>
        <w:rPr>
          <w:rFonts w:hint="eastAsia" w:ascii="宋体" w:hAnsi="宋体" w:cs="宋体"/>
          <w:color w:val="auto"/>
          <w:highlight w:val="none"/>
          <w:lang w:val="en-US" w:eastAsia="zh-CN"/>
        </w:rPr>
      </w:pPr>
      <w:r>
        <w:rPr>
          <w:rFonts w:hint="eastAsia" w:ascii="宋体" w:hAnsi="宋体" w:cs="宋体"/>
          <w:color w:val="auto"/>
          <w:highlight w:val="none"/>
        </w:rPr>
        <w:t>采购人项目编号：</w:t>
      </w:r>
      <w:r>
        <w:rPr>
          <w:rFonts w:hint="eastAsia" w:ascii="宋体" w:hAnsi="宋体" w:cs="宋体"/>
          <w:color w:val="auto"/>
          <w:highlight w:val="none"/>
          <w:lang w:eastAsia="zh-CN"/>
        </w:rPr>
        <w:t>JS2026-DLGK-C0214-B00</w:t>
      </w:r>
      <w:r>
        <w:rPr>
          <w:rFonts w:hint="eastAsia" w:ascii="宋体" w:hAnsi="宋体" w:cs="宋体"/>
          <w:color w:val="auto"/>
          <w:highlight w:val="none"/>
          <w:lang w:val="en-US" w:eastAsia="zh-CN"/>
        </w:rPr>
        <w:t xml:space="preserve">              </w:t>
      </w:r>
    </w:p>
    <w:p w14:paraId="48889CC8">
      <w:pPr>
        <w:topLinePunct/>
        <w:autoSpaceDE w:val="0"/>
        <w:autoSpaceDN w:val="0"/>
        <w:adjustRightInd w:val="0"/>
        <w:snapToGrid w:val="0"/>
        <w:spacing w:after="0" w:line="360" w:lineRule="auto"/>
        <w:jc w:val="left"/>
        <w:rPr>
          <w:rFonts w:hint="eastAsia" w:ascii="宋体" w:hAnsi="宋体" w:eastAsia="宋体" w:cs="宋体"/>
          <w:color w:val="auto"/>
          <w:highlight w:val="none"/>
          <w:lang w:eastAsia="zh-CN"/>
        </w:rPr>
      </w:pPr>
      <w:r>
        <w:rPr>
          <w:rFonts w:hint="eastAsia" w:ascii="宋体" w:hAnsi="宋体" w:cs="宋体"/>
          <w:color w:val="auto"/>
          <w:highlight w:val="none"/>
        </w:rPr>
        <w:t>代理机构项目编号：</w:t>
      </w:r>
      <w:r>
        <w:rPr>
          <w:rFonts w:hint="eastAsia" w:ascii="宋体" w:hAnsi="宋体" w:cs="宋体"/>
          <w:color w:val="auto"/>
          <w:highlight w:val="none"/>
          <w:lang w:eastAsia="zh-CN"/>
        </w:rPr>
        <w:t>JSHZ[2026]0809号</w:t>
      </w:r>
    </w:p>
    <w:tbl>
      <w:tblPr>
        <w:tblStyle w:val="27"/>
        <w:tblW w:w="52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
        <w:gridCol w:w="798"/>
        <w:gridCol w:w="1257"/>
        <w:gridCol w:w="1350"/>
        <w:gridCol w:w="1125"/>
        <w:gridCol w:w="2182"/>
        <w:gridCol w:w="1449"/>
      </w:tblGrid>
      <w:tr w14:paraId="02937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500" w:type="pct"/>
            <w:tcBorders>
              <w:top w:val="single" w:color="auto" w:sz="4" w:space="0"/>
              <w:left w:val="single" w:color="auto" w:sz="4" w:space="0"/>
              <w:bottom w:val="single" w:color="auto" w:sz="4" w:space="0"/>
              <w:right w:val="single" w:color="auto" w:sz="4" w:space="0"/>
            </w:tcBorders>
            <w:noWrap w:val="0"/>
            <w:vAlign w:val="center"/>
          </w:tcPr>
          <w:p w14:paraId="43358FAA">
            <w:pPr>
              <w:pStyle w:val="17"/>
              <w:jc w:val="center"/>
              <w:rPr>
                <w:rFonts w:ascii="Times New Roman" w:hAnsi="Times New Roman"/>
                <w:b/>
                <w:bCs/>
                <w:color w:val="000000"/>
                <w:highlight w:val="none"/>
              </w:rPr>
            </w:pPr>
            <w:r>
              <w:rPr>
                <w:rFonts w:hint="eastAsia" w:ascii="Times New Roman" w:hAnsi="Times New Roman"/>
                <w:b/>
                <w:bCs/>
                <w:color w:val="000000"/>
                <w:highlight w:val="none"/>
              </w:rPr>
              <w:t>价格构成项目</w:t>
            </w:r>
          </w:p>
        </w:tc>
        <w:tc>
          <w:tcPr>
            <w:tcW w:w="440" w:type="pct"/>
            <w:tcBorders>
              <w:top w:val="single" w:color="auto" w:sz="4" w:space="0"/>
              <w:left w:val="single" w:color="auto" w:sz="4" w:space="0"/>
              <w:bottom w:val="single" w:color="auto" w:sz="4" w:space="0"/>
              <w:right w:val="single" w:color="auto" w:sz="4" w:space="0"/>
            </w:tcBorders>
            <w:noWrap w:val="0"/>
            <w:vAlign w:val="center"/>
          </w:tcPr>
          <w:p w14:paraId="2FB87365">
            <w:pPr>
              <w:pStyle w:val="17"/>
              <w:jc w:val="center"/>
              <w:rPr>
                <w:rFonts w:ascii="Times New Roman" w:hAnsi="Times New Roman"/>
                <w:b/>
                <w:bCs/>
                <w:color w:val="000000"/>
                <w:highlight w:val="none"/>
              </w:rPr>
            </w:pPr>
            <w:r>
              <w:rPr>
                <w:rFonts w:hint="eastAsia" w:ascii="Times New Roman" w:hAnsi="Times New Roman"/>
                <w:b/>
                <w:bCs/>
                <w:color w:val="000000"/>
                <w:highlight w:val="none"/>
              </w:rPr>
              <w:t>序号</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532E57E7">
            <w:pPr>
              <w:pStyle w:val="17"/>
              <w:spacing w:line="240" w:lineRule="auto"/>
              <w:jc w:val="center"/>
              <w:rPr>
                <w:rFonts w:ascii="Times New Roman" w:hAnsi="Times New Roman"/>
                <w:b/>
                <w:bCs/>
                <w:color w:val="000000"/>
                <w:highlight w:val="none"/>
              </w:rPr>
            </w:pPr>
            <w:r>
              <w:rPr>
                <w:rFonts w:hint="eastAsia" w:ascii="Times New Roman" w:hAnsi="Times New Roman"/>
                <w:b/>
                <w:bCs/>
                <w:color w:val="000000"/>
                <w:highlight w:val="none"/>
              </w:rPr>
              <w:t>食材类别或名称</w:t>
            </w:r>
          </w:p>
        </w:tc>
        <w:tc>
          <w:tcPr>
            <w:tcW w:w="744" w:type="pct"/>
            <w:tcBorders>
              <w:top w:val="single" w:color="auto" w:sz="4" w:space="0"/>
              <w:left w:val="single" w:color="auto" w:sz="4" w:space="0"/>
              <w:bottom w:val="single" w:color="auto" w:sz="4" w:space="0"/>
              <w:right w:val="single" w:color="auto" w:sz="4" w:space="0"/>
            </w:tcBorders>
            <w:noWrap w:val="0"/>
            <w:vAlign w:val="center"/>
          </w:tcPr>
          <w:p w14:paraId="29168E35">
            <w:pPr>
              <w:pStyle w:val="17"/>
              <w:spacing w:line="240" w:lineRule="auto"/>
              <w:jc w:val="center"/>
              <w:rPr>
                <w:rFonts w:ascii="Times New Roman" w:hAnsi="Times New Roman"/>
                <w:b/>
                <w:bCs/>
                <w:color w:val="000000"/>
                <w:highlight w:val="none"/>
              </w:rPr>
            </w:pPr>
            <w:r>
              <w:rPr>
                <w:rFonts w:hint="eastAsia" w:ascii="Times New Roman" w:hAnsi="Times New Roman"/>
                <w:b/>
                <w:bCs/>
                <w:color w:val="000000"/>
                <w:highlight w:val="none"/>
              </w:rPr>
              <w:t>采购品牌</w:t>
            </w:r>
          </w:p>
        </w:tc>
        <w:tc>
          <w:tcPr>
            <w:tcW w:w="620" w:type="pct"/>
            <w:tcBorders>
              <w:top w:val="single" w:color="auto" w:sz="4" w:space="0"/>
              <w:left w:val="single" w:color="auto" w:sz="4" w:space="0"/>
              <w:bottom w:val="single" w:color="auto" w:sz="4" w:space="0"/>
              <w:right w:val="single" w:color="auto" w:sz="4" w:space="0"/>
            </w:tcBorders>
            <w:noWrap w:val="0"/>
            <w:vAlign w:val="center"/>
          </w:tcPr>
          <w:p w14:paraId="0576A93F">
            <w:pPr>
              <w:pStyle w:val="17"/>
              <w:spacing w:line="240" w:lineRule="auto"/>
              <w:jc w:val="center"/>
              <w:rPr>
                <w:rFonts w:ascii="Times New Roman" w:hAnsi="Times New Roman"/>
                <w:b/>
                <w:bCs/>
                <w:color w:val="000000"/>
                <w:highlight w:val="none"/>
              </w:rPr>
            </w:pPr>
            <w:r>
              <w:rPr>
                <w:rFonts w:hint="eastAsia" w:ascii="Times New Roman" w:hAnsi="Times New Roman"/>
                <w:b/>
                <w:bCs/>
                <w:color w:val="000000"/>
                <w:highlight w:val="none"/>
              </w:rPr>
              <w:t>采购来源</w:t>
            </w:r>
          </w:p>
        </w:tc>
        <w:tc>
          <w:tcPr>
            <w:tcW w:w="1203" w:type="pct"/>
            <w:tcBorders>
              <w:top w:val="single" w:color="auto" w:sz="4" w:space="0"/>
              <w:left w:val="single" w:color="auto" w:sz="4" w:space="0"/>
              <w:bottom w:val="single" w:color="auto" w:sz="4" w:space="0"/>
              <w:right w:val="single" w:color="auto" w:sz="4" w:space="0"/>
            </w:tcBorders>
            <w:noWrap w:val="0"/>
            <w:vAlign w:val="center"/>
          </w:tcPr>
          <w:p w14:paraId="4E53F269">
            <w:pPr>
              <w:pStyle w:val="17"/>
              <w:spacing w:line="240" w:lineRule="auto"/>
              <w:jc w:val="center"/>
              <w:rPr>
                <w:rFonts w:ascii="Times New Roman" w:hAnsi="Times New Roman"/>
                <w:b/>
                <w:bCs/>
                <w:color w:val="000000"/>
                <w:highlight w:val="none"/>
              </w:rPr>
            </w:pPr>
            <w:r>
              <w:rPr>
                <w:rFonts w:hint="eastAsia" w:ascii="Times New Roman" w:hAnsi="Times New Roman"/>
                <w:b/>
                <w:bCs/>
                <w:color w:val="000000"/>
                <w:highlight w:val="none"/>
              </w:rPr>
              <w:t>基准价</w:t>
            </w:r>
          </w:p>
        </w:tc>
        <w:tc>
          <w:tcPr>
            <w:tcW w:w="798" w:type="pct"/>
            <w:tcBorders>
              <w:top w:val="single" w:color="auto" w:sz="4" w:space="0"/>
              <w:left w:val="single" w:color="auto" w:sz="4" w:space="0"/>
              <w:bottom w:val="single" w:color="auto" w:sz="4" w:space="0"/>
              <w:right w:val="single" w:color="auto" w:sz="4" w:space="0"/>
            </w:tcBorders>
            <w:noWrap w:val="0"/>
            <w:vAlign w:val="center"/>
          </w:tcPr>
          <w:p w14:paraId="68A855D7">
            <w:pPr>
              <w:pStyle w:val="17"/>
              <w:spacing w:line="240" w:lineRule="auto"/>
              <w:jc w:val="center"/>
              <w:rPr>
                <w:rFonts w:ascii="Times New Roman" w:hAnsi="Times New Roman"/>
                <w:b/>
                <w:bCs/>
                <w:color w:val="000000"/>
                <w:highlight w:val="none"/>
              </w:rPr>
            </w:pPr>
            <w:r>
              <w:rPr>
                <w:rFonts w:hint="eastAsia" w:ascii="Times New Roman" w:hAnsi="Times New Roman"/>
                <w:b/>
                <w:bCs/>
                <w:color w:val="000000"/>
                <w:highlight w:val="none"/>
              </w:rPr>
              <w:t>备注</w:t>
            </w:r>
          </w:p>
        </w:tc>
      </w:tr>
      <w:tr w14:paraId="04AFC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vMerge w:val="restart"/>
            <w:tcBorders>
              <w:top w:val="single" w:color="auto" w:sz="4" w:space="0"/>
              <w:left w:val="single" w:color="auto" w:sz="4" w:space="0"/>
              <w:bottom w:val="single" w:color="auto" w:sz="4" w:space="0"/>
              <w:right w:val="single" w:color="auto" w:sz="4" w:space="0"/>
            </w:tcBorders>
            <w:noWrap w:val="0"/>
            <w:vAlign w:val="center"/>
          </w:tcPr>
          <w:p w14:paraId="3BBBF1D6">
            <w:pPr>
              <w:pStyle w:val="17"/>
              <w:jc w:val="center"/>
              <w:rPr>
                <w:rFonts w:ascii="Times New Roman" w:hAnsi="Times New Roman"/>
                <w:color w:val="000000"/>
                <w:highlight w:val="none"/>
              </w:rPr>
            </w:pPr>
            <w:r>
              <w:rPr>
                <w:rFonts w:hint="eastAsia" w:ascii="Times New Roman" w:hAnsi="Times New Roman"/>
                <w:color w:val="000000"/>
                <w:highlight w:val="none"/>
              </w:rPr>
              <w:t>采购价格</w:t>
            </w:r>
          </w:p>
        </w:tc>
        <w:tc>
          <w:tcPr>
            <w:tcW w:w="440" w:type="pct"/>
            <w:tcBorders>
              <w:top w:val="single" w:color="auto" w:sz="4" w:space="0"/>
              <w:left w:val="single" w:color="auto" w:sz="4" w:space="0"/>
              <w:bottom w:val="single" w:color="auto" w:sz="4" w:space="0"/>
              <w:right w:val="single" w:color="auto" w:sz="4" w:space="0"/>
            </w:tcBorders>
            <w:noWrap w:val="0"/>
            <w:vAlign w:val="center"/>
          </w:tcPr>
          <w:p w14:paraId="29BB557D">
            <w:pPr>
              <w:pStyle w:val="17"/>
              <w:jc w:val="center"/>
              <w:rPr>
                <w:rFonts w:ascii="Times New Roman" w:hAnsi="Times New Roman"/>
                <w:color w:val="000000"/>
                <w:highlight w:val="none"/>
              </w:rPr>
            </w:pPr>
            <w:r>
              <w:rPr>
                <w:rFonts w:ascii="Times New Roman" w:hAnsi="Times New Roman"/>
                <w:color w:val="000000"/>
                <w:highlight w:val="none"/>
              </w:rPr>
              <w:t>1</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235B5C1E">
            <w:pPr>
              <w:pStyle w:val="17"/>
              <w:ind w:firstLine="240" w:firstLineChars="0"/>
              <w:jc w:val="center"/>
              <w:rPr>
                <w:rFonts w:hint="eastAsia" w:ascii="Times New Roman" w:hAnsi="Times New Roman"/>
                <w:color w:val="000000"/>
                <w:highlight w:val="none"/>
              </w:rPr>
            </w:pPr>
          </w:p>
        </w:tc>
        <w:tc>
          <w:tcPr>
            <w:tcW w:w="744" w:type="pct"/>
            <w:tcBorders>
              <w:top w:val="single" w:color="auto" w:sz="4" w:space="0"/>
              <w:left w:val="single" w:color="auto" w:sz="4" w:space="0"/>
              <w:bottom w:val="single" w:color="auto" w:sz="4" w:space="0"/>
              <w:right w:val="single" w:color="auto" w:sz="4" w:space="0"/>
            </w:tcBorders>
            <w:noWrap w:val="0"/>
            <w:vAlign w:val="center"/>
          </w:tcPr>
          <w:p w14:paraId="40AF6844">
            <w:pPr>
              <w:pStyle w:val="17"/>
              <w:ind w:firstLine="240" w:firstLineChars="0"/>
              <w:jc w:val="center"/>
              <w:rPr>
                <w:rFonts w:hint="eastAsia" w:ascii="Times New Roman" w:hAnsi="Times New Roman"/>
                <w:color w:val="000000"/>
                <w:highlight w:val="none"/>
              </w:rPr>
            </w:pPr>
          </w:p>
        </w:tc>
        <w:tc>
          <w:tcPr>
            <w:tcW w:w="620" w:type="pct"/>
            <w:tcBorders>
              <w:top w:val="single" w:color="auto" w:sz="4" w:space="0"/>
              <w:left w:val="single" w:color="auto" w:sz="4" w:space="0"/>
              <w:bottom w:val="single" w:color="auto" w:sz="4" w:space="0"/>
              <w:right w:val="single" w:color="auto" w:sz="4" w:space="0"/>
            </w:tcBorders>
            <w:noWrap w:val="0"/>
            <w:vAlign w:val="center"/>
          </w:tcPr>
          <w:p w14:paraId="47BAD86A">
            <w:pPr>
              <w:pStyle w:val="17"/>
              <w:adjustRightInd w:val="0"/>
              <w:snapToGrid w:val="0"/>
              <w:spacing w:line="240" w:lineRule="auto"/>
              <w:ind w:firstLine="240" w:firstLineChars="0"/>
              <w:jc w:val="center"/>
              <w:rPr>
                <w:rFonts w:hint="eastAsia" w:ascii="Times New Roman" w:hAnsi="Times New Roman"/>
                <w:color w:val="000000"/>
                <w:highlight w:val="none"/>
              </w:rPr>
            </w:pPr>
          </w:p>
        </w:tc>
        <w:tc>
          <w:tcPr>
            <w:tcW w:w="1203" w:type="pct"/>
            <w:tcBorders>
              <w:top w:val="single" w:color="auto" w:sz="4" w:space="0"/>
              <w:left w:val="single" w:color="auto" w:sz="4" w:space="0"/>
              <w:bottom w:val="single" w:color="auto" w:sz="4" w:space="0"/>
              <w:right w:val="single" w:color="auto" w:sz="4" w:space="0"/>
            </w:tcBorders>
            <w:noWrap w:val="0"/>
            <w:vAlign w:val="center"/>
          </w:tcPr>
          <w:p w14:paraId="5AC44559">
            <w:pPr>
              <w:pStyle w:val="17"/>
              <w:adjustRightInd w:val="0"/>
              <w:snapToGrid w:val="0"/>
              <w:spacing w:line="240" w:lineRule="auto"/>
              <w:jc w:val="center"/>
              <w:rPr>
                <w:rFonts w:hint="eastAsia" w:ascii="Times New Roman" w:hAnsi="Times New Roman"/>
                <w:color w:val="000000"/>
                <w:highlight w:val="none"/>
              </w:rPr>
            </w:pPr>
            <w:r>
              <w:rPr>
                <w:rFonts w:hint="eastAsia" w:ascii="Times New Roman" w:hAnsi="Times New Roman"/>
                <w:color w:val="000000"/>
                <w:highlight w:val="none"/>
                <w:lang w:val="en-US" w:eastAsia="zh-CN"/>
              </w:rPr>
              <w:t>以招标文件要求为准</w:t>
            </w:r>
          </w:p>
        </w:tc>
        <w:tc>
          <w:tcPr>
            <w:tcW w:w="798" w:type="pct"/>
            <w:tcBorders>
              <w:top w:val="single" w:color="auto" w:sz="4" w:space="0"/>
              <w:left w:val="single" w:color="auto" w:sz="4" w:space="0"/>
              <w:bottom w:val="single" w:color="auto" w:sz="4" w:space="0"/>
              <w:right w:val="single" w:color="auto" w:sz="4" w:space="0"/>
            </w:tcBorders>
            <w:noWrap w:val="0"/>
            <w:vAlign w:val="center"/>
          </w:tcPr>
          <w:p w14:paraId="50C49555">
            <w:pPr>
              <w:pStyle w:val="17"/>
              <w:adjustRightInd w:val="0"/>
              <w:snapToGrid w:val="0"/>
              <w:spacing w:line="240" w:lineRule="auto"/>
              <w:jc w:val="center"/>
              <w:rPr>
                <w:rFonts w:hint="eastAsia" w:ascii="Times New Roman" w:hAnsi="Times New Roman"/>
                <w:color w:val="000000"/>
                <w:highlight w:val="none"/>
              </w:rPr>
            </w:pPr>
          </w:p>
        </w:tc>
      </w:tr>
      <w:tr w14:paraId="7EF2D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4EE737F">
            <w:pPr>
              <w:widowControl/>
              <w:spacing w:line="240" w:lineRule="auto"/>
              <w:jc w:val="left"/>
              <w:rPr>
                <w:color w:val="000000"/>
                <w:kern w:val="0"/>
                <w:sz w:val="20"/>
                <w:szCs w:val="21"/>
                <w:highlight w:val="none"/>
              </w:rPr>
            </w:pPr>
          </w:p>
        </w:tc>
        <w:tc>
          <w:tcPr>
            <w:tcW w:w="440" w:type="pct"/>
            <w:tcBorders>
              <w:top w:val="single" w:color="auto" w:sz="4" w:space="0"/>
              <w:left w:val="single" w:color="auto" w:sz="4" w:space="0"/>
              <w:bottom w:val="single" w:color="auto" w:sz="4" w:space="0"/>
              <w:right w:val="single" w:color="auto" w:sz="4" w:space="0"/>
            </w:tcBorders>
            <w:noWrap w:val="0"/>
            <w:vAlign w:val="center"/>
          </w:tcPr>
          <w:p w14:paraId="407A84B7">
            <w:pPr>
              <w:pStyle w:val="17"/>
              <w:jc w:val="center"/>
              <w:rPr>
                <w:rFonts w:ascii="Times New Roman" w:hAnsi="Times New Roman"/>
                <w:color w:val="000000"/>
                <w:highlight w:val="none"/>
              </w:rPr>
            </w:pPr>
            <w:r>
              <w:rPr>
                <w:rFonts w:ascii="Times New Roman" w:hAnsi="Times New Roman"/>
                <w:color w:val="000000"/>
                <w:highlight w:val="none"/>
              </w:rPr>
              <w:t>2</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4B63255F">
            <w:pPr>
              <w:pStyle w:val="17"/>
              <w:adjustRightInd w:val="0"/>
              <w:snapToGrid w:val="0"/>
              <w:spacing w:line="240" w:lineRule="auto"/>
              <w:jc w:val="center"/>
              <w:rPr>
                <w:rFonts w:hint="eastAsia" w:ascii="Times New Roman" w:hAnsi="Times New Roman"/>
                <w:color w:val="000000"/>
                <w:highlight w:val="none"/>
                <w:lang w:val="en-US" w:eastAsia="zh-CN"/>
              </w:rPr>
            </w:pPr>
          </w:p>
        </w:tc>
        <w:tc>
          <w:tcPr>
            <w:tcW w:w="744" w:type="pct"/>
            <w:tcBorders>
              <w:top w:val="single" w:color="auto" w:sz="4" w:space="0"/>
              <w:left w:val="single" w:color="auto" w:sz="4" w:space="0"/>
              <w:bottom w:val="single" w:color="auto" w:sz="4" w:space="0"/>
              <w:right w:val="single" w:color="auto" w:sz="4" w:space="0"/>
            </w:tcBorders>
            <w:noWrap w:val="0"/>
            <w:vAlign w:val="center"/>
          </w:tcPr>
          <w:p w14:paraId="69784EAF">
            <w:pPr>
              <w:pStyle w:val="17"/>
              <w:adjustRightInd w:val="0"/>
              <w:snapToGrid w:val="0"/>
              <w:spacing w:line="240" w:lineRule="auto"/>
              <w:jc w:val="center"/>
              <w:rPr>
                <w:rFonts w:hint="eastAsia" w:ascii="Times New Roman" w:hAnsi="Times New Roman"/>
                <w:color w:val="000000"/>
                <w:highlight w:val="none"/>
                <w:lang w:val="en-US" w:eastAsia="zh-CN"/>
              </w:rPr>
            </w:pPr>
          </w:p>
        </w:tc>
        <w:tc>
          <w:tcPr>
            <w:tcW w:w="620" w:type="pct"/>
            <w:tcBorders>
              <w:top w:val="single" w:color="auto" w:sz="4" w:space="0"/>
              <w:left w:val="single" w:color="auto" w:sz="4" w:space="0"/>
              <w:bottom w:val="single" w:color="auto" w:sz="4" w:space="0"/>
              <w:right w:val="single" w:color="auto" w:sz="4" w:space="0"/>
            </w:tcBorders>
            <w:noWrap w:val="0"/>
            <w:vAlign w:val="center"/>
          </w:tcPr>
          <w:p w14:paraId="08E3BDD9">
            <w:pPr>
              <w:pStyle w:val="17"/>
              <w:adjustRightInd w:val="0"/>
              <w:snapToGrid w:val="0"/>
              <w:spacing w:line="240" w:lineRule="auto"/>
              <w:jc w:val="center"/>
              <w:rPr>
                <w:rFonts w:hint="eastAsia" w:ascii="Times New Roman" w:hAnsi="Times New Roman"/>
                <w:color w:val="000000"/>
                <w:highlight w:val="none"/>
                <w:lang w:val="en-US" w:eastAsia="zh-CN"/>
              </w:rPr>
            </w:pPr>
          </w:p>
        </w:tc>
        <w:tc>
          <w:tcPr>
            <w:tcW w:w="1203" w:type="pct"/>
            <w:tcBorders>
              <w:top w:val="single" w:color="auto" w:sz="4" w:space="0"/>
              <w:left w:val="single" w:color="auto" w:sz="4" w:space="0"/>
              <w:bottom w:val="single" w:color="auto" w:sz="4" w:space="0"/>
              <w:right w:val="single" w:color="auto" w:sz="4" w:space="0"/>
            </w:tcBorders>
            <w:noWrap w:val="0"/>
            <w:vAlign w:val="center"/>
          </w:tcPr>
          <w:p w14:paraId="37FB3417">
            <w:pPr>
              <w:pStyle w:val="17"/>
              <w:adjustRightInd w:val="0"/>
              <w:snapToGrid w:val="0"/>
              <w:spacing w:line="240" w:lineRule="auto"/>
              <w:jc w:val="center"/>
              <w:rPr>
                <w:rFonts w:hint="eastAsia" w:ascii="Times New Roman" w:hAnsi="Times New Roman"/>
                <w:color w:val="000000"/>
                <w:highlight w:val="none"/>
                <w:lang w:val="en-US" w:eastAsia="zh-CN"/>
              </w:rPr>
            </w:pPr>
            <w:r>
              <w:rPr>
                <w:rFonts w:hint="eastAsia" w:ascii="Times New Roman" w:hAnsi="Times New Roman"/>
                <w:color w:val="000000"/>
                <w:highlight w:val="none"/>
                <w:lang w:val="en-US" w:eastAsia="zh-CN"/>
              </w:rPr>
              <w:t>以招标文件要求为准</w:t>
            </w:r>
          </w:p>
        </w:tc>
        <w:tc>
          <w:tcPr>
            <w:tcW w:w="798" w:type="pct"/>
            <w:tcBorders>
              <w:top w:val="single" w:color="auto" w:sz="4" w:space="0"/>
              <w:left w:val="single" w:color="auto" w:sz="4" w:space="0"/>
              <w:bottom w:val="single" w:color="auto" w:sz="4" w:space="0"/>
              <w:right w:val="single" w:color="auto" w:sz="4" w:space="0"/>
            </w:tcBorders>
            <w:noWrap w:val="0"/>
            <w:vAlign w:val="center"/>
          </w:tcPr>
          <w:p w14:paraId="56553095">
            <w:pPr>
              <w:pStyle w:val="17"/>
              <w:adjustRightInd w:val="0"/>
              <w:snapToGrid w:val="0"/>
              <w:spacing w:line="240" w:lineRule="auto"/>
              <w:jc w:val="center"/>
              <w:rPr>
                <w:rFonts w:hint="eastAsia" w:ascii="Times New Roman" w:hAnsi="Times New Roman"/>
                <w:color w:val="000000"/>
                <w:highlight w:val="none"/>
                <w:lang w:val="en-US" w:eastAsia="zh-CN"/>
              </w:rPr>
            </w:pPr>
          </w:p>
        </w:tc>
      </w:tr>
      <w:tr w14:paraId="0A4B6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00EDC8A">
            <w:pPr>
              <w:widowControl/>
              <w:spacing w:line="240" w:lineRule="auto"/>
              <w:jc w:val="left"/>
              <w:rPr>
                <w:color w:val="000000"/>
                <w:kern w:val="0"/>
                <w:sz w:val="20"/>
                <w:szCs w:val="21"/>
                <w:highlight w:val="none"/>
              </w:rPr>
            </w:pPr>
          </w:p>
        </w:tc>
        <w:tc>
          <w:tcPr>
            <w:tcW w:w="440" w:type="pct"/>
            <w:tcBorders>
              <w:top w:val="single" w:color="auto" w:sz="4" w:space="0"/>
              <w:left w:val="single" w:color="auto" w:sz="4" w:space="0"/>
              <w:bottom w:val="single" w:color="auto" w:sz="4" w:space="0"/>
              <w:right w:val="single" w:color="auto" w:sz="4" w:space="0"/>
            </w:tcBorders>
            <w:noWrap w:val="0"/>
            <w:vAlign w:val="center"/>
          </w:tcPr>
          <w:p w14:paraId="48890950">
            <w:pPr>
              <w:pStyle w:val="17"/>
              <w:jc w:val="center"/>
              <w:rPr>
                <w:rFonts w:ascii="Times New Roman" w:hAnsi="Times New Roman"/>
                <w:color w:val="000000"/>
                <w:highlight w:val="none"/>
              </w:rPr>
            </w:pPr>
            <w:r>
              <w:rPr>
                <w:rFonts w:hint="eastAsia" w:hAnsi="宋体"/>
                <w:color w:val="000000"/>
                <w:highlight w:val="none"/>
              </w:rPr>
              <w:t>…</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1F90172F">
            <w:pPr>
              <w:pStyle w:val="17"/>
              <w:adjustRightInd w:val="0"/>
              <w:snapToGrid w:val="0"/>
              <w:spacing w:line="240" w:lineRule="auto"/>
              <w:jc w:val="center"/>
              <w:rPr>
                <w:rFonts w:hint="eastAsia" w:ascii="Times New Roman" w:hAnsi="Times New Roman"/>
                <w:color w:val="000000"/>
                <w:highlight w:val="none"/>
                <w:lang w:val="en-US" w:eastAsia="zh-CN"/>
              </w:rPr>
            </w:pPr>
          </w:p>
        </w:tc>
        <w:tc>
          <w:tcPr>
            <w:tcW w:w="744" w:type="pct"/>
            <w:tcBorders>
              <w:top w:val="single" w:color="auto" w:sz="4" w:space="0"/>
              <w:left w:val="single" w:color="auto" w:sz="4" w:space="0"/>
              <w:bottom w:val="single" w:color="auto" w:sz="4" w:space="0"/>
              <w:right w:val="single" w:color="auto" w:sz="4" w:space="0"/>
            </w:tcBorders>
            <w:noWrap w:val="0"/>
            <w:vAlign w:val="center"/>
          </w:tcPr>
          <w:p w14:paraId="1DE3A648">
            <w:pPr>
              <w:pStyle w:val="17"/>
              <w:adjustRightInd w:val="0"/>
              <w:snapToGrid w:val="0"/>
              <w:spacing w:line="240" w:lineRule="auto"/>
              <w:jc w:val="center"/>
              <w:rPr>
                <w:rFonts w:hint="eastAsia" w:ascii="Times New Roman" w:hAnsi="Times New Roman"/>
                <w:color w:val="000000"/>
                <w:highlight w:val="none"/>
                <w:lang w:val="en-US" w:eastAsia="zh-CN"/>
              </w:rPr>
            </w:pPr>
          </w:p>
        </w:tc>
        <w:tc>
          <w:tcPr>
            <w:tcW w:w="620" w:type="pct"/>
            <w:tcBorders>
              <w:top w:val="single" w:color="auto" w:sz="4" w:space="0"/>
              <w:left w:val="single" w:color="auto" w:sz="4" w:space="0"/>
              <w:bottom w:val="single" w:color="auto" w:sz="4" w:space="0"/>
              <w:right w:val="single" w:color="auto" w:sz="4" w:space="0"/>
            </w:tcBorders>
            <w:noWrap w:val="0"/>
            <w:vAlign w:val="center"/>
          </w:tcPr>
          <w:p w14:paraId="41D7B343">
            <w:pPr>
              <w:pStyle w:val="17"/>
              <w:adjustRightInd w:val="0"/>
              <w:snapToGrid w:val="0"/>
              <w:spacing w:line="240" w:lineRule="auto"/>
              <w:jc w:val="center"/>
              <w:rPr>
                <w:rFonts w:hint="eastAsia" w:ascii="Times New Roman" w:hAnsi="Times New Roman"/>
                <w:color w:val="000000"/>
                <w:highlight w:val="none"/>
                <w:lang w:val="en-US" w:eastAsia="zh-CN"/>
              </w:rPr>
            </w:pPr>
          </w:p>
        </w:tc>
        <w:tc>
          <w:tcPr>
            <w:tcW w:w="1203" w:type="pct"/>
            <w:tcBorders>
              <w:top w:val="single" w:color="auto" w:sz="4" w:space="0"/>
              <w:left w:val="single" w:color="auto" w:sz="4" w:space="0"/>
              <w:bottom w:val="single" w:color="auto" w:sz="4" w:space="0"/>
              <w:right w:val="single" w:color="auto" w:sz="4" w:space="0"/>
            </w:tcBorders>
            <w:noWrap w:val="0"/>
            <w:vAlign w:val="center"/>
          </w:tcPr>
          <w:p w14:paraId="17FE9964">
            <w:pPr>
              <w:pStyle w:val="17"/>
              <w:adjustRightInd w:val="0"/>
              <w:snapToGrid w:val="0"/>
              <w:spacing w:line="240" w:lineRule="auto"/>
              <w:jc w:val="center"/>
              <w:rPr>
                <w:rFonts w:hint="eastAsia" w:ascii="Times New Roman" w:hAnsi="Times New Roman"/>
                <w:color w:val="000000"/>
                <w:highlight w:val="none"/>
                <w:lang w:val="en-US" w:eastAsia="zh-CN"/>
              </w:rPr>
            </w:pPr>
            <w:r>
              <w:rPr>
                <w:rFonts w:hint="eastAsia" w:ascii="Times New Roman" w:hAnsi="Times New Roman"/>
                <w:color w:val="000000"/>
                <w:highlight w:val="none"/>
                <w:lang w:val="en-US" w:eastAsia="zh-CN"/>
              </w:rPr>
              <w:t>以招标文件要求为准</w:t>
            </w:r>
          </w:p>
        </w:tc>
        <w:tc>
          <w:tcPr>
            <w:tcW w:w="798" w:type="pct"/>
            <w:tcBorders>
              <w:top w:val="single" w:color="auto" w:sz="4" w:space="0"/>
              <w:left w:val="single" w:color="auto" w:sz="4" w:space="0"/>
              <w:bottom w:val="single" w:color="auto" w:sz="4" w:space="0"/>
              <w:right w:val="single" w:color="auto" w:sz="4" w:space="0"/>
            </w:tcBorders>
            <w:noWrap w:val="0"/>
            <w:vAlign w:val="center"/>
          </w:tcPr>
          <w:p w14:paraId="1074CBB9">
            <w:pPr>
              <w:pStyle w:val="17"/>
              <w:adjustRightInd w:val="0"/>
              <w:snapToGrid w:val="0"/>
              <w:spacing w:line="240" w:lineRule="auto"/>
              <w:jc w:val="center"/>
              <w:rPr>
                <w:rFonts w:hint="eastAsia" w:ascii="Times New Roman" w:hAnsi="Times New Roman"/>
                <w:color w:val="000000"/>
                <w:highlight w:val="none"/>
                <w:lang w:val="en-US" w:eastAsia="zh-CN"/>
              </w:rPr>
            </w:pPr>
          </w:p>
        </w:tc>
      </w:tr>
      <w:tr w14:paraId="14DA7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tcBorders>
              <w:top w:val="single" w:color="auto" w:sz="4" w:space="0"/>
              <w:left w:val="single" w:color="auto" w:sz="4" w:space="0"/>
              <w:right w:val="single" w:color="auto" w:sz="4" w:space="0"/>
            </w:tcBorders>
            <w:noWrap w:val="0"/>
            <w:vAlign w:val="center"/>
          </w:tcPr>
          <w:p w14:paraId="77B07467">
            <w:pPr>
              <w:widowControl/>
              <w:spacing w:line="240" w:lineRule="auto"/>
              <w:jc w:val="center"/>
              <w:rPr>
                <w:rFonts w:hint="eastAsia"/>
                <w:b/>
                <w:bCs/>
                <w:color w:val="000000"/>
                <w:kern w:val="0"/>
                <w:sz w:val="20"/>
                <w:szCs w:val="21"/>
                <w:highlight w:val="none"/>
              </w:rPr>
            </w:pPr>
            <w:r>
              <w:rPr>
                <w:rFonts w:hint="eastAsia"/>
                <w:b/>
                <w:bCs/>
                <w:color w:val="000000"/>
                <w:kern w:val="0"/>
                <w:sz w:val="20"/>
                <w:szCs w:val="21"/>
                <w:highlight w:val="none"/>
              </w:rPr>
              <w:t>价格构成项目</w:t>
            </w:r>
          </w:p>
        </w:tc>
        <w:tc>
          <w:tcPr>
            <w:tcW w:w="440" w:type="pct"/>
            <w:tcBorders>
              <w:top w:val="single" w:color="auto" w:sz="4" w:space="0"/>
              <w:left w:val="single" w:color="auto" w:sz="4" w:space="0"/>
              <w:bottom w:val="single" w:color="auto" w:sz="4" w:space="0"/>
              <w:right w:val="single" w:color="auto" w:sz="4" w:space="0"/>
            </w:tcBorders>
            <w:noWrap w:val="0"/>
            <w:vAlign w:val="center"/>
          </w:tcPr>
          <w:p w14:paraId="70EBFAD2">
            <w:pPr>
              <w:pStyle w:val="17"/>
              <w:jc w:val="center"/>
              <w:rPr>
                <w:rFonts w:hint="default" w:hAnsi="宋体"/>
                <w:b/>
                <w:bCs/>
                <w:color w:val="000000"/>
                <w:highlight w:val="none"/>
                <w:lang w:val="en-US" w:eastAsia="zh-CN"/>
              </w:rPr>
            </w:pPr>
            <w:r>
              <w:rPr>
                <w:rFonts w:hint="eastAsia" w:hAnsi="宋体"/>
                <w:b/>
                <w:bCs/>
                <w:color w:val="000000"/>
                <w:highlight w:val="none"/>
                <w:lang w:val="en-US" w:eastAsia="zh-CN"/>
              </w:rPr>
              <w:t>序号</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20713F1B">
            <w:pPr>
              <w:pStyle w:val="17"/>
              <w:adjustRightInd w:val="0"/>
              <w:snapToGrid w:val="0"/>
              <w:spacing w:line="240" w:lineRule="auto"/>
              <w:jc w:val="center"/>
              <w:rPr>
                <w:rFonts w:hint="default" w:ascii="Times New Roman" w:hAnsi="Times New Roman"/>
                <w:b/>
                <w:bCs/>
                <w:color w:val="000000"/>
                <w:highlight w:val="none"/>
                <w:lang w:val="en-US" w:eastAsia="zh-CN"/>
              </w:rPr>
            </w:pPr>
            <w:r>
              <w:rPr>
                <w:rFonts w:hint="eastAsia" w:ascii="Times New Roman" w:hAnsi="Times New Roman"/>
                <w:b/>
                <w:bCs/>
                <w:color w:val="000000"/>
                <w:highlight w:val="none"/>
                <w:lang w:val="en-US" w:eastAsia="zh-CN"/>
              </w:rPr>
              <w:t>名称</w:t>
            </w:r>
          </w:p>
        </w:tc>
        <w:tc>
          <w:tcPr>
            <w:tcW w:w="2567" w:type="pct"/>
            <w:gridSpan w:val="3"/>
            <w:tcBorders>
              <w:top w:val="single" w:color="auto" w:sz="4" w:space="0"/>
              <w:left w:val="single" w:color="auto" w:sz="4" w:space="0"/>
              <w:bottom w:val="single" w:color="auto" w:sz="4" w:space="0"/>
              <w:right w:val="single" w:color="auto" w:sz="4" w:space="0"/>
            </w:tcBorders>
            <w:noWrap w:val="0"/>
            <w:vAlign w:val="center"/>
          </w:tcPr>
          <w:p w14:paraId="4BEF7B61">
            <w:pPr>
              <w:pStyle w:val="17"/>
              <w:adjustRightInd w:val="0"/>
              <w:snapToGrid w:val="0"/>
              <w:spacing w:line="240" w:lineRule="auto"/>
              <w:jc w:val="center"/>
              <w:rPr>
                <w:rFonts w:hint="default" w:ascii="Times New Roman" w:hAnsi="Times New Roman"/>
                <w:b/>
                <w:bCs/>
                <w:color w:val="000000"/>
                <w:highlight w:val="none"/>
                <w:lang w:val="en-US" w:eastAsia="zh-CN"/>
              </w:rPr>
            </w:pPr>
            <w:r>
              <w:rPr>
                <w:rFonts w:hint="eastAsia" w:ascii="Times New Roman" w:hAnsi="Times New Roman"/>
                <w:b/>
                <w:bCs/>
                <w:color w:val="000000"/>
                <w:highlight w:val="none"/>
                <w:lang w:val="en-US" w:eastAsia="zh-CN"/>
              </w:rPr>
              <w:t>费率</w:t>
            </w:r>
          </w:p>
        </w:tc>
        <w:tc>
          <w:tcPr>
            <w:tcW w:w="798" w:type="pct"/>
            <w:tcBorders>
              <w:top w:val="single" w:color="auto" w:sz="4" w:space="0"/>
              <w:left w:val="single" w:color="auto" w:sz="4" w:space="0"/>
              <w:right w:val="single" w:color="auto" w:sz="4" w:space="0"/>
            </w:tcBorders>
            <w:noWrap w:val="0"/>
            <w:vAlign w:val="center"/>
          </w:tcPr>
          <w:p w14:paraId="029D4837">
            <w:pPr>
              <w:pStyle w:val="17"/>
              <w:adjustRightInd w:val="0"/>
              <w:snapToGrid w:val="0"/>
              <w:spacing w:line="240" w:lineRule="auto"/>
              <w:jc w:val="center"/>
              <w:rPr>
                <w:rFonts w:hint="default" w:ascii="Times New Roman" w:hAnsi="Times New Roman"/>
                <w:b/>
                <w:bCs/>
                <w:color w:val="000000"/>
                <w:highlight w:val="none"/>
                <w:lang w:val="en-US" w:eastAsia="zh-CN"/>
              </w:rPr>
            </w:pPr>
            <w:r>
              <w:rPr>
                <w:rFonts w:hint="eastAsia" w:ascii="Times New Roman" w:hAnsi="Times New Roman"/>
                <w:b/>
                <w:bCs/>
                <w:color w:val="000000"/>
                <w:highlight w:val="none"/>
                <w:lang w:val="en-US" w:eastAsia="zh-CN"/>
              </w:rPr>
              <w:t>备注</w:t>
            </w:r>
          </w:p>
        </w:tc>
      </w:tr>
      <w:tr w14:paraId="31C50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vMerge w:val="restart"/>
            <w:tcBorders>
              <w:top w:val="single" w:color="auto" w:sz="4" w:space="0"/>
              <w:left w:val="single" w:color="auto" w:sz="4" w:space="0"/>
              <w:right w:val="single" w:color="auto" w:sz="4" w:space="0"/>
            </w:tcBorders>
            <w:noWrap w:val="0"/>
            <w:vAlign w:val="center"/>
          </w:tcPr>
          <w:p w14:paraId="29032789">
            <w:pPr>
              <w:widowControl/>
              <w:spacing w:line="240" w:lineRule="auto"/>
              <w:jc w:val="center"/>
              <w:rPr>
                <w:color w:val="000000"/>
                <w:kern w:val="0"/>
                <w:sz w:val="20"/>
                <w:szCs w:val="21"/>
                <w:highlight w:val="none"/>
              </w:rPr>
            </w:pPr>
            <w:r>
              <w:rPr>
                <w:rFonts w:hint="eastAsia"/>
                <w:color w:val="000000"/>
                <w:kern w:val="0"/>
                <w:sz w:val="20"/>
                <w:szCs w:val="21"/>
                <w:highlight w:val="none"/>
              </w:rPr>
              <w:t>合理</w:t>
            </w:r>
            <w:r>
              <w:rPr>
                <w:rFonts w:hint="eastAsia"/>
                <w:color w:val="000000"/>
                <w:kern w:val="0"/>
                <w:sz w:val="20"/>
                <w:szCs w:val="21"/>
                <w:highlight w:val="none"/>
                <w:lang w:eastAsia="zh-CN"/>
              </w:rPr>
              <w:t>费</w:t>
            </w:r>
            <w:r>
              <w:rPr>
                <w:rFonts w:hint="eastAsia"/>
                <w:color w:val="000000"/>
                <w:kern w:val="0"/>
                <w:sz w:val="20"/>
                <w:szCs w:val="21"/>
                <w:highlight w:val="none"/>
              </w:rPr>
              <w:t>率</w:t>
            </w:r>
          </w:p>
        </w:tc>
        <w:tc>
          <w:tcPr>
            <w:tcW w:w="440" w:type="pct"/>
            <w:tcBorders>
              <w:top w:val="single" w:color="auto" w:sz="4" w:space="0"/>
              <w:left w:val="single" w:color="auto" w:sz="4" w:space="0"/>
              <w:bottom w:val="single" w:color="auto" w:sz="4" w:space="0"/>
              <w:right w:val="single" w:color="auto" w:sz="4" w:space="0"/>
            </w:tcBorders>
            <w:noWrap w:val="0"/>
            <w:vAlign w:val="center"/>
          </w:tcPr>
          <w:p w14:paraId="0284A75F">
            <w:pPr>
              <w:pStyle w:val="17"/>
              <w:jc w:val="center"/>
              <w:rPr>
                <w:rFonts w:hint="eastAsia" w:hAnsi="宋体" w:eastAsia="宋体"/>
                <w:color w:val="000000"/>
                <w:highlight w:val="none"/>
                <w:lang w:val="en-US" w:eastAsia="zh-CN"/>
              </w:rPr>
            </w:pPr>
            <w:r>
              <w:rPr>
                <w:rFonts w:hint="eastAsia" w:hAnsi="宋体"/>
                <w:color w:val="000000"/>
                <w:highlight w:val="none"/>
                <w:lang w:val="en-US" w:eastAsia="zh-CN"/>
              </w:rPr>
              <w:t>1</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557CA2A0">
            <w:pPr>
              <w:pStyle w:val="17"/>
              <w:adjustRightInd w:val="0"/>
              <w:snapToGrid w:val="0"/>
              <w:spacing w:line="240" w:lineRule="auto"/>
              <w:jc w:val="center"/>
              <w:rPr>
                <w:rFonts w:hint="eastAsia" w:ascii="Times New Roman" w:hAnsi="Times New Roman"/>
                <w:color w:val="000000"/>
                <w:highlight w:val="none"/>
                <w:lang w:val="en-US" w:eastAsia="zh-CN"/>
              </w:rPr>
            </w:pPr>
            <w:r>
              <w:rPr>
                <w:rFonts w:hint="eastAsia" w:ascii="Times New Roman" w:hAnsi="Times New Roman"/>
                <w:color w:val="000000"/>
                <w:highlight w:val="none"/>
                <w:lang w:val="en-US" w:eastAsia="zh-CN"/>
              </w:rPr>
              <w:t>合理损耗费率</w:t>
            </w:r>
          </w:p>
        </w:tc>
        <w:tc>
          <w:tcPr>
            <w:tcW w:w="2567" w:type="pct"/>
            <w:gridSpan w:val="3"/>
            <w:tcBorders>
              <w:top w:val="single" w:color="auto" w:sz="4" w:space="0"/>
              <w:left w:val="single" w:color="auto" w:sz="4" w:space="0"/>
              <w:bottom w:val="single" w:color="auto" w:sz="4" w:space="0"/>
              <w:right w:val="single" w:color="auto" w:sz="4" w:space="0"/>
            </w:tcBorders>
            <w:noWrap w:val="0"/>
            <w:vAlign w:val="center"/>
          </w:tcPr>
          <w:p w14:paraId="25D94D53">
            <w:pPr>
              <w:pStyle w:val="17"/>
              <w:adjustRightInd w:val="0"/>
              <w:snapToGrid w:val="0"/>
              <w:spacing w:line="240" w:lineRule="auto"/>
              <w:jc w:val="center"/>
              <w:rPr>
                <w:rFonts w:hint="eastAsia" w:ascii="Times New Roman" w:hAnsi="Times New Roman"/>
                <w:color w:val="000000"/>
                <w:highlight w:val="none"/>
                <w:lang w:val="en-US" w:eastAsia="zh-CN"/>
              </w:rPr>
            </w:pPr>
          </w:p>
        </w:tc>
        <w:tc>
          <w:tcPr>
            <w:tcW w:w="798" w:type="pct"/>
            <w:vMerge w:val="restart"/>
            <w:tcBorders>
              <w:top w:val="single" w:color="auto" w:sz="4" w:space="0"/>
              <w:left w:val="single" w:color="auto" w:sz="4" w:space="0"/>
              <w:right w:val="single" w:color="auto" w:sz="4" w:space="0"/>
            </w:tcBorders>
            <w:noWrap w:val="0"/>
            <w:vAlign w:val="center"/>
          </w:tcPr>
          <w:p w14:paraId="28EC5A5B">
            <w:pPr>
              <w:pStyle w:val="17"/>
              <w:adjustRightInd w:val="0"/>
              <w:snapToGrid w:val="0"/>
              <w:spacing w:line="240" w:lineRule="auto"/>
              <w:jc w:val="center"/>
              <w:rPr>
                <w:rFonts w:hint="eastAsia" w:ascii="Times New Roman" w:hAnsi="Times New Roman"/>
                <w:color w:val="000000"/>
                <w:highlight w:val="none"/>
                <w:lang w:val="en-US" w:eastAsia="zh-CN"/>
              </w:rPr>
            </w:pPr>
          </w:p>
        </w:tc>
      </w:tr>
      <w:tr w14:paraId="23CBF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vMerge w:val="continue"/>
            <w:tcBorders>
              <w:left w:val="single" w:color="auto" w:sz="4" w:space="0"/>
              <w:right w:val="single" w:color="auto" w:sz="4" w:space="0"/>
            </w:tcBorders>
            <w:noWrap w:val="0"/>
            <w:vAlign w:val="center"/>
          </w:tcPr>
          <w:p w14:paraId="621902BF">
            <w:pPr>
              <w:widowControl/>
              <w:spacing w:line="240" w:lineRule="auto"/>
              <w:jc w:val="left"/>
              <w:rPr>
                <w:color w:val="000000"/>
                <w:kern w:val="0"/>
                <w:sz w:val="20"/>
                <w:szCs w:val="21"/>
                <w:highlight w:val="none"/>
              </w:rPr>
            </w:pPr>
          </w:p>
        </w:tc>
        <w:tc>
          <w:tcPr>
            <w:tcW w:w="440" w:type="pct"/>
            <w:tcBorders>
              <w:top w:val="single" w:color="auto" w:sz="4" w:space="0"/>
              <w:left w:val="single" w:color="auto" w:sz="4" w:space="0"/>
              <w:bottom w:val="single" w:color="auto" w:sz="4" w:space="0"/>
              <w:right w:val="single" w:color="auto" w:sz="4" w:space="0"/>
            </w:tcBorders>
            <w:noWrap w:val="0"/>
            <w:vAlign w:val="center"/>
          </w:tcPr>
          <w:p w14:paraId="090DDF30">
            <w:pPr>
              <w:pStyle w:val="17"/>
              <w:jc w:val="center"/>
              <w:rPr>
                <w:rFonts w:hint="eastAsia" w:hAnsi="宋体" w:eastAsia="宋体"/>
                <w:color w:val="000000"/>
                <w:highlight w:val="none"/>
                <w:lang w:val="en-US" w:eastAsia="zh-CN"/>
              </w:rPr>
            </w:pPr>
            <w:r>
              <w:rPr>
                <w:rFonts w:hint="eastAsia" w:hAnsi="宋体"/>
                <w:color w:val="000000"/>
                <w:highlight w:val="none"/>
                <w:lang w:val="en-US" w:eastAsia="zh-CN"/>
              </w:rPr>
              <w:t>2</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6B567CF5">
            <w:pPr>
              <w:pStyle w:val="17"/>
              <w:adjustRightInd w:val="0"/>
              <w:snapToGrid w:val="0"/>
              <w:spacing w:line="240" w:lineRule="auto"/>
              <w:jc w:val="center"/>
              <w:rPr>
                <w:rFonts w:hint="eastAsia" w:ascii="Times New Roman" w:hAnsi="Times New Roman"/>
                <w:color w:val="000000"/>
                <w:highlight w:val="none"/>
                <w:lang w:val="en-US" w:eastAsia="zh-CN"/>
              </w:rPr>
            </w:pPr>
            <w:r>
              <w:rPr>
                <w:rFonts w:hint="eastAsia" w:ascii="Times New Roman" w:hAnsi="Times New Roman"/>
                <w:color w:val="000000"/>
                <w:highlight w:val="none"/>
                <w:lang w:val="en-US" w:eastAsia="zh-CN"/>
              </w:rPr>
              <w:t>分拣、加工费率</w:t>
            </w:r>
          </w:p>
        </w:tc>
        <w:tc>
          <w:tcPr>
            <w:tcW w:w="2567" w:type="pct"/>
            <w:gridSpan w:val="3"/>
            <w:tcBorders>
              <w:top w:val="single" w:color="auto" w:sz="4" w:space="0"/>
              <w:left w:val="single" w:color="auto" w:sz="4" w:space="0"/>
              <w:bottom w:val="single" w:color="auto" w:sz="4" w:space="0"/>
              <w:right w:val="single" w:color="auto" w:sz="4" w:space="0"/>
            </w:tcBorders>
            <w:noWrap w:val="0"/>
            <w:vAlign w:val="center"/>
          </w:tcPr>
          <w:p w14:paraId="0129E3DC">
            <w:pPr>
              <w:pStyle w:val="17"/>
              <w:adjustRightInd w:val="0"/>
              <w:snapToGrid w:val="0"/>
              <w:spacing w:line="240" w:lineRule="auto"/>
              <w:jc w:val="center"/>
              <w:rPr>
                <w:rFonts w:hint="eastAsia" w:ascii="Times New Roman" w:hAnsi="Times New Roman"/>
                <w:color w:val="000000"/>
                <w:highlight w:val="none"/>
                <w:lang w:val="en-US" w:eastAsia="zh-CN"/>
              </w:rPr>
            </w:pPr>
          </w:p>
        </w:tc>
        <w:tc>
          <w:tcPr>
            <w:tcW w:w="798" w:type="pct"/>
            <w:vMerge w:val="continue"/>
            <w:tcBorders>
              <w:left w:val="single" w:color="auto" w:sz="4" w:space="0"/>
              <w:right w:val="single" w:color="auto" w:sz="4" w:space="0"/>
            </w:tcBorders>
            <w:noWrap w:val="0"/>
            <w:vAlign w:val="center"/>
          </w:tcPr>
          <w:p w14:paraId="724FB2D7">
            <w:pPr>
              <w:pStyle w:val="17"/>
              <w:adjustRightInd w:val="0"/>
              <w:snapToGrid w:val="0"/>
              <w:spacing w:line="240" w:lineRule="auto"/>
              <w:jc w:val="center"/>
              <w:rPr>
                <w:rFonts w:hint="eastAsia" w:ascii="Times New Roman" w:hAnsi="Times New Roman"/>
                <w:color w:val="000000"/>
                <w:highlight w:val="none"/>
                <w:lang w:val="en-US" w:eastAsia="zh-CN"/>
              </w:rPr>
            </w:pPr>
          </w:p>
        </w:tc>
      </w:tr>
      <w:tr w14:paraId="40DA9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vMerge w:val="continue"/>
            <w:tcBorders>
              <w:left w:val="single" w:color="auto" w:sz="4" w:space="0"/>
              <w:right w:val="single" w:color="auto" w:sz="4" w:space="0"/>
            </w:tcBorders>
            <w:noWrap w:val="0"/>
            <w:vAlign w:val="center"/>
          </w:tcPr>
          <w:p w14:paraId="42DA209B">
            <w:pPr>
              <w:widowControl/>
              <w:spacing w:line="240" w:lineRule="auto"/>
              <w:jc w:val="left"/>
              <w:rPr>
                <w:color w:val="000000"/>
                <w:kern w:val="0"/>
                <w:sz w:val="20"/>
                <w:szCs w:val="21"/>
                <w:highlight w:val="none"/>
              </w:rPr>
            </w:pPr>
          </w:p>
        </w:tc>
        <w:tc>
          <w:tcPr>
            <w:tcW w:w="440" w:type="pct"/>
            <w:tcBorders>
              <w:top w:val="single" w:color="auto" w:sz="4" w:space="0"/>
              <w:left w:val="single" w:color="auto" w:sz="4" w:space="0"/>
              <w:bottom w:val="single" w:color="auto" w:sz="4" w:space="0"/>
              <w:right w:val="single" w:color="auto" w:sz="4" w:space="0"/>
            </w:tcBorders>
            <w:noWrap w:val="0"/>
            <w:vAlign w:val="center"/>
          </w:tcPr>
          <w:p w14:paraId="64DE28AA">
            <w:pPr>
              <w:pStyle w:val="17"/>
              <w:jc w:val="center"/>
              <w:rPr>
                <w:rFonts w:hint="eastAsia" w:hAnsi="宋体" w:eastAsia="宋体"/>
                <w:color w:val="000000"/>
                <w:highlight w:val="none"/>
                <w:lang w:val="en-US" w:eastAsia="zh-CN"/>
              </w:rPr>
            </w:pPr>
            <w:r>
              <w:rPr>
                <w:rFonts w:hint="eastAsia" w:hAnsi="宋体"/>
                <w:color w:val="000000"/>
                <w:highlight w:val="none"/>
                <w:lang w:val="en-US" w:eastAsia="zh-CN"/>
              </w:rPr>
              <w:t>3</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6CE44A97">
            <w:pPr>
              <w:pStyle w:val="17"/>
              <w:adjustRightInd w:val="0"/>
              <w:snapToGrid w:val="0"/>
              <w:spacing w:line="240" w:lineRule="auto"/>
              <w:jc w:val="center"/>
              <w:rPr>
                <w:rFonts w:hint="eastAsia" w:ascii="Times New Roman" w:hAnsi="Times New Roman"/>
                <w:color w:val="000000"/>
                <w:highlight w:val="none"/>
                <w:lang w:val="en-US" w:eastAsia="zh-CN"/>
              </w:rPr>
            </w:pPr>
            <w:r>
              <w:rPr>
                <w:rFonts w:hint="eastAsia" w:ascii="Times New Roman" w:hAnsi="Times New Roman"/>
                <w:color w:val="000000"/>
                <w:highlight w:val="none"/>
                <w:lang w:val="en-US" w:eastAsia="zh-CN"/>
              </w:rPr>
              <w:t>运输、装卸费率</w:t>
            </w:r>
          </w:p>
        </w:tc>
        <w:tc>
          <w:tcPr>
            <w:tcW w:w="2567" w:type="pct"/>
            <w:gridSpan w:val="3"/>
            <w:tcBorders>
              <w:top w:val="single" w:color="auto" w:sz="4" w:space="0"/>
              <w:left w:val="single" w:color="auto" w:sz="4" w:space="0"/>
              <w:bottom w:val="single" w:color="auto" w:sz="4" w:space="0"/>
              <w:right w:val="single" w:color="auto" w:sz="4" w:space="0"/>
            </w:tcBorders>
            <w:noWrap w:val="0"/>
            <w:vAlign w:val="center"/>
          </w:tcPr>
          <w:p w14:paraId="765E9569">
            <w:pPr>
              <w:pStyle w:val="17"/>
              <w:adjustRightInd w:val="0"/>
              <w:snapToGrid w:val="0"/>
              <w:spacing w:line="240" w:lineRule="auto"/>
              <w:jc w:val="center"/>
              <w:rPr>
                <w:rFonts w:hint="eastAsia" w:ascii="Times New Roman" w:hAnsi="Times New Roman"/>
                <w:color w:val="000000"/>
                <w:highlight w:val="none"/>
                <w:lang w:val="en-US" w:eastAsia="zh-CN"/>
              </w:rPr>
            </w:pPr>
          </w:p>
        </w:tc>
        <w:tc>
          <w:tcPr>
            <w:tcW w:w="798" w:type="pct"/>
            <w:vMerge w:val="continue"/>
            <w:tcBorders>
              <w:left w:val="single" w:color="auto" w:sz="4" w:space="0"/>
              <w:right w:val="single" w:color="auto" w:sz="4" w:space="0"/>
            </w:tcBorders>
            <w:noWrap w:val="0"/>
            <w:vAlign w:val="center"/>
          </w:tcPr>
          <w:p w14:paraId="226FF970">
            <w:pPr>
              <w:pStyle w:val="17"/>
              <w:adjustRightInd w:val="0"/>
              <w:snapToGrid w:val="0"/>
              <w:spacing w:line="240" w:lineRule="auto"/>
              <w:jc w:val="center"/>
              <w:rPr>
                <w:rFonts w:hint="eastAsia" w:ascii="Times New Roman" w:hAnsi="Times New Roman"/>
                <w:color w:val="000000"/>
                <w:highlight w:val="none"/>
                <w:lang w:val="en-US" w:eastAsia="zh-CN"/>
              </w:rPr>
            </w:pPr>
          </w:p>
        </w:tc>
      </w:tr>
      <w:tr w14:paraId="43A0C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vMerge w:val="continue"/>
            <w:tcBorders>
              <w:left w:val="single" w:color="auto" w:sz="4" w:space="0"/>
              <w:right w:val="single" w:color="auto" w:sz="4" w:space="0"/>
            </w:tcBorders>
            <w:noWrap w:val="0"/>
            <w:vAlign w:val="center"/>
          </w:tcPr>
          <w:p w14:paraId="60C49EF5">
            <w:pPr>
              <w:widowControl/>
              <w:spacing w:line="240" w:lineRule="auto"/>
              <w:jc w:val="left"/>
              <w:rPr>
                <w:color w:val="000000"/>
                <w:kern w:val="0"/>
                <w:sz w:val="20"/>
                <w:szCs w:val="21"/>
                <w:highlight w:val="none"/>
              </w:rPr>
            </w:pPr>
          </w:p>
        </w:tc>
        <w:tc>
          <w:tcPr>
            <w:tcW w:w="440" w:type="pct"/>
            <w:tcBorders>
              <w:top w:val="single" w:color="auto" w:sz="4" w:space="0"/>
              <w:left w:val="single" w:color="auto" w:sz="4" w:space="0"/>
              <w:bottom w:val="single" w:color="auto" w:sz="4" w:space="0"/>
              <w:right w:val="single" w:color="auto" w:sz="4" w:space="0"/>
            </w:tcBorders>
            <w:noWrap w:val="0"/>
            <w:vAlign w:val="center"/>
          </w:tcPr>
          <w:p w14:paraId="099B8312">
            <w:pPr>
              <w:pStyle w:val="17"/>
              <w:jc w:val="center"/>
              <w:rPr>
                <w:rFonts w:hint="eastAsia" w:hAnsi="宋体" w:eastAsia="宋体"/>
                <w:color w:val="000000"/>
                <w:highlight w:val="none"/>
                <w:lang w:val="en-US" w:eastAsia="zh-CN"/>
              </w:rPr>
            </w:pPr>
            <w:r>
              <w:rPr>
                <w:rFonts w:hint="eastAsia" w:hAnsi="宋体"/>
                <w:color w:val="000000"/>
                <w:highlight w:val="none"/>
                <w:lang w:val="en-US" w:eastAsia="zh-CN"/>
              </w:rPr>
              <w:t>4</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64E08DDB">
            <w:pPr>
              <w:pStyle w:val="17"/>
              <w:adjustRightInd w:val="0"/>
              <w:snapToGrid w:val="0"/>
              <w:spacing w:line="240" w:lineRule="auto"/>
              <w:jc w:val="center"/>
              <w:rPr>
                <w:rFonts w:hint="eastAsia" w:ascii="Times New Roman" w:hAnsi="Times New Roman"/>
                <w:color w:val="000000"/>
                <w:highlight w:val="none"/>
                <w:lang w:val="en-US" w:eastAsia="zh-CN"/>
              </w:rPr>
            </w:pPr>
            <w:r>
              <w:rPr>
                <w:rFonts w:hint="eastAsia" w:ascii="Times New Roman" w:hAnsi="Times New Roman"/>
                <w:color w:val="000000"/>
                <w:highlight w:val="none"/>
                <w:lang w:val="en-US" w:eastAsia="zh-CN"/>
              </w:rPr>
              <w:t>保险费率</w:t>
            </w:r>
          </w:p>
        </w:tc>
        <w:tc>
          <w:tcPr>
            <w:tcW w:w="2567" w:type="pct"/>
            <w:gridSpan w:val="3"/>
            <w:tcBorders>
              <w:top w:val="single" w:color="auto" w:sz="4" w:space="0"/>
              <w:left w:val="single" w:color="auto" w:sz="4" w:space="0"/>
              <w:bottom w:val="single" w:color="auto" w:sz="4" w:space="0"/>
              <w:right w:val="single" w:color="auto" w:sz="4" w:space="0"/>
            </w:tcBorders>
            <w:noWrap w:val="0"/>
            <w:vAlign w:val="center"/>
          </w:tcPr>
          <w:p w14:paraId="7C6146BD">
            <w:pPr>
              <w:pStyle w:val="17"/>
              <w:adjustRightInd w:val="0"/>
              <w:snapToGrid w:val="0"/>
              <w:spacing w:line="240" w:lineRule="auto"/>
              <w:jc w:val="center"/>
              <w:rPr>
                <w:rFonts w:hint="eastAsia" w:ascii="Times New Roman" w:hAnsi="Times New Roman"/>
                <w:color w:val="000000"/>
                <w:highlight w:val="none"/>
                <w:lang w:val="en-US" w:eastAsia="zh-CN"/>
              </w:rPr>
            </w:pPr>
          </w:p>
        </w:tc>
        <w:tc>
          <w:tcPr>
            <w:tcW w:w="798" w:type="pct"/>
            <w:vMerge w:val="continue"/>
            <w:tcBorders>
              <w:left w:val="single" w:color="auto" w:sz="4" w:space="0"/>
              <w:right w:val="single" w:color="auto" w:sz="4" w:space="0"/>
            </w:tcBorders>
            <w:noWrap w:val="0"/>
            <w:vAlign w:val="center"/>
          </w:tcPr>
          <w:p w14:paraId="65C5959E">
            <w:pPr>
              <w:pStyle w:val="17"/>
              <w:adjustRightInd w:val="0"/>
              <w:snapToGrid w:val="0"/>
              <w:spacing w:line="240" w:lineRule="auto"/>
              <w:jc w:val="center"/>
              <w:rPr>
                <w:rFonts w:hint="eastAsia" w:ascii="Times New Roman" w:hAnsi="Times New Roman"/>
                <w:color w:val="000000"/>
                <w:highlight w:val="none"/>
                <w:lang w:val="en-US" w:eastAsia="zh-CN"/>
              </w:rPr>
            </w:pPr>
          </w:p>
        </w:tc>
      </w:tr>
      <w:tr w14:paraId="2851F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vMerge w:val="continue"/>
            <w:tcBorders>
              <w:left w:val="single" w:color="auto" w:sz="4" w:space="0"/>
              <w:right w:val="single" w:color="auto" w:sz="4" w:space="0"/>
            </w:tcBorders>
            <w:noWrap w:val="0"/>
            <w:vAlign w:val="center"/>
          </w:tcPr>
          <w:p w14:paraId="27C95BAD">
            <w:pPr>
              <w:widowControl/>
              <w:spacing w:line="240" w:lineRule="auto"/>
              <w:jc w:val="left"/>
              <w:rPr>
                <w:color w:val="000000"/>
                <w:kern w:val="0"/>
                <w:sz w:val="20"/>
                <w:szCs w:val="21"/>
                <w:highlight w:val="none"/>
              </w:rPr>
            </w:pPr>
          </w:p>
        </w:tc>
        <w:tc>
          <w:tcPr>
            <w:tcW w:w="440" w:type="pct"/>
            <w:tcBorders>
              <w:top w:val="single" w:color="auto" w:sz="4" w:space="0"/>
              <w:left w:val="single" w:color="auto" w:sz="4" w:space="0"/>
              <w:bottom w:val="single" w:color="auto" w:sz="4" w:space="0"/>
              <w:right w:val="single" w:color="auto" w:sz="4" w:space="0"/>
            </w:tcBorders>
            <w:noWrap w:val="0"/>
            <w:vAlign w:val="center"/>
          </w:tcPr>
          <w:p w14:paraId="0FB3FA70">
            <w:pPr>
              <w:pStyle w:val="17"/>
              <w:jc w:val="center"/>
              <w:rPr>
                <w:rFonts w:hint="eastAsia" w:hAnsi="宋体" w:eastAsia="宋体"/>
                <w:color w:val="000000"/>
                <w:highlight w:val="none"/>
                <w:lang w:val="en-US" w:eastAsia="zh-CN"/>
              </w:rPr>
            </w:pPr>
            <w:r>
              <w:rPr>
                <w:rFonts w:hint="eastAsia" w:hAnsi="宋体"/>
                <w:color w:val="000000"/>
                <w:highlight w:val="none"/>
                <w:lang w:val="en-US" w:eastAsia="zh-CN"/>
              </w:rPr>
              <w:t>5</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67191CC5">
            <w:pPr>
              <w:pStyle w:val="17"/>
              <w:adjustRightInd w:val="0"/>
              <w:snapToGrid w:val="0"/>
              <w:spacing w:line="240" w:lineRule="auto"/>
              <w:jc w:val="center"/>
              <w:rPr>
                <w:rFonts w:hint="eastAsia" w:ascii="Times New Roman" w:hAnsi="Times New Roman"/>
                <w:color w:val="000000"/>
                <w:highlight w:val="none"/>
                <w:lang w:val="en-US" w:eastAsia="zh-CN"/>
              </w:rPr>
            </w:pPr>
            <w:r>
              <w:rPr>
                <w:rFonts w:hint="eastAsia" w:ascii="Times New Roman" w:hAnsi="Times New Roman"/>
                <w:color w:val="000000"/>
                <w:highlight w:val="none"/>
                <w:lang w:val="en-US" w:eastAsia="zh-CN"/>
              </w:rPr>
              <w:t>检测费率</w:t>
            </w:r>
          </w:p>
        </w:tc>
        <w:tc>
          <w:tcPr>
            <w:tcW w:w="2567" w:type="pct"/>
            <w:gridSpan w:val="3"/>
            <w:tcBorders>
              <w:top w:val="single" w:color="auto" w:sz="4" w:space="0"/>
              <w:left w:val="single" w:color="auto" w:sz="4" w:space="0"/>
              <w:bottom w:val="single" w:color="auto" w:sz="4" w:space="0"/>
              <w:right w:val="single" w:color="auto" w:sz="4" w:space="0"/>
            </w:tcBorders>
            <w:noWrap w:val="0"/>
            <w:vAlign w:val="center"/>
          </w:tcPr>
          <w:p w14:paraId="68E5531E">
            <w:pPr>
              <w:pStyle w:val="17"/>
              <w:adjustRightInd w:val="0"/>
              <w:snapToGrid w:val="0"/>
              <w:spacing w:line="240" w:lineRule="auto"/>
              <w:jc w:val="center"/>
              <w:rPr>
                <w:rFonts w:hint="eastAsia" w:ascii="Times New Roman" w:hAnsi="Times New Roman"/>
                <w:color w:val="000000"/>
                <w:highlight w:val="none"/>
                <w:lang w:val="en-US" w:eastAsia="zh-CN"/>
              </w:rPr>
            </w:pPr>
          </w:p>
        </w:tc>
        <w:tc>
          <w:tcPr>
            <w:tcW w:w="798" w:type="pct"/>
            <w:vMerge w:val="continue"/>
            <w:tcBorders>
              <w:left w:val="single" w:color="auto" w:sz="4" w:space="0"/>
              <w:right w:val="single" w:color="auto" w:sz="4" w:space="0"/>
            </w:tcBorders>
            <w:noWrap w:val="0"/>
            <w:vAlign w:val="center"/>
          </w:tcPr>
          <w:p w14:paraId="268F0A4A">
            <w:pPr>
              <w:pStyle w:val="17"/>
              <w:adjustRightInd w:val="0"/>
              <w:snapToGrid w:val="0"/>
              <w:spacing w:line="240" w:lineRule="auto"/>
              <w:jc w:val="center"/>
              <w:rPr>
                <w:rFonts w:hint="eastAsia" w:ascii="Times New Roman" w:hAnsi="Times New Roman"/>
                <w:color w:val="000000"/>
                <w:highlight w:val="none"/>
                <w:lang w:val="en-US" w:eastAsia="zh-CN"/>
              </w:rPr>
            </w:pPr>
          </w:p>
        </w:tc>
      </w:tr>
      <w:tr w14:paraId="3E196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vMerge w:val="continue"/>
            <w:tcBorders>
              <w:left w:val="single" w:color="auto" w:sz="4" w:space="0"/>
              <w:right w:val="single" w:color="auto" w:sz="4" w:space="0"/>
            </w:tcBorders>
            <w:noWrap w:val="0"/>
            <w:vAlign w:val="center"/>
          </w:tcPr>
          <w:p w14:paraId="5A3E6617">
            <w:pPr>
              <w:widowControl/>
              <w:spacing w:line="240" w:lineRule="auto"/>
              <w:jc w:val="left"/>
              <w:rPr>
                <w:color w:val="000000"/>
                <w:kern w:val="0"/>
                <w:sz w:val="20"/>
                <w:szCs w:val="21"/>
                <w:highlight w:val="none"/>
              </w:rPr>
            </w:pPr>
          </w:p>
        </w:tc>
        <w:tc>
          <w:tcPr>
            <w:tcW w:w="440" w:type="pct"/>
            <w:tcBorders>
              <w:top w:val="single" w:color="auto" w:sz="4" w:space="0"/>
              <w:left w:val="single" w:color="auto" w:sz="4" w:space="0"/>
              <w:bottom w:val="single" w:color="auto" w:sz="4" w:space="0"/>
              <w:right w:val="single" w:color="auto" w:sz="4" w:space="0"/>
            </w:tcBorders>
            <w:noWrap w:val="0"/>
            <w:vAlign w:val="center"/>
          </w:tcPr>
          <w:p w14:paraId="3ADCEA7D">
            <w:pPr>
              <w:pStyle w:val="17"/>
              <w:jc w:val="center"/>
              <w:rPr>
                <w:rFonts w:hint="eastAsia" w:hAnsi="宋体"/>
                <w:color w:val="000000"/>
                <w:highlight w:val="none"/>
                <w:lang w:val="en-US" w:eastAsia="zh-CN"/>
              </w:rPr>
            </w:pPr>
            <w:r>
              <w:rPr>
                <w:rFonts w:hint="eastAsia" w:hAnsi="宋体"/>
                <w:color w:val="000000"/>
                <w:highlight w:val="none"/>
                <w:lang w:val="en-US" w:eastAsia="zh-CN"/>
              </w:rPr>
              <w:t>……</w:t>
            </w:r>
          </w:p>
        </w:tc>
        <w:tc>
          <w:tcPr>
            <w:tcW w:w="693" w:type="pct"/>
            <w:tcBorders>
              <w:top w:val="single" w:color="auto" w:sz="4" w:space="0"/>
              <w:left w:val="single" w:color="auto" w:sz="4" w:space="0"/>
              <w:bottom w:val="single" w:color="auto" w:sz="4" w:space="0"/>
              <w:right w:val="single" w:color="auto" w:sz="4" w:space="0"/>
            </w:tcBorders>
            <w:noWrap w:val="0"/>
            <w:vAlign w:val="center"/>
          </w:tcPr>
          <w:p w14:paraId="22A8B272">
            <w:pPr>
              <w:pStyle w:val="17"/>
              <w:adjustRightInd w:val="0"/>
              <w:snapToGrid w:val="0"/>
              <w:spacing w:line="240" w:lineRule="auto"/>
              <w:jc w:val="center"/>
              <w:rPr>
                <w:rFonts w:hint="eastAsia" w:ascii="Times New Roman" w:hAnsi="Times New Roman"/>
                <w:color w:val="000000"/>
                <w:highlight w:val="none"/>
                <w:lang w:val="en-US" w:eastAsia="zh-CN"/>
              </w:rPr>
            </w:pPr>
            <w:r>
              <w:rPr>
                <w:rFonts w:hint="eastAsia" w:hAnsi="宋体"/>
                <w:color w:val="000000"/>
                <w:highlight w:val="none"/>
                <w:lang w:val="en-US" w:eastAsia="zh-CN"/>
              </w:rPr>
              <w:t>……</w:t>
            </w:r>
          </w:p>
        </w:tc>
        <w:tc>
          <w:tcPr>
            <w:tcW w:w="2567" w:type="pct"/>
            <w:gridSpan w:val="3"/>
            <w:tcBorders>
              <w:top w:val="single" w:color="auto" w:sz="4" w:space="0"/>
              <w:left w:val="single" w:color="auto" w:sz="4" w:space="0"/>
              <w:bottom w:val="single" w:color="auto" w:sz="4" w:space="0"/>
              <w:right w:val="single" w:color="auto" w:sz="4" w:space="0"/>
            </w:tcBorders>
            <w:noWrap w:val="0"/>
            <w:vAlign w:val="center"/>
          </w:tcPr>
          <w:p w14:paraId="69148389">
            <w:pPr>
              <w:pStyle w:val="17"/>
              <w:adjustRightInd w:val="0"/>
              <w:snapToGrid w:val="0"/>
              <w:spacing w:line="240" w:lineRule="auto"/>
              <w:jc w:val="center"/>
              <w:rPr>
                <w:rFonts w:hint="eastAsia" w:ascii="Times New Roman" w:hAnsi="Times New Roman"/>
                <w:color w:val="000000"/>
                <w:highlight w:val="none"/>
                <w:lang w:val="en-US" w:eastAsia="zh-CN"/>
              </w:rPr>
            </w:pPr>
          </w:p>
        </w:tc>
        <w:tc>
          <w:tcPr>
            <w:tcW w:w="798" w:type="pct"/>
            <w:vMerge w:val="continue"/>
            <w:tcBorders>
              <w:left w:val="single" w:color="auto" w:sz="4" w:space="0"/>
              <w:bottom w:val="single" w:color="auto" w:sz="4" w:space="0"/>
              <w:right w:val="single" w:color="auto" w:sz="4" w:space="0"/>
            </w:tcBorders>
            <w:noWrap w:val="0"/>
            <w:vAlign w:val="center"/>
          </w:tcPr>
          <w:p w14:paraId="300D10F8">
            <w:pPr>
              <w:pStyle w:val="17"/>
              <w:adjustRightInd w:val="0"/>
              <w:snapToGrid w:val="0"/>
              <w:spacing w:line="240" w:lineRule="auto"/>
              <w:jc w:val="center"/>
              <w:rPr>
                <w:rFonts w:hint="eastAsia" w:ascii="Times New Roman" w:hAnsi="Times New Roman"/>
                <w:color w:val="000000"/>
                <w:highlight w:val="none"/>
                <w:lang w:val="en-US" w:eastAsia="zh-CN"/>
              </w:rPr>
            </w:pPr>
          </w:p>
        </w:tc>
      </w:tr>
      <w:tr w14:paraId="6D016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1633" w:type="pct"/>
            <w:gridSpan w:val="3"/>
            <w:tcBorders>
              <w:left w:val="single" w:color="auto" w:sz="4" w:space="0"/>
              <w:right w:val="single" w:color="auto" w:sz="4" w:space="0"/>
            </w:tcBorders>
            <w:noWrap w:val="0"/>
            <w:vAlign w:val="center"/>
          </w:tcPr>
          <w:p w14:paraId="33CBA30F">
            <w:pPr>
              <w:pStyle w:val="17"/>
              <w:adjustRightInd w:val="0"/>
              <w:snapToGrid w:val="0"/>
              <w:spacing w:line="240" w:lineRule="auto"/>
              <w:jc w:val="center"/>
              <w:rPr>
                <w:rFonts w:hint="eastAsia" w:ascii="Times New Roman" w:hAnsi="Times New Roman"/>
                <w:color w:val="000000"/>
                <w:highlight w:val="none"/>
                <w:lang w:val="en-US" w:eastAsia="zh-CN"/>
              </w:rPr>
            </w:pPr>
            <w:r>
              <w:rPr>
                <w:rFonts w:hint="eastAsia" w:ascii="Times New Roman" w:hAnsi="Times New Roman"/>
                <w:color w:val="000000"/>
                <w:highlight w:val="none"/>
                <w:lang w:val="en-US" w:eastAsia="zh-CN"/>
              </w:rPr>
              <w:t>合计费率</w:t>
            </w:r>
          </w:p>
        </w:tc>
        <w:tc>
          <w:tcPr>
            <w:tcW w:w="2567" w:type="pct"/>
            <w:gridSpan w:val="3"/>
            <w:tcBorders>
              <w:top w:val="single" w:color="auto" w:sz="4" w:space="0"/>
              <w:left w:val="single" w:color="auto" w:sz="4" w:space="0"/>
              <w:bottom w:val="single" w:color="auto" w:sz="4" w:space="0"/>
              <w:right w:val="single" w:color="auto" w:sz="4" w:space="0"/>
            </w:tcBorders>
            <w:noWrap w:val="0"/>
            <w:vAlign w:val="center"/>
          </w:tcPr>
          <w:p w14:paraId="388F9289">
            <w:pPr>
              <w:pStyle w:val="17"/>
              <w:adjustRightInd w:val="0"/>
              <w:snapToGrid w:val="0"/>
              <w:spacing w:line="240" w:lineRule="auto"/>
              <w:jc w:val="center"/>
              <w:rPr>
                <w:rFonts w:hint="eastAsia" w:ascii="Times New Roman" w:hAnsi="Times New Roman"/>
                <w:color w:val="000000"/>
                <w:highlight w:val="none"/>
                <w:lang w:val="en-US" w:eastAsia="zh-CN"/>
              </w:rPr>
            </w:pPr>
          </w:p>
        </w:tc>
        <w:tc>
          <w:tcPr>
            <w:tcW w:w="798" w:type="pct"/>
            <w:tcBorders>
              <w:top w:val="single" w:color="auto" w:sz="4" w:space="0"/>
              <w:left w:val="single" w:color="auto" w:sz="4" w:space="0"/>
              <w:bottom w:val="single" w:color="auto" w:sz="4" w:space="0"/>
              <w:right w:val="single" w:color="auto" w:sz="4" w:space="0"/>
            </w:tcBorders>
            <w:noWrap w:val="0"/>
            <w:vAlign w:val="center"/>
          </w:tcPr>
          <w:p w14:paraId="4D3F888F">
            <w:pPr>
              <w:pStyle w:val="17"/>
              <w:adjustRightInd w:val="0"/>
              <w:snapToGrid w:val="0"/>
              <w:spacing w:line="240" w:lineRule="auto"/>
              <w:jc w:val="center"/>
              <w:rPr>
                <w:rFonts w:hint="eastAsia" w:ascii="Times New Roman" w:hAnsi="Times New Roman"/>
                <w:color w:val="000000"/>
                <w:highlight w:val="none"/>
                <w:lang w:val="en-US" w:eastAsia="zh-CN"/>
              </w:rPr>
            </w:pPr>
          </w:p>
        </w:tc>
      </w:tr>
      <w:tr w14:paraId="31A35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1633" w:type="pct"/>
            <w:gridSpan w:val="3"/>
            <w:tcBorders>
              <w:left w:val="single" w:color="auto" w:sz="4" w:space="0"/>
              <w:bottom w:val="single" w:color="auto" w:sz="4" w:space="0"/>
              <w:right w:val="single" w:color="auto" w:sz="4" w:space="0"/>
            </w:tcBorders>
            <w:noWrap w:val="0"/>
            <w:vAlign w:val="center"/>
          </w:tcPr>
          <w:p w14:paraId="37AC6E23">
            <w:pPr>
              <w:pStyle w:val="17"/>
              <w:adjustRightInd w:val="0"/>
              <w:snapToGrid w:val="0"/>
              <w:spacing w:line="240" w:lineRule="auto"/>
              <w:jc w:val="center"/>
              <w:rPr>
                <w:rFonts w:hint="eastAsia" w:ascii="Times New Roman" w:hAnsi="Times New Roman"/>
                <w:color w:val="000000"/>
                <w:highlight w:val="none"/>
                <w:lang w:val="en-US" w:eastAsia="zh-CN"/>
              </w:rPr>
            </w:pPr>
            <w:r>
              <w:rPr>
                <w:rFonts w:hint="eastAsia" w:ascii="Times New Roman" w:hAnsi="Times New Roman"/>
                <w:color w:val="000000"/>
                <w:highlight w:val="none"/>
                <w:lang w:val="en-US" w:eastAsia="zh-CN"/>
              </w:rPr>
              <w:t>分项报价表的合理性说明</w:t>
            </w:r>
          </w:p>
        </w:tc>
        <w:tc>
          <w:tcPr>
            <w:tcW w:w="3366" w:type="pct"/>
            <w:gridSpan w:val="4"/>
            <w:tcBorders>
              <w:top w:val="single" w:color="auto" w:sz="4" w:space="0"/>
              <w:left w:val="single" w:color="auto" w:sz="4" w:space="0"/>
              <w:bottom w:val="single" w:color="auto" w:sz="4" w:space="0"/>
              <w:right w:val="single" w:color="auto" w:sz="4" w:space="0"/>
            </w:tcBorders>
            <w:noWrap w:val="0"/>
            <w:vAlign w:val="center"/>
          </w:tcPr>
          <w:p w14:paraId="5D4EB063">
            <w:pPr>
              <w:pStyle w:val="17"/>
              <w:adjustRightInd w:val="0"/>
              <w:snapToGrid w:val="0"/>
              <w:spacing w:line="240" w:lineRule="auto"/>
              <w:jc w:val="center"/>
              <w:rPr>
                <w:rFonts w:hint="eastAsia" w:ascii="Times New Roman" w:hAnsi="Times New Roman"/>
                <w:color w:val="000000"/>
                <w:highlight w:val="none"/>
                <w:lang w:val="en-US" w:eastAsia="zh-CN"/>
              </w:rPr>
            </w:pPr>
          </w:p>
        </w:tc>
      </w:tr>
    </w:tbl>
    <w:p w14:paraId="641D1B45">
      <w:pPr>
        <w:shd w:val="clear"/>
        <w:rPr>
          <w:color w:val="auto"/>
          <w:highlight w:val="none"/>
        </w:rPr>
      </w:pPr>
    </w:p>
    <w:p w14:paraId="17B0C476">
      <w:pPr>
        <w:shd w:val="clear"/>
        <w:rPr>
          <w:rFonts w:hint="eastAsia"/>
          <w:color w:val="auto"/>
          <w:highlight w:val="none"/>
        </w:rPr>
      </w:pPr>
      <w:r>
        <w:rPr>
          <w:rFonts w:hint="eastAsia"/>
          <w:color w:val="auto"/>
          <w:highlight w:val="none"/>
        </w:rPr>
        <w:t>特别说明：</w:t>
      </w:r>
    </w:p>
    <w:p w14:paraId="1651B741">
      <w:pPr>
        <w:numPr>
          <w:ilvl w:val="0"/>
          <w:numId w:val="0"/>
        </w:numPr>
        <w:shd w:val="clear"/>
        <w:rPr>
          <w:rFonts w:hint="eastAsia"/>
          <w:color w:val="auto"/>
          <w:highlight w:val="none"/>
        </w:rPr>
      </w:pPr>
      <w:r>
        <w:rPr>
          <w:rFonts w:hint="eastAsia"/>
          <w:color w:val="auto"/>
          <w:highlight w:val="none"/>
          <w:lang w:val="en-US" w:eastAsia="zh-CN"/>
        </w:rPr>
        <w:t>1.</w:t>
      </w:r>
      <w:r>
        <w:rPr>
          <w:rFonts w:hint="eastAsia"/>
          <w:color w:val="auto"/>
          <w:highlight w:val="none"/>
        </w:rPr>
        <w:t>本项目总价及分项报价均不接受任何形式的赠送、“零”报价。</w:t>
      </w:r>
    </w:p>
    <w:p w14:paraId="40C2A0C7">
      <w:pPr>
        <w:numPr>
          <w:ilvl w:val="0"/>
          <w:numId w:val="0"/>
        </w:numPr>
        <w:shd w:val="clear"/>
        <w:rPr>
          <w:rFonts w:hint="eastAsia"/>
          <w:color w:val="auto"/>
          <w:highlight w:val="none"/>
        </w:rPr>
      </w:pPr>
      <w:r>
        <w:rPr>
          <w:rFonts w:hint="eastAsia"/>
          <w:color w:val="auto"/>
          <w:highlight w:val="none"/>
          <w:lang w:val="en-US" w:eastAsia="zh-CN"/>
        </w:rPr>
        <w:t>2.</w:t>
      </w:r>
      <w:r>
        <w:rPr>
          <w:rFonts w:hint="eastAsia"/>
          <w:color w:val="auto"/>
          <w:highlight w:val="none"/>
        </w:rPr>
        <w:t>如报价不一致，按照投标人须知“19.核价原则”进行修正。</w:t>
      </w:r>
    </w:p>
    <w:p w14:paraId="72B98785">
      <w:pPr>
        <w:shd w:val="clear"/>
        <w:rPr>
          <w:rFonts w:hint="eastAsia"/>
          <w:color w:val="auto"/>
          <w:highlight w:val="none"/>
        </w:rPr>
      </w:pPr>
      <w:r>
        <w:rPr>
          <w:rFonts w:hint="eastAsia"/>
          <w:color w:val="auto"/>
          <w:highlight w:val="none"/>
          <w:lang w:val="en-US" w:eastAsia="zh-CN"/>
        </w:rPr>
        <w:t>3</w:t>
      </w:r>
      <w:r>
        <w:rPr>
          <w:rFonts w:hint="eastAsia"/>
          <w:color w:val="auto"/>
          <w:highlight w:val="none"/>
        </w:rPr>
        <w:t>. 本表仅供参考，可扩展。投标人应充分考虑所有合理费用。</w:t>
      </w:r>
    </w:p>
    <w:p w14:paraId="770FD356">
      <w:pPr>
        <w:shd w:val="clear"/>
        <w:rPr>
          <w:rFonts w:hint="eastAsia"/>
          <w:color w:val="auto"/>
          <w:highlight w:val="none"/>
        </w:rPr>
      </w:pPr>
      <w:r>
        <w:rPr>
          <w:rFonts w:hint="eastAsia"/>
          <w:color w:val="auto"/>
          <w:highlight w:val="none"/>
          <w:lang w:val="en-US" w:eastAsia="zh-CN"/>
        </w:rPr>
        <w:t>4</w:t>
      </w:r>
      <w:r>
        <w:rPr>
          <w:rFonts w:hint="eastAsia"/>
          <w:color w:val="auto"/>
          <w:highlight w:val="none"/>
        </w:rPr>
        <w:t>.投标人的合理</w:t>
      </w:r>
      <w:r>
        <w:rPr>
          <w:rFonts w:hint="eastAsia"/>
          <w:color w:val="auto"/>
          <w:highlight w:val="none"/>
          <w:lang w:eastAsia="zh-CN"/>
        </w:rPr>
        <w:t>费</w:t>
      </w:r>
      <w:r>
        <w:rPr>
          <w:rFonts w:hint="eastAsia"/>
          <w:color w:val="auto"/>
          <w:highlight w:val="none"/>
        </w:rPr>
        <w:t>率应当根据重要程度至少选择五项进行分项报价，包括但不限于合理损耗费率、分拣、加工费率、运输、装卸费率、保险费率、检测费率、相关税费率、自有基地价格优惠率、批量采购价格优惠率。</w:t>
      </w:r>
    </w:p>
    <w:p w14:paraId="27438178">
      <w:pPr>
        <w:shd w:val="clear"/>
        <w:rPr>
          <w:rFonts w:hint="eastAsia"/>
          <w:color w:val="auto"/>
          <w:highlight w:val="none"/>
        </w:rPr>
      </w:pPr>
      <w:r>
        <w:rPr>
          <w:rFonts w:hint="eastAsia"/>
          <w:color w:val="auto"/>
          <w:highlight w:val="none"/>
          <w:lang w:val="en-US" w:eastAsia="zh-CN"/>
        </w:rPr>
        <w:t>5</w:t>
      </w:r>
      <w:r>
        <w:rPr>
          <w:rFonts w:hint="eastAsia"/>
          <w:color w:val="auto"/>
          <w:highlight w:val="none"/>
        </w:rPr>
        <w:t>.供应商需认真阅读食材质量品级相关要求，充分考虑指定网站公布的食材品级与本项目所要求食材品级之间的差异，以指定网站某食材</w:t>
      </w:r>
      <w:r>
        <w:rPr>
          <w:rFonts w:hint="eastAsia"/>
          <w:color w:val="auto"/>
          <w:highlight w:val="none"/>
          <w:lang w:eastAsia="zh-CN"/>
        </w:rPr>
        <w:t>价格</w:t>
      </w:r>
      <w:r>
        <w:rPr>
          <w:rFonts w:hint="eastAsia"/>
          <w:color w:val="auto"/>
          <w:highlight w:val="none"/>
        </w:rPr>
        <w:t>为基础，慎重确定</w:t>
      </w:r>
      <w:r>
        <w:rPr>
          <w:rFonts w:hint="eastAsia"/>
          <w:color w:val="auto"/>
          <w:highlight w:val="none"/>
          <w:lang w:eastAsia="zh-CN"/>
        </w:rPr>
        <w:t>费</w:t>
      </w:r>
      <w:r>
        <w:rPr>
          <w:rFonts w:hint="eastAsia"/>
          <w:color w:val="auto"/>
          <w:highlight w:val="none"/>
        </w:rPr>
        <w:t>率，不得因所配食材品质较高（如食材产地、品牌、品级等）为理由改以参照食材最高价、自行询价等方式抬高价格。</w:t>
      </w:r>
    </w:p>
    <w:p w14:paraId="0BE2F8BB">
      <w:pPr>
        <w:shd w:val="clear"/>
        <w:rPr>
          <w:rFonts w:hint="eastAsia"/>
          <w:color w:val="auto"/>
          <w:highlight w:val="none"/>
        </w:rPr>
      </w:pPr>
      <w:r>
        <w:rPr>
          <w:rFonts w:hint="eastAsia"/>
          <w:color w:val="auto"/>
          <w:highlight w:val="none"/>
          <w:lang w:val="en-US" w:eastAsia="zh-CN"/>
        </w:rPr>
        <w:t>6</w:t>
      </w:r>
      <w:r>
        <w:rPr>
          <w:rFonts w:hint="eastAsia"/>
          <w:color w:val="auto"/>
          <w:highlight w:val="none"/>
        </w:rPr>
        <w:t>.请提供分项报价表的合理性说明。</w:t>
      </w:r>
    </w:p>
    <w:p w14:paraId="07959FB6">
      <w:pPr>
        <w:shd w:val="clear"/>
        <w:rPr>
          <w:color w:val="auto"/>
          <w:highlight w:val="none"/>
        </w:rPr>
      </w:pPr>
      <w:r>
        <w:rPr>
          <w:rFonts w:hint="eastAsia"/>
          <w:color w:val="auto"/>
          <w:highlight w:val="none"/>
          <w:lang w:eastAsia="zh-CN"/>
        </w:rPr>
        <w:t>投标人</w:t>
      </w:r>
      <w:r>
        <w:rPr>
          <w:color w:val="auto"/>
          <w:highlight w:val="none"/>
        </w:rPr>
        <w:t>（全称并加盖公章）：</w:t>
      </w:r>
      <w:r>
        <w:rPr>
          <w:rFonts w:hint="eastAsia" w:cs="宋体"/>
          <w:color w:val="auto"/>
          <w:highlight w:val="none"/>
          <w:u w:val="single"/>
          <w:lang w:val="en-US" w:eastAsia="zh-CN"/>
        </w:rPr>
        <w:t xml:space="preserve">                </w:t>
      </w:r>
    </w:p>
    <w:p w14:paraId="151ABE59">
      <w:pPr>
        <w:shd w:val="clear"/>
        <w:rPr>
          <w:color w:val="auto"/>
          <w:highlight w:val="none"/>
        </w:rPr>
      </w:pPr>
      <w:r>
        <w:rPr>
          <w:rFonts w:hint="eastAsia"/>
          <w:color w:val="auto"/>
          <w:highlight w:val="none"/>
          <w:lang w:eastAsia="zh-CN"/>
        </w:rPr>
        <w:t>投标人</w:t>
      </w:r>
      <w:r>
        <w:rPr>
          <w:color w:val="auto"/>
          <w:highlight w:val="none"/>
        </w:rPr>
        <w:t>代表（签字或盖章）：</w:t>
      </w:r>
    </w:p>
    <w:p w14:paraId="7B8DDF78">
      <w:pPr>
        <w:shd w:val="clear"/>
        <w:rPr>
          <w:color w:val="auto"/>
          <w:highlight w:val="none"/>
        </w:rPr>
      </w:pPr>
      <w:r>
        <w:rPr>
          <w:color w:val="auto"/>
          <w:highlight w:val="none"/>
        </w:rPr>
        <w:t>日期：</w:t>
      </w:r>
    </w:p>
    <w:p w14:paraId="07590B99">
      <w:pPr>
        <w:keepNext/>
        <w:keepLines/>
        <w:pageBreakBefore w:val="0"/>
        <w:widowControl w:val="0"/>
        <w:shd w:val="clear"/>
        <w:kinsoku/>
        <w:wordWrap/>
        <w:overflowPunct/>
        <w:topLinePunct/>
        <w:autoSpaceDE w:val="0"/>
        <w:autoSpaceDN w:val="0"/>
        <w:bidi w:val="0"/>
        <w:adjustRightInd/>
        <w:snapToGrid/>
        <w:jc w:val="center"/>
        <w:textAlignment w:val="auto"/>
        <w:outlineLvl w:val="9"/>
        <w:rPr>
          <w:rFonts w:hint="eastAsia" w:ascii="宋体" w:hAnsi="宋体" w:eastAsia="宋体" w:cs="宋体"/>
          <w:color w:val="auto"/>
          <w:highlight w:val="none"/>
        </w:rPr>
      </w:pPr>
    </w:p>
    <w:p w14:paraId="4B7B0760">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8F29CBE">
      <w:pPr>
        <w:pStyle w:val="8"/>
        <w:shd w:val="clear"/>
        <w:jc w:val="center"/>
        <w:rPr>
          <w:color w:val="auto"/>
          <w:highlight w:val="none"/>
        </w:rPr>
      </w:pPr>
      <w:bookmarkStart w:id="97" w:name="_Toc13799"/>
      <w:bookmarkStart w:id="98" w:name="_Toc2977"/>
      <w:bookmarkStart w:id="99" w:name="_Toc26365"/>
      <w:r>
        <w:rPr>
          <w:rFonts w:hint="eastAsia"/>
          <w:color w:val="auto"/>
          <w:highlight w:val="none"/>
        </w:rPr>
        <w:t>格式</w:t>
      </w:r>
      <w:r>
        <w:rPr>
          <w:rFonts w:hint="eastAsia"/>
          <w:color w:val="auto"/>
          <w:highlight w:val="none"/>
          <w:lang w:val="en-US" w:eastAsia="zh-CN"/>
        </w:rPr>
        <w:t>4</w:t>
      </w:r>
      <w:r>
        <w:rPr>
          <w:rFonts w:hint="eastAsia"/>
          <w:color w:val="auto"/>
          <w:highlight w:val="none"/>
        </w:rPr>
        <w:t xml:space="preserve">  供应商公平参与市场竞争承诺函</w:t>
      </w:r>
      <w:bookmarkEnd w:id="97"/>
      <w:bookmarkEnd w:id="98"/>
      <w:bookmarkEnd w:id="99"/>
    </w:p>
    <w:p w14:paraId="7BD6532D">
      <w:pPr>
        <w:shd w:val="clear"/>
        <w:rPr>
          <w:rFonts w:hint="eastAsia"/>
          <w:color w:val="auto"/>
          <w:highlight w:val="none"/>
        </w:rPr>
      </w:pPr>
      <w:r>
        <w:rPr>
          <w:rFonts w:hint="eastAsia"/>
          <w:color w:val="auto"/>
          <w:highlight w:val="none"/>
        </w:rPr>
        <w:t>致：</w:t>
      </w:r>
      <w:r>
        <w:rPr>
          <w:rFonts w:hint="eastAsia"/>
          <w:color w:val="auto"/>
          <w:highlight w:val="none"/>
          <w:u w:val="single"/>
        </w:rPr>
        <w:t xml:space="preserve"> </w:t>
      </w:r>
      <w:r>
        <w:rPr>
          <w:rFonts w:hint="eastAsia"/>
          <w:color w:val="auto"/>
          <w:highlight w:val="none"/>
          <w:u w:val="single"/>
          <w:lang w:eastAsia="zh-CN"/>
        </w:rPr>
        <w:t xml:space="preserve"> 国家税务总局</w:t>
      </w:r>
      <w:r>
        <w:rPr>
          <w:rFonts w:hint="eastAsia"/>
          <w:color w:val="auto"/>
          <w:highlight w:val="none"/>
          <w:u w:val="single"/>
          <w:lang w:val="en-US" w:eastAsia="zh-CN"/>
        </w:rPr>
        <w:t>沭阳</w:t>
      </w:r>
      <w:r>
        <w:rPr>
          <w:rFonts w:hint="eastAsia"/>
          <w:color w:val="auto"/>
          <w:highlight w:val="none"/>
          <w:u w:val="single"/>
          <w:lang w:eastAsia="zh-CN"/>
        </w:rPr>
        <w:t>县税务局</w:t>
      </w:r>
      <w:r>
        <w:rPr>
          <w:rFonts w:hint="eastAsia"/>
          <w:color w:val="auto"/>
          <w:highlight w:val="none"/>
          <w:u w:val="single"/>
        </w:rPr>
        <w:t xml:space="preserve">   </w:t>
      </w:r>
      <w:r>
        <w:rPr>
          <w:rFonts w:hint="eastAsia"/>
          <w:color w:val="auto"/>
          <w:highlight w:val="none"/>
        </w:rPr>
        <w:t>（采购人名称）</w:t>
      </w:r>
    </w:p>
    <w:p w14:paraId="0E94F03C">
      <w:pPr>
        <w:shd w:val="clear"/>
        <w:ind w:firstLine="420" w:firstLineChars="200"/>
        <w:rPr>
          <w:rFonts w:hint="eastAsia"/>
          <w:color w:val="auto"/>
          <w:highlight w:val="none"/>
        </w:rPr>
      </w:pPr>
      <w:r>
        <w:rPr>
          <w:rFonts w:hint="eastAsia"/>
          <w:color w:val="auto"/>
          <w:highlight w:val="none"/>
        </w:rPr>
        <w:t xml:space="preserve">根据 </w:t>
      </w:r>
      <w:r>
        <w:rPr>
          <w:rFonts w:hint="eastAsia"/>
          <w:color w:val="auto"/>
          <w:highlight w:val="none"/>
          <w:u w:val="single"/>
        </w:rPr>
        <w:t xml:space="preserve"> 国家税务总局沭阳县税务局2026年食堂食材配送服务采购项目    </w:t>
      </w:r>
      <w:r>
        <w:rPr>
          <w:rFonts w:hint="eastAsia"/>
          <w:color w:val="auto"/>
          <w:highlight w:val="none"/>
        </w:rPr>
        <w:t>（项目名称）（采购人项目编号：</w:t>
      </w:r>
      <w:r>
        <w:rPr>
          <w:rFonts w:hint="eastAsia"/>
          <w:color w:val="auto"/>
          <w:highlight w:val="none"/>
          <w:lang w:eastAsia="zh-CN"/>
        </w:rPr>
        <w:t>JS2026-DLGK-C0214-B00，</w:t>
      </w:r>
      <w:r>
        <w:rPr>
          <w:rFonts w:hint="eastAsia"/>
          <w:color w:val="auto"/>
          <w:highlight w:val="none"/>
        </w:rPr>
        <w:t>代理机构项目编号：JSHZ[2026]0809号）的招标公告，</w:t>
      </w:r>
      <w:r>
        <w:rPr>
          <w:rFonts w:hint="eastAsia"/>
          <w:color w:val="auto"/>
          <w:highlight w:val="none"/>
          <w:u w:val="single"/>
        </w:rPr>
        <w:t xml:space="preserve">            </w:t>
      </w:r>
      <w:r>
        <w:rPr>
          <w:rFonts w:hint="eastAsia"/>
          <w:color w:val="auto"/>
          <w:highlight w:val="none"/>
        </w:rPr>
        <w:t>（供应商名称，以下简称“我单位”）参加本项目招标活动。现就有关情况进行说明，并就公平参与市场竞争作如下承诺：</w:t>
      </w:r>
    </w:p>
    <w:p w14:paraId="4AE22DDD">
      <w:pPr>
        <w:shd w:val="clear"/>
        <w:ind w:firstLine="420" w:firstLineChars="200"/>
        <w:rPr>
          <w:rFonts w:hint="eastAsia"/>
          <w:color w:val="auto"/>
          <w:highlight w:val="none"/>
        </w:rPr>
      </w:pPr>
      <w:r>
        <w:rPr>
          <w:rFonts w:hint="eastAsia"/>
          <w:color w:val="auto"/>
          <w:highlight w:val="none"/>
        </w:rPr>
        <w:t xml:space="preserve">1.我单位被授权代表 </w:t>
      </w:r>
      <w:r>
        <w:rPr>
          <w:rFonts w:hint="eastAsia"/>
          <w:color w:val="auto"/>
          <w:highlight w:val="none"/>
          <w:u w:val="single"/>
        </w:rPr>
        <w:t xml:space="preserve">          </w:t>
      </w:r>
      <w:r>
        <w:rPr>
          <w:rFonts w:hint="eastAsia"/>
          <w:color w:val="auto"/>
          <w:highlight w:val="none"/>
        </w:rPr>
        <w:t>（被授权代表姓名）为</w:t>
      </w:r>
      <w:r>
        <w:rPr>
          <w:rFonts w:hint="eastAsia"/>
          <w:color w:val="auto"/>
          <w:highlight w:val="none"/>
          <w:u w:val="single"/>
        </w:rPr>
        <w:t xml:space="preserve">       </w:t>
      </w:r>
      <w:r>
        <w:rPr>
          <w:rFonts w:hint="eastAsia"/>
          <w:color w:val="auto"/>
          <w:highlight w:val="none"/>
        </w:rPr>
        <w:t>（被授权代表所在单位名称）员工，其由</w:t>
      </w:r>
      <w:r>
        <w:rPr>
          <w:rFonts w:hint="eastAsia"/>
          <w:color w:val="auto"/>
          <w:highlight w:val="none"/>
          <w:u w:val="single"/>
        </w:rPr>
        <w:t xml:space="preserve">      </w:t>
      </w:r>
      <w:r>
        <w:rPr>
          <w:rFonts w:hint="eastAsia"/>
          <w:color w:val="auto"/>
          <w:highlight w:val="none"/>
        </w:rPr>
        <w:t>（为被授权代表缴纳社保费和个人所得税的单位名称）统一缴纳社保费和办理个人所得税代扣代缴申报。我单位承诺：不存在与其他参与本项目的供应商委托同一单位或者个人办理投标事宜的情况，也不存在接受其他供应商委托办理投标事宜的情况。如我单位被授权代表与参与该项目的其他供应商被授权代表为同一单位员工，或者由同一单位缴纳社保费或办理个人所得税代扣代缴申报；或者我单位被授权代表由参与本项目的其他供应商缴纳社保费或办理个人所得税代扣代缴申报，我单位同意按无效投标（响应）处理。</w:t>
      </w:r>
    </w:p>
    <w:p w14:paraId="1047823C">
      <w:pPr>
        <w:shd w:val="clear"/>
        <w:ind w:firstLine="420" w:firstLineChars="200"/>
        <w:rPr>
          <w:rFonts w:hint="eastAsia"/>
          <w:color w:val="auto"/>
          <w:highlight w:val="none"/>
        </w:rPr>
      </w:pPr>
      <w:r>
        <w:rPr>
          <w:rFonts w:hint="eastAsia"/>
          <w:color w:val="auto"/>
          <w:highlight w:val="none"/>
        </w:rPr>
        <w:t>2.我单位承诺诚信参与政府采购活动，投标（响应）文件中所有资料均合法、真实，不存在下列情形：（1）提供虚假材料；（2）《政府采购法实施条例》第七十四条规定的恶意串通行为；（3）《政府采购货物和服务招标投标管理办法》（财政部令第87号）第三十七条规定的串通投标行为；（4）与其他参与本项目的供应商具有关联关系（包括：单位负责人、实际控制人为同一人，存在直接控股、管理关系）。</w:t>
      </w:r>
    </w:p>
    <w:p w14:paraId="688F3D3A">
      <w:pPr>
        <w:shd w:val="clear"/>
        <w:rPr>
          <w:rFonts w:hint="eastAsia"/>
          <w:color w:val="auto"/>
          <w:highlight w:val="none"/>
        </w:rPr>
      </w:pPr>
    </w:p>
    <w:p w14:paraId="6E216FBB">
      <w:pPr>
        <w:shd w:val="clear"/>
        <w:ind w:firstLine="420" w:firstLineChars="200"/>
        <w:rPr>
          <w:rFonts w:hint="eastAsia"/>
          <w:color w:val="auto"/>
          <w:highlight w:val="none"/>
        </w:rPr>
      </w:pPr>
      <w:r>
        <w:rPr>
          <w:rFonts w:hint="eastAsia"/>
          <w:color w:val="auto"/>
          <w:highlight w:val="none"/>
        </w:rPr>
        <w:t xml:space="preserve">供应商名称（公章）：            </w:t>
      </w:r>
    </w:p>
    <w:p w14:paraId="1771CB2F">
      <w:pPr>
        <w:shd w:val="clear"/>
        <w:ind w:firstLine="420" w:firstLineChars="200"/>
        <w:rPr>
          <w:rFonts w:hint="eastAsia"/>
          <w:color w:val="auto"/>
          <w:highlight w:val="none"/>
        </w:rPr>
      </w:pPr>
      <w:r>
        <w:rPr>
          <w:rFonts w:hint="eastAsia"/>
          <w:color w:val="auto"/>
          <w:highlight w:val="none"/>
        </w:rPr>
        <w:t>法定代表人（签字或签章）/被授权投标代表（签字）：</w:t>
      </w:r>
    </w:p>
    <w:p w14:paraId="3FCC4EBB">
      <w:pPr>
        <w:shd w:val="clear"/>
        <w:rPr>
          <w:rFonts w:hint="eastAsia"/>
          <w:color w:val="auto"/>
          <w:highlight w:val="none"/>
        </w:rPr>
      </w:pPr>
      <w:r>
        <w:rPr>
          <w:rFonts w:hint="eastAsia"/>
          <w:color w:val="auto"/>
          <w:highlight w:val="none"/>
        </w:rPr>
        <w:t xml:space="preserve">               </w:t>
      </w:r>
    </w:p>
    <w:p w14:paraId="6FCD5CA1">
      <w:pPr>
        <w:shd w:val="clear"/>
        <w:ind w:firstLine="420" w:firstLineChars="200"/>
        <w:rPr>
          <w:rFonts w:hint="eastAsia"/>
          <w:color w:val="auto"/>
          <w:highlight w:val="none"/>
        </w:rPr>
      </w:pPr>
      <w:r>
        <w:rPr>
          <w:rFonts w:hint="eastAsia"/>
          <w:color w:val="auto"/>
          <w:highlight w:val="none"/>
        </w:rPr>
        <w:t xml:space="preserve">供应商地址：            </w:t>
      </w:r>
    </w:p>
    <w:p w14:paraId="30D13F62">
      <w:pPr>
        <w:shd w:val="clear"/>
        <w:ind w:firstLine="420" w:firstLineChars="200"/>
        <w:rPr>
          <w:rFonts w:hint="eastAsia"/>
          <w:color w:val="auto"/>
          <w:highlight w:val="none"/>
        </w:rPr>
      </w:pPr>
      <w:r>
        <w:rPr>
          <w:rFonts w:hint="eastAsia"/>
          <w:color w:val="auto"/>
          <w:highlight w:val="none"/>
        </w:rPr>
        <w:t xml:space="preserve">邮编：            </w:t>
      </w:r>
    </w:p>
    <w:p w14:paraId="230F4F78">
      <w:pPr>
        <w:shd w:val="clear"/>
        <w:ind w:firstLine="420" w:firstLineChars="200"/>
        <w:rPr>
          <w:rFonts w:hint="eastAsia"/>
          <w:color w:val="auto"/>
          <w:highlight w:val="none"/>
        </w:rPr>
      </w:pPr>
      <w:r>
        <w:rPr>
          <w:rFonts w:hint="eastAsia"/>
          <w:color w:val="auto"/>
          <w:highlight w:val="none"/>
        </w:rPr>
        <w:t xml:space="preserve">电话：            </w:t>
      </w:r>
    </w:p>
    <w:p w14:paraId="0EA81A91">
      <w:pPr>
        <w:shd w:val="clear"/>
        <w:ind w:firstLine="420" w:firstLineChars="200"/>
        <w:rPr>
          <w:rFonts w:hint="eastAsia"/>
          <w:color w:val="auto"/>
          <w:highlight w:val="none"/>
        </w:rPr>
      </w:pPr>
      <w:r>
        <w:rPr>
          <w:rFonts w:hint="eastAsia"/>
          <w:color w:val="auto"/>
          <w:highlight w:val="none"/>
        </w:rPr>
        <w:t xml:space="preserve">传真：            </w:t>
      </w:r>
    </w:p>
    <w:p w14:paraId="1DB9EE08">
      <w:pPr>
        <w:shd w:val="clear"/>
        <w:ind w:firstLine="420" w:firstLineChars="200"/>
        <w:rPr>
          <w:rFonts w:hint="eastAsia"/>
          <w:color w:val="auto"/>
          <w:highlight w:val="none"/>
        </w:rPr>
      </w:pPr>
      <w:r>
        <w:rPr>
          <w:rFonts w:hint="eastAsia"/>
          <w:color w:val="auto"/>
          <w:highlight w:val="none"/>
        </w:rPr>
        <w:t xml:space="preserve">日期：                      </w:t>
      </w:r>
    </w:p>
    <w:p w14:paraId="03E719BB">
      <w:pPr>
        <w:shd w:val="clear"/>
        <w:ind w:firstLine="420" w:firstLineChars="200"/>
        <w:rPr>
          <w:color w:val="auto"/>
          <w:highlight w:val="none"/>
        </w:rPr>
      </w:pPr>
      <w:r>
        <w:rPr>
          <w:rFonts w:hint="eastAsia"/>
          <w:color w:val="auto"/>
          <w:highlight w:val="none"/>
        </w:rPr>
        <w:t>特别说明：供应商应当按上述格式要求加盖与供应商名称全称一致的标准公章，并签署法定代表人或被授权投标代表的全名或加盖名章。</w:t>
      </w:r>
    </w:p>
    <w:p w14:paraId="66C18566">
      <w:pPr>
        <w:pStyle w:val="8"/>
        <w:shd w:val="clear"/>
        <w:jc w:val="center"/>
        <w:rPr>
          <w:color w:val="auto"/>
          <w:highlight w:val="none"/>
        </w:rPr>
      </w:pPr>
      <w:bookmarkStart w:id="100" w:name="_Toc19115"/>
      <w:r>
        <w:rPr>
          <w:rFonts w:hint="eastAsia" w:ascii="宋体" w:hAnsi="宋体" w:eastAsia="宋体" w:cs="宋体"/>
          <w:color w:val="auto"/>
          <w:highlight w:val="none"/>
        </w:rPr>
        <w:t>格式</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 xml:space="preserve">  商务条款偏离表</w:t>
      </w:r>
      <w:bookmarkEnd w:id="100"/>
    </w:p>
    <w:tbl>
      <w:tblPr>
        <w:tblStyle w:val="27"/>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5"/>
        <w:gridCol w:w="1798"/>
        <w:gridCol w:w="1545"/>
        <w:gridCol w:w="1530"/>
        <w:gridCol w:w="1515"/>
        <w:gridCol w:w="1285"/>
      </w:tblGrid>
      <w:tr w14:paraId="10151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508103B5">
            <w:pPr>
              <w:shd w:val="clear"/>
              <w:jc w:val="center"/>
              <w:rPr>
                <w:color w:val="auto"/>
                <w:highlight w:val="none"/>
              </w:rPr>
            </w:pPr>
            <w:r>
              <w:rPr>
                <w:color w:val="auto"/>
                <w:highlight w:val="none"/>
              </w:rPr>
              <w:t>序号</w:t>
            </w:r>
          </w:p>
        </w:tc>
        <w:tc>
          <w:tcPr>
            <w:tcW w:w="1798" w:type="dxa"/>
            <w:tcBorders>
              <w:top w:val="single" w:color="auto" w:sz="4" w:space="0"/>
              <w:left w:val="single" w:color="auto" w:sz="4" w:space="0"/>
              <w:bottom w:val="single" w:color="auto" w:sz="4" w:space="0"/>
              <w:right w:val="single" w:color="auto" w:sz="4" w:space="0"/>
            </w:tcBorders>
            <w:noWrap/>
            <w:vAlign w:val="center"/>
          </w:tcPr>
          <w:p w14:paraId="148ABBB7">
            <w:pPr>
              <w:shd w:val="clear"/>
              <w:jc w:val="center"/>
              <w:rPr>
                <w:color w:val="auto"/>
                <w:highlight w:val="none"/>
              </w:rPr>
            </w:pPr>
            <w:r>
              <w:rPr>
                <w:color w:val="auto"/>
                <w:highlight w:val="none"/>
              </w:rPr>
              <w:t>招标文件条目号</w:t>
            </w:r>
          </w:p>
        </w:tc>
        <w:tc>
          <w:tcPr>
            <w:tcW w:w="1545" w:type="dxa"/>
            <w:tcBorders>
              <w:top w:val="single" w:color="auto" w:sz="4" w:space="0"/>
              <w:left w:val="single" w:color="auto" w:sz="4" w:space="0"/>
              <w:bottom w:val="single" w:color="auto" w:sz="4" w:space="0"/>
              <w:right w:val="single" w:color="auto" w:sz="4" w:space="0"/>
            </w:tcBorders>
            <w:noWrap/>
            <w:vAlign w:val="center"/>
          </w:tcPr>
          <w:p w14:paraId="2C233EDF">
            <w:pPr>
              <w:shd w:val="clear"/>
              <w:jc w:val="center"/>
              <w:rPr>
                <w:color w:val="auto"/>
                <w:highlight w:val="none"/>
              </w:rPr>
            </w:pPr>
            <w:r>
              <w:rPr>
                <w:color w:val="auto"/>
                <w:highlight w:val="none"/>
              </w:rPr>
              <w:t>招标文件</w:t>
            </w:r>
          </w:p>
          <w:p w14:paraId="0F9F3D5B">
            <w:pPr>
              <w:shd w:val="clear"/>
              <w:jc w:val="center"/>
              <w:rPr>
                <w:color w:val="auto"/>
                <w:highlight w:val="none"/>
              </w:rPr>
            </w:pPr>
            <w:r>
              <w:rPr>
                <w:color w:val="auto"/>
                <w:highlight w:val="none"/>
              </w:rPr>
              <w:t>商务条款</w:t>
            </w:r>
          </w:p>
        </w:tc>
        <w:tc>
          <w:tcPr>
            <w:tcW w:w="1530" w:type="dxa"/>
            <w:tcBorders>
              <w:top w:val="single" w:color="auto" w:sz="4" w:space="0"/>
              <w:left w:val="single" w:color="auto" w:sz="4" w:space="0"/>
              <w:bottom w:val="single" w:color="auto" w:sz="4" w:space="0"/>
              <w:right w:val="single" w:color="auto" w:sz="4" w:space="0"/>
            </w:tcBorders>
            <w:noWrap/>
            <w:vAlign w:val="center"/>
          </w:tcPr>
          <w:p w14:paraId="7F3A9BD8">
            <w:pPr>
              <w:shd w:val="clear"/>
              <w:jc w:val="center"/>
              <w:rPr>
                <w:color w:val="auto"/>
                <w:highlight w:val="none"/>
              </w:rPr>
            </w:pPr>
            <w:r>
              <w:rPr>
                <w:color w:val="auto"/>
                <w:highlight w:val="none"/>
              </w:rPr>
              <w:t>投标文件</w:t>
            </w:r>
          </w:p>
          <w:p w14:paraId="7D9004B2">
            <w:pPr>
              <w:shd w:val="clear"/>
              <w:jc w:val="center"/>
              <w:rPr>
                <w:color w:val="auto"/>
                <w:highlight w:val="none"/>
              </w:rPr>
            </w:pPr>
            <w:r>
              <w:rPr>
                <w:color w:val="auto"/>
                <w:highlight w:val="none"/>
              </w:rPr>
              <w:t>商务条款</w:t>
            </w:r>
          </w:p>
        </w:tc>
        <w:tc>
          <w:tcPr>
            <w:tcW w:w="1515" w:type="dxa"/>
            <w:tcBorders>
              <w:top w:val="single" w:color="auto" w:sz="4" w:space="0"/>
              <w:left w:val="single" w:color="auto" w:sz="4" w:space="0"/>
              <w:bottom w:val="single" w:color="auto" w:sz="4" w:space="0"/>
              <w:right w:val="single" w:color="auto" w:sz="4" w:space="0"/>
            </w:tcBorders>
            <w:noWrap/>
            <w:vAlign w:val="center"/>
          </w:tcPr>
          <w:p w14:paraId="7A62D799">
            <w:pPr>
              <w:shd w:val="clear"/>
              <w:jc w:val="center"/>
              <w:rPr>
                <w:color w:val="auto"/>
                <w:highlight w:val="none"/>
              </w:rPr>
            </w:pPr>
            <w:r>
              <w:rPr>
                <w:color w:val="auto"/>
                <w:highlight w:val="none"/>
              </w:rPr>
              <w:t>偏离</w:t>
            </w:r>
          </w:p>
          <w:p w14:paraId="2E901645">
            <w:pPr>
              <w:shd w:val="clear"/>
              <w:jc w:val="center"/>
              <w:rPr>
                <w:color w:val="auto"/>
                <w:highlight w:val="none"/>
              </w:rPr>
            </w:pPr>
            <w:r>
              <w:rPr>
                <w:color w:val="auto"/>
                <w:highlight w:val="none"/>
              </w:rPr>
              <w:t>（无/正/负）</w:t>
            </w:r>
          </w:p>
        </w:tc>
        <w:tc>
          <w:tcPr>
            <w:tcW w:w="1285" w:type="dxa"/>
            <w:tcBorders>
              <w:top w:val="single" w:color="auto" w:sz="4" w:space="0"/>
              <w:left w:val="single" w:color="auto" w:sz="4" w:space="0"/>
              <w:bottom w:val="single" w:color="auto" w:sz="4" w:space="0"/>
              <w:right w:val="single" w:color="auto" w:sz="4" w:space="0"/>
            </w:tcBorders>
            <w:noWrap/>
            <w:vAlign w:val="center"/>
          </w:tcPr>
          <w:p w14:paraId="542D6DA8">
            <w:pPr>
              <w:shd w:val="clear"/>
              <w:jc w:val="center"/>
              <w:rPr>
                <w:color w:val="auto"/>
                <w:highlight w:val="none"/>
              </w:rPr>
            </w:pPr>
            <w:r>
              <w:rPr>
                <w:color w:val="auto"/>
                <w:highlight w:val="none"/>
              </w:rPr>
              <w:t>说明</w:t>
            </w:r>
          </w:p>
        </w:tc>
      </w:tr>
      <w:tr w14:paraId="7B5F2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4DA5C648">
            <w:pPr>
              <w:shd w:val="clear"/>
              <w:jc w:val="center"/>
              <w:rPr>
                <w:color w:val="auto"/>
                <w:highlight w:val="none"/>
              </w:rPr>
            </w:pPr>
            <w:r>
              <w:rPr>
                <w:color w:val="auto"/>
                <w:highlight w:val="none"/>
              </w:rPr>
              <w:t>1</w:t>
            </w:r>
          </w:p>
        </w:tc>
        <w:tc>
          <w:tcPr>
            <w:tcW w:w="1798" w:type="dxa"/>
            <w:tcBorders>
              <w:top w:val="single" w:color="auto" w:sz="4" w:space="0"/>
              <w:left w:val="single" w:color="auto" w:sz="4" w:space="0"/>
              <w:bottom w:val="single" w:color="auto" w:sz="4" w:space="0"/>
              <w:right w:val="single" w:color="auto" w:sz="4" w:space="0"/>
            </w:tcBorders>
            <w:noWrap/>
            <w:vAlign w:val="center"/>
          </w:tcPr>
          <w:p w14:paraId="58B51F91">
            <w:pPr>
              <w:shd w:val="clear"/>
              <w:jc w:val="center"/>
              <w:rPr>
                <w:color w:val="auto"/>
                <w:highlight w:val="none"/>
              </w:rPr>
            </w:pPr>
          </w:p>
        </w:tc>
        <w:tc>
          <w:tcPr>
            <w:tcW w:w="1545" w:type="dxa"/>
            <w:tcBorders>
              <w:top w:val="single" w:color="auto" w:sz="4" w:space="0"/>
              <w:left w:val="single" w:color="auto" w:sz="4" w:space="0"/>
              <w:bottom w:val="single" w:color="auto" w:sz="4" w:space="0"/>
              <w:right w:val="single" w:color="auto" w:sz="4" w:space="0"/>
            </w:tcBorders>
            <w:noWrap/>
            <w:vAlign w:val="center"/>
          </w:tcPr>
          <w:p w14:paraId="254E5466">
            <w:pPr>
              <w:shd w:val="clear"/>
              <w:jc w:val="center"/>
              <w:rPr>
                <w:color w:val="auto"/>
                <w:highlight w:val="none"/>
              </w:rPr>
            </w:pPr>
          </w:p>
        </w:tc>
        <w:tc>
          <w:tcPr>
            <w:tcW w:w="1530" w:type="dxa"/>
            <w:tcBorders>
              <w:top w:val="single" w:color="auto" w:sz="4" w:space="0"/>
              <w:left w:val="single" w:color="auto" w:sz="4" w:space="0"/>
              <w:bottom w:val="single" w:color="auto" w:sz="4" w:space="0"/>
              <w:right w:val="single" w:color="auto" w:sz="4" w:space="0"/>
            </w:tcBorders>
            <w:noWrap/>
            <w:vAlign w:val="center"/>
          </w:tcPr>
          <w:p w14:paraId="65DA8FD1">
            <w:pPr>
              <w:shd w:val="clear"/>
              <w:jc w:val="center"/>
              <w:rPr>
                <w:color w:val="auto"/>
                <w:highlight w:val="none"/>
              </w:rPr>
            </w:pPr>
          </w:p>
        </w:tc>
        <w:tc>
          <w:tcPr>
            <w:tcW w:w="1515" w:type="dxa"/>
            <w:tcBorders>
              <w:top w:val="single" w:color="auto" w:sz="4" w:space="0"/>
              <w:left w:val="single" w:color="auto" w:sz="4" w:space="0"/>
              <w:bottom w:val="single" w:color="auto" w:sz="4" w:space="0"/>
              <w:right w:val="single" w:color="auto" w:sz="4" w:space="0"/>
            </w:tcBorders>
            <w:noWrap/>
            <w:vAlign w:val="center"/>
          </w:tcPr>
          <w:p w14:paraId="1A39F058">
            <w:pPr>
              <w:shd w:val="clear"/>
              <w:jc w:val="center"/>
              <w:rPr>
                <w:color w:val="auto"/>
                <w:highlight w:val="none"/>
              </w:rPr>
            </w:pPr>
          </w:p>
        </w:tc>
        <w:tc>
          <w:tcPr>
            <w:tcW w:w="1285" w:type="dxa"/>
            <w:tcBorders>
              <w:top w:val="single" w:color="auto" w:sz="4" w:space="0"/>
              <w:left w:val="single" w:color="auto" w:sz="4" w:space="0"/>
              <w:bottom w:val="single" w:color="auto" w:sz="4" w:space="0"/>
              <w:right w:val="single" w:color="auto" w:sz="4" w:space="0"/>
            </w:tcBorders>
            <w:noWrap/>
            <w:vAlign w:val="center"/>
          </w:tcPr>
          <w:p w14:paraId="593803AC">
            <w:pPr>
              <w:shd w:val="clear"/>
              <w:jc w:val="center"/>
              <w:rPr>
                <w:color w:val="auto"/>
                <w:highlight w:val="none"/>
              </w:rPr>
            </w:pPr>
          </w:p>
        </w:tc>
      </w:tr>
      <w:tr w14:paraId="1ADD0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2CCC858C">
            <w:pPr>
              <w:shd w:val="clear"/>
              <w:jc w:val="center"/>
              <w:rPr>
                <w:color w:val="auto"/>
                <w:highlight w:val="none"/>
              </w:rPr>
            </w:pPr>
            <w:r>
              <w:rPr>
                <w:color w:val="auto"/>
                <w:highlight w:val="none"/>
              </w:rPr>
              <w:t>2</w:t>
            </w:r>
          </w:p>
        </w:tc>
        <w:tc>
          <w:tcPr>
            <w:tcW w:w="1798" w:type="dxa"/>
            <w:tcBorders>
              <w:top w:val="single" w:color="auto" w:sz="4" w:space="0"/>
              <w:left w:val="single" w:color="auto" w:sz="4" w:space="0"/>
              <w:bottom w:val="single" w:color="auto" w:sz="4" w:space="0"/>
              <w:right w:val="single" w:color="auto" w:sz="4" w:space="0"/>
            </w:tcBorders>
            <w:noWrap/>
            <w:vAlign w:val="center"/>
          </w:tcPr>
          <w:p w14:paraId="3FFC4EAF">
            <w:pPr>
              <w:shd w:val="clear"/>
              <w:jc w:val="center"/>
              <w:rPr>
                <w:color w:val="auto"/>
                <w:highlight w:val="none"/>
              </w:rPr>
            </w:pPr>
          </w:p>
        </w:tc>
        <w:tc>
          <w:tcPr>
            <w:tcW w:w="1545" w:type="dxa"/>
            <w:tcBorders>
              <w:top w:val="single" w:color="auto" w:sz="4" w:space="0"/>
              <w:left w:val="single" w:color="auto" w:sz="4" w:space="0"/>
              <w:bottom w:val="single" w:color="auto" w:sz="4" w:space="0"/>
              <w:right w:val="single" w:color="auto" w:sz="4" w:space="0"/>
            </w:tcBorders>
            <w:noWrap/>
            <w:vAlign w:val="center"/>
          </w:tcPr>
          <w:p w14:paraId="1004A857">
            <w:pPr>
              <w:shd w:val="clear"/>
              <w:jc w:val="center"/>
              <w:rPr>
                <w:color w:val="auto"/>
                <w:highlight w:val="none"/>
              </w:rPr>
            </w:pPr>
          </w:p>
        </w:tc>
        <w:tc>
          <w:tcPr>
            <w:tcW w:w="1530" w:type="dxa"/>
            <w:tcBorders>
              <w:top w:val="single" w:color="auto" w:sz="4" w:space="0"/>
              <w:left w:val="single" w:color="auto" w:sz="4" w:space="0"/>
              <w:bottom w:val="single" w:color="auto" w:sz="4" w:space="0"/>
              <w:right w:val="single" w:color="auto" w:sz="4" w:space="0"/>
            </w:tcBorders>
            <w:noWrap/>
            <w:vAlign w:val="center"/>
          </w:tcPr>
          <w:p w14:paraId="09CB0327">
            <w:pPr>
              <w:shd w:val="clear"/>
              <w:jc w:val="center"/>
              <w:rPr>
                <w:color w:val="auto"/>
                <w:highlight w:val="none"/>
              </w:rPr>
            </w:pPr>
          </w:p>
        </w:tc>
        <w:tc>
          <w:tcPr>
            <w:tcW w:w="1515" w:type="dxa"/>
            <w:tcBorders>
              <w:top w:val="single" w:color="auto" w:sz="4" w:space="0"/>
              <w:left w:val="single" w:color="auto" w:sz="4" w:space="0"/>
              <w:bottom w:val="single" w:color="auto" w:sz="4" w:space="0"/>
              <w:right w:val="single" w:color="auto" w:sz="4" w:space="0"/>
            </w:tcBorders>
            <w:noWrap/>
            <w:vAlign w:val="center"/>
          </w:tcPr>
          <w:p w14:paraId="4B8BA274">
            <w:pPr>
              <w:shd w:val="clear"/>
              <w:jc w:val="center"/>
              <w:rPr>
                <w:color w:val="auto"/>
                <w:highlight w:val="none"/>
              </w:rPr>
            </w:pPr>
          </w:p>
        </w:tc>
        <w:tc>
          <w:tcPr>
            <w:tcW w:w="1285" w:type="dxa"/>
            <w:tcBorders>
              <w:top w:val="single" w:color="auto" w:sz="4" w:space="0"/>
              <w:left w:val="single" w:color="auto" w:sz="4" w:space="0"/>
              <w:bottom w:val="single" w:color="auto" w:sz="4" w:space="0"/>
              <w:right w:val="single" w:color="auto" w:sz="4" w:space="0"/>
            </w:tcBorders>
            <w:noWrap/>
            <w:vAlign w:val="center"/>
          </w:tcPr>
          <w:p w14:paraId="43300390">
            <w:pPr>
              <w:shd w:val="clear"/>
              <w:jc w:val="center"/>
              <w:rPr>
                <w:color w:val="auto"/>
                <w:highlight w:val="none"/>
              </w:rPr>
            </w:pPr>
          </w:p>
        </w:tc>
      </w:tr>
      <w:tr w14:paraId="15113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26CE3DA4">
            <w:pPr>
              <w:shd w:val="clear"/>
              <w:jc w:val="center"/>
              <w:rPr>
                <w:color w:val="auto"/>
                <w:highlight w:val="none"/>
              </w:rPr>
            </w:pPr>
            <w:r>
              <w:rPr>
                <w:color w:val="auto"/>
                <w:highlight w:val="none"/>
              </w:rPr>
              <w:t>3</w:t>
            </w:r>
          </w:p>
        </w:tc>
        <w:tc>
          <w:tcPr>
            <w:tcW w:w="1798" w:type="dxa"/>
            <w:tcBorders>
              <w:top w:val="single" w:color="auto" w:sz="4" w:space="0"/>
              <w:left w:val="single" w:color="auto" w:sz="4" w:space="0"/>
              <w:bottom w:val="single" w:color="auto" w:sz="4" w:space="0"/>
              <w:right w:val="single" w:color="auto" w:sz="4" w:space="0"/>
            </w:tcBorders>
            <w:noWrap/>
            <w:vAlign w:val="center"/>
          </w:tcPr>
          <w:p w14:paraId="612E26C0">
            <w:pPr>
              <w:shd w:val="clear"/>
              <w:jc w:val="center"/>
              <w:rPr>
                <w:color w:val="auto"/>
                <w:highlight w:val="none"/>
              </w:rPr>
            </w:pPr>
          </w:p>
        </w:tc>
        <w:tc>
          <w:tcPr>
            <w:tcW w:w="1545" w:type="dxa"/>
            <w:tcBorders>
              <w:top w:val="single" w:color="auto" w:sz="4" w:space="0"/>
              <w:left w:val="single" w:color="auto" w:sz="4" w:space="0"/>
              <w:bottom w:val="single" w:color="auto" w:sz="4" w:space="0"/>
              <w:right w:val="single" w:color="auto" w:sz="4" w:space="0"/>
            </w:tcBorders>
            <w:noWrap/>
            <w:vAlign w:val="center"/>
          </w:tcPr>
          <w:p w14:paraId="4A6FAE1F">
            <w:pPr>
              <w:shd w:val="clear"/>
              <w:jc w:val="center"/>
              <w:rPr>
                <w:color w:val="auto"/>
                <w:highlight w:val="none"/>
              </w:rPr>
            </w:pPr>
          </w:p>
        </w:tc>
        <w:tc>
          <w:tcPr>
            <w:tcW w:w="1530" w:type="dxa"/>
            <w:tcBorders>
              <w:top w:val="single" w:color="auto" w:sz="4" w:space="0"/>
              <w:left w:val="single" w:color="auto" w:sz="4" w:space="0"/>
              <w:bottom w:val="single" w:color="auto" w:sz="4" w:space="0"/>
              <w:right w:val="single" w:color="auto" w:sz="4" w:space="0"/>
            </w:tcBorders>
            <w:noWrap/>
            <w:vAlign w:val="center"/>
          </w:tcPr>
          <w:p w14:paraId="52B62051">
            <w:pPr>
              <w:shd w:val="clear"/>
              <w:jc w:val="center"/>
              <w:rPr>
                <w:color w:val="auto"/>
                <w:highlight w:val="none"/>
              </w:rPr>
            </w:pPr>
          </w:p>
        </w:tc>
        <w:tc>
          <w:tcPr>
            <w:tcW w:w="1515" w:type="dxa"/>
            <w:tcBorders>
              <w:top w:val="single" w:color="auto" w:sz="4" w:space="0"/>
              <w:left w:val="single" w:color="auto" w:sz="4" w:space="0"/>
              <w:bottom w:val="single" w:color="auto" w:sz="4" w:space="0"/>
              <w:right w:val="single" w:color="auto" w:sz="4" w:space="0"/>
            </w:tcBorders>
            <w:noWrap/>
            <w:vAlign w:val="center"/>
          </w:tcPr>
          <w:p w14:paraId="0550AED5">
            <w:pPr>
              <w:shd w:val="clear"/>
              <w:jc w:val="center"/>
              <w:rPr>
                <w:color w:val="auto"/>
                <w:highlight w:val="none"/>
              </w:rPr>
            </w:pPr>
          </w:p>
        </w:tc>
        <w:tc>
          <w:tcPr>
            <w:tcW w:w="1285" w:type="dxa"/>
            <w:tcBorders>
              <w:top w:val="single" w:color="auto" w:sz="4" w:space="0"/>
              <w:left w:val="single" w:color="auto" w:sz="4" w:space="0"/>
              <w:bottom w:val="single" w:color="auto" w:sz="4" w:space="0"/>
              <w:right w:val="single" w:color="auto" w:sz="4" w:space="0"/>
            </w:tcBorders>
            <w:noWrap/>
            <w:vAlign w:val="center"/>
          </w:tcPr>
          <w:p w14:paraId="58FA3274">
            <w:pPr>
              <w:shd w:val="clear"/>
              <w:jc w:val="center"/>
              <w:rPr>
                <w:color w:val="auto"/>
                <w:highlight w:val="none"/>
              </w:rPr>
            </w:pPr>
          </w:p>
        </w:tc>
      </w:tr>
      <w:tr w14:paraId="2B193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672DFB49">
            <w:pPr>
              <w:shd w:val="clear"/>
              <w:jc w:val="center"/>
              <w:rPr>
                <w:color w:val="auto"/>
                <w:highlight w:val="none"/>
              </w:rPr>
            </w:pPr>
            <w:r>
              <w:rPr>
                <w:color w:val="auto"/>
                <w:highlight w:val="none"/>
              </w:rPr>
              <w:t>4</w:t>
            </w:r>
          </w:p>
        </w:tc>
        <w:tc>
          <w:tcPr>
            <w:tcW w:w="1798" w:type="dxa"/>
            <w:tcBorders>
              <w:top w:val="single" w:color="auto" w:sz="4" w:space="0"/>
              <w:left w:val="single" w:color="auto" w:sz="4" w:space="0"/>
              <w:bottom w:val="single" w:color="auto" w:sz="4" w:space="0"/>
              <w:right w:val="single" w:color="auto" w:sz="4" w:space="0"/>
            </w:tcBorders>
            <w:noWrap/>
            <w:vAlign w:val="center"/>
          </w:tcPr>
          <w:p w14:paraId="1E902C71">
            <w:pPr>
              <w:shd w:val="clear"/>
              <w:jc w:val="center"/>
              <w:rPr>
                <w:color w:val="auto"/>
                <w:highlight w:val="none"/>
              </w:rPr>
            </w:pPr>
          </w:p>
        </w:tc>
        <w:tc>
          <w:tcPr>
            <w:tcW w:w="1545" w:type="dxa"/>
            <w:tcBorders>
              <w:top w:val="single" w:color="auto" w:sz="4" w:space="0"/>
              <w:left w:val="single" w:color="auto" w:sz="4" w:space="0"/>
              <w:bottom w:val="single" w:color="auto" w:sz="4" w:space="0"/>
              <w:right w:val="single" w:color="auto" w:sz="4" w:space="0"/>
            </w:tcBorders>
            <w:noWrap/>
            <w:vAlign w:val="center"/>
          </w:tcPr>
          <w:p w14:paraId="7812ADBC">
            <w:pPr>
              <w:shd w:val="clear"/>
              <w:jc w:val="center"/>
              <w:rPr>
                <w:color w:val="auto"/>
                <w:highlight w:val="none"/>
              </w:rPr>
            </w:pPr>
          </w:p>
        </w:tc>
        <w:tc>
          <w:tcPr>
            <w:tcW w:w="1530" w:type="dxa"/>
            <w:tcBorders>
              <w:top w:val="single" w:color="auto" w:sz="4" w:space="0"/>
              <w:left w:val="single" w:color="auto" w:sz="4" w:space="0"/>
              <w:bottom w:val="single" w:color="auto" w:sz="4" w:space="0"/>
              <w:right w:val="single" w:color="auto" w:sz="4" w:space="0"/>
            </w:tcBorders>
            <w:noWrap/>
            <w:vAlign w:val="center"/>
          </w:tcPr>
          <w:p w14:paraId="4107AB1C">
            <w:pPr>
              <w:shd w:val="clear"/>
              <w:jc w:val="center"/>
              <w:rPr>
                <w:color w:val="auto"/>
                <w:highlight w:val="none"/>
              </w:rPr>
            </w:pPr>
          </w:p>
        </w:tc>
        <w:tc>
          <w:tcPr>
            <w:tcW w:w="1515" w:type="dxa"/>
            <w:tcBorders>
              <w:top w:val="single" w:color="auto" w:sz="4" w:space="0"/>
              <w:left w:val="single" w:color="auto" w:sz="4" w:space="0"/>
              <w:bottom w:val="single" w:color="auto" w:sz="4" w:space="0"/>
              <w:right w:val="single" w:color="auto" w:sz="4" w:space="0"/>
            </w:tcBorders>
            <w:noWrap/>
            <w:vAlign w:val="center"/>
          </w:tcPr>
          <w:p w14:paraId="59D9ADF3">
            <w:pPr>
              <w:shd w:val="clear"/>
              <w:jc w:val="center"/>
              <w:rPr>
                <w:color w:val="auto"/>
                <w:highlight w:val="none"/>
              </w:rPr>
            </w:pPr>
          </w:p>
        </w:tc>
        <w:tc>
          <w:tcPr>
            <w:tcW w:w="1285" w:type="dxa"/>
            <w:tcBorders>
              <w:top w:val="single" w:color="auto" w:sz="4" w:space="0"/>
              <w:left w:val="single" w:color="auto" w:sz="4" w:space="0"/>
              <w:bottom w:val="single" w:color="auto" w:sz="4" w:space="0"/>
              <w:right w:val="single" w:color="auto" w:sz="4" w:space="0"/>
            </w:tcBorders>
            <w:noWrap/>
            <w:vAlign w:val="center"/>
          </w:tcPr>
          <w:p w14:paraId="57EB8874">
            <w:pPr>
              <w:shd w:val="clear"/>
              <w:jc w:val="center"/>
              <w:rPr>
                <w:color w:val="auto"/>
                <w:highlight w:val="none"/>
              </w:rPr>
            </w:pPr>
          </w:p>
        </w:tc>
      </w:tr>
      <w:tr w14:paraId="4E95B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00EEF999">
            <w:pPr>
              <w:shd w:val="clear"/>
              <w:jc w:val="center"/>
              <w:rPr>
                <w:color w:val="auto"/>
                <w:highlight w:val="none"/>
              </w:rPr>
            </w:pPr>
            <w:r>
              <w:rPr>
                <w:color w:val="auto"/>
                <w:highlight w:val="none"/>
              </w:rPr>
              <w:t>……</w:t>
            </w:r>
          </w:p>
        </w:tc>
        <w:tc>
          <w:tcPr>
            <w:tcW w:w="1798" w:type="dxa"/>
            <w:tcBorders>
              <w:top w:val="single" w:color="auto" w:sz="4" w:space="0"/>
              <w:left w:val="single" w:color="auto" w:sz="4" w:space="0"/>
              <w:bottom w:val="single" w:color="auto" w:sz="4" w:space="0"/>
              <w:right w:val="single" w:color="auto" w:sz="4" w:space="0"/>
            </w:tcBorders>
            <w:noWrap/>
            <w:vAlign w:val="center"/>
          </w:tcPr>
          <w:p w14:paraId="2A607A14">
            <w:pPr>
              <w:shd w:val="clear"/>
              <w:jc w:val="center"/>
              <w:rPr>
                <w:color w:val="auto"/>
                <w:highlight w:val="none"/>
              </w:rPr>
            </w:pPr>
          </w:p>
        </w:tc>
        <w:tc>
          <w:tcPr>
            <w:tcW w:w="1545" w:type="dxa"/>
            <w:tcBorders>
              <w:top w:val="single" w:color="auto" w:sz="4" w:space="0"/>
              <w:left w:val="single" w:color="auto" w:sz="4" w:space="0"/>
              <w:bottom w:val="single" w:color="auto" w:sz="4" w:space="0"/>
              <w:right w:val="single" w:color="auto" w:sz="4" w:space="0"/>
            </w:tcBorders>
            <w:noWrap/>
            <w:vAlign w:val="center"/>
          </w:tcPr>
          <w:p w14:paraId="15E43E19">
            <w:pPr>
              <w:shd w:val="clear"/>
              <w:jc w:val="center"/>
              <w:rPr>
                <w:color w:val="auto"/>
                <w:highlight w:val="none"/>
              </w:rPr>
            </w:pPr>
          </w:p>
        </w:tc>
        <w:tc>
          <w:tcPr>
            <w:tcW w:w="1530" w:type="dxa"/>
            <w:tcBorders>
              <w:top w:val="single" w:color="auto" w:sz="4" w:space="0"/>
              <w:left w:val="single" w:color="auto" w:sz="4" w:space="0"/>
              <w:bottom w:val="single" w:color="auto" w:sz="4" w:space="0"/>
              <w:right w:val="single" w:color="auto" w:sz="4" w:space="0"/>
            </w:tcBorders>
            <w:noWrap/>
            <w:vAlign w:val="center"/>
          </w:tcPr>
          <w:p w14:paraId="236AFB61">
            <w:pPr>
              <w:shd w:val="clear"/>
              <w:jc w:val="center"/>
              <w:rPr>
                <w:color w:val="auto"/>
                <w:highlight w:val="none"/>
              </w:rPr>
            </w:pPr>
          </w:p>
        </w:tc>
        <w:tc>
          <w:tcPr>
            <w:tcW w:w="1515" w:type="dxa"/>
            <w:tcBorders>
              <w:top w:val="single" w:color="auto" w:sz="4" w:space="0"/>
              <w:left w:val="single" w:color="auto" w:sz="4" w:space="0"/>
              <w:bottom w:val="single" w:color="auto" w:sz="4" w:space="0"/>
              <w:right w:val="single" w:color="auto" w:sz="4" w:space="0"/>
            </w:tcBorders>
            <w:noWrap/>
            <w:vAlign w:val="center"/>
          </w:tcPr>
          <w:p w14:paraId="121E78D5">
            <w:pPr>
              <w:shd w:val="clear"/>
              <w:jc w:val="center"/>
              <w:rPr>
                <w:color w:val="auto"/>
                <w:highlight w:val="none"/>
              </w:rPr>
            </w:pPr>
          </w:p>
        </w:tc>
        <w:tc>
          <w:tcPr>
            <w:tcW w:w="1285" w:type="dxa"/>
            <w:tcBorders>
              <w:top w:val="single" w:color="auto" w:sz="4" w:space="0"/>
              <w:left w:val="single" w:color="auto" w:sz="4" w:space="0"/>
              <w:bottom w:val="single" w:color="auto" w:sz="4" w:space="0"/>
              <w:right w:val="single" w:color="auto" w:sz="4" w:space="0"/>
            </w:tcBorders>
            <w:noWrap/>
            <w:vAlign w:val="center"/>
          </w:tcPr>
          <w:p w14:paraId="3E988DDD">
            <w:pPr>
              <w:shd w:val="clear"/>
              <w:jc w:val="center"/>
              <w:rPr>
                <w:color w:val="auto"/>
                <w:highlight w:val="none"/>
              </w:rPr>
            </w:pPr>
          </w:p>
        </w:tc>
      </w:tr>
    </w:tbl>
    <w:p w14:paraId="2281DA4F">
      <w:pPr>
        <w:shd w:val="clear"/>
        <w:rPr>
          <w:color w:val="auto"/>
          <w:highlight w:val="none"/>
        </w:rPr>
      </w:pPr>
      <w:r>
        <w:rPr>
          <w:color w:val="auto"/>
          <w:highlight w:val="none"/>
        </w:rPr>
        <w:t>特别说明：</w:t>
      </w:r>
    </w:p>
    <w:p w14:paraId="66CCD395">
      <w:pPr>
        <w:shd w:val="clear"/>
        <w:rPr>
          <w:color w:val="auto"/>
          <w:highlight w:val="none"/>
        </w:rPr>
      </w:pPr>
      <w:r>
        <w:rPr>
          <w:color w:val="auto"/>
          <w:highlight w:val="none"/>
        </w:rPr>
        <w:t>1.商务条款无需条对条应答，如无偏离，请在此表中填写“无偏离”；如有偏离，请在此表中应答为“正/负偏离”并说明偏离情况。</w:t>
      </w:r>
    </w:p>
    <w:p w14:paraId="65CBA433">
      <w:pPr>
        <w:shd w:val="clear"/>
        <w:rPr>
          <w:color w:val="auto"/>
          <w:highlight w:val="none"/>
        </w:rPr>
      </w:pPr>
      <w:r>
        <w:rPr>
          <w:color w:val="auto"/>
          <w:highlight w:val="none"/>
        </w:rPr>
        <w:t>2.如《招标文件-商务部分》中有标注</w:t>
      </w:r>
      <w:r>
        <w:rPr>
          <w:rFonts w:ascii="Segoe UI Symbol" w:hAnsi="Segoe UI Symbol" w:cs="Segoe UI Symbol"/>
          <w:color w:val="auto"/>
          <w:highlight w:val="none"/>
        </w:rPr>
        <w:t>★</w:t>
      </w:r>
      <w:r>
        <w:rPr>
          <w:color w:val="auto"/>
          <w:highlight w:val="none"/>
        </w:rPr>
        <w:t>号的，则为实质性要求，必须满足，如应答为“负偏离”，将导致投标无效。</w:t>
      </w:r>
    </w:p>
    <w:p w14:paraId="113768A7">
      <w:pPr>
        <w:shd w:val="clear"/>
        <w:rPr>
          <w:color w:val="auto"/>
          <w:highlight w:val="none"/>
        </w:rPr>
      </w:pPr>
      <w:r>
        <w:rPr>
          <w:color w:val="auto"/>
          <w:highlight w:val="none"/>
        </w:rPr>
        <w:t>3.本表可扩展。</w:t>
      </w:r>
    </w:p>
    <w:p w14:paraId="1F4E5893">
      <w:pPr>
        <w:shd w:val="clear"/>
        <w:rPr>
          <w:color w:val="auto"/>
          <w:highlight w:val="none"/>
        </w:rPr>
      </w:pPr>
    </w:p>
    <w:p w14:paraId="77322C66">
      <w:pPr>
        <w:shd w:val="clear"/>
        <w:rPr>
          <w:rFonts w:cs="宋体"/>
          <w:color w:val="auto"/>
          <w:highlight w:val="none"/>
        </w:rPr>
      </w:pPr>
      <w:r>
        <w:rPr>
          <w:rFonts w:hint="eastAsia" w:cs="宋体"/>
          <w:color w:val="auto"/>
          <w:highlight w:val="none"/>
          <w:lang w:eastAsia="zh-CN"/>
        </w:rPr>
        <w:t>投标人</w:t>
      </w:r>
      <w:r>
        <w:rPr>
          <w:color w:val="auto"/>
          <w:highlight w:val="none"/>
        </w:rPr>
        <w:t>（全称并加盖公章</w:t>
      </w:r>
      <w:r>
        <w:rPr>
          <w:rFonts w:hint="eastAsia" w:cs="宋体"/>
          <w:color w:val="auto"/>
          <w:highlight w:val="none"/>
        </w:rPr>
        <w:t>）：</w:t>
      </w:r>
      <w:r>
        <w:rPr>
          <w:rFonts w:hint="eastAsia" w:cs="宋体"/>
          <w:color w:val="auto"/>
          <w:highlight w:val="none"/>
          <w:u w:val="single"/>
          <w:lang w:val="en-US" w:eastAsia="zh-CN"/>
        </w:rPr>
        <w:t xml:space="preserve">                </w:t>
      </w:r>
    </w:p>
    <w:p w14:paraId="421B2A95">
      <w:pPr>
        <w:shd w:val="clear"/>
        <w:rPr>
          <w:rFonts w:cs="宋体"/>
          <w:color w:val="auto"/>
          <w:highlight w:val="none"/>
        </w:rPr>
      </w:pPr>
      <w:r>
        <w:rPr>
          <w:rFonts w:hint="eastAsia"/>
          <w:color w:val="auto"/>
          <w:highlight w:val="none"/>
          <w:lang w:eastAsia="zh-CN"/>
        </w:rPr>
        <w:t>投标人</w:t>
      </w:r>
      <w:r>
        <w:rPr>
          <w:rFonts w:hint="eastAsia"/>
          <w:color w:val="auto"/>
          <w:highlight w:val="none"/>
        </w:rPr>
        <w:t>代表（签字或盖章）</w:t>
      </w:r>
      <w:r>
        <w:rPr>
          <w:rFonts w:hint="eastAsia" w:cs="宋体"/>
          <w:color w:val="auto"/>
          <w:highlight w:val="none"/>
        </w:rPr>
        <w:t>：</w:t>
      </w:r>
    </w:p>
    <w:p w14:paraId="0C8A6D9B">
      <w:pPr>
        <w:shd w:val="clear"/>
        <w:rPr>
          <w:color w:val="auto"/>
          <w:highlight w:val="none"/>
        </w:rPr>
      </w:pPr>
      <w:r>
        <w:rPr>
          <w:rFonts w:hint="eastAsia"/>
          <w:color w:val="auto"/>
          <w:highlight w:val="none"/>
        </w:rPr>
        <w:t>日期：</w:t>
      </w:r>
    </w:p>
    <w:p w14:paraId="623F21AE">
      <w:pPr>
        <w:shd w:val="clear"/>
        <w:rPr>
          <w:color w:val="auto"/>
          <w:highlight w:val="none"/>
        </w:rPr>
      </w:pPr>
    </w:p>
    <w:p w14:paraId="3D20F06C">
      <w:pPr>
        <w:pStyle w:val="8"/>
        <w:shd w:val="clear"/>
        <w:jc w:val="center"/>
        <w:rPr>
          <w:color w:val="auto"/>
          <w:highlight w:val="none"/>
        </w:rPr>
      </w:pPr>
      <w:r>
        <w:rPr>
          <w:bCs/>
          <w:color w:val="auto"/>
          <w:szCs w:val="28"/>
          <w:highlight w:val="none"/>
        </w:rPr>
        <w:br w:type="page"/>
      </w:r>
      <w:bookmarkStart w:id="101" w:name="_Toc27821"/>
      <w:r>
        <w:rPr>
          <w:rFonts w:hint="eastAsia" w:ascii="宋体" w:hAnsi="宋体" w:eastAsia="宋体" w:cs="宋体"/>
          <w:color w:val="auto"/>
          <w:highlight w:val="none"/>
        </w:rPr>
        <w:t>格式</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具备投标资格证明文件</w:t>
      </w:r>
      <w:bookmarkEnd w:id="101"/>
    </w:p>
    <w:p w14:paraId="2A6C4D5E">
      <w:pPr>
        <w:pageBreakBefore w:val="0"/>
        <w:widowControl w:val="0"/>
        <w:shd w:val="clear"/>
        <w:kinsoku/>
        <w:wordWrap/>
        <w:overflowPunct/>
        <w:bidi w:val="0"/>
        <w:adjustRightInd/>
        <w:snapToGrid/>
        <w:jc w:val="center"/>
        <w:textAlignment w:val="auto"/>
        <w:outlineLvl w:val="9"/>
        <w:rPr>
          <w:rFonts w:hint="eastAsia" w:asciiTheme="minorEastAsia" w:hAnsiTheme="minorEastAsia" w:eastAsiaTheme="minorEastAsia" w:cstheme="minorEastAsia"/>
          <w:b/>
          <w:bCs/>
          <w:color w:val="auto"/>
          <w:kern w:val="2"/>
          <w:sz w:val="24"/>
          <w:szCs w:val="24"/>
          <w:highlight w:val="none"/>
          <w:lang w:val="en-US" w:eastAsia="zh-CN" w:bidi="ar-SA"/>
        </w:rPr>
      </w:pPr>
      <w:bookmarkStart w:id="102" w:name="_Toc19626"/>
      <w:bookmarkStart w:id="103" w:name="_Toc3985"/>
      <w:bookmarkStart w:id="104" w:name="_Toc6292"/>
      <w:bookmarkStart w:id="105" w:name="_Toc9842"/>
      <w:bookmarkStart w:id="106" w:name="_Toc14439"/>
      <w:r>
        <w:rPr>
          <w:rFonts w:hint="eastAsia" w:asciiTheme="minorEastAsia" w:hAnsiTheme="minorEastAsia" w:eastAsiaTheme="minorEastAsia" w:cstheme="minorEastAsia"/>
          <w:b/>
          <w:bCs/>
          <w:color w:val="auto"/>
          <w:kern w:val="2"/>
          <w:sz w:val="24"/>
          <w:szCs w:val="24"/>
          <w:highlight w:val="none"/>
          <w:lang w:val="en-US" w:eastAsia="zh-CN" w:bidi="ar-SA"/>
        </w:rPr>
        <w:t>6-1 投标人基本情况</w:t>
      </w:r>
      <w:bookmarkEnd w:id="102"/>
      <w:bookmarkEnd w:id="103"/>
      <w:bookmarkEnd w:id="104"/>
      <w:bookmarkEnd w:id="105"/>
      <w:bookmarkEnd w:id="106"/>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03"/>
        <w:gridCol w:w="1617"/>
        <w:gridCol w:w="1700"/>
        <w:gridCol w:w="2698"/>
      </w:tblGrid>
      <w:tr w14:paraId="12A10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noWrap/>
            <w:vAlign w:val="center"/>
          </w:tcPr>
          <w:p w14:paraId="36CF5E65">
            <w:pPr>
              <w:pStyle w:val="17"/>
              <w:pageBreakBefore w:val="0"/>
              <w:widowControl w:val="0"/>
              <w:shd w:val="clear"/>
              <w:kinsoku/>
              <w:wordWrap/>
              <w:overflowPunct/>
              <w:bidi w:val="0"/>
              <w:adjustRightInd/>
              <w:snapToGrid/>
              <w:textAlignment w:val="auto"/>
              <w:outlineLvl w:val="9"/>
              <w:rPr>
                <w:color w:val="auto"/>
                <w:highlight w:val="none"/>
              </w:rPr>
            </w:pPr>
            <w:r>
              <w:rPr>
                <w:rFonts w:hint="eastAsia"/>
                <w:color w:val="auto"/>
                <w:highlight w:val="none"/>
                <w:lang w:eastAsia="zh-CN"/>
              </w:rPr>
              <w:t>投标人</w:t>
            </w:r>
            <w:r>
              <w:rPr>
                <w:rFonts w:hint="eastAsia"/>
                <w:color w:val="auto"/>
                <w:highlight w:val="none"/>
              </w:rPr>
              <w:t>名称</w:t>
            </w:r>
          </w:p>
        </w:tc>
        <w:tc>
          <w:tcPr>
            <w:tcW w:w="938" w:type="pct"/>
            <w:noWrap/>
            <w:vAlign w:val="center"/>
          </w:tcPr>
          <w:p w14:paraId="44ECA83C">
            <w:pPr>
              <w:pStyle w:val="17"/>
              <w:pageBreakBefore w:val="0"/>
              <w:widowControl w:val="0"/>
              <w:shd w:val="clear"/>
              <w:kinsoku/>
              <w:wordWrap/>
              <w:overflowPunct/>
              <w:bidi w:val="0"/>
              <w:adjustRightInd/>
              <w:snapToGrid/>
              <w:textAlignment w:val="auto"/>
              <w:outlineLvl w:val="9"/>
              <w:rPr>
                <w:color w:val="auto"/>
                <w:highlight w:val="none"/>
              </w:rPr>
            </w:pPr>
          </w:p>
        </w:tc>
        <w:tc>
          <w:tcPr>
            <w:tcW w:w="986" w:type="pct"/>
            <w:noWrap/>
            <w:vAlign w:val="center"/>
          </w:tcPr>
          <w:p w14:paraId="7C34C31E">
            <w:pPr>
              <w:pStyle w:val="17"/>
              <w:pageBreakBefore w:val="0"/>
              <w:widowControl w:val="0"/>
              <w:shd w:val="clear"/>
              <w:kinsoku/>
              <w:wordWrap/>
              <w:overflowPunct/>
              <w:bidi w:val="0"/>
              <w:adjustRightInd/>
              <w:snapToGrid/>
              <w:textAlignment w:val="auto"/>
              <w:outlineLvl w:val="9"/>
              <w:rPr>
                <w:color w:val="auto"/>
                <w:highlight w:val="none"/>
              </w:rPr>
            </w:pPr>
            <w:r>
              <w:rPr>
                <w:rFonts w:hint="eastAsia"/>
                <w:color w:val="auto"/>
                <w:highlight w:val="none"/>
              </w:rPr>
              <w:t>法定代表人</w:t>
            </w:r>
          </w:p>
        </w:tc>
        <w:tc>
          <w:tcPr>
            <w:tcW w:w="1565" w:type="pct"/>
            <w:noWrap/>
            <w:vAlign w:val="center"/>
          </w:tcPr>
          <w:p w14:paraId="48785E0A">
            <w:pPr>
              <w:pStyle w:val="17"/>
              <w:pageBreakBefore w:val="0"/>
              <w:widowControl w:val="0"/>
              <w:shd w:val="clear"/>
              <w:kinsoku/>
              <w:wordWrap/>
              <w:overflowPunct/>
              <w:bidi w:val="0"/>
              <w:adjustRightInd/>
              <w:snapToGrid/>
              <w:textAlignment w:val="auto"/>
              <w:outlineLvl w:val="9"/>
              <w:rPr>
                <w:color w:val="auto"/>
                <w:highlight w:val="none"/>
              </w:rPr>
            </w:pPr>
          </w:p>
        </w:tc>
      </w:tr>
      <w:tr w14:paraId="131A0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noWrap/>
            <w:vAlign w:val="center"/>
          </w:tcPr>
          <w:p w14:paraId="5D7750DF">
            <w:pPr>
              <w:pStyle w:val="17"/>
              <w:pageBreakBefore w:val="0"/>
              <w:widowControl w:val="0"/>
              <w:shd w:val="clear"/>
              <w:kinsoku/>
              <w:wordWrap/>
              <w:overflowPunct/>
              <w:bidi w:val="0"/>
              <w:adjustRightInd/>
              <w:snapToGrid/>
              <w:textAlignment w:val="auto"/>
              <w:outlineLvl w:val="9"/>
              <w:rPr>
                <w:color w:val="auto"/>
                <w:highlight w:val="none"/>
              </w:rPr>
            </w:pPr>
            <w:r>
              <w:rPr>
                <w:rFonts w:hint="eastAsia"/>
                <w:color w:val="auto"/>
                <w:highlight w:val="none"/>
              </w:rPr>
              <w:t>统一社会信用代码</w:t>
            </w:r>
          </w:p>
        </w:tc>
        <w:tc>
          <w:tcPr>
            <w:tcW w:w="938" w:type="pct"/>
            <w:noWrap/>
            <w:vAlign w:val="center"/>
          </w:tcPr>
          <w:p w14:paraId="75DE6F02">
            <w:pPr>
              <w:pStyle w:val="17"/>
              <w:pageBreakBefore w:val="0"/>
              <w:widowControl w:val="0"/>
              <w:shd w:val="clear"/>
              <w:kinsoku/>
              <w:wordWrap/>
              <w:overflowPunct/>
              <w:bidi w:val="0"/>
              <w:adjustRightInd/>
              <w:snapToGrid/>
              <w:textAlignment w:val="auto"/>
              <w:outlineLvl w:val="9"/>
              <w:rPr>
                <w:color w:val="auto"/>
                <w:highlight w:val="none"/>
              </w:rPr>
            </w:pPr>
          </w:p>
        </w:tc>
        <w:tc>
          <w:tcPr>
            <w:tcW w:w="986" w:type="pct"/>
            <w:noWrap/>
            <w:vAlign w:val="center"/>
          </w:tcPr>
          <w:p w14:paraId="12DF96C0">
            <w:pPr>
              <w:pStyle w:val="17"/>
              <w:pageBreakBefore w:val="0"/>
              <w:widowControl w:val="0"/>
              <w:shd w:val="clear"/>
              <w:kinsoku/>
              <w:wordWrap/>
              <w:overflowPunct/>
              <w:bidi w:val="0"/>
              <w:adjustRightInd/>
              <w:snapToGrid/>
              <w:textAlignment w:val="auto"/>
              <w:outlineLvl w:val="9"/>
              <w:rPr>
                <w:color w:val="auto"/>
                <w:highlight w:val="none"/>
              </w:rPr>
            </w:pPr>
            <w:r>
              <w:rPr>
                <w:rFonts w:hint="eastAsia"/>
                <w:color w:val="auto"/>
                <w:highlight w:val="none"/>
              </w:rPr>
              <w:t>邮政编码</w:t>
            </w:r>
          </w:p>
        </w:tc>
        <w:tc>
          <w:tcPr>
            <w:tcW w:w="1565" w:type="pct"/>
            <w:noWrap/>
            <w:vAlign w:val="center"/>
          </w:tcPr>
          <w:p w14:paraId="017E5986">
            <w:pPr>
              <w:pStyle w:val="17"/>
              <w:pageBreakBefore w:val="0"/>
              <w:widowControl w:val="0"/>
              <w:shd w:val="clear"/>
              <w:kinsoku/>
              <w:wordWrap/>
              <w:overflowPunct/>
              <w:bidi w:val="0"/>
              <w:adjustRightInd/>
              <w:snapToGrid/>
              <w:textAlignment w:val="auto"/>
              <w:outlineLvl w:val="9"/>
              <w:rPr>
                <w:color w:val="auto"/>
                <w:highlight w:val="none"/>
              </w:rPr>
            </w:pPr>
          </w:p>
        </w:tc>
      </w:tr>
      <w:tr w14:paraId="71D23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noWrap/>
            <w:vAlign w:val="center"/>
          </w:tcPr>
          <w:p w14:paraId="640F7BC7">
            <w:pPr>
              <w:pStyle w:val="17"/>
              <w:pageBreakBefore w:val="0"/>
              <w:widowControl w:val="0"/>
              <w:shd w:val="clear"/>
              <w:kinsoku/>
              <w:wordWrap/>
              <w:overflowPunct/>
              <w:bidi w:val="0"/>
              <w:adjustRightInd/>
              <w:snapToGrid/>
              <w:textAlignment w:val="auto"/>
              <w:outlineLvl w:val="9"/>
              <w:rPr>
                <w:color w:val="auto"/>
                <w:highlight w:val="none"/>
              </w:rPr>
            </w:pPr>
            <w:r>
              <w:rPr>
                <w:rFonts w:hint="eastAsia"/>
                <w:color w:val="auto"/>
                <w:highlight w:val="none"/>
              </w:rPr>
              <w:t>授权代表</w:t>
            </w:r>
          </w:p>
        </w:tc>
        <w:tc>
          <w:tcPr>
            <w:tcW w:w="938" w:type="pct"/>
            <w:noWrap/>
            <w:vAlign w:val="center"/>
          </w:tcPr>
          <w:p w14:paraId="2462034D">
            <w:pPr>
              <w:pStyle w:val="17"/>
              <w:pageBreakBefore w:val="0"/>
              <w:widowControl w:val="0"/>
              <w:shd w:val="clear"/>
              <w:kinsoku/>
              <w:wordWrap/>
              <w:overflowPunct/>
              <w:bidi w:val="0"/>
              <w:adjustRightInd/>
              <w:snapToGrid/>
              <w:textAlignment w:val="auto"/>
              <w:outlineLvl w:val="9"/>
              <w:rPr>
                <w:color w:val="auto"/>
                <w:highlight w:val="none"/>
              </w:rPr>
            </w:pPr>
          </w:p>
        </w:tc>
        <w:tc>
          <w:tcPr>
            <w:tcW w:w="986" w:type="pct"/>
            <w:noWrap/>
            <w:vAlign w:val="center"/>
          </w:tcPr>
          <w:p w14:paraId="4A317392">
            <w:pPr>
              <w:pStyle w:val="17"/>
              <w:pageBreakBefore w:val="0"/>
              <w:widowControl w:val="0"/>
              <w:shd w:val="clear"/>
              <w:kinsoku/>
              <w:wordWrap/>
              <w:overflowPunct/>
              <w:bidi w:val="0"/>
              <w:adjustRightInd/>
              <w:snapToGrid/>
              <w:textAlignment w:val="auto"/>
              <w:outlineLvl w:val="9"/>
              <w:rPr>
                <w:color w:val="auto"/>
                <w:highlight w:val="none"/>
              </w:rPr>
            </w:pPr>
            <w:r>
              <w:rPr>
                <w:rFonts w:hint="eastAsia"/>
                <w:color w:val="auto"/>
                <w:highlight w:val="none"/>
              </w:rPr>
              <w:t>联系电话</w:t>
            </w:r>
          </w:p>
        </w:tc>
        <w:tc>
          <w:tcPr>
            <w:tcW w:w="1565" w:type="pct"/>
            <w:noWrap/>
            <w:vAlign w:val="center"/>
          </w:tcPr>
          <w:p w14:paraId="6066B8CE">
            <w:pPr>
              <w:pStyle w:val="17"/>
              <w:pageBreakBefore w:val="0"/>
              <w:widowControl w:val="0"/>
              <w:shd w:val="clear"/>
              <w:kinsoku/>
              <w:wordWrap/>
              <w:overflowPunct/>
              <w:bidi w:val="0"/>
              <w:adjustRightInd/>
              <w:snapToGrid/>
              <w:textAlignment w:val="auto"/>
              <w:outlineLvl w:val="9"/>
              <w:rPr>
                <w:color w:val="auto"/>
                <w:highlight w:val="none"/>
              </w:rPr>
            </w:pPr>
          </w:p>
        </w:tc>
      </w:tr>
      <w:tr w14:paraId="36B3F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noWrap/>
            <w:vAlign w:val="center"/>
          </w:tcPr>
          <w:p w14:paraId="41C18F55">
            <w:pPr>
              <w:pStyle w:val="17"/>
              <w:pageBreakBefore w:val="0"/>
              <w:widowControl w:val="0"/>
              <w:shd w:val="clear"/>
              <w:kinsoku/>
              <w:wordWrap/>
              <w:overflowPunct/>
              <w:bidi w:val="0"/>
              <w:adjustRightInd/>
              <w:snapToGrid/>
              <w:textAlignment w:val="auto"/>
              <w:outlineLvl w:val="9"/>
              <w:rPr>
                <w:color w:val="auto"/>
                <w:highlight w:val="none"/>
              </w:rPr>
            </w:pPr>
            <w:r>
              <w:rPr>
                <w:rFonts w:hint="eastAsia"/>
                <w:color w:val="auto"/>
                <w:highlight w:val="none"/>
              </w:rPr>
              <w:t>电子邮箱</w:t>
            </w:r>
          </w:p>
        </w:tc>
        <w:tc>
          <w:tcPr>
            <w:tcW w:w="938" w:type="pct"/>
            <w:noWrap/>
            <w:vAlign w:val="center"/>
          </w:tcPr>
          <w:p w14:paraId="0810E4C6">
            <w:pPr>
              <w:pStyle w:val="17"/>
              <w:pageBreakBefore w:val="0"/>
              <w:widowControl w:val="0"/>
              <w:shd w:val="clear"/>
              <w:kinsoku/>
              <w:wordWrap/>
              <w:overflowPunct/>
              <w:bidi w:val="0"/>
              <w:adjustRightInd/>
              <w:snapToGrid/>
              <w:textAlignment w:val="auto"/>
              <w:outlineLvl w:val="9"/>
              <w:rPr>
                <w:color w:val="auto"/>
                <w:highlight w:val="none"/>
              </w:rPr>
            </w:pPr>
          </w:p>
        </w:tc>
        <w:tc>
          <w:tcPr>
            <w:tcW w:w="986" w:type="pct"/>
            <w:noWrap/>
            <w:vAlign w:val="center"/>
          </w:tcPr>
          <w:p w14:paraId="0D3155E8">
            <w:pPr>
              <w:pStyle w:val="17"/>
              <w:pageBreakBefore w:val="0"/>
              <w:widowControl w:val="0"/>
              <w:shd w:val="clear"/>
              <w:kinsoku/>
              <w:wordWrap/>
              <w:overflowPunct/>
              <w:bidi w:val="0"/>
              <w:adjustRightInd/>
              <w:snapToGrid/>
              <w:textAlignment w:val="auto"/>
              <w:outlineLvl w:val="9"/>
              <w:rPr>
                <w:rFonts w:hint="eastAsia" w:eastAsia="宋体"/>
                <w:color w:val="auto"/>
                <w:highlight w:val="none"/>
                <w:lang w:eastAsia="zh-CN"/>
              </w:rPr>
            </w:pPr>
            <w:r>
              <w:rPr>
                <w:rFonts w:hint="eastAsia"/>
                <w:color w:val="auto"/>
                <w:highlight w:val="none"/>
                <w:lang w:eastAsia="zh-CN"/>
              </w:rPr>
              <w:t>地址</w:t>
            </w:r>
          </w:p>
        </w:tc>
        <w:tc>
          <w:tcPr>
            <w:tcW w:w="1565" w:type="pct"/>
            <w:noWrap/>
            <w:vAlign w:val="center"/>
          </w:tcPr>
          <w:p w14:paraId="53F7BBE1">
            <w:pPr>
              <w:pStyle w:val="17"/>
              <w:pageBreakBefore w:val="0"/>
              <w:widowControl w:val="0"/>
              <w:shd w:val="clear"/>
              <w:kinsoku/>
              <w:wordWrap/>
              <w:overflowPunct/>
              <w:bidi w:val="0"/>
              <w:adjustRightInd/>
              <w:snapToGrid/>
              <w:textAlignment w:val="auto"/>
              <w:outlineLvl w:val="9"/>
              <w:rPr>
                <w:color w:val="auto"/>
                <w:highlight w:val="none"/>
              </w:rPr>
            </w:pPr>
          </w:p>
        </w:tc>
      </w:tr>
      <w:tr w14:paraId="1DBA4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noWrap/>
            <w:vAlign w:val="center"/>
          </w:tcPr>
          <w:p w14:paraId="585501E6">
            <w:pPr>
              <w:pStyle w:val="17"/>
              <w:pageBreakBefore w:val="0"/>
              <w:widowControl w:val="0"/>
              <w:shd w:val="clear"/>
              <w:kinsoku/>
              <w:wordWrap/>
              <w:overflowPunct/>
              <w:bidi w:val="0"/>
              <w:adjustRightInd/>
              <w:snapToGrid/>
              <w:textAlignment w:val="auto"/>
              <w:outlineLvl w:val="9"/>
              <w:rPr>
                <w:color w:val="auto"/>
                <w:highlight w:val="none"/>
              </w:rPr>
            </w:pPr>
            <w:r>
              <w:rPr>
                <w:rFonts w:hint="eastAsia"/>
                <w:color w:val="auto"/>
                <w:highlight w:val="none"/>
              </w:rPr>
              <w:t>上年营业收入</w:t>
            </w:r>
          </w:p>
        </w:tc>
        <w:tc>
          <w:tcPr>
            <w:tcW w:w="938" w:type="pct"/>
            <w:noWrap/>
            <w:vAlign w:val="center"/>
          </w:tcPr>
          <w:p w14:paraId="458D8DBE">
            <w:pPr>
              <w:pStyle w:val="17"/>
              <w:pageBreakBefore w:val="0"/>
              <w:widowControl w:val="0"/>
              <w:shd w:val="clear"/>
              <w:kinsoku/>
              <w:wordWrap/>
              <w:overflowPunct/>
              <w:bidi w:val="0"/>
              <w:adjustRightInd/>
              <w:snapToGrid/>
              <w:textAlignment w:val="auto"/>
              <w:outlineLvl w:val="9"/>
              <w:rPr>
                <w:color w:val="auto"/>
                <w:highlight w:val="none"/>
              </w:rPr>
            </w:pPr>
          </w:p>
        </w:tc>
        <w:tc>
          <w:tcPr>
            <w:tcW w:w="986" w:type="pct"/>
            <w:noWrap/>
            <w:vAlign w:val="center"/>
          </w:tcPr>
          <w:p w14:paraId="02AE8551">
            <w:pPr>
              <w:pStyle w:val="17"/>
              <w:pageBreakBefore w:val="0"/>
              <w:widowControl w:val="0"/>
              <w:shd w:val="clear"/>
              <w:kinsoku/>
              <w:wordWrap/>
              <w:overflowPunct/>
              <w:bidi w:val="0"/>
              <w:adjustRightInd/>
              <w:snapToGrid/>
              <w:textAlignment w:val="auto"/>
              <w:outlineLvl w:val="9"/>
              <w:rPr>
                <w:color w:val="auto"/>
                <w:highlight w:val="none"/>
              </w:rPr>
            </w:pPr>
            <w:r>
              <w:rPr>
                <w:rFonts w:hint="eastAsia"/>
                <w:color w:val="auto"/>
                <w:highlight w:val="none"/>
              </w:rPr>
              <w:t>员工总人数</w:t>
            </w:r>
          </w:p>
        </w:tc>
        <w:tc>
          <w:tcPr>
            <w:tcW w:w="1565" w:type="pct"/>
            <w:noWrap/>
            <w:vAlign w:val="center"/>
          </w:tcPr>
          <w:p w14:paraId="3F12C3E5">
            <w:pPr>
              <w:pStyle w:val="17"/>
              <w:pageBreakBefore w:val="0"/>
              <w:widowControl w:val="0"/>
              <w:shd w:val="clear"/>
              <w:kinsoku/>
              <w:wordWrap/>
              <w:overflowPunct/>
              <w:bidi w:val="0"/>
              <w:adjustRightInd/>
              <w:snapToGrid/>
              <w:textAlignment w:val="auto"/>
              <w:outlineLvl w:val="9"/>
              <w:rPr>
                <w:color w:val="auto"/>
                <w:highlight w:val="none"/>
              </w:rPr>
            </w:pPr>
          </w:p>
        </w:tc>
      </w:tr>
      <w:tr w14:paraId="5A767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noWrap/>
            <w:vAlign w:val="center"/>
          </w:tcPr>
          <w:p w14:paraId="65344850">
            <w:pPr>
              <w:pStyle w:val="17"/>
              <w:pageBreakBefore w:val="0"/>
              <w:widowControl w:val="0"/>
              <w:shd w:val="clear"/>
              <w:kinsoku/>
              <w:wordWrap/>
              <w:overflowPunct/>
              <w:bidi w:val="0"/>
              <w:adjustRightInd/>
              <w:snapToGrid/>
              <w:textAlignment w:val="auto"/>
              <w:outlineLvl w:val="9"/>
              <w:rPr>
                <w:color w:val="auto"/>
                <w:highlight w:val="none"/>
              </w:rPr>
            </w:pPr>
            <w:r>
              <w:rPr>
                <w:rFonts w:hint="eastAsia"/>
                <w:color w:val="auto"/>
                <w:highlight w:val="none"/>
              </w:rPr>
              <w:t>基本账户开户行及账号</w:t>
            </w:r>
          </w:p>
        </w:tc>
        <w:tc>
          <w:tcPr>
            <w:tcW w:w="3489" w:type="pct"/>
            <w:gridSpan w:val="3"/>
            <w:noWrap/>
            <w:vAlign w:val="center"/>
          </w:tcPr>
          <w:p w14:paraId="0224F203">
            <w:pPr>
              <w:pStyle w:val="17"/>
              <w:pageBreakBefore w:val="0"/>
              <w:widowControl w:val="0"/>
              <w:shd w:val="clear"/>
              <w:kinsoku/>
              <w:wordWrap/>
              <w:overflowPunct/>
              <w:bidi w:val="0"/>
              <w:adjustRightInd/>
              <w:snapToGrid/>
              <w:textAlignment w:val="auto"/>
              <w:outlineLvl w:val="9"/>
              <w:rPr>
                <w:color w:val="auto"/>
                <w:highlight w:val="none"/>
              </w:rPr>
            </w:pPr>
          </w:p>
        </w:tc>
      </w:tr>
      <w:tr w14:paraId="0C83D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noWrap/>
            <w:vAlign w:val="center"/>
          </w:tcPr>
          <w:p w14:paraId="414CADAC">
            <w:pPr>
              <w:pStyle w:val="17"/>
              <w:pageBreakBefore w:val="0"/>
              <w:widowControl w:val="0"/>
              <w:shd w:val="clear"/>
              <w:kinsoku/>
              <w:wordWrap/>
              <w:overflowPunct/>
              <w:bidi w:val="0"/>
              <w:adjustRightInd/>
              <w:snapToGrid/>
              <w:textAlignment w:val="auto"/>
              <w:outlineLvl w:val="9"/>
              <w:rPr>
                <w:color w:val="auto"/>
                <w:highlight w:val="none"/>
              </w:rPr>
            </w:pPr>
            <w:r>
              <w:rPr>
                <w:rFonts w:hint="eastAsia"/>
                <w:color w:val="auto"/>
                <w:highlight w:val="none"/>
              </w:rPr>
              <w:t>税务登记机关</w:t>
            </w:r>
          </w:p>
        </w:tc>
        <w:tc>
          <w:tcPr>
            <w:tcW w:w="3489" w:type="pct"/>
            <w:gridSpan w:val="3"/>
            <w:noWrap/>
            <w:vAlign w:val="center"/>
          </w:tcPr>
          <w:p w14:paraId="340CD7A8">
            <w:pPr>
              <w:pStyle w:val="17"/>
              <w:pageBreakBefore w:val="0"/>
              <w:widowControl w:val="0"/>
              <w:shd w:val="clear"/>
              <w:kinsoku/>
              <w:wordWrap/>
              <w:overflowPunct/>
              <w:bidi w:val="0"/>
              <w:adjustRightInd/>
              <w:snapToGrid/>
              <w:textAlignment w:val="auto"/>
              <w:outlineLvl w:val="9"/>
              <w:rPr>
                <w:color w:val="auto"/>
                <w:highlight w:val="none"/>
              </w:rPr>
            </w:pPr>
          </w:p>
        </w:tc>
      </w:tr>
      <w:tr w14:paraId="2473A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noWrap/>
            <w:vAlign w:val="center"/>
          </w:tcPr>
          <w:p w14:paraId="16FAE430">
            <w:pPr>
              <w:pStyle w:val="17"/>
              <w:pageBreakBefore w:val="0"/>
              <w:widowControl w:val="0"/>
              <w:shd w:val="clear"/>
              <w:kinsoku/>
              <w:wordWrap/>
              <w:overflowPunct/>
              <w:bidi w:val="0"/>
              <w:adjustRightInd/>
              <w:snapToGrid/>
              <w:textAlignment w:val="auto"/>
              <w:outlineLvl w:val="9"/>
              <w:rPr>
                <w:color w:val="auto"/>
                <w:highlight w:val="none"/>
              </w:rPr>
            </w:pPr>
            <w:r>
              <w:rPr>
                <w:rFonts w:hint="eastAsia"/>
                <w:color w:val="auto"/>
                <w:highlight w:val="none"/>
              </w:rPr>
              <w:t>资质名称</w:t>
            </w:r>
          </w:p>
        </w:tc>
        <w:tc>
          <w:tcPr>
            <w:tcW w:w="938" w:type="pct"/>
            <w:noWrap/>
            <w:vAlign w:val="center"/>
          </w:tcPr>
          <w:p w14:paraId="1CF7E4DC">
            <w:pPr>
              <w:pStyle w:val="17"/>
              <w:pageBreakBefore w:val="0"/>
              <w:widowControl w:val="0"/>
              <w:shd w:val="clear"/>
              <w:kinsoku/>
              <w:wordWrap/>
              <w:overflowPunct/>
              <w:bidi w:val="0"/>
              <w:adjustRightInd/>
              <w:snapToGrid/>
              <w:textAlignment w:val="auto"/>
              <w:outlineLvl w:val="9"/>
              <w:rPr>
                <w:color w:val="auto"/>
                <w:highlight w:val="none"/>
              </w:rPr>
            </w:pPr>
            <w:r>
              <w:rPr>
                <w:rFonts w:hint="eastAsia"/>
                <w:color w:val="auto"/>
                <w:highlight w:val="none"/>
              </w:rPr>
              <w:t>等级</w:t>
            </w:r>
          </w:p>
        </w:tc>
        <w:tc>
          <w:tcPr>
            <w:tcW w:w="986" w:type="pct"/>
            <w:noWrap/>
            <w:vAlign w:val="center"/>
          </w:tcPr>
          <w:p w14:paraId="3C6E76AB">
            <w:pPr>
              <w:pStyle w:val="17"/>
              <w:pageBreakBefore w:val="0"/>
              <w:widowControl w:val="0"/>
              <w:shd w:val="clear"/>
              <w:kinsoku/>
              <w:wordWrap/>
              <w:overflowPunct/>
              <w:bidi w:val="0"/>
              <w:adjustRightInd/>
              <w:snapToGrid/>
              <w:textAlignment w:val="auto"/>
              <w:outlineLvl w:val="9"/>
              <w:rPr>
                <w:color w:val="auto"/>
                <w:highlight w:val="none"/>
              </w:rPr>
            </w:pPr>
            <w:r>
              <w:rPr>
                <w:rFonts w:hint="eastAsia"/>
                <w:color w:val="auto"/>
                <w:highlight w:val="none"/>
              </w:rPr>
              <w:t>发证机关</w:t>
            </w:r>
          </w:p>
        </w:tc>
        <w:tc>
          <w:tcPr>
            <w:tcW w:w="1565" w:type="pct"/>
            <w:noWrap/>
            <w:vAlign w:val="center"/>
          </w:tcPr>
          <w:p w14:paraId="0FCDBB3C">
            <w:pPr>
              <w:pStyle w:val="17"/>
              <w:pageBreakBefore w:val="0"/>
              <w:widowControl w:val="0"/>
              <w:shd w:val="clear"/>
              <w:kinsoku/>
              <w:wordWrap/>
              <w:overflowPunct/>
              <w:bidi w:val="0"/>
              <w:adjustRightInd/>
              <w:snapToGrid/>
              <w:textAlignment w:val="auto"/>
              <w:outlineLvl w:val="9"/>
              <w:rPr>
                <w:color w:val="auto"/>
                <w:highlight w:val="none"/>
              </w:rPr>
            </w:pPr>
            <w:r>
              <w:rPr>
                <w:rFonts w:hint="eastAsia"/>
                <w:color w:val="auto"/>
                <w:highlight w:val="none"/>
              </w:rPr>
              <w:t>有效期</w:t>
            </w:r>
          </w:p>
        </w:tc>
      </w:tr>
      <w:tr w14:paraId="3EA2D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noWrap/>
            <w:vAlign w:val="center"/>
          </w:tcPr>
          <w:p w14:paraId="0FEEE144">
            <w:pPr>
              <w:pStyle w:val="17"/>
              <w:pageBreakBefore w:val="0"/>
              <w:widowControl w:val="0"/>
              <w:shd w:val="clear"/>
              <w:kinsoku/>
              <w:wordWrap/>
              <w:overflowPunct/>
              <w:bidi w:val="0"/>
              <w:adjustRightInd/>
              <w:snapToGrid/>
              <w:textAlignment w:val="auto"/>
              <w:outlineLvl w:val="9"/>
              <w:rPr>
                <w:color w:val="auto"/>
                <w:highlight w:val="none"/>
              </w:rPr>
            </w:pPr>
          </w:p>
        </w:tc>
        <w:tc>
          <w:tcPr>
            <w:tcW w:w="938" w:type="pct"/>
            <w:noWrap/>
            <w:vAlign w:val="center"/>
          </w:tcPr>
          <w:p w14:paraId="0CB27A7C">
            <w:pPr>
              <w:pStyle w:val="17"/>
              <w:pageBreakBefore w:val="0"/>
              <w:widowControl w:val="0"/>
              <w:shd w:val="clear"/>
              <w:kinsoku/>
              <w:wordWrap/>
              <w:overflowPunct/>
              <w:bidi w:val="0"/>
              <w:adjustRightInd/>
              <w:snapToGrid/>
              <w:textAlignment w:val="auto"/>
              <w:outlineLvl w:val="9"/>
              <w:rPr>
                <w:color w:val="auto"/>
                <w:highlight w:val="none"/>
              </w:rPr>
            </w:pPr>
          </w:p>
        </w:tc>
        <w:tc>
          <w:tcPr>
            <w:tcW w:w="986" w:type="pct"/>
            <w:noWrap/>
            <w:vAlign w:val="center"/>
          </w:tcPr>
          <w:p w14:paraId="4BE3C070">
            <w:pPr>
              <w:pStyle w:val="17"/>
              <w:pageBreakBefore w:val="0"/>
              <w:widowControl w:val="0"/>
              <w:shd w:val="clear"/>
              <w:kinsoku/>
              <w:wordWrap/>
              <w:overflowPunct/>
              <w:bidi w:val="0"/>
              <w:adjustRightInd/>
              <w:snapToGrid/>
              <w:textAlignment w:val="auto"/>
              <w:outlineLvl w:val="9"/>
              <w:rPr>
                <w:color w:val="auto"/>
                <w:highlight w:val="none"/>
              </w:rPr>
            </w:pPr>
          </w:p>
        </w:tc>
        <w:tc>
          <w:tcPr>
            <w:tcW w:w="1565" w:type="pct"/>
            <w:noWrap/>
            <w:vAlign w:val="center"/>
          </w:tcPr>
          <w:p w14:paraId="34C25740">
            <w:pPr>
              <w:pStyle w:val="17"/>
              <w:pageBreakBefore w:val="0"/>
              <w:widowControl w:val="0"/>
              <w:shd w:val="clear"/>
              <w:kinsoku/>
              <w:wordWrap/>
              <w:overflowPunct/>
              <w:bidi w:val="0"/>
              <w:adjustRightInd/>
              <w:snapToGrid/>
              <w:textAlignment w:val="auto"/>
              <w:outlineLvl w:val="9"/>
              <w:rPr>
                <w:color w:val="auto"/>
                <w:highlight w:val="none"/>
              </w:rPr>
            </w:pPr>
          </w:p>
        </w:tc>
      </w:tr>
      <w:tr w14:paraId="06AE0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noWrap/>
            <w:vAlign w:val="center"/>
          </w:tcPr>
          <w:p w14:paraId="5B3D8A90">
            <w:pPr>
              <w:pStyle w:val="17"/>
              <w:pageBreakBefore w:val="0"/>
              <w:widowControl w:val="0"/>
              <w:shd w:val="clear"/>
              <w:kinsoku/>
              <w:wordWrap/>
              <w:overflowPunct/>
              <w:bidi w:val="0"/>
              <w:adjustRightInd/>
              <w:snapToGrid/>
              <w:textAlignment w:val="auto"/>
              <w:outlineLvl w:val="9"/>
              <w:rPr>
                <w:color w:val="auto"/>
                <w:highlight w:val="none"/>
              </w:rPr>
            </w:pPr>
          </w:p>
        </w:tc>
        <w:tc>
          <w:tcPr>
            <w:tcW w:w="938" w:type="pct"/>
            <w:noWrap/>
            <w:vAlign w:val="center"/>
          </w:tcPr>
          <w:p w14:paraId="4B271F8B">
            <w:pPr>
              <w:pStyle w:val="17"/>
              <w:pageBreakBefore w:val="0"/>
              <w:widowControl w:val="0"/>
              <w:shd w:val="clear"/>
              <w:kinsoku/>
              <w:wordWrap/>
              <w:overflowPunct/>
              <w:bidi w:val="0"/>
              <w:adjustRightInd/>
              <w:snapToGrid/>
              <w:textAlignment w:val="auto"/>
              <w:outlineLvl w:val="9"/>
              <w:rPr>
                <w:color w:val="auto"/>
                <w:highlight w:val="none"/>
              </w:rPr>
            </w:pPr>
          </w:p>
        </w:tc>
        <w:tc>
          <w:tcPr>
            <w:tcW w:w="986" w:type="pct"/>
            <w:noWrap/>
            <w:vAlign w:val="center"/>
          </w:tcPr>
          <w:p w14:paraId="4475B64E">
            <w:pPr>
              <w:pStyle w:val="17"/>
              <w:pageBreakBefore w:val="0"/>
              <w:widowControl w:val="0"/>
              <w:shd w:val="clear"/>
              <w:kinsoku/>
              <w:wordWrap/>
              <w:overflowPunct/>
              <w:bidi w:val="0"/>
              <w:adjustRightInd/>
              <w:snapToGrid/>
              <w:textAlignment w:val="auto"/>
              <w:outlineLvl w:val="9"/>
              <w:rPr>
                <w:color w:val="auto"/>
                <w:highlight w:val="none"/>
              </w:rPr>
            </w:pPr>
          </w:p>
        </w:tc>
        <w:tc>
          <w:tcPr>
            <w:tcW w:w="1565" w:type="pct"/>
            <w:noWrap/>
            <w:vAlign w:val="center"/>
          </w:tcPr>
          <w:p w14:paraId="216094A0">
            <w:pPr>
              <w:pStyle w:val="17"/>
              <w:pageBreakBefore w:val="0"/>
              <w:widowControl w:val="0"/>
              <w:shd w:val="clear"/>
              <w:kinsoku/>
              <w:wordWrap/>
              <w:overflowPunct/>
              <w:bidi w:val="0"/>
              <w:adjustRightInd/>
              <w:snapToGrid/>
              <w:textAlignment w:val="auto"/>
              <w:outlineLvl w:val="9"/>
              <w:rPr>
                <w:color w:val="auto"/>
                <w:highlight w:val="none"/>
              </w:rPr>
            </w:pPr>
          </w:p>
        </w:tc>
      </w:tr>
      <w:tr w14:paraId="671F1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0" w:type="pct"/>
            <w:noWrap/>
            <w:vAlign w:val="center"/>
          </w:tcPr>
          <w:p w14:paraId="7F3EC1F1">
            <w:pPr>
              <w:pStyle w:val="17"/>
              <w:pageBreakBefore w:val="0"/>
              <w:widowControl w:val="0"/>
              <w:shd w:val="clear"/>
              <w:kinsoku/>
              <w:wordWrap/>
              <w:overflowPunct/>
              <w:bidi w:val="0"/>
              <w:adjustRightInd/>
              <w:snapToGrid/>
              <w:textAlignment w:val="auto"/>
              <w:outlineLvl w:val="9"/>
              <w:rPr>
                <w:color w:val="auto"/>
                <w:highlight w:val="none"/>
              </w:rPr>
            </w:pPr>
            <w:r>
              <w:rPr>
                <w:rFonts w:hint="eastAsia"/>
                <w:color w:val="auto"/>
                <w:highlight w:val="none"/>
              </w:rPr>
              <w:t>备注</w:t>
            </w:r>
          </w:p>
        </w:tc>
        <w:tc>
          <w:tcPr>
            <w:tcW w:w="3489" w:type="pct"/>
            <w:gridSpan w:val="3"/>
            <w:noWrap/>
            <w:vAlign w:val="center"/>
          </w:tcPr>
          <w:p w14:paraId="11B06B77">
            <w:pPr>
              <w:pStyle w:val="17"/>
              <w:pageBreakBefore w:val="0"/>
              <w:widowControl w:val="0"/>
              <w:shd w:val="clear"/>
              <w:kinsoku/>
              <w:wordWrap/>
              <w:overflowPunct/>
              <w:bidi w:val="0"/>
              <w:adjustRightInd/>
              <w:snapToGrid/>
              <w:textAlignment w:val="auto"/>
              <w:outlineLvl w:val="9"/>
              <w:rPr>
                <w:color w:val="auto"/>
                <w:highlight w:val="none"/>
              </w:rPr>
            </w:pPr>
          </w:p>
        </w:tc>
      </w:tr>
    </w:tbl>
    <w:p w14:paraId="2903145B">
      <w:pPr>
        <w:pageBreakBefore w:val="0"/>
        <w:widowControl w:val="0"/>
        <w:shd w:val="clear"/>
        <w:kinsoku/>
        <w:wordWrap/>
        <w:overflowPunct/>
        <w:bidi w:val="0"/>
        <w:adjustRightInd/>
        <w:snapToGrid/>
        <w:textAlignment w:val="auto"/>
        <w:outlineLvl w:val="9"/>
        <w:rPr>
          <w:color w:val="auto"/>
          <w:highlight w:val="none"/>
        </w:rPr>
      </w:pPr>
    </w:p>
    <w:p w14:paraId="62C8F4DA">
      <w:pPr>
        <w:pageBreakBefore w:val="0"/>
        <w:widowControl w:val="0"/>
        <w:shd w:val="clear"/>
        <w:kinsoku/>
        <w:wordWrap/>
        <w:overflowPunct/>
        <w:bidi w:val="0"/>
        <w:adjustRightInd/>
        <w:snapToGrid/>
        <w:textAlignment w:val="auto"/>
        <w:outlineLvl w:val="9"/>
        <w:rPr>
          <w:rFonts w:cs="宋体"/>
          <w:color w:val="auto"/>
          <w:highlight w:val="none"/>
        </w:rPr>
      </w:pPr>
      <w:r>
        <w:rPr>
          <w:rFonts w:hint="eastAsia" w:cs="宋体"/>
          <w:color w:val="auto"/>
          <w:highlight w:val="none"/>
          <w:lang w:eastAsia="zh-CN"/>
        </w:rPr>
        <w:t>投标人</w:t>
      </w:r>
      <w:r>
        <w:rPr>
          <w:color w:val="auto"/>
          <w:highlight w:val="none"/>
        </w:rPr>
        <w:t>（全称并加盖公章</w:t>
      </w:r>
      <w:r>
        <w:rPr>
          <w:rFonts w:hint="eastAsia" w:cs="宋体"/>
          <w:color w:val="auto"/>
          <w:highlight w:val="none"/>
        </w:rPr>
        <w:t>）：</w:t>
      </w:r>
      <w:r>
        <w:rPr>
          <w:rFonts w:hint="eastAsia" w:cs="宋体"/>
          <w:color w:val="auto"/>
          <w:highlight w:val="none"/>
          <w:u w:val="single"/>
          <w:lang w:val="en-US" w:eastAsia="zh-CN"/>
        </w:rPr>
        <w:t xml:space="preserve">                </w:t>
      </w:r>
    </w:p>
    <w:p w14:paraId="08D94089">
      <w:pPr>
        <w:pageBreakBefore w:val="0"/>
        <w:widowControl w:val="0"/>
        <w:shd w:val="clear"/>
        <w:kinsoku/>
        <w:wordWrap/>
        <w:overflowPunct/>
        <w:bidi w:val="0"/>
        <w:adjustRightInd/>
        <w:snapToGrid/>
        <w:textAlignment w:val="auto"/>
        <w:outlineLvl w:val="9"/>
        <w:rPr>
          <w:rFonts w:cs="宋体"/>
          <w:color w:val="auto"/>
          <w:highlight w:val="none"/>
        </w:rPr>
      </w:pPr>
      <w:r>
        <w:rPr>
          <w:rFonts w:hint="eastAsia"/>
          <w:color w:val="auto"/>
          <w:highlight w:val="none"/>
          <w:lang w:eastAsia="zh-CN"/>
        </w:rPr>
        <w:t>投标人</w:t>
      </w:r>
      <w:r>
        <w:rPr>
          <w:rFonts w:hint="eastAsia"/>
          <w:color w:val="auto"/>
          <w:highlight w:val="none"/>
        </w:rPr>
        <w:t>代表（签字或盖章）</w:t>
      </w:r>
      <w:r>
        <w:rPr>
          <w:rFonts w:hint="eastAsia" w:cs="宋体"/>
          <w:color w:val="auto"/>
          <w:highlight w:val="none"/>
        </w:rPr>
        <w:t>：</w:t>
      </w:r>
    </w:p>
    <w:p w14:paraId="53948627">
      <w:pPr>
        <w:pageBreakBefore w:val="0"/>
        <w:widowControl w:val="0"/>
        <w:shd w:val="clear"/>
        <w:kinsoku/>
        <w:wordWrap/>
        <w:overflowPunct/>
        <w:bidi w:val="0"/>
        <w:adjustRightInd/>
        <w:snapToGrid/>
        <w:textAlignment w:val="auto"/>
        <w:outlineLvl w:val="9"/>
        <w:rPr>
          <w:rFonts w:hint="eastAsia"/>
          <w:color w:val="auto"/>
          <w:highlight w:val="none"/>
        </w:rPr>
      </w:pPr>
      <w:r>
        <w:rPr>
          <w:rFonts w:hint="eastAsia"/>
          <w:color w:val="auto"/>
          <w:highlight w:val="none"/>
        </w:rPr>
        <w:t>日期：</w:t>
      </w:r>
    </w:p>
    <w:p w14:paraId="65B9007C">
      <w:pPr>
        <w:pageBreakBefore w:val="0"/>
        <w:widowControl w:val="0"/>
        <w:shd w:val="clear"/>
        <w:kinsoku/>
        <w:wordWrap/>
        <w:overflowPunct/>
        <w:bidi w:val="0"/>
        <w:adjustRightInd/>
        <w:snapToGrid/>
        <w:textAlignment w:val="auto"/>
        <w:outlineLvl w:val="9"/>
        <w:rPr>
          <w:rFonts w:hint="eastAsia"/>
          <w:color w:val="auto"/>
          <w:highlight w:val="none"/>
        </w:rPr>
      </w:pPr>
    </w:p>
    <w:p w14:paraId="66AF44E9">
      <w:pPr>
        <w:pageBreakBefore w:val="0"/>
        <w:widowControl w:val="0"/>
        <w:shd w:val="clear"/>
        <w:kinsoku/>
        <w:wordWrap/>
        <w:overflowPunct/>
        <w:bidi w:val="0"/>
        <w:adjustRightInd/>
        <w:snapToGrid/>
        <w:textAlignment w:val="auto"/>
        <w:outlineLvl w:val="9"/>
        <w:rPr>
          <w:rFonts w:hint="eastAsia" w:eastAsia="宋体"/>
          <w:b/>
          <w:bCs/>
          <w:color w:val="auto"/>
          <w:sz w:val="24"/>
          <w:szCs w:val="24"/>
          <w:highlight w:val="none"/>
          <w:lang w:eastAsia="zh-CN"/>
        </w:rPr>
      </w:pPr>
      <w:r>
        <w:rPr>
          <w:rFonts w:hint="eastAsia"/>
          <w:b/>
          <w:bCs/>
          <w:color w:val="auto"/>
          <w:sz w:val="24"/>
          <w:szCs w:val="24"/>
          <w:highlight w:val="none"/>
        </w:rPr>
        <w:t>附：</w:t>
      </w:r>
      <w:r>
        <w:rPr>
          <w:rFonts w:hint="eastAsia"/>
          <w:b/>
          <w:bCs/>
          <w:color w:val="auto"/>
          <w:sz w:val="24"/>
          <w:szCs w:val="24"/>
          <w:highlight w:val="none"/>
          <w:lang w:eastAsia="zh-CN"/>
        </w:rPr>
        <w:t>法人或者其他组织的营业执照等证明文件，自然人的身份证明复印件；</w:t>
      </w:r>
    </w:p>
    <w:p w14:paraId="103646E6">
      <w:pPr>
        <w:pStyle w:val="17"/>
        <w:pageBreakBefore w:val="0"/>
        <w:widowControl w:val="0"/>
        <w:shd w:val="clear"/>
        <w:kinsoku/>
        <w:wordWrap/>
        <w:overflowPunct/>
        <w:bidi w:val="0"/>
        <w:adjustRightInd/>
        <w:snapToGrid/>
        <w:textAlignment w:val="auto"/>
        <w:outlineLvl w:val="9"/>
        <w:rPr>
          <w:color w:val="auto"/>
          <w:highlight w:val="none"/>
        </w:rPr>
      </w:pPr>
    </w:p>
    <w:p w14:paraId="10C03835">
      <w:pPr>
        <w:pageBreakBefore w:val="0"/>
        <w:widowControl w:val="0"/>
        <w:numPr>
          <w:ilvl w:val="0"/>
          <w:numId w:val="0"/>
        </w:numPr>
        <w:shd w:val="clear"/>
        <w:tabs>
          <w:tab w:val="left" w:pos="780"/>
        </w:tabs>
        <w:kinsoku/>
        <w:wordWrap/>
        <w:overflowPunct/>
        <w:topLinePunct w:val="0"/>
        <w:autoSpaceDE/>
        <w:autoSpaceDN/>
        <w:bidi w:val="0"/>
        <w:adjustRightInd/>
        <w:snapToGrid/>
        <w:spacing w:before="0" w:after="0" w:line="360" w:lineRule="auto"/>
        <w:jc w:val="both"/>
        <w:textAlignment w:val="auto"/>
        <w:outlineLvl w:val="9"/>
        <w:rPr>
          <w:rFonts w:hint="eastAsia" w:asciiTheme="minorEastAsia" w:hAnsiTheme="minorEastAsia" w:eastAsiaTheme="minorEastAsia" w:cstheme="minorEastAsia"/>
          <w:b/>
          <w:color w:val="auto"/>
          <w:sz w:val="24"/>
          <w:szCs w:val="24"/>
          <w:highlight w:val="none"/>
          <w:lang w:val="en-US" w:eastAsia="zh-CN"/>
        </w:rPr>
      </w:pPr>
      <w:r>
        <w:rPr>
          <w:rFonts w:ascii="宋体" w:hAnsi="宋体" w:cs="宋体"/>
          <w:color w:val="auto"/>
          <w:sz w:val="36"/>
          <w:szCs w:val="36"/>
          <w:highlight w:val="none"/>
        </w:rPr>
        <w:br w:type="page"/>
      </w:r>
      <w:bookmarkStart w:id="107" w:name="_Toc4761"/>
      <w:bookmarkStart w:id="108" w:name="_Toc20450"/>
      <w:bookmarkStart w:id="109" w:name="_Toc17732"/>
      <w:bookmarkStart w:id="110" w:name="_Toc27161"/>
      <w:bookmarkStart w:id="111" w:name="_Toc4589"/>
      <w:r>
        <w:rPr>
          <w:rFonts w:hint="eastAsia" w:asciiTheme="minorEastAsia" w:hAnsiTheme="minorEastAsia" w:eastAsiaTheme="minorEastAsia" w:cstheme="minorEastAsia"/>
          <w:b/>
          <w:color w:val="auto"/>
          <w:sz w:val="24"/>
          <w:szCs w:val="24"/>
          <w:highlight w:val="none"/>
          <w:lang w:val="en-US" w:eastAsia="zh-CN"/>
        </w:rPr>
        <w:t>6</w:t>
      </w:r>
      <w:r>
        <w:rPr>
          <w:rFonts w:hint="eastAsia" w:asciiTheme="minorEastAsia" w:hAnsiTheme="minorEastAsia" w:eastAsiaTheme="minorEastAsia" w:cstheme="minorEastAsia"/>
          <w:b/>
          <w:color w:val="auto"/>
          <w:sz w:val="24"/>
          <w:szCs w:val="24"/>
          <w:highlight w:val="none"/>
        </w:rPr>
        <w:t xml:space="preserve">-2 </w:t>
      </w:r>
      <w:r>
        <w:rPr>
          <w:rFonts w:hint="eastAsia" w:asciiTheme="minorEastAsia" w:hAnsiTheme="minorEastAsia" w:eastAsiaTheme="minorEastAsia" w:cstheme="minorEastAsia"/>
          <w:b/>
          <w:color w:val="auto"/>
          <w:sz w:val="24"/>
          <w:szCs w:val="24"/>
          <w:highlight w:val="none"/>
          <w:lang w:eastAsia="zh-CN"/>
        </w:rPr>
        <w:t>财务状况</w:t>
      </w:r>
      <w:r>
        <w:rPr>
          <w:rFonts w:hint="eastAsia" w:asciiTheme="minorEastAsia" w:hAnsiTheme="minorEastAsia" w:eastAsiaTheme="minorEastAsia" w:cstheme="minorEastAsia"/>
          <w:b/>
          <w:color w:val="auto"/>
          <w:sz w:val="24"/>
          <w:szCs w:val="24"/>
          <w:highlight w:val="none"/>
        </w:rPr>
        <w:t>：</w:t>
      </w:r>
      <w:bookmarkEnd w:id="107"/>
      <w:bookmarkEnd w:id="108"/>
      <w:bookmarkEnd w:id="109"/>
      <w:bookmarkEnd w:id="110"/>
      <w:r>
        <w:rPr>
          <w:rFonts w:hint="eastAsia" w:asciiTheme="minorEastAsia" w:hAnsiTheme="minorEastAsia" w:eastAsiaTheme="minorEastAsia" w:cstheme="minorEastAsia"/>
          <w:b/>
          <w:color w:val="auto"/>
          <w:sz w:val="24"/>
          <w:szCs w:val="24"/>
          <w:highlight w:val="none"/>
          <w:lang w:val="en-US" w:eastAsia="zh-CN"/>
        </w:rPr>
        <w:t>2024年度或2025年度经会计师事务所审计的财务报告（须提供加盖会计师事务所公章及注册会计师签章的复印件）；没有经审计的财务报告的，也可以提供2025年或2026年任意一个月的财务报表，或提供距离投标截止时间6个月内基本开户银行出具的资信证明复印件；</w:t>
      </w:r>
      <w:bookmarkEnd w:id="111"/>
    </w:p>
    <w:p w14:paraId="13FEC5F7">
      <w:pPr>
        <w:pageBreakBefore w:val="0"/>
        <w:widowControl w:val="0"/>
        <w:shd w:val="clear"/>
        <w:kinsoku/>
        <w:wordWrap/>
        <w:overflowPunct/>
        <w:bidi w:val="0"/>
        <w:adjustRightInd/>
        <w:snapToGrid/>
        <w:textAlignment w:val="auto"/>
        <w:outlineLvl w:val="9"/>
        <w:rPr>
          <w:rFonts w:hint="eastAsia"/>
          <w:color w:val="auto"/>
          <w:highlight w:val="none"/>
        </w:rPr>
      </w:pPr>
    </w:p>
    <w:p w14:paraId="2484248C">
      <w:pPr>
        <w:pageBreakBefore w:val="0"/>
        <w:widowControl w:val="0"/>
        <w:shd w:val="clear"/>
        <w:kinsoku/>
        <w:wordWrap/>
        <w:overflowPunct/>
        <w:bidi w:val="0"/>
        <w:adjustRightInd/>
        <w:snapToGrid/>
        <w:textAlignment w:val="auto"/>
        <w:outlineLvl w:val="9"/>
        <w:rPr>
          <w:rFonts w:hint="eastAsia" w:asciiTheme="minorEastAsia" w:hAnsiTheme="minorEastAsia" w:eastAsiaTheme="minorEastAsia" w:cstheme="minorEastAsia"/>
          <w:color w:val="auto"/>
          <w:sz w:val="21"/>
          <w:szCs w:val="21"/>
          <w:highlight w:val="none"/>
        </w:rPr>
      </w:pPr>
    </w:p>
    <w:p w14:paraId="38817D14">
      <w:pPr>
        <w:pageBreakBefore w:val="0"/>
        <w:widowControl w:val="0"/>
        <w:numPr>
          <w:ilvl w:val="0"/>
          <w:numId w:val="0"/>
        </w:numPr>
        <w:shd w:val="clear"/>
        <w:tabs>
          <w:tab w:val="left" w:pos="780"/>
        </w:tabs>
        <w:kinsoku/>
        <w:wordWrap/>
        <w:overflowPunct/>
        <w:topLinePunct w:val="0"/>
        <w:autoSpaceDE/>
        <w:autoSpaceDN/>
        <w:bidi w:val="0"/>
        <w:adjustRightInd/>
        <w:snapToGrid/>
        <w:spacing w:before="0" w:after="0" w:line="360" w:lineRule="auto"/>
        <w:jc w:val="both"/>
        <w:textAlignment w:val="auto"/>
        <w:outlineLvl w:val="9"/>
        <w:rPr>
          <w:rFonts w:hint="eastAsia" w:asciiTheme="minorEastAsia" w:hAnsiTheme="minorEastAsia" w:eastAsiaTheme="minorEastAsia" w:cstheme="minorEastAsia"/>
          <w:b/>
          <w:color w:val="auto"/>
          <w:sz w:val="24"/>
          <w:szCs w:val="24"/>
          <w:highlight w:val="none"/>
        </w:rPr>
      </w:pPr>
      <w:bookmarkStart w:id="112" w:name="_Toc13146"/>
      <w:bookmarkStart w:id="113" w:name="_Toc18766"/>
      <w:bookmarkStart w:id="114" w:name="_Toc25250"/>
      <w:bookmarkStart w:id="115" w:name="_Toc2502"/>
      <w:bookmarkStart w:id="116" w:name="_Toc21416"/>
      <w:r>
        <w:rPr>
          <w:rFonts w:hint="eastAsia" w:asciiTheme="minorEastAsia" w:hAnsiTheme="minorEastAsia" w:eastAsiaTheme="minorEastAsia" w:cstheme="minorEastAsia"/>
          <w:b/>
          <w:color w:val="auto"/>
          <w:sz w:val="24"/>
          <w:szCs w:val="24"/>
          <w:highlight w:val="none"/>
          <w:lang w:val="en-US" w:eastAsia="zh-CN"/>
        </w:rPr>
        <w:t>6</w:t>
      </w:r>
      <w:r>
        <w:rPr>
          <w:rFonts w:hint="eastAsia" w:asciiTheme="minorEastAsia" w:hAnsiTheme="minorEastAsia" w:eastAsiaTheme="minorEastAsia" w:cstheme="minorEastAsia"/>
          <w:b/>
          <w:color w:val="auto"/>
          <w:sz w:val="24"/>
          <w:szCs w:val="24"/>
          <w:highlight w:val="none"/>
        </w:rPr>
        <w:t>-3依法缴纳税收：</w:t>
      </w:r>
      <w:r>
        <w:rPr>
          <w:rFonts w:hint="eastAsia" w:asciiTheme="minorEastAsia" w:hAnsiTheme="minorEastAsia" w:eastAsiaTheme="minorEastAsia" w:cstheme="minorEastAsia"/>
          <w:b/>
          <w:color w:val="auto"/>
          <w:sz w:val="24"/>
          <w:szCs w:val="24"/>
          <w:highlight w:val="none"/>
          <w:lang w:val="en-US" w:eastAsia="zh-CN"/>
        </w:rPr>
        <w:t>2025</w:t>
      </w:r>
      <w:r>
        <w:rPr>
          <w:rFonts w:hint="eastAsia" w:asciiTheme="minorEastAsia" w:hAnsiTheme="minorEastAsia" w:eastAsiaTheme="minorEastAsia" w:cstheme="minorEastAsia"/>
          <w:b/>
          <w:color w:val="auto"/>
          <w:sz w:val="24"/>
          <w:szCs w:val="24"/>
          <w:highlight w:val="none"/>
        </w:rPr>
        <w:t>年</w:t>
      </w:r>
      <w:r>
        <w:rPr>
          <w:rFonts w:hint="eastAsia" w:asciiTheme="minorEastAsia" w:hAnsiTheme="minorEastAsia" w:eastAsiaTheme="minorEastAsia" w:cstheme="minorEastAsia"/>
          <w:b/>
          <w:color w:val="auto"/>
          <w:sz w:val="24"/>
          <w:szCs w:val="24"/>
          <w:highlight w:val="none"/>
          <w:lang w:val="en-US" w:eastAsia="zh-CN"/>
        </w:rPr>
        <w:t>7</w:t>
      </w:r>
      <w:r>
        <w:rPr>
          <w:rFonts w:hint="eastAsia" w:asciiTheme="minorEastAsia" w:hAnsiTheme="minorEastAsia" w:eastAsiaTheme="minorEastAsia" w:cstheme="minorEastAsia"/>
          <w:b/>
          <w:color w:val="auto"/>
          <w:sz w:val="24"/>
          <w:szCs w:val="24"/>
          <w:highlight w:val="none"/>
        </w:rPr>
        <w:t>月至开标当日任一月份依法缴纳税收</w:t>
      </w:r>
      <w:r>
        <w:rPr>
          <w:rFonts w:hint="eastAsia" w:asciiTheme="minorEastAsia" w:hAnsiTheme="minorEastAsia" w:eastAsiaTheme="minorEastAsia" w:cstheme="minorEastAsia"/>
          <w:b/>
          <w:color w:val="auto"/>
          <w:sz w:val="24"/>
          <w:szCs w:val="24"/>
          <w:highlight w:val="none"/>
          <w:lang w:eastAsia="zh-CN"/>
        </w:rPr>
        <w:t>（依法缴纳税收材料是指：税务部门出具的税收证明或完税凭证或银行出具的税收缴款证明）的相关材料复印件，如依法免税或不需要纳税的，则应提供相应证明材料复印件（根据国家相关政策免缴或迟缴的</w:t>
      </w:r>
      <w:r>
        <w:rPr>
          <w:rFonts w:hint="eastAsia" w:asciiTheme="minorEastAsia" w:hAnsiTheme="minorEastAsia" w:eastAsiaTheme="minorEastAsia" w:cstheme="minorEastAsia"/>
          <w:b/>
          <w:color w:val="auto"/>
          <w:sz w:val="24"/>
          <w:szCs w:val="24"/>
          <w:highlight w:val="none"/>
          <w:lang w:val="en-US" w:eastAsia="zh-CN"/>
        </w:rPr>
        <w:t>应</w:t>
      </w:r>
      <w:r>
        <w:rPr>
          <w:rFonts w:hint="eastAsia" w:asciiTheme="minorEastAsia" w:hAnsiTheme="minorEastAsia" w:eastAsiaTheme="minorEastAsia" w:cstheme="minorEastAsia"/>
          <w:b/>
          <w:color w:val="auto"/>
          <w:sz w:val="24"/>
          <w:szCs w:val="24"/>
          <w:highlight w:val="none"/>
          <w:lang w:eastAsia="zh-CN"/>
        </w:rPr>
        <w:t>提供相关证明材料）</w:t>
      </w:r>
      <w:r>
        <w:rPr>
          <w:rFonts w:hint="eastAsia" w:asciiTheme="minorEastAsia" w:hAnsiTheme="minorEastAsia" w:eastAsiaTheme="minorEastAsia" w:cstheme="minorEastAsia"/>
          <w:b/>
          <w:color w:val="auto"/>
          <w:sz w:val="24"/>
          <w:szCs w:val="24"/>
          <w:highlight w:val="none"/>
        </w:rPr>
        <w:t>；</w:t>
      </w:r>
      <w:bookmarkEnd w:id="112"/>
      <w:bookmarkEnd w:id="113"/>
      <w:bookmarkEnd w:id="114"/>
      <w:bookmarkEnd w:id="115"/>
      <w:bookmarkEnd w:id="116"/>
    </w:p>
    <w:p w14:paraId="394FC17F">
      <w:pPr>
        <w:pageBreakBefore w:val="0"/>
        <w:widowControl w:val="0"/>
        <w:shd w:val="clear"/>
        <w:kinsoku/>
        <w:wordWrap/>
        <w:overflowPunct/>
        <w:bidi w:val="0"/>
        <w:adjustRightInd/>
        <w:snapToGrid/>
        <w:textAlignment w:val="auto"/>
        <w:outlineLvl w:val="9"/>
        <w:rPr>
          <w:rFonts w:hint="eastAsia" w:asciiTheme="minorEastAsia" w:hAnsiTheme="minorEastAsia" w:eastAsiaTheme="minorEastAsia" w:cstheme="minorEastAsia"/>
          <w:color w:val="auto"/>
          <w:sz w:val="21"/>
          <w:szCs w:val="21"/>
          <w:highlight w:val="none"/>
        </w:rPr>
      </w:pPr>
    </w:p>
    <w:p w14:paraId="0A9CCCA6">
      <w:pPr>
        <w:pageBreakBefore w:val="0"/>
        <w:widowControl w:val="0"/>
        <w:shd w:val="clear"/>
        <w:kinsoku/>
        <w:wordWrap/>
        <w:overflowPunct/>
        <w:bidi w:val="0"/>
        <w:adjustRightInd/>
        <w:snapToGrid/>
        <w:textAlignment w:val="auto"/>
        <w:outlineLvl w:val="9"/>
        <w:rPr>
          <w:rFonts w:hint="eastAsia" w:asciiTheme="minorEastAsia" w:hAnsiTheme="minorEastAsia" w:eastAsiaTheme="minorEastAsia" w:cstheme="minorEastAsia"/>
          <w:color w:val="auto"/>
          <w:sz w:val="21"/>
          <w:szCs w:val="21"/>
          <w:highlight w:val="none"/>
        </w:rPr>
      </w:pPr>
    </w:p>
    <w:p w14:paraId="324C3BBF">
      <w:pPr>
        <w:keepNext w:val="0"/>
        <w:keepLines w:val="0"/>
        <w:pageBreakBefore w:val="0"/>
        <w:widowControl w:val="0"/>
        <w:shd w:val="clear"/>
        <w:kinsoku/>
        <w:wordWrap/>
        <w:overflowPunct/>
        <w:topLinePunct/>
        <w:autoSpaceDE w:val="0"/>
        <w:autoSpaceDN w:val="0"/>
        <w:bidi w:val="0"/>
        <w:adjustRightInd/>
        <w:snapToGrid/>
        <w:jc w:val="left"/>
        <w:textAlignment w:val="auto"/>
        <w:outlineLvl w:val="9"/>
        <w:rPr>
          <w:rFonts w:hint="eastAsia" w:asciiTheme="minorEastAsia" w:hAnsiTheme="minorEastAsia" w:eastAsiaTheme="minorEastAsia" w:cstheme="minorEastAsia"/>
          <w:b/>
          <w:bCs/>
          <w:color w:val="auto"/>
          <w:kern w:val="2"/>
          <w:sz w:val="24"/>
          <w:szCs w:val="24"/>
          <w:highlight w:val="none"/>
          <w:lang w:val="en-US" w:eastAsia="zh-CN" w:bidi="ar-SA"/>
        </w:rPr>
      </w:pPr>
      <w:bookmarkStart w:id="117" w:name="_Toc23524"/>
      <w:bookmarkStart w:id="118" w:name="_Toc29881"/>
      <w:bookmarkStart w:id="119" w:name="_Toc10128"/>
      <w:bookmarkStart w:id="120" w:name="_Toc21332"/>
      <w:bookmarkStart w:id="121" w:name="_Toc5088"/>
      <w:r>
        <w:rPr>
          <w:rFonts w:hint="eastAsia" w:asciiTheme="minorEastAsia" w:hAnsiTheme="minorEastAsia" w:eastAsiaTheme="minorEastAsia" w:cstheme="minorEastAsia"/>
          <w:b/>
          <w:bCs/>
          <w:color w:val="auto"/>
          <w:kern w:val="2"/>
          <w:sz w:val="24"/>
          <w:szCs w:val="24"/>
          <w:highlight w:val="none"/>
          <w:lang w:val="en-US" w:eastAsia="zh-CN" w:bidi="ar-SA"/>
        </w:rPr>
        <w:t>6-4 社会保障资金：2025年7月至开标当日任一月份的依法缴纳社会保障资金的相关材料复印件（社会保障资金材料是指：人社部门或税务机关或银行出具的缴纳社保的凭证），如依法不需要缴纳社会保障资金的，则应提供相应证明材料复印件（根据国家相关政策免缴或迟缴的应提供相关证明材料）；</w:t>
      </w:r>
      <w:bookmarkEnd w:id="117"/>
      <w:bookmarkEnd w:id="118"/>
      <w:bookmarkEnd w:id="119"/>
      <w:bookmarkEnd w:id="120"/>
      <w:bookmarkEnd w:id="121"/>
    </w:p>
    <w:p w14:paraId="6EA2EF76">
      <w:pPr>
        <w:pageBreakBefore w:val="0"/>
        <w:widowControl w:val="0"/>
        <w:shd w:val="clear"/>
        <w:kinsoku/>
        <w:wordWrap/>
        <w:overflowPunct/>
        <w:bidi w:val="0"/>
        <w:adjustRightInd/>
        <w:snapToGrid/>
        <w:jc w:val="center"/>
        <w:textAlignment w:val="auto"/>
        <w:outlineLvl w:val="9"/>
        <w:rPr>
          <w:rFonts w:hint="eastAsia" w:eastAsia="宋体" w:cs="Times New Roman"/>
          <w:color w:val="auto"/>
          <w:highlight w:val="none"/>
        </w:rPr>
      </w:pPr>
    </w:p>
    <w:p w14:paraId="4587D4D2">
      <w:pPr>
        <w:pageBreakBefore w:val="0"/>
        <w:widowControl w:val="0"/>
        <w:shd w:val="clear"/>
        <w:kinsoku/>
        <w:wordWrap/>
        <w:overflowPunct/>
        <w:bidi w:val="0"/>
        <w:adjustRightInd/>
        <w:snapToGrid/>
        <w:textAlignment w:val="auto"/>
        <w:outlineLvl w:val="9"/>
        <w:rPr>
          <w:rFonts w:hint="eastAsia" w:asciiTheme="minorEastAsia" w:hAnsiTheme="minorEastAsia" w:eastAsiaTheme="minorEastAsia" w:cstheme="minorEastAsia"/>
          <w:color w:val="auto"/>
          <w:szCs w:val="21"/>
          <w:highlight w:val="none"/>
        </w:rPr>
      </w:pPr>
    </w:p>
    <w:p w14:paraId="2DE4385D">
      <w:pPr>
        <w:keepNext/>
        <w:keepLines/>
        <w:pageBreakBefore w:val="0"/>
        <w:widowControl w:val="0"/>
        <w:numPr>
          <w:ilvl w:val="0"/>
          <w:numId w:val="0"/>
        </w:numPr>
        <w:shd w:val="clear"/>
        <w:tabs>
          <w:tab w:val="left" w:pos="780"/>
        </w:tabs>
        <w:kinsoku/>
        <w:wordWrap/>
        <w:overflowPunct/>
        <w:topLinePunct w:val="0"/>
        <w:autoSpaceDE/>
        <w:autoSpaceDN/>
        <w:bidi w:val="0"/>
        <w:adjustRightInd/>
        <w:snapToGrid/>
        <w:spacing w:before="0" w:after="0" w:line="360" w:lineRule="auto"/>
        <w:jc w:val="both"/>
        <w:textAlignment w:val="auto"/>
        <w:outlineLvl w:val="9"/>
        <w:rPr>
          <w:rFonts w:hint="eastAsia" w:asciiTheme="minorEastAsia" w:hAnsiTheme="minorEastAsia" w:eastAsiaTheme="minorEastAsia" w:cstheme="minorEastAsia"/>
          <w:b/>
          <w:color w:val="auto"/>
          <w:sz w:val="21"/>
          <w:szCs w:val="21"/>
          <w:highlight w:val="none"/>
        </w:rPr>
      </w:pPr>
      <w:bookmarkStart w:id="122" w:name="_Toc16575"/>
      <w:bookmarkStart w:id="123" w:name="_Toc21837"/>
      <w:bookmarkStart w:id="124" w:name="_Toc1925"/>
      <w:bookmarkStart w:id="125" w:name="_Toc14666"/>
      <w:bookmarkStart w:id="126" w:name="_Toc6909"/>
      <w:r>
        <w:rPr>
          <w:rFonts w:hint="eastAsia" w:asciiTheme="minorEastAsia" w:hAnsiTheme="minorEastAsia" w:eastAsiaTheme="minorEastAsia" w:cstheme="minorEastAsia"/>
          <w:b/>
          <w:color w:val="auto"/>
          <w:sz w:val="24"/>
          <w:szCs w:val="24"/>
          <w:highlight w:val="none"/>
          <w:lang w:val="en-US" w:eastAsia="zh-CN"/>
        </w:rPr>
        <w:t>6</w:t>
      </w:r>
      <w:r>
        <w:rPr>
          <w:rFonts w:hint="eastAsia" w:asciiTheme="minorEastAsia" w:hAnsiTheme="minorEastAsia" w:eastAsiaTheme="minorEastAsia" w:cstheme="minorEastAsia"/>
          <w:b/>
          <w:color w:val="auto"/>
          <w:sz w:val="24"/>
          <w:szCs w:val="24"/>
          <w:highlight w:val="none"/>
        </w:rPr>
        <w:t>-5</w:t>
      </w:r>
      <w:r>
        <w:rPr>
          <w:rFonts w:hint="eastAsia" w:asciiTheme="minorEastAsia" w:hAnsiTheme="minorEastAsia" w:eastAsiaTheme="minorEastAsia" w:cstheme="minorEastAsia"/>
          <w:b/>
          <w:color w:val="auto"/>
          <w:sz w:val="24"/>
          <w:szCs w:val="24"/>
          <w:highlight w:val="none"/>
          <w:lang w:val="en-US" w:eastAsia="zh-CN"/>
        </w:rPr>
        <w:t xml:space="preserve"> </w:t>
      </w:r>
      <w:r>
        <w:rPr>
          <w:rFonts w:hint="eastAsia" w:asciiTheme="minorEastAsia" w:hAnsiTheme="minorEastAsia" w:eastAsiaTheme="minorEastAsia" w:cstheme="minorEastAsia"/>
          <w:b/>
          <w:color w:val="auto"/>
          <w:sz w:val="24"/>
          <w:szCs w:val="24"/>
          <w:highlight w:val="none"/>
        </w:rPr>
        <w:t>具备履行合同所必需的设备和专业技术能力的声明或证明材料复印件；</w:t>
      </w:r>
      <w:bookmarkEnd w:id="122"/>
      <w:bookmarkEnd w:id="123"/>
      <w:bookmarkEnd w:id="124"/>
      <w:bookmarkEnd w:id="125"/>
      <w:bookmarkEnd w:id="126"/>
    </w:p>
    <w:p w14:paraId="110FE944">
      <w:pPr>
        <w:pageBreakBefore w:val="0"/>
        <w:widowControl w:val="0"/>
        <w:shd w:val="clear"/>
        <w:kinsoku/>
        <w:wordWrap/>
        <w:overflowPunct/>
        <w:bidi w:val="0"/>
        <w:adjustRightInd/>
        <w:snapToGrid/>
        <w:jc w:val="center"/>
        <w:textAlignment w:val="auto"/>
        <w:outlineLvl w:val="9"/>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具备履行合同所必需的设备和专业技术能力的声明</w:t>
      </w:r>
    </w:p>
    <w:p w14:paraId="04967968">
      <w:pPr>
        <w:pageBreakBefore w:val="0"/>
        <w:widowControl w:val="0"/>
        <w:shd w:val="clear"/>
        <w:kinsoku/>
        <w:wordWrap/>
        <w:overflowPunct/>
        <w:bidi w:val="0"/>
        <w:adjustRightInd/>
        <w:snapToGrid/>
        <w:ind w:firstLine="420" w:firstLineChars="200"/>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致：</w:t>
      </w:r>
      <w:r>
        <w:rPr>
          <w:rFonts w:hint="eastAsia" w:asciiTheme="minorEastAsia" w:hAnsiTheme="minorEastAsia" w:eastAsiaTheme="minorEastAsia" w:cstheme="minorEastAsia"/>
          <w:color w:val="auto"/>
          <w:sz w:val="21"/>
          <w:szCs w:val="21"/>
          <w:highlight w:val="none"/>
          <w:lang w:eastAsia="zh-CN"/>
        </w:rPr>
        <w:t>江苏宏壮工程项目管理有限公司</w:t>
      </w:r>
    </w:p>
    <w:p w14:paraId="13EB3829">
      <w:pPr>
        <w:pageBreakBefore w:val="0"/>
        <w:widowControl w:val="0"/>
        <w:shd w:val="clear"/>
        <w:kinsoku/>
        <w:wordWrap/>
        <w:overflowPunct/>
        <w:bidi w:val="0"/>
        <w:adjustRightInd/>
        <w:snapToGrid/>
        <w:ind w:firstLine="420" w:firstLineChars="200"/>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我单位郑重声明：我单位具备履行本项采购合同所必需的设备和专业技术能力，为履行本项采购合同我公司具备如下主要设备和主要专业技术能力：</w:t>
      </w:r>
    </w:p>
    <w:p w14:paraId="20BBA248">
      <w:pPr>
        <w:pageBreakBefore w:val="0"/>
        <w:widowControl w:val="0"/>
        <w:shd w:val="clear"/>
        <w:kinsoku/>
        <w:wordWrap/>
        <w:overflowPunct/>
        <w:bidi w:val="0"/>
        <w:adjustRightInd/>
        <w:snapToGrid/>
        <w:ind w:firstLine="420" w:firstLineChars="200"/>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主要设备有：</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b/>
          <w:bCs/>
          <w:color w:val="auto"/>
          <w:sz w:val="21"/>
          <w:szCs w:val="21"/>
          <w:highlight w:val="none"/>
          <w:u w:val="single"/>
          <w:lang w:val="en-US" w:eastAsia="zh-CN"/>
        </w:rPr>
        <w:t>（应填写完整，不能空白）</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w:t>
      </w:r>
    </w:p>
    <w:p w14:paraId="1EE53E9A">
      <w:pPr>
        <w:pageBreakBefore w:val="0"/>
        <w:widowControl w:val="0"/>
        <w:shd w:val="clear"/>
        <w:kinsoku/>
        <w:wordWrap/>
        <w:overflowPunct/>
        <w:bidi w:val="0"/>
        <w:adjustRightInd/>
        <w:snapToGrid/>
        <w:ind w:firstLine="420" w:firstLineChars="200"/>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主要专业技术能力有：</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b/>
          <w:bCs/>
          <w:color w:val="auto"/>
          <w:sz w:val="21"/>
          <w:szCs w:val="21"/>
          <w:highlight w:val="none"/>
          <w:u w:val="single"/>
          <w:lang w:val="en-US" w:eastAsia="zh-CN"/>
        </w:rPr>
        <w:t>（应填写完整，不能空白）</w:t>
      </w:r>
      <w:r>
        <w:rPr>
          <w:rFonts w:hint="eastAsia" w:asciiTheme="minorEastAsia" w:hAnsiTheme="minorEastAsia" w:eastAsiaTheme="minorEastAsia" w:cstheme="minorEastAsia"/>
          <w:b/>
          <w:bCs/>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w:t>
      </w:r>
    </w:p>
    <w:p w14:paraId="37A915A2">
      <w:pPr>
        <w:pageBreakBefore w:val="0"/>
        <w:widowControl w:val="0"/>
        <w:shd w:val="clear"/>
        <w:kinsoku/>
        <w:wordWrap/>
        <w:overflowPunct/>
        <w:bidi w:val="0"/>
        <w:adjustRightInd/>
        <w:snapToGrid/>
        <w:ind w:firstLine="420" w:firstLineChars="200"/>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投标人</w:t>
      </w:r>
      <w:r>
        <w:rPr>
          <w:rFonts w:hint="eastAsia" w:asciiTheme="minorEastAsia" w:hAnsiTheme="minorEastAsia" w:eastAsiaTheme="minorEastAsia" w:cstheme="minorEastAsia"/>
          <w:color w:val="auto"/>
          <w:sz w:val="21"/>
          <w:szCs w:val="21"/>
          <w:highlight w:val="none"/>
        </w:rPr>
        <w:t>（加盖公章）：</w:t>
      </w:r>
    </w:p>
    <w:p w14:paraId="37A23DD8">
      <w:pPr>
        <w:pageBreakBefore w:val="0"/>
        <w:widowControl w:val="0"/>
        <w:shd w:val="clear"/>
        <w:kinsoku/>
        <w:wordWrap/>
        <w:overflowPunct/>
        <w:bidi w:val="0"/>
        <w:adjustRightInd/>
        <w:snapToGrid/>
        <w:ind w:firstLine="420" w:firstLineChars="200"/>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法人或授权代表（签字）：</w:t>
      </w:r>
    </w:p>
    <w:p w14:paraId="7CEC97D6">
      <w:pPr>
        <w:pageBreakBefore w:val="0"/>
        <w:widowControl w:val="0"/>
        <w:shd w:val="clear"/>
        <w:kinsoku/>
        <w:wordWrap/>
        <w:overflowPunct/>
        <w:bidi w:val="0"/>
        <w:adjustRightInd/>
        <w:snapToGrid/>
        <w:ind w:firstLine="420" w:firstLineChars="200"/>
        <w:textAlignment w:val="auto"/>
        <w:outlineLvl w:val="9"/>
        <w:rPr>
          <w:rFonts w:ascii="宋体" w:hAnsi="宋体" w:cs="宋体"/>
          <w:color w:val="auto"/>
          <w:sz w:val="24"/>
          <w:szCs w:val="24"/>
          <w:highlight w:val="none"/>
        </w:rPr>
      </w:pPr>
      <w:r>
        <w:rPr>
          <w:rFonts w:hint="eastAsia" w:asciiTheme="minorEastAsia" w:hAnsiTheme="minorEastAsia" w:eastAsiaTheme="minorEastAsia" w:cstheme="minorEastAsia"/>
          <w:color w:val="auto"/>
          <w:sz w:val="21"/>
          <w:szCs w:val="21"/>
          <w:highlight w:val="none"/>
        </w:rPr>
        <w:t xml:space="preserve">日  期： </w:t>
      </w:r>
    </w:p>
    <w:p w14:paraId="721CC422">
      <w:pPr>
        <w:pageBreakBefore w:val="0"/>
        <w:widowControl w:val="0"/>
        <w:numPr>
          <w:ilvl w:val="0"/>
          <w:numId w:val="0"/>
        </w:numPr>
        <w:shd w:val="clear"/>
        <w:tabs>
          <w:tab w:val="left" w:pos="780"/>
        </w:tabs>
        <w:kinsoku/>
        <w:wordWrap/>
        <w:overflowPunct/>
        <w:topLinePunct w:val="0"/>
        <w:autoSpaceDE/>
        <w:autoSpaceDN/>
        <w:bidi w:val="0"/>
        <w:adjustRightInd/>
        <w:snapToGrid/>
        <w:jc w:val="both"/>
        <w:textAlignment w:val="auto"/>
        <w:outlineLvl w:val="9"/>
        <w:rPr>
          <w:rFonts w:hint="eastAsia" w:asciiTheme="minorEastAsia" w:hAnsiTheme="minorEastAsia" w:eastAsiaTheme="minorEastAsia" w:cstheme="minorEastAsia"/>
          <w:b/>
          <w:bCs/>
          <w:color w:val="auto"/>
          <w:kern w:val="2"/>
          <w:sz w:val="24"/>
          <w:szCs w:val="24"/>
          <w:highlight w:val="none"/>
          <w:lang w:val="en-US" w:eastAsia="zh-CN" w:bidi="ar-SA"/>
        </w:rPr>
      </w:pPr>
      <w:r>
        <w:rPr>
          <w:rFonts w:ascii="宋体" w:hAnsi="宋体" w:cs="宋体"/>
          <w:color w:val="auto"/>
          <w:sz w:val="36"/>
          <w:szCs w:val="36"/>
          <w:highlight w:val="none"/>
        </w:rPr>
        <w:br w:type="page"/>
      </w:r>
      <w:bookmarkStart w:id="127" w:name="_Toc9145"/>
      <w:bookmarkStart w:id="128" w:name="_Toc30375"/>
      <w:bookmarkStart w:id="129" w:name="_Toc26877"/>
      <w:bookmarkStart w:id="130" w:name="_Toc20155"/>
      <w:bookmarkStart w:id="131" w:name="_Toc28085"/>
      <w:r>
        <w:rPr>
          <w:rFonts w:hint="eastAsia" w:asciiTheme="minorEastAsia" w:hAnsiTheme="minorEastAsia" w:eastAsiaTheme="minorEastAsia" w:cstheme="minorEastAsia"/>
          <w:b/>
          <w:bCs/>
          <w:color w:val="auto"/>
          <w:kern w:val="2"/>
          <w:sz w:val="24"/>
          <w:szCs w:val="24"/>
          <w:highlight w:val="none"/>
          <w:lang w:val="en-US" w:eastAsia="zh-CN" w:bidi="ar-SA"/>
        </w:rPr>
        <w:t>6-6参加政府采购活动前3年内在经营活动中没有重大违法记录的书面声明</w:t>
      </w:r>
      <w:bookmarkEnd w:id="127"/>
      <w:bookmarkEnd w:id="128"/>
      <w:bookmarkEnd w:id="129"/>
      <w:bookmarkEnd w:id="130"/>
      <w:bookmarkEnd w:id="131"/>
    </w:p>
    <w:p w14:paraId="02928993">
      <w:pPr>
        <w:pageBreakBefore w:val="0"/>
        <w:widowControl w:val="0"/>
        <w:shd w:val="clear"/>
        <w:kinsoku/>
        <w:wordWrap/>
        <w:overflowPunct/>
        <w:bidi w:val="0"/>
        <w:adjustRightInd/>
        <w:snapToGrid/>
        <w:jc w:val="center"/>
        <w:textAlignment w:val="auto"/>
        <w:outlineLvl w:val="9"/>
        <w:rPr>
          <w:rFonts w:hint="eastAsia"/>
          <w:b/>
          <w:bCs/>
          <w:color w:val="auto"/>
          <w:highlight w:val="none"/>
        </w:rPr>
      </w:pPr>
      <w:r>
        <w:rPr>
          <w:rFonts w:hint="eastAsia"/>
          <w:b/>
          <w:bCs/>
          <w:color w:val="auto"/>
          <w:highlight w:val="none"/>
        </w:rPr>
        <w:t>参加政府采购活动前3年内在经营活动中没有重大违法记录的书面声明</w:t>
      </w:r>
    </w:p>
    <w:p w14:paraId="195061D0">
      <w:pPr>
        <w:keepNext w:val="0"/>
        <w:keepLines w:val="0"/>
        <w:pageBreakBefore w:val="0"/>
        <w:widowControl w:val="0"/>
        <w:shd w:val="clear"/>
        <w:kinsoku/>
        <w:wordWrap/>
        <w:overflowPunct/>
        <w:topLinePunct/>
        <w:autoSpaceDE w:val="0"/>
        <w:autoSpaceDN w:val="0"/>
        <w:bidi w:val="0"/>
        <w:adjustRightInd/>
        <w:snapToGrid/>
        <w:ind w:firstLine="420" w:firstLineChars="200"/>
        <w:textAlignment w:val="auto"/>
        <w:outlineLvl w:val="9"/>
        <w:rPr>
          <w:rFonts w:hint="eastAsia" w:eastAsia="宋体"/>
          <w:color w:val="auto"/>
          <w:highlight w:val="none"/>
          <w:lang w:eastAsia="zh-CN"/>
        </w:rPr>
      </w:pPr>
      <w:r>
        <w:rPr>
          <w:rFonts w:hint="eastAsia"/>
          <w:color w:val="auto"/>
          <w:highlight w:val="none"/>
        </w:rPr>
        <w:t>致：</w:t>
      </w:r>
      <w:r>
        <w:rPr>
          <w:rFonts w:hint="eastAsia"/>
          <w:color w:val="auto"/>
          <w:highlight w:val="none"/>
          <w:lang w:eastAsia="zh-CN"/>
        </w:rPr>
        <w:t>江苏宏壮工程项目管理有限公司</w:t>
      </w:r>
    </w:p>
    <w:p w14:paraId="5CF0B16C">
      <w:pPr>
        <w:keepNext w:val="0"/>
        <w:keepLines w:val="0"/>
        <w:pageBreakBefore w:val="0"/>
        <w:widowControl w:val="0"/>
        <w:shd w:val="clear"/>
        <w:kinsoku/>
        <w:wordWrap/>
        <w:overflowPunct/>
        <w:topLinePunct/>
        <w:autoSpaceDE w:val="0"/>
        <w:autoSpaceDN w:val="0"/>
        <w:bidi w:val="0"/>
        <w:adjustRightInd/>
        <w:snapToGrid/>
        <w:ind w:firstLine="420" w:firstLineChars="200"/>
        <w:textAlignment w:val="auto"/>
        <w:outlineLvl w:val="9"/>
        <w:rPr>
          <w:color w:val="auto"/>
          <w:highlight w:val="none"/>
        </w:rPr>
      </w:pPr>
      <w:r>
        <w:rPr>
          <w:rFonts w:hint="eastAsia"/>
          <w:color w:val="auto"/>
          <w:highlight w:val="none"/>
        </w:rPr>
        <w:t>我单位在参加本次采购活动前三年内在经营活动中没有《政府采购法》第二十二条第一款第（五）项所称重大违法记录，包括：</w:t>
      </w:r>
    </w:p>
    <w:p w14:paraId="70AFE76A">
      <w:pPr>
        <w:keepNext w:val="0"/>
        <w:keepLines w:val="0"/>
        <w:pageBreakBefore w:val="0"/>
        <w:widowControl w:val="0"/>
        <w:shd w:val="clear"/>
        <w:kinsoku/>
        <w:wordWrap/>
        <w:overflowPunct/>
        <w:topLinePunct/>
        <w:autoSpaceDE w:val="0"/>
        <w:autoSpaceDN w:val="0"/>
        <w:bidi w:val="0"/>
        <w:adjustRightInd/>
        <w:snapToGrid/>
        <w:ind w:firstLine="420" w:firstLineChars="200"/>
        <w:textAlignment w:val="auto"/>
        <w:outlineLvl w:val="9"/>
        <w:rPr>
          <w:color w:val="auto"/>
          <w:highlight w:val="none"/>
        </w:rPr>
      </w:pPr>
      <w:r>
        <w:rPr>
          <w:rFonts w:hint="eastAsia"/>
          <w:color w:val="auto"/>
          <w:highlight w:val="none"/>
        </w:rPr>
        <w:t>我单位未因经营活动中的违法行为受到刑事处罚或者责令停产停业、吊销许可证或者执照、较大数额罚款等行政处罚。</w:t>
      </w:r>
    </w:p>
    <w:p w14:paraId="2255F1B1">
      <w:pPr>
        <w:keepNext w:val="0"/>
        <w:keepLines w:val="0"/>
        <w:pageBreakBefore w:val="0"/>
        <w:widowControl w:val="0"/>
        <w:shd w:val="clear"/>
        <w:kinsoku/>
        <w:wordWrap/>
        <w:overflowPunct/>
        <w:topLinePunct/>
        <w:autoSpaceDE w:val="0"/>
        <w:autoSpaceDN w:val="0"/>
        <w:bidi w:val="0"/>
        <w:adjustRightInd/>
        <w:snapToGrid/>
        <w:ind w:firstLine="420" w:firstLineChars="200"/>
        <w:textAlignment w:val="auto"/>
        <w:outlineLvl w:val="9"/>
        <w:rPr>
          <w:color w:val="auto"/>
          <w:highlight w:val="none"/>
        </w:rPr>
      </w:pPr>
      <w:r>
        <w:rPr>
          <w:rFonts w:hint="eastAsia"/>
          <w:color w:val="auto"/>
          <w:highlight w:val="none"/>
        </w:rPr>
        <w:t>特此声明！</w:t>
      </w:r>
    </w:p>
    <w:p w14:paraId="60CD3522">
      <w:pPr>
        <w:keepNext w:val="0"/>
        <w:keepLines w:val="0"/>
        <w:pageBreakBefore w:val="0"/>
        <w:widowControl w:val="0"/>
        <w:shd w:val="clear"/>
        <w:kinsoku/>
        <w:wordWrap/>
        <w:overflowPunct/>
        <w:topLinePunct/>
        <w:autoSpaceDE w:val="0"/>
        <w:autoSpaceDN w:val="0"/>
        <w:bidi w:val="0"/>
        <w:adjustRightInd/>
        <w:snapToGrid/>
        <w:ind w:firstLine="420" w:firstLineChars="200"/>
        <w:textAlignment w:val="auto"/>
        <w:outlineLvl w:val="9"/>
        <w:rPr>
          <w:color w:val="auto"/>
          <w:highlight w:val="none"/>
        </w:rPr>
      </w:pPr>
    </w:p>
    <w:p w14:paraId="317B0D9D">
      <w:pPr>
        <w:keepNext w:val="0"/>
        <w:keepLines w:val="0"/>
        <w:pageBreakBefore w:val="0"/>
        <w:widowControl w:val="0"/>
        <w:shd w:val="clear"/>
        <w:kinsoku/>
        <w:wordWrap/>
        <w:overflowPunct/>
        <w:topLinePunct/>
        <w:autoSpaceDE w:val="0"/>
        <w:autoSpaceDN w:val="0"/>
        <w:bidi w:val="0"/>
        <w:adjustRightInd/>
        <w:snapToGrid/>
        <w:ind w:firstLine="420" w:firstLineChars="200"/>
        <w:textAlignment w:val="auto"/>
        <w:outlineLvl w:val="9"/>
        <w:rPr>
          <w:color w:val="auto"/>
          <w:highlight w:val="none"/>
        </w:rPr>
      </w:pPr>
      <w:r>
        <w:rPr>
          <w:rFonts w:hint="eastAsia"/>
          <w:color w:val="auto"/>
          <w:highlight w:val="none"/>
        </w:rPr>
        <w:t>（请</w:t>
      </w:r>
      <w:r>
        <w:rPr>
          <w:rFonts w:hint="eastAsia"/>
          <w:color w:val="auto"/>
          <w:highlight w:val="none"/>
          <w:lang w:eastAsia="zh-CN"/>
        </w:rPr>
        <w:t>投标人</w:t>
      </w:r>
      <w:r>
        <w:rPr>
          <w:rFonts w:hint="eastAsia"/>
          <w:color w:val="auto"/>
          <w:highlight w:val="none"/>
        </w:rPr>
        <w:t>根据实际情况如实声明，否则视为提供虚假材料。）</w:t>
      </w:r>
    </w:p>
    <w:p w14:paraId="5A781553">
      <w:pPr>
        <w:pageBreakBefore w:val="0"/>
        <w:widowControl w:val="0"/>
        <w:shd w:val="clear"/>
        <w:kinsoku/>
        <w:wordWrap/>
        <w:overflowPunct/>
        <w:bidi w:val="0"/>
        <w:adjustRightInd/>
        <w:snapToGrid/>
        <w:textAlignment w:val="auto"/>
        <w:outlineLvl w:val="9"/>
        <w:rPr>
          <w:color w:val="auto"/>
          <w:highlight w:val="none"/>
        </w:rPr>
      </w:pPr>
    </w:p>
    <w:p w14:paraId="65347A6B">
      <w:pPr>
        <w:keepNext w:val="0"/>
        <w:keepLines w:val="0"/>
        <w:pageBreakBefore w:val="0"/>
        <w:widowControl w:val="0"/>
        <w:shd w:val="clear"/>
        <w:kinsoku/>
        <w:wordWrap/>
        <w:overflowPunct/>
        <w:topLinePunct/>
        <w:autoSpaceDE w:val="0"/>
        <w:autoSpaceDN w:val="0"/>
        <w:bidi w:val="0"/>
        <w:adjustRightInd/>
        <w:snapToGrid/>
        <w:ind w:firstLine="420" w:firstLineChars="200"/>
        <w:textAlignment w:val="auto"/>
        <w:outlineLvl w:val="9"/>
        <w:rPr>
          <w:color w:val="auto"/>
          <w:highlight w:val="none"/>
        </w:rPr>
      </w:pPr>
      <w:r>
        <w:rPr>
          <w:rFonts w:hint="eastAsia"/>
          <w:color w:val="auto"/>
          <w:highlight w:val="none"/>
          <w:lang w:eastAsia="zh-CN"/>
        </w:rPr>
        <w:t>投标人</w:t>
      </w:r>
      <w:r>
        <w:rPr>
          <w:color w:val="auto"/>
          <w:highlight w:val="none"/>
        </w:rPr>
        <w:t>（全称并加盖公章</w:t>
      </w:r>
      <w:r>
        <w:rPr>
          <w:rFonts w:hint="eastAsia"/>
          <w:color w:val="auto"/>
          <w:highlight w:val="none"/>
        </w:rPr>
        <w:t>）：</w:t>
      </w:r>
      <w:r>
        <w:rPr>
          <w:rFonts w:hint="eastAsia" w:cs="宋体"/>
          <w:color w:val="auto"/>
          <w:highlight w:val="none"/>
          <w:u w:val="single"/>
          <w:lang w:val="en-US" w:eastAsia="zh-CN"/>
        </w:rPr>
        <w:t xml:space="preserve">                </w:t>
      </w:r>
      <w:r>
        <w:rPr>
          <w:rFonts w:hint="eastAsia"/>
          <w:color w:val="auto"/>
          <w:highlight w:val="none"/>
        </w:rPr>
        <w:t xml:space="preserve">             </w:t>
      </w:r>
    </w:p>
    <w:p w14:paraId="105B9A87">
      <w:pPr>
        <w:keepNext w:val="0"/>
        <w:keepLines w:val="0"/>
        <w:pageBreakBefore w:val="0"/>
        <w:widowControl w:val="0"/>
        <w:shd w:val="clear"/>
        <w:kinsoku/>
        <w:wordWrap/>
        <w:overflowPunct/>
        <w:topLinePunct/>
        <w:autoSpaceDE w:val="0"/>
        <w:autoSpaceDN w:val="0"/>
        <w:bidi w:val="0"/>
        <w:adjustRightInd/>
        <w:snapToGrid/>
        <w:ind w:firstLine="420" w:firstLineChars="200"/>
        <w:textAlignment w:val="auto"/>
        <w:outlineLvl w:val="9"/>
        <w:rPr>
          <w:color w:val="auto"/>
          <w:highlight w:val="none"/>
        </w:rPr>
      </w:pPr>
      <w:r>
        <w:rPr>
          <w:rFonts w:hint="eastAsia"/>
          <w:color w:val="auto"/>
          <w:highlight w:val="none"/>
          <w:lang w:eastAsia="zh-CN"/>
        </w:rPr>
        <w:t>投标人</w:t>
      </w:r>
      <w:r>
        <w:rPr>
          <w:rFonts w:hint="eastAsia"/>
          <w:color w:val="auto"/>
          <w:highlight w:val="none"/>
        </w:rPr>
        <w:t xml:space="preserve">代表（签字或盖章）：             </w:t>
      </w:r>
    </w:p>
    <w:p w14:paraId="7A497EC9">
      <w:pPr>
        <w:keepNext w:val="0"/>
        <w:keepLines w:val="0"/>
        <w:pageBreakBefore w:val="0"/>
        <w:widowControl w:val="0"/>
        <w:shd w:val="clear"/>
        <w:kinsoku/>
        <w:wordWrap/>
        <w:overflowPunct/>
        <w:topLinePunct/>
        <w:autoSpaceDE w:val="0"/>
        <w:autoSpaceDN w:val="0"/>
        <w:bidi w:val="0"/>
        <w:adjustRightInd/>
        <w:snapToGrid/>
        <w:ind w:firstLine="420" w:firstLineChars="200"/>
        <w:textAlignment w:val="auto"/>
        <w:outlineLvl w:val="9"/>
        <w:rPr>
          <w:color w:val="auto"/>
          <w:highlight w:val="none"/>
        </w:rPr>
      </w:pPr>
      <w:r>
        <w:rPr>
          <w:rFonts w:hint="eastAsia"/>
          <w:color w:val="auto"/>
          <w:highlight w:val="none"/>
        </w:rPr>
        <w:t xml:space="preserve">日期：                                 </w:t>
      </w:r>
    </w:p>
    <w:p w14:paraId="2C0CFA41">
      <w:pPr>
        <w:pageBreakBefore w:val="0"/>
        <w:widowControl w:val="0"/>
        <w:shd w:val="clear"/>
        <w:kinsoku/>
        <w:wordWrap/>
        <w:overflowPunct/>
        <w:bidi w:val="0"/>
        <w:adjustRightInd/>
        <w:snapToGrid/>
        <w:jc w:val="both"/>
        <w:textAlignment w:val="auto"/>
        <w:outlineLvl w:val="9"/>
        <w:rPr>
          <w:rFonts w:hAnsi="宋体" w:cs="宋体"/>
          <w:color w:val="auto"/>
          <w:szCs w:val="21"/>
          <w:highlight w:val="none"/>
        </w:rPr>
      </w:pPr>
    </w:p>
    <w:p w14:paraId="02BAA2FF">
      <w:pPr>
        <w:pageBreakBefore w:val="0"/>
        <w:widowControl w:val="0"/>
        <w:numPr>
          <w:ilvl w:val="0"/>
          <w:numId w:val="0"/>
        </w:numPr>
        <w:shd w:val="clear"/>
        <w:tabs>
          <w:tab w:val="left" w:pos="780"/>
        </w:tabs>
        <w:kinsoku/>
        <w:wordWrap/>
        <w:overflowPunct/>
        <w:topLinePunct w:val="0"/>
        <w:autoSpaceDE/>
        <w:autoSpaceDN/>
        <w:bidi w:val="0"/>
        <w:adjustRightInd/>
        <w:snapToGrid/>
        <w:jc w:val="both"/>
        <w:textAlignment w:val="auto"/>
        <w:outlineLvl w:val="9"/>
        <w:rPr>
          <w:rFonts w:hint="eastAsia" w:asciiTheme="minorEastAsia" w:hAnsiTheme="minorEastAsia" w:eastAsiaTheme="minorEastAsia" w:cstheme="minorEastAsia"/>
          <w:b/>
          <w:bCs/>
          <w:color w:val="auto"/>
          <w:kern w:val="2"/>
          <w:sz w:val="24"/>
          <w:szCs w:val="24"/>
          <w:highlight w:val="none"/>
          <w:lang w:val="en-US" w:eastAsia="zh-CN" w:bidi="ar-SA"/>
        </w:rPr>
      </w:pPr>
      <w:bookmarkStart w:id="132" w:name="_Toc32284"/>
      <w:bookmarkStart w:id="133" w:name="_Toc20935"/>
      <w:bookmarkStart w:id="134" w:name="_Toc6120"/>
      <w:bookmarkStart w:id="135" w:name="_Toc28103"/>
      <w:bookmarkStart w:id="136" w:name="_Toc23237"/>
      <w:r>
        <w:rPr>
          <w:rFonts w:hint="eastAsia" w:asciiTheme="minorEastAsia" w:hAnsiTheme="minorEastAsia" w:eastAsiaTheme="minorEastAsia" w:cstheme="minorEastAsia"/>
          <w:b/>
          <w:bCs/>
          <w:color w:val="auto"/>
          <w:kern w:val="2"/>
          <w:sz w:val="24"/>
          <w:szCs w:val="24"/>
          <w:highlight w:val="none"/>
          <w:lang w:val="en-US" w:eastAsia="zh-CN" w:bidi="ar-SA"/>
        </w:rPr>
        <w:t>6-7具备法律、行政法规规定的其他条件的证明材料</w:t>
      </w:r>
      <w:bookmarkEnd w:id="132"/>
      <w:bookmarkEnd w:id="133"/>
      <w:bookmarkEnd w:id="134"/>
      <w:bookmarkEnd w:id="135"/>
      <w:bookmarkEnd w:id="136"/>
    </w:p>
    <w:p w14:paraId="595C4CEF">
      <w:pPr>
        <w:keepNext/>
        <w:keepLines/>
        <w:pageBreakBefore w:val="0"/>
        <w:widowControl w:val="0"/>
        <w:numPr>
          <w:ilvl w:val="0"/>
          <w:numId w:val="0"/>
        </w:numPr>
        <w:shd w:val="clear"/>
        <w:tabs>
          <w:tab w:val="left" w:pos="780"/>
        </w:tabs>
        <w:kinsoku/>
        <w:wordWrap/>
        <w:overflowPunct/>
        <w:topLinePunct w:val="0"/>
        <w:autoSpaceDE/>
        <w:autoSpaceDN/>
        <w:bidi w:val="0"/>
        <w:adjustRightInd/>
        <w:snapToGrid/>
        <w:spacing w:line="377" w:lineRule="auto"/>
        <w:ind w:firstLine="420" w:firstLineChars="200"/>
        <w:jc w:val="both"/>
        <w:textAlignment w:val="auto"/>
        <w:outlineLvl w:val="9"/>
        <w:rPr>
          <w:color w:val="auto"/>
          <w:highlight w:val="none"/>
        </w:rPr>
      </w:pPr>
      <w:r>
        <w:rPr>
          <w:rFonts w:hint="eastAsia"/>
          <w:color w:val="auto"/>
          <w:highlight w:val="none"/>
          <w:lang w:val="en-US" w:eastAsia="zh-CN"/>
        </w:rPr>
        <w:t>无</w:t>
      </w:r>
      <w:r>
        <w:rPr>
          <w:rFonts w:hint="eastAsia"/>
          <w:color w:val="auto"/>
          <w:highlight w:val="none"/>
        </w:rPr>
        <w:t>。</w:t>
      </w:r>
    </w:p>
    <w:p w14:paraId="0E0526F1">
      <w:pPr>
        <w:pageBreakBefore w:val="0"/>
        <w:widowControl w:val="0"/>
        <w:shd w:val="clear"/>
        <w:kinsoku/>
        <w:wordWrap/>
        <w:overflowPunct/>
        <w:bidi w:val="0"/>
        <w:adjustRightInd/>
        <w:snapToGrid/>
        <w:textAlignment w:val="auto"/>
        <w:outlineLvl w:val="9"/>
        <w:rPr>
          <w:color w:val="auto"/>
          <w:highlight w:val="none"/>
        </w:rPr>
      </w:pPr>
    </w:p>
    <w:p w14:paraId="2E2CADCB">
      <w:pPr>
        <w:keepNext w:val="0"/>
        <w:keepLines w:val="0"/>
        <w:pageBreakBefore w:val="0"/>
        <w:widowControl w:val="0"/>
        <w:kinsoku/>
        <w:wordWrap/>
        <w:overflowPunct/>
        <w:topLinePunct/>
        <w:autoSpaceDE w:val="0"/>
        <w:autoSpaceDN w:val="0"/>
        <w:bidi w:val="0"/>
        <w:adjustRightInd/>
        <w:snapToGrid/>
        <w:textAlignment w:val="auto"/>
        <w:outlineLvl w:val="9"/>
        <w:rPr>
          <w:rFonts w:hint="eastAsia" w:asciiTheme="minorEastAsia" w:hAnsiTheme="minorEastAsia" w:eastAsiaTheme="minorEastAsia" w:cstheme="minorEastAsia"/>
          <w:b/>
          <w:bCs/>
          <w:color w:val="auto"/>
          <w:kern w:val="2"/>
          <w:sz w:val="24"/>
          <w:szCs w:val="24"/>
          <w:highlight w:val="none"/>
          <w:lang w:val="en-US" w:eastAsia="zh-CN" w:bidi="ar-SA"/>
        </w:rPr>
      </w:pPr>
      <w:bookmarkStart w:id="137" w:name="_Toc24222"/>
      <w:bookmarkStart w:id="138" w:name="_Toc25650"/>
      <w:bookmarkStart w:id="139" w:name="_Toc29398"/>
      <w:bookmarkStart w:id="140" w:name="_Toc31484"/>
      <w:bookmarkStart w:id="141" w:name="_Toc8078"/>
      <w:r>
        <w:rPr>
          <w:rFonts w:hint="eastAsia" w:asciiTheme="minorEastAsia" w:hAnsiTheme="minorEastAsia" w:eastAsiaTheme="minorEastAsia" w:cstheme="minorEastAsia"/>
          <w:b/>
          <w:bCs/>
          <w:color w:val="auto"/>
          <w:kern w:val="2"/>
          <w:sz w:val="24"/>
          <w:szCs w:val="24"/>
          <w:highlight w:val="none"/>
          <w:lang w:val="en-US" w:eastAsia="zh-CN" w:bidi="ar-SA"/>
        </w:rPr>
        <w:t>6-8 特定资格要求</w:t>
      </w:r>
      <w:bookmarkEnd w:id="137"/>
      <w:bookmarkEnd w:id="138"/>
      <w:bookmarkEnd w:id="139"/>
      <w:bookmarkEnd w:id="140"/>
      <w:bookmarkEnd w:id="141"/>
    </w:p>
    <w:p w14:paraId="2AE94FA9">
      <w:pPr>
        <w:keepNext w:val="0"/>
        <w:keepLines w:val="0"/>
        <w:pageBreakBefore w:val="0"/>
        <w:widowControl w:val="0"/>
        <w:kinsoku/>
        <w:wordWrap/>
        <w:overflowPunct/>
        <w:topLinePunct/>
        <w:autoSpaceDE w:val="0"/>
        <w:autoSpaceDN w:val="0"/>
        <w:bidi w:val="0"/>
        <w:adjustRightInd/>
        <w:snapToGrid/>
        <w:ind w:firstLine="482" w:firstLineChars="200"/>
        <w:textAlignment w:val="auto"/>
        <w:outlineLvl w:val="9"/>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供应商具备有效期内的《食品经营许可证》或《食品生产许可证》或食品安全监督管理部门出具的备案证明材料，应提供许可复印件或备案证明材料复印件。</w:t>
      </w:r>
    </w:p>
    <w:p w14:paraId="22AF5911">
      <w:pPr>
        <w:keepNext w:val="0"/>
        <w:keepLines w:val="0"/>
        <w:pageBreakBefore w:val="0"/>
        <w:widowControl w:val="0"/>
        <w:kinsoku/>
        <w:wordWrap/>
        <w:overflowPunct/>
        <w:topLinePunct/>
        <w:autoSpaceDE w:val="0"/>
        <w:autoSpaceDN w:val="0"/>
        <w:bidi w:val="0"/>
        <w:adjustRightInd/>
        <w:snapToGrid/>
        <w:textAlignment w:val="auto"/>
        <w:outlineLvl w:val="9"/>
        <w:rPr>
          <w:rFonts w:hint="eastAsia" w:asciiTheme="minorEastAsia" w:hAnsiTheme="minorEastAsia" w:eastAsiaTheme="minorEastAsia" w:cstheme="minorEastAsia"/>
          <w:b/>
          <w:bCs/>
          <w:color w:val="auto"/>
          <w:kern w:val="2"/>
          <w:sz w:val="24"/>
          <w:szCs w:val="24"/>
          <w:highlight w:val="none"/>
          <w:lang w:val="en-US" w:eastAsia="zh-CN" w:bidi="ar-SA"/>
        </w:rPr>
      </w:pPr>
    </w:p>
    <w:p w14:paraId="2C982EA8">
      <w:pPr>
        <w:keepNext w:val="0"/>
        <w:keepLines w:val="0"/>
        <w:pageBreakBefore w:val="0"/>
        <w:widowControl w:val="0"/>
        <w:kinsoku/>
        <w:wordWrap/>
        <w:overflowPunct/>
        <w:topLinePunct/>
        <w:autoSpaceDE w:val="0"/>
        <w:autoSpaceDN w:val="0"/>
        <w:bidi w:val="0"/>
        <w:adjustRightInd/>
        <w:snapToGrid/>
        <w:textAlignment w:val="auto"/>
        <w:outlineLvl w:val="9"/>
        <w:rPr>
          <w:rFonts w:hint="eastAsia" w:asciiTheme="minorEastAsia" w:hAnsiTheme="minorEastAsia" w:eastAsiaTheme="minorEastAsia" w:cstheme="minorEastAsia"/>
          <w:b/>
          <w:bCs/>
          <w:color w:val="auto"/>
          <w:kern w:val="2"/>
          <w:sz w:val="24"/>
          <w:szCs w:val="24"/>
          <w:highlight w:val="none"/>
          <w:lang w:val="en-US" w:eastAsia="zh-CN" w:bidi="ar-SA"/>
        </w:rPr>
      </w:pPr>
      <w:bookmarkStart w:id="142" w:name="_Toc22454"/>
      <w:bookmarkStart w:id="143" w:name="_Toc15090"/>
      <w:bookmarkStart w:id="144" w:name="_Toc21422"/>
      <w:bookmarkStart w:id="145" w:name="_Toc15298"/>
      <w:bookmarkStart w:id="146" w:name="_Toc14361"/>
      <w:r>
        <w:rPr>
          <w:rFonts w:hint="eastAsia" w:asciiTheme="minorEastAsia" w:hAnsiTheme="minorEastAsia" w:eastAsiaTheme="minorEastAsia" w:cstheme="minorEastAsia"/>
          <w:b/>
          <w:bCs/>
          <w:color w:val="auto"/>
          <w:kern w:val="2"/>
          <w:sz w:val="24"/>
          <w:szCs w:val="24"/>
          <w:highlight w:val="none"/>
          <w:lang w:val="en-US" w:eastAsia="zh-CN" w:bidi="ar-SA"/>
        </w:rPr>
        <w:t>6-9 其他资格证明文件（若有）</w:t>
      </w:r>
      <w:bookmarkEnd w:id="142"/>
      <w:bookmarkEnd w:id="143"/>
      <w:bookmarkEnd w:id="144"/>
      <w:bookmarkEnd w:id="145"/>
      <w:bookmarkEnd w:id="146"/>
    </w:p>
    <w:p w14:paraId="753643B0">
      <w:pPr>
        <w:keepNext/>
        <w:keepLines/>
        <w:pageBreakBefore w:val="0"/>
        <w:widowControl w:val="0"/>
        <w:numPr>
          <w:ilvl w:val="0"/>
          <w:numId w:val="0"/>
        </w:numPr>
        <w:shd w:val="clear"/>
        <w:tabs>
          <w:tab w:val="left" w:pos="780"/>
        </w:tabs>
        <w:kinsoku/>
        <w:wordWrap/>
        <w:overflowPunct/>
        <w:topLinePunct w:val="0"/>
        <w:autoSpaceDE/>
        <w:autoSpaceDN/>
        <w:bidi w:val="0"/>
        <w:adjustRightInd/>
        <w:snapToGrid/>
        <w:spacing w:line="377" w:lineRule="auto"/>
        <w:ind w:firstLine="480" w:firstLineChars="200"/>
        <w:jc w:val="both"/>
        <w:textAlignment w:val="auto"/>
        <w:outlineLvl w:val="9"/>
        <w:rPr>
          <w:rFonts w:hint="eastAsia" w:asciiTheme="minorEastAsia" w:hAnsiTheme="minorEastAsia" w:eastAsiaTheme="minorEastAsia" w:cstheme="minorEastAsia"/>
          <w:b w:val="0"/>
          <w:bCs w:val="0"/>
          <w:color w:val="auto"/>
          <w:kern w:val="2"/>
          <w:sz w:val="24"/>
          <w:szCs w:val="24"/>
          <w:highlight w:val="none"/>
          <w:lang w:val="en-US" w:eastAsia="zh-CN" w:bidi="ar-SA"/>
        </w:rPr>
      </w:pPr>
      <w:r>
        <w:rPr>
          <w:rFonts w:hint="eastAsia" w:asciiTheme="minorEastAsia" w:hAnsiTheme="minorEastAsia" w:eastAsiaTheme="minorEastAsia" w:cstheme="minorEastAsia"/>
          <w:b w:val="0"/>
          <w:bCs w:val="0"/>
          <w:color w:val="auto"/>
          <w:kern w:val="2"/>
          <w:sz w:val="24"/>
          <w:szCs w:val="24"/>
          <w:highlight w:val="none"/>
          <w:lang w:val="en-US" w:eastAsia="zh-CN" w:bidi="ar-SA"/>
        </w:rPr>
        <w:t>根据资格条件要求提供相应材料。</w:t>
      </w:r>
    </w:p>
    <w:p w14:paraId="4D304EB7">
      <w:pPr>
        <w:pageBreakBefore w:val="0"/>
        <w:widowControl w:val="0"/>
        <w:kinsoku/>
        <w:wordWrap/>
        <w:overflowPunct/>
        <w:bidi w:val="0"/>
        <w:adjustRightInd/>
        <w:snapToGrid/>
        <w:textAlignment w:val="auto"/>
        <w:outlineLvl w:val="9"/>
        <w:rPr>
          <w:rFonts w:hint="eastAsia" w:asciiTheme="minorEastAsia" w:hAnsiTheme="minorEastAsia" w:eastAsiaTheme="minorEastAsia" w:cstheme="minorEastAsia"/>
          <w:b w:val="0"/>
          <w:bCs w:val="0"/>
          <w:color w:val="auto"/>
          <w:kern w:val="2"/>
          <w:sz w:val="24"/>
          <w:szCs w:val="24"/>
          <w:highlight w:val="none"/>
          <w:lang w:val="en-US" w:eastAsia="zh-CN" w:bidi="ar-SA"/>
        </w:rPr>
      </w:pPr>
      <w:r>
        <w:rPr>
          <w:rFonts w:hint="eastAsia" w:asciiTheme="minorEastAsia" w:hAnsiTheme="minorEastAsia" w:eastAsiaTheme="minorEastAsia" w:cstheme="minorEastAsia"/>
          <w:b w:val="0"/>
          <w:bCs w:val="0"/>
          <w:color w:val="auto"/>
          <w:kern w:val="2"/>
          <w:sz w:val="24"/>
          <w:szCs w:val="24"/>
          <w:highlight w:val="none"/>
          <w:lang w:val="en-US" w:eastAsia="zh-CN" w:bidi="ar-SA"/>
        </w:rPr>
        <w:br w:type="page"/>
      </w:r>
    </w:p>
    <w:p w14:paraId="78342D79">
      <w:pPr>
        <w:keepNext/>
        <w:keepLines/>
        <w:pageBreakBefore w:val="0"/>
        <w:widowControl w:val="0"/>
        <w:numPr>
          <w:ilvl w:val="0"/>
          <w:numId w:val="0"/>
        </w:numPr>
        <w:shd w:val="clear"/>
        <w:tabs>
          <w:tab w:val="left" w:pos="780"/>
        </w:tabs>
        <w:kinsoku/>
        <w:wordWrap/>
        <w:overflowPunct/>
        <w:topLinePunct w:val="0"/>
        <w:autoSpaceDE/>
        <w:autoSpaceDN/>
        <w:bidi w:val="0"/>
        <w:adjustRightInd/>
        <w:snapToGrid/>
        <w:spacing w:line="377" w:lineRule="auto"/>
        <w:jc w:val="both"/>
        <w:textAlignment w:val="auto"/>
        <w:outlineLvl w:val="9"/>
        <w:rPr>
          <w:rFonts w:hint="eastAsia" w:asciiTheme="minorEastAsia" w:hAnsiTheme="minorEastAsia" w:eastAsiaTheme="minorEastAsia" w:cstheme="minorEastAsia"/>
          <w:b/>
          <w:bCs/>
          <w:color w:val="auto"/>
          <w:kern w:val="2"/>
          <w:sz w:val="24"/>
          <w:szCs w:val="24"/>
          <w:highlight w:val="none"/>
          <w:lang w:val="en-US" w:eastAsia="zh-CN" w:bidi="ar-SA"/>
        </w:rPr>
      </w:pPr>
      <w:bookmarkStart w:id="147" w:name="_Toc4914"/>
      <w:bookmarkStart w:id="148" w:name="_Toc9684"/>
      <w:bookmarkStart w:id="149" w:name="_Toc1859"/>
      <w:bookmarkStart w:id="150" w:name="_Toc26747"/>
      <w:bookmarkStart w:id="151" w:name="_Toc23796"/>
      <w:r>
        <w:rPr>
          <w:rFonts w:hint="eastAsia" w:asciiTheme="minorEastAsia" w:hAnsiTheme="minorEastAsia" w:eastAsiaTheme="minorEastAsia" w:cstheme="minorEastAsia"/>
          <w:b/>
          <w:bCs/>
          <w:color w:val="auto"/>
          <w:kern w:val="2"/>
          <w:sz w:val="24"/>
          <w:szCs w:val="24"/>
          <w:highlight w:val="none"/>
          <w:lang w:val="en-US" w:eastAsia="zh-CN" w:bidi="ar-SA"/>
        </w:rPr>
        <w:t>6-10 分包意向协议</w:t>
      </w:r>
      <w:bookmarkEnd w:id="147"/>
      <w:bookmarkEnd w:id="148"/>
      <w:bookmarkEnd w:id="149"/>
      <w:bookmarkEnd w:id="150"/>
      <w:bookmarkEnd w:id="151"/>
    </w:p>
    <w:p w14:paraId="44A2BAD2">
      <w:pPr>
        <w:keepNext/>
        <w:keepLines/>
        <w:pageBreakBefore w:val="0"/>
        <w:widowControl w:val="0"/>
        <w:numPr>
          <w:ilvl w:val="0"/>
          <w:numId w:val="0"/>
        </w:numPr>
        <w:shd w:val="clear"/>
        <w:tabs>
          <w:tab w:val="left" w:pos="780"/>
        </w:tabs>
        <w:kinsoku/>
        <w:wordWrap/>
        <w:overflowPunct/>
        <w:topLinePunct w:val="0"/>
        <w:autoSpaceDE/>
        <w:autoSpaceDN/>
        <w:bidi w:val="0"/>
        <w:adjustRightInd/>
        <w:snapToGrid/>
        <w:spacing w:line="377" w:lineRule="auto"/>
        <w:jc w:val="center"/>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分包意向协议</w:t>
      </w:r>
    </w:p>
    <w:p w14:paraId="0E9E0A6C">
      <w:pPr>
        <w:keepNext w:val="0"/>
        <w:keepLines w:val="0"/>
        <w:pageBreakBefore w:val="0"/>
        <w:widowControl w:val="0"/>
        <w:kinsoku/>
        <w:wordWrap/>
        <w:overflowPunct/>
        <w:topLinePunct/>
        <w:autoSpaceDE w:val="0"/>
        <w:autoSpaceDN w:val="0"/>
        <w:bidi w:val="0"/>
        <w:adjustRightInd/>
        <w:snapToGrid/>
        <w:ind w:firstLine="480" w:firstLineChars="200"/>
        <w:jc w:val="left"/>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分包企业：____________________（投标人）</w:t>
      </w:r>
      <w:r>
        <w:rPr>
          <w:rFonts w:hint="eastAsia" w:ascii="宋体" w:hAnsi="宋体" w:eastAsia="宋体" w:cs="宋体"/>
          <w:color w:val="000000"/>
          <w:sz w:val="24"/>
          <w:szCs w:val="24"/>
          <w:highlight w:val="none"/>
        </w:rPr>
        <w:tab/>
      </w:r>
    </w:p>
    <w:p w14:paraId="21A290DC">
      <w:pPr>
        <w:keepNext w:val="0"/>
        <w:keepLines w:val="0"/>
        <w:pageBreakBefore w:val="0"/>
        <w:widowControl w:val="0"/>
        <w:kinsoku/>
        <w:wordWrap/>
        <w:overflowPunct/>
        <w:topLinePunct/>
        <w:autoSpaceDE w:val="0"/>
        <w:autoSpaceDN w:val="0"/>
        <w:bidi w:val="0"/>
        <w:adjustRightInd/>
        <w:snapToGrid/>
        <w:ind w:firstLine="480" w:firstLineChars="200"/>
        <w:jc w:val="left"/>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接收分包企业：________________</w:t>
      </w:r>
    </w:p>
    <w:p w14:paraId="4FBA2491">
      <w:pPr>
        <w:keepNext w:val="0"/>
        <w:keepLines w:val="0"/>
        <w:pageBreakBefore w:val="0"/>
        <w:widowControl w:val="0"/>
        <w:kinsoku/>
        <w:wordWrap/>
        <w:overflowPunct/>
        <w:topLinePunct/>
        <w:autoSpaceDE w:val="0"/>
        <w:autoSpaceDN w:val="0"/>
        <w:bidi w:val="0"/>
        <w:adjustRightInd/>
        <w:snapToGrid/>
        <w:ind w:firstLine="504" w:firstLineChars="200"/>
        <w:textAlignment w:val="auto"/>
        <w:outlineLvl w:val="9"/>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因</w:t>
      </w:r>
      <w:r>
        <w:rPr>
          <w:rFonts w:hint="eastAsia" w:ascii="宋体" w:hAnsi="宋体" w:eastAsia="宋体" w:cs="宋体"/>
          <w:color w:val="000000"/>
          <w:spacing w:val="6"/>
          <w:sz w:val="24"/>
          <w:szCs w:val="24"/>
          <w:highlight w:val="none"/>
          <w:u w:val="single"/>
          <w:lang w:val="en-US" w:eastAsia="zh-CN"/>
        </w:rPr>
        <w:t xml:space="preserve">  </w:t>
      </w:r>
      <w:r>
        <w:rPr>
          <w:rFonts w:hint="eastAsia" w:ascii="宋体" w:hAnsi="宋体" w:eastAsia="宋体" w:cs="宋体"/>
          <w:b/>
          <w:bCs/>
          <w:color w:val="000000"/>
          <w:spacing w:val="6"/>
          <w:sz w:val="24"/>
          <w:szCs w:val="24"/>
          <w:highlight w:val="none"/>
          <w:u w:val="single"/>
          <w:lang w:val="en-US" w:eastAsia="zh-CN"/>
        </w:rPr>
        <w:t xml:space="preserve">（分包企业名称） </w:t>
      </w:r>
      <w:r>
        <w:rPr>
          <w:rFonts w:hint="eastAsia" w:ascii="宋体" w:hAnsi="宋体" w:eastAsia="宋体" w:cs="宋体"/>
          <w:color w:val="000000"/>
          <w:spacing w:val="6"/>
          <w:sz w:val="24"/>
          <w:szCs w:val="24"/>
          <w:highlight w:val="none"/>
          <w:u w:val="single"/>
          <w:lang w:val="en-US" w:eastAsia="zh-CN"/>
        </w:rPr>
        <w:t xml:space="preserve">  </w:t>
      </w:r>
      <w:r>
        <w:rPr>
          <w:rFonts w:hint="eastAsia" w:ascii="宋体" w:hAnsi="宋体" w:eastAsia="宋体" w:cs="宋体"/>
          <w:color w:val="000000"/>
          <w:spacing w:val="6"/>
          <w:sz w:val="24"/>
          <w:szCs w:val="24"/>
          <w:highlight w:val="none"/>
        </w:rPr>
        <w:t>参加</w:t>
      </w:r>
      <w:r>
        <w:rPr>
          <w:rFonts w:hint="eastAsia" w:ascii="宋体" w:hAnsi="宋体" w:cs="宋体"/>
          <w:b/>
          <w:bCs/>
          <w:color w:val="000000"/>
          <w:spacing w:val="6"/>
          <w:sz w:val="24"/>
          <w:szCs w:val="24"/>
          <w:highlight w:val="none"/>
          <w:u w:val="single"/>
          <w:lang w:eastAsia="zh-CN"/>
        </w:rPr>
        <w:t>国家税务总局沭阳县税务局</w:t>
      </w:r>
      <w:r>
        <w:rPr>
          <w:rFonts w:hint="eastAsia" w:ascii="宋体" w:hAnsi="宋体" w:eastAsia="宋体" w:cs="宋体"/>
          <w:color w:val="000000"/>
          <w:spacing w:val="6"/>
          <w:sz w:val="24"/>
          <w:szCs w:val="24"/>
          <w:highlight w:val="none"/>
        </w:rPr>
        <w:t>的</w:t>
      </w:r>
      <w:r>
        <w:rPr>
          <w:rFonts w:hint="eastAsia" w:ascii="宋体" w:hAnsi="宋体" w:cs="宋体"/>
          <w:b/>
          <w:bCs/>
          <w:color w:val="000000"/>
          <w:spacing w:val="6"/>
          <w:sz w:val="24"/>
          <w:szCs w:val="24"/>
          <w:highlight w:val="none"/>
          <w:u w:val="single"/>
          <w:lang w:eastAsia="zh-CN"/>
        </w:rPr>
        <w:t>国家税务总局沭阳县税务局2026年食堂食材配送服务采购项目</w:t>
      </w:r>
      <w:r>
        <w:rPr>
          <w:rFonts w:hint="eastAsia" w:ascii="宋体" w:hAnsi="宋体" w:eastAsia="宋体" w:cs="宋体"/>
          <w:color w:val="000000"/>
          <w:spacing w:val="6"/>
          <w:sz w:val="24"/>
          <w:szCs w:val="24"/>
          <w:highlight w:val="none"/>
        </w:rPr>
        <w:t>采购活动，现分包企业、接收分包企业就如果分包企业获得</w:t>
      </w:r>
      <w:r>
        <w:rPr>
          <w:rFonts w:hint="eastAsia" w:ascii="宋体" w:hAnsi="宋体" w:cs="宋体"/>
          <w:b/>
          <w:bCs/>
          <w:color w:val="000000"/>
          <w:spacing w:val="6"/>
          <w:sz w:val="24"/>
          <w:szCs w:val="24"/>
          <w:highlight w:val="none"/>
          <w:u w:val="single"/>
          <w:lang w:eastAsia="zh-CN"/>
        </w:rPr>
        <w:t>国家税务总局沭阳县税务局2026年食堂食材配送服务采购项目</w:t>
      </w:r>
      <w:r>
        <w:rPr>
          <w:rFonts w:hint="eastAsia" w:ascii="宋体" w:hAnsi="宋体" w:eastAsia="宋体" w:cs="宋体"/>
          <w:color w:val="000000"/>
          <w:spacing w:val="6"/>
          <w:sz w:val="24"/>
          <w:szCs w:val="24"/>
          <w:highlight w:val="none"/>
        </w:rPr>
        <w:t>合同后的分包事项达成以下分包意向协议：</w:t>
      </w:r>
    </w:p>
    <w:p w14:paraId="3EC216B2">
      <w:pPr>
        <w:pStyle w:val="36"/>
        <w:keepNext w:val="0"/>
        <w:keepLines w:val="0"/>
        <w:pageBreakBefore w:val="0"/>
        <w:widowControl w:val="0"/>
        <w:kinsoku/>
        <w:wordWrap/>
        <w:overflowPunct/>
        <w:topLinePunct/>
        <w:autoSpaceDE w:val="0"/>
        <w:autoSpaceDN w:val="0"/>
        <w:bidi w:val="0"/>
        <w:adjustRightInd/>
        <w:snapToGrid/>
        <w:textAlignment w:val="auto"/>
        <w:outlineLvl w:val="9"/>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1.项目总金额的</w:t>
      </w:r>
      <w:r>
        <w:rPr>
          <w:rFonts w:hint="eastAsia" w:ascii="宋体" w:hAnsi="宋体" w:eastAsia="宋体" w:cs="宋体"/>
          <w:color w:val="000000"/>
          <w:spacing w:val="6"/>
          <w:sz w:val="24"/>
          <w:szCs w:val="24"/>
          <w:highlight w:val="none"/>
          <w:u w:val="single"/>
        </w:rPr>
        <w:t>（百分数）</w:t>
      </w:r>
      <w:r>
        <w:rPr>
          <w:rFonts w:hint="eastAsia" w:ascii="宋体" w:hAnsi="宋体" w:eastAsia="宋体" w:cs="宋体"/>
          <w:color w:val="000000"/>
          <w:spacing w:val="6"/>
          <w:sz w:val="24"/>
          <w:szCs w:val="24"/>
          <w:highlight w:val="none"/>
        </w:rPr>
        <w:t>分包给接收分包企业</w:t>
      </w:r>
      <w:r>
        <w:rPr>
          <w:rFonts w:hint="eastAsia" w:ascii="宋体" w:hAnsi="宋体" w:eastAsia="宋体" w:cs="宋体"/>
          <w:color w:val="000000"/>
          <w:spacing w:val="6"/>
          <w:sz w:val="24"/>
          <w:szCs w:val="24"/>
          <w:highlight w:val="none"/>
          <w:lang w:eastAsia="zh-CN"/>
        </w:rPr>
        <w:t>。</w:t>
      </w:r>
      <w:r>
        <w:rPr>
          <w:rFonts w:hint="eastAsia" w:ascii="宋体" w:hAnsi="宋体" w:eastAsia="宋体" w:cs="宋体"/>
          <w:color w:val="000000"/>
          <w:spacing w:val="6"/>
          <w:sz w:val="24"/>
          <w:szCs w:val="24"/>
          <w:highlight w:val="none"/>
          <w:u w:val="single"/>
        </w:rPr>
        <w:t>（接收分包企业名称）</w:t>
      </w:r>
      <w:r>
        <w:rPr>
          <w:rFonts w:hint="eastAsia" w:ascii="宋体" w:hAnsi="宋体" w:eastAsia="宋体" w:cs="宋体"/>
          <w:color w:val="000000"/>
          <w:spacing w:val="6"/>
          <w:sz w:val="24"/>
          <w:szCs w:val="24"/>
          <w:highlight w:val="none"/>
        </w:rPr>
        <w:t>，其属于</w:t>
      </w:r>
      <w:r>
        <w:rPr>
          <w:rFonts w:hint="eastAsia" w:ascii="宋体" w:hAnsi="宋体" w:eastAsia="宋体" w:cs="宋体"/>
          <w:color w:val="000000"/>
          <w:spacing w:val="6"/>
          <w:sz w:val="24"/>
          <w:szCs w:val="24"/>
          <w:highlight w:val="none"/>
          <w:u w:val="single"/>
        </w:rPr>
        <w:t>（小型企业、微型企业）</w:t>
      </w:r>
      <w:r>
        <w:rPr>
          <w:rFonts w:hint="eastAsia" w:ascii="宋体" w:hAnsi="宋体" w:eastAsia="宋体" w:cs="宋体"/>
          <w:color w:val="000000"/>
          <w:spacing w:val="6"/>
          <w:sz w:val="24"/>
          <w:szCs w:val="24"/>
          <w:highlight w:val="none"/>
        </w:rPr>
        <w:t>；</w:t>
      </w:r>
    </w:p>
    <w:p w14:paraId="414D3407">
      <w:pPr>
        <w:pStyle w:val="36"/>
        <w:keepNext w:val="0"/>
        <w:keepLines w:val="0"/>
        <w:pageBreakBefore w:val="0"/>
        <w:widowControl w:val="0"/>
        <w:kinsoku/>
        <w:wordWrap/>
        <w:overflowPunct/>
        <w:topLinePunct/>
        <w:autoSpaceDE w:val="0"/>
        <w:autoSpaceDN w:val="0"/>
        <w:bidi w:val="0"/>
        <w:adjustRightInd/>
        <w:snapToGrid/>
        <w:textAlignment w:val="auto"/>
        <w:outlineLvl w:val="9"/>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2.项目总金额的</w:t>
      </w:r>
      <w:r>
        <w:rPr>
          <w:rFonts w:hint="eastAsia" w:ascii="宋体" w:hAnsi="宋体" w:eastAsia="宋体" w:cs="宋体"/>
          <w:color w:val="000000"/>
          <w:spacing w:val="6"/>
          <w:sz w:val="24"/>
          <w:szCs w:val="24"/>
          <w:highlight w:val="none"/>
          <w:u w:val="single"/>
        </w:rPr>
        <w:t>（百分数）</w:t>
      </w:r>
      <w:r>
        <w:rPr>
          <w:rFonts w:hint="eastAsia" w:ascii="宋体" w:hAnsi="宋体" w:eastAsia="宋体" w:cs="宋体"/>
          <w:color w:val="000000"/>
          <w:spacing w:val="6"/>
          <w:sz w:val="24"/>
          <w:szCs w:val="24"/>
          <w:highlight w:val="none"/>
        </w:rPr>
        <w:t>分包给接收分包企业</w:t>
      </w:r>
      <w:r>
        <w:rPr>
          <w:rFonts w:hint="eastAsia" w:ascii="宋体" w:hAnsi="宋体" w:eastAsia="宋体" w:cs="宋体"/>
          <w:color w:val="000000"/>
          <w:spacing w:val="6"/>
          <w:sz w:val="24"/>
          <w:szCs w:val="24"/>
          <w:highlight w:val="none"/>
          <w:lang w:eastAsia="zh-CN"/>
        </w:rPr>
        <w:t>。</w:t>
      </w:r>
      <w:r>
        <w:rPr>
          <w:rFonts w:hint="eastAsia" w:ascii="宋体" w:hAnsi="宋体" w:eastAsia="宋体" w:cs="宋体"/>
          <w:color w:val="000000"/>
          <w:spacing w:val="6"/>
          <w:sz w:val="24"/>
          <w:szCs w:val="24"/>
          <w:highlight w:val="none"/>
          <w:u w:val="single"/>
        </w:rPr>
        <w:t>（接收分包企业名称）</w:t>
      </w:r>
      <w:r>
        <w:rPr>
          <w:rFonts w:hint="eastAsia" w:ascii="宋体" w:hAnsi="宋体" w:eastAsia="宋体" w:cs="宋体"/>
          <w:color w:val="000000"/>
          <w:spacing w:val="6"/>
          <w:sz w:val="24"/>
          <w:szCs w:val="24"/>
          <w:highlight w:val="none"/>
        </w:rPr>
        <w:t>，其属于</w:t>
      </w:r>
      <w:r>
        <w:rPr>
          <w:rFonts w:hint="eastAsia" w:ascii="宋体" w:hAnsi="宋体" w:eastAsia="宋体" w:cs="宋体"/>
          <w:color w:val="000000"/>
          <w:spacing w:val="6"/>
          <w:sz w:val="24"/>
          <w:szCs w:val="24"/>
          <w:highlight w:val="none"/>
          <w:u w:val="single"/>
        </w:rPr>
        <w:t>（小型企业、微型企业）</w:t>
      </w:r>
      <w:r>
        <w:rPr>
          <w:rFonts w:hint="eastAsia" w:ascii="宋体" w:hAnsi="宋体" w:eastAsia="宋体" w:cs="宋体"/>
          <w:color w:val="000000"/>
          <w:spacing w:val="6"/>
          <w:sz w:val="24"/>
          <w:szCs w:val="24"/>
          <w:highlight w:val="none"/>
        </w:rPr>
        <w:t>；</w:t>
      </w:r>
    </w:p>
    <w:p w14:paraId="5561695A">
      <w:pPr>
        <w:pStyle w:val="36"/>
        <w:keepNext w:val="0"/>
        <w:keepLines w:val="0"/>
        <w:pageBreakBefore w:val="0"/>
        <w:widowControl w:val="0"/>
        <w:kinsoku/>
        <w:wordWrap/>
        <w:overflowPunct/>
        <w:topLinePunct/>
        <w:autoSpaceDE w:val="0"/>
        <w:autoSpaceDN w:val="0"/>
        <w:bidi w:val="0"/>
        <w:adjustRightInd/>
        <w:snapToGrid/>
        <w:textAlignment w:val="auto"/>
        <w:outlineLvl w:val="9"/>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w:t>
      </w:r>
    </w:p>
    <w:p w14:paraId="79CAA9DB">
      <w:pPr>
        <w:keepNext/>
        <w:keepLines/>
        <w:pageBreakBefore w:val="0"/>
        <w:widowControl w:val="0"/>
        <w:numPr>
          <w:ilvl w:val="0"/>
          <w:numId w:val="0"/>
        </w:numPr>
        <w:shd w:val="clear"/>
        <w:tabs>
          <w:tab w:val="left" w:pos="780"/>
        </w:tabs>
        <w:kinsoku/>
        <w:wordWrap/>
        <w:overflowPunct/>
        <w:topLinePunct w:val="0"/>
        <w:autoSpaceDE/>
        <w:autoSpaceDN/>
        <w:bidi w:val="0"/>
        <w:adjustRightInd/>
        <w:snapToGrid/>
        <w:spacing w:line="377" w:lineRule="auto"/>
        <w:ind w:firstLine="504" w:firstLineChars="200"/>
        <w:jc w:val="both"/>
        <w:textAlignment w:val="auto"/>
        <w:outlineLvl w:val="9"/>
        <w:rPr>
          <w:rFonts w:hint="eastAsia" w:asciiTheme="minorEastAsia" w:hAnsiTheme="minorEastAsia" w:eastAsiaTheme="minorEastAsia" w:cstheme="minorEastAsia"/>
          <w:b w:val="0"/>
          <w:bCs w:val="0"/>
          <w:color w:val="auto"/>
          <w:kern w:val="2"/>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rPr>
        <w:t>3.</w:t>
      </w:r>
      <w:r>
        <w:rPr>
          <w:rFonts w:hint="eastAsia" w:ascii="宋体" w:hAnsi="宋体" w:eastAsia="宋体" w:cs="宋体"/>
          <w:color w:val="000000"/>
          <w:spacing w:val="6"/>
          <w:sz w:val="24"/>
          <w:szCs w:val="24"/>
          <w:highlight w:val="none"/>
        </w:rPr>
        <w:t>通过以上分包，预留给</w:t>
      </w:r>
      <w:r>
        <w:rPr>
          <w:rFonts w:hint="eastAsia" w:ascii="宋体" w:hAnsi="宋体" w:cs="宋体"/>
          <w:color w:val="000000"/>
          <w:spacing w:val="6"/>
          <w:sz w:val="24"/>
          <w:szCs w:val="24"/>
          <w:highlight w:val="none"/>
          <w:lang w:eastAsia="zh-CN"/>
        </w:rPr>
        <w:t>小微</w:t>
      </w:r>
      <w:r>
        <w:rPr>
          <w:rFonts w:hint="eastAsia" w:ascii="宋体" w:hAnsi="宋体" w:eastAsia="宋体" w:cs="宋体"/>
          <w:color w:val="000000"/>
          <w:spacing w:val="6"/>
          <w:sz w:val="24"/>
          <w:szCs w:val="24"/>
          <w:highlight w:val="none"/>
        </w:rPr>
        <w:t>企业的金额占项目总金额的</w:t>
      </w:r>
      <w:r>
        <w:rPr>
          <w:rFonts w:hint="eastAsia" w:ascii="宋体" w:hAnsi="宋体" w:eastAsia="宋体" w:cs="宋体"/>
          <w:color w:val="000000"/>
          <w:spacing w:val="6"/>
          <w:sz w:val="24"/>
          <w:szCs w:val="24"/>
          <w:highlight w:val="none"/>
          <w:u w:val="single"/>
        </w:rPr>
        <w:t>（百分数）</w:t>
      </w:r>
      <w:r>
        <w:rPr>
          <w:rFonts w:hint="eastAsia" w:ascii="宋体" w:hAnsi="宋体" w:eastAsia="宋体" w:cs="宋体"/>
          <w:color w:val="000000"/>
          <w:spacing w:val="6"/>
          <w:sz w:val="24"/>
          <w:szCs w:val="24"/>
          <w:highlight w:val="none"/>
        </w:rPr>
        <w:t>。接受分包合同的</w:t>
      </w:r>
      <w:r>
        <w:rPr>
          <w:rFonts w:hint="eastAsia" w:ascii="宋体" w:hAnsi="宋体" w:cs="宋体"/>
          <w:color w:val="000000"/>
          <w:spacing w:val="6"/>
          <w:sz w:val="24"/>
          <w:szCs w:val="24"/>
          <w:highlight w:val="none"/>
          <w:lang w:eastAsia="zh-CN"/>
        </w:rPr>
        <w:t>小微</w:t>
      </w:r>
      <w:r>
        <w:rPr>
          <w:rFonts w:hint="eastAsia" w:ascii="宋体" w:hAnsi="宋体" w:eastAsia="宋体" w:cs="宋体"/>
          <w:color w:val="000000"/>
          <w:spacing w:val="6"/>
          <w:sz w:val="24"/>
          <w:szCs w:val="24"/>
          <w:highlight w:val="none"/>
        </w:rPr>
        <w:t>企业和分包企业之间不存在直接控股、管理关系</w:t>
      </w:r>
      <w:r>
        <w:rPr>
          <w:rFonts w:hint="eastAsia" w:asciiTheme="minorEastAsia" w:hAnsiTheme="minorEastAsia" w:eastAsiaTheme="minorEastAsia" w:cstheme="minorEastAsia"/>
          <w:b w:val="0"/>
          <w:bCs w:val="0"/>
          <w:color w:val="auto"/>
          <w:kern w:val="2"/>
          <w:sz w:val="24"/>
          <w:szCs w:val="24"/>
          <w:highlight w:val="none"/>
          <w:lang w:val="en-US" w:eastAsia="zh-CN" w:bidi="ar-SA"/>
        </w:rPr>
        <w:t>。</w:t>
      </w:r>
    </w:p>
    <w:p w14:paraId="2E748B61">
      <w:pPr>
        <w:keepNext/>
        <w:keepLines/>
        <w:pageBreakBefore w:val="0"/>
        <w:widowControl w:val="0"/>
        <w:numPr>
          <w:ilvl w:val="0"/>
          <w:numId w:val="0"/>
        </w:numPr>
        <w:shd w:val="clear"/>
        <w:tabs>
          <w:tab w:val="left" w:pos="780"/>
        </w:tabs>
        <w:kinsoku/>
        <w:wordWrap/>
        <w:overflowPunct/>
        <w:topLinePunct w:val="0"/>
        <w:autoSpaceDE/>
        <w:autoSpaceDN/>
        <w:bidi w:val="0"/>
        <w:adjustRightInd/>
        <w:snapToGrid/>
        <w:spacing w:line="377" w:lineRule="auto"/>
        <w:ind w:firstLine="480" w:firstLineChars="200"/>
        <w:jc w:val="both"/>
        <w:textAlignment w:val="auto"/>
        <w:outlineLvl w:val="9"/>
        <w:rPr>
          <w:rFonts w:hint="eastAsia" w:asciiTheme="minorEastAsia" w:hAnsiTheme="minorEastAsia" w:eastAsiaTheme="minorEastAsia" w:cstheme="minorEastAsia"/>
          <w:b w:val="0"/>
          <w:bCs w:val="0"/>
          <w:color w:val="auto"/>
          <w:kern w:val="2"/>
          <w:sz w:val="24"/>
          <w:szCs w:val="24"/>
          <w:highlight w:val="none"/>
          <w:lang w:val="en-US" w:eastAsia="zh-CN" w:bidi="ar-SA"/>
        </w:rPr>
      </w:pPr>
      <w:r>
        <w:rPr>
          <w:rFonts w:hint="eastAsia" w:asciiTheme="minorEastAsia" w:hAnsiTheme="minorEastAsia" w:eastAsiaTheme="minorEastAsia" w:cstheme="minorEastAsia"/>
          <w:b w:val="0"/>
          <w:bCs w:val="0"/>
          <w:color w:val="auto"/>
          <w:kern w:val="2"/>
          <w:sz w:val="24"/>
          <w:szCs w:val="24"/>
          <w:highlight w:val="none"/>
          <w:lang w:val="en-US" w:eastAsia="zh-CN" w:bidi="ar-SA"/>
        </w:rPr>
        <w:t>分包企业名称（盖章）：               接收分包企业名称（盖章）：</w:t>
      </w:r>
    </w:p>
    <w:p w14:paraId="5CD54A69">
      <w:pPr>
        <w:keepNext/>
        <w:keepLines/>
        <w:pageBreakBefore w:val="0"/>
        <w:widowControl w:val="0"/>
        <w:numPr>
          <w:ilvl w:val="0"/>
          <w:numId w:val="0"/>
        </w:numPr>
        <w:shd w:val="clear"/>
        <w:tabs>
          <w:tab w:val="left" w:pos="780"/>
        </w:tabs>
        <w:kinsoku/>
        <w:wordWrap/>
        <w:overflowPunct/>
        <w:topLinePunct w:val="0"/>
        <w:autoSpaceDE/>
        <w:autoSpaceDN/>
        <w:bidi w:val="0"/>
        <w:adjustRightInd/>
        <w:snapToGrid/>
        <w:spacing w:line="377" w:lineRule="auto"/>
        <w:ind w:firstLine="480" w:firstLineChars="200"/>
        <w:jc w:val="both"/>
        <w:textAlignment w:val="auto"/>
        <w:outlineLvl w:val="9"/>
        <w:rPr>
          <w:rFonts w:hint="eastAsia" w:asciiTheme="minorEastAsia" w:hAnsiTheme="minorEastAsia" w:eastAsiaTheme="minorEastAsia" w:cstheme="minorEastAsia"/>
          <w:b w:val="0"/>
          <w:bCs w:val="0"/>
          <w:color w:val="auto"/>
          <w:kern w:val="2"/>
          <w:sz w:val="24"/>
          <w:szCs w:val="24"/>
          <w:highlight w:val="none"/>
          <w:lang w:val="en-US" w:eastAsia="zh-CN" w:bidi="ar-SA"/>
        </w:rPr>
      </w:pPr>
      <w:r>
        <w:rPr>
          <w:rFonts w:hint="eastAsia" w:asciiTheme="minorEastAsia" w:hAnsiTheme="minorEastAsia" w:eastAsiaTheme="minorEastAsia" w:cstheme="minorEastAsia"/>
          <w:b w:val="0"/>
          <w:bCs w:val="0"/>
          <w:color w:val="auto"/>
          <w:kern w:val="2"/>
          <w:sz w:val="24"/>
          <w:szCs w:val="24"/>
          <w:highlight w:val="none"/>
          <w:lang w:val="en-US" w:eastAsia="zh-CN" w:bidi="ar-SA"/>
        </w:rPr>
        <w:t>日期：                                日期：</w:t>
      </w:r>
    </w:p>
    <w:p w14:paraId="6691BBFD">
      <w:pPr>
        <w:pageBreakBefore w:val="0"/>
        <w:widowControl w:val="0"/>
        <w:shd w:val="clear"/>
        <w:kinsoku/>
        <w:wordWrap/>
        <w:overflowPunct/>
        <w:bidi w:val="0"/>
        <w:adjustRightInd/>
        <w:snapToGrid/>
        <w:textAlignment w:val="auto"/>
        <w:outlineLvl w:val="9"/>
        <w:rPr>
          <w:rFonts w:hint="eastAsia" w:asciiTheme="minorEastAsia" w:hAnsiTheme="minorEastAsia" w:eastAsiaTheme="minorEastAsia" w:cstheme="minorEastAsia"/>
          <w:b/>
          <w:bCs/>
          <w:color w:val="auto"/>
          <w:kern w:val="2"/>
          <w:sz w:val="24"/>
          <w:szCs w:val="24"/>
          <w:highlight w:val="none"/>
          <w:lang w:val="en-US" w:eastAsia="zh-CN" w:bidi="ar-SA"/>
        </w:rPr>
      </w:pPr>
    </w:p>
    <w:p w14:paraId="2A819443">
      <w:pPr>
        <w:pageBreakBefore w:val="0"/>
        <w:widowControl w:val="0"/>
        <w:shd w:val="clear"/>
        <w:kinsoku/>
        <w:wordWrap/>
        <w:overflowPunct/>
        <w:bidi w:val="0"/>
        <w:adjustRightInd/>
        <w:snapToGrid/>
        <w:textAlignment w:val="auto"/>
        <w:outlineLvl w:val="9"/>
        <w:rPr>
          <w:rFonts w:hint="eastAsia" w:asciiTheme="minorEastAsia" w:hAnsiTheme="minorEastAsia" w:eastAsiaTheme="minorEastAsia" w:cstheme="minorEastAsia"/>
          <w:b/>
          <w:bCs/>
          <w:color w:val="auto"/>
          <w:kern w:val="2"/>
          <w:sz w:val="24"/>
          <w:szCs w:val="24"/>
          <w:highlight w:val="none"/>
          <w:lang w:val="en-US" w:eastAsia="zh-CN" w:bidi="ar-SA"/>
        </w:rPr>
      </w:pPr>
    </w:p>
    <w:p w14:paraId="66279261">
      <w:pPr>
        <w:pageBreakBefore w:val="0"/>
        <w:widowControl w:val="0"/>
        <w:shd w:val="clear"/>
        <w:kinsoku/>
        <w:wordWrap/>
        <w:overflowPunct/>
        <w:bidi w:val="0"/>
        <w:adjustRightInd/>
        <w:snapToGrid/>
        <w:textAlignment w:val="auto"/>
        <w:outlineLvl w:val="9"/>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注释：</w:t>
      </w:r>
    </w:p>
    <w:p w14:paraId="12452097">
      <w:pPr>
        <w:pageBreakBefore w:val="0"/>
        <w:widowControl w:val="0"/>
        <w:shd w:val="clear" w:color="auto" w:fill="auto"/>
        <w:kinsoku/>
        <w:wordWrap/>
        <w:overflowPunct/>
        <w:bidi w:val="0"/>
        <w:adjustRightInd/>
        <w:snapToGrid/>
        <w:textAlignment w:val="auto"/>
        <w:outlineLvl w:val="9"/>
        <w:rPr>
          <w:rFonts w:hint="eastAsia" w:ascii="宋体" w:hAnsi="宋体" w:eastAsia="宋体" w:cs="宋体"/>
          <w:b/>
          <w:bCs/>
          <w:color w:val="auto"/>
          <w:sz w:val="21"/>
          <w:szCs w:val="21"/>
          <w:highlight w:val="none"/>
          <w:u w:val="none"/>
        </w:rPr>
      </w:pPr>
      <w:r>
        <w:rPr>
          <w:rFonts w:hint="eastAsia" w:ascii="宋体" w:hAnsi="宋体" w:eastAsia="宋体" w:cs="宋体"/>
          <w:b/>
          <w:bCs/>
          <w:color w:val="auto"/>
          <w:sz w:val="21"/>
          <w:szCs w:val="21"/>
          <w:highlight w:val="none"/>
          <w:u w:val="none"/>
          <w:lang w:val="en-US" w:eastAsia="zh-CN"/>
        </w:rPr>
        <w:t>本项目</w:t>
      </w:r>
      <w:r>
        <w:rPr>
          <w:rFonts w:hint="eastAsia" w:ascii="宋体" w:hAnsi="宋体" w:eastAsia="宋体" w:cs="宋体"/>
          <w:b w:val="0"/>
          <w:bCs w:val="0"/>
          <w:color w:val="auto"/>
          <w:sz w:val="21"/>
          <w:szCs w:val="21"/>
          <w:highlight w:val="none"/>
          <w:u w:val="none"/>
          <w:lang w:val="en-US" w:eastAsia="zh-CN"/>
        </w:rPr>
        <w:t>属于面向中小企业预留采购份额项目，预留份额通过获得采购合同的投标人将采购项目中的一定比例分包给一家或者多家中小企业进行，</w:t>
      </w:r>
      <w:r>
        <w:rPr>
          <w:rFonts w:hint="eastAsia" w:ascii="宋体" w:hAnsi="宋体" w:eastAsia="宋体" w:cs="宋体"/>
          <w:b/>
          <w:bCs/>
          <w:color w:val="auto"/>
          <w:sz w:val="21"/>
          <w:szCs w:val="21"/>
          <w:highlight w:val="none"/>
          <w:u w:val="none"/>
          <w:lang w:val="en-US" w:eastAsia="zh-CN"/>
        </w:rPr>
        <w:t>本分包意向协议中预留给中小企业的金额应当不低于总金额的30%，其中预留给小微企业的比例不低于60%。</w:t>
      </w:r>
      <w:r>
        <w:rPr>
          <w:rFonts w:hint="eastAsia" w:ascii="宋体" w:hAnsi="宋体" w:eastAsia="宋体" w:cs="宋体"/>
          <w:b w:val="0"/>
          <w:bCs w:val="0"/>
          <w:color w:val="auto"/>
          <w:sz w:val="21"/>
          <w:szCs w:val="21"/>
          <w:highlight w:val="none"/>
          <w:u w:val="none"/>
          <w:lang w:val="en-US" w:eastAsia="zh-CN"/>
        </w:rPr>
        <w:t>接受分包合同的中小企业和分包企业之间不得存在单位负责人为同一人或者存在直接控股、管理关系。</w:t>
      </w:r>
      <w:r>
        <w:rPr>
          <w:rFonts w:hint="eastAsia" w:ascii="宋体" w:hAnsi="宋体" w:eastAsia="宋体" w:cs="宋体"/>
          <w:b/>
          <w:bCs/>
          <w:color w:val="auto"/>
          <w:sz w:val="21"/>
          <w:szCs w:val="21"/>
          <w:highlight w:val="none"/>
          <w:u w:val="none"/>
          <w:lang w:val="en-US" w:eastAsia="zh-CN"/>
        </w:rPr>
        <w:t>应提供明确以上事项的《分包意向协议》和《中小企业声明函》。</w:t>
      </w:r>
    </w:p>
    <w:p w14:paraId="29107D57">
      <w:pPr>
        <w:pageBreakBefore w:val="0"/>
        <w:widowControl w:val="0"/>
        <w:shd w:val="clear" w:color="auto" w:fill="auto"/>
        <w:kinsoku/>
        <w:wordWrap/>
        <w:overflowPunct/>
        <w:bidi w:val="0"/>
        <w:adjustRightInd/>
        <w:snapToGrid/>
        <w:textAlignment w:val="auto"/>
        <w:outlineLvl w:val="9"/>
        <w:rPr>
          <w:rFonts w:hint="eastAsia" w:cs="Times New Roman"/>
          <w:b/>
          <w:bCs/>
          <w:color w:val="auto"/>
          <w:highlight w:val="none"/>
          <w:lang w:eastAsia="zh-CN"/>
        </w:rPr>
      </w:pPr>
      <w:r>
        <w:rPr>
          <w:rFonts w:hint="eastAsia" w:cs="Times New Roman"/>
          <w:b/>
          <w:bCs/>
          <w:color w:val="auto"/>
          <w:highlight w:val="none"/>
        </w:rPr>
        <w:t>如果供应商为大型企业，应预留给小微企业，且比例不低于30%。如果供应商为中型企业，预留给小微企业的比例不低于18%。如果供应商为小微企业，视同符合本条资格条件，则不得再进行分包。</w:t>
      </w:r>
      <w:r>
        <w:rPr>
          <w:rFonts w:hint="eastAsia" w:cs="Times New Roman"/>
          <w:b/>
          <w:bCs/>
          <w:color w:val="auto"/>
          <w:highlight w:val="none"/>
          <w:lang w:eastAsia="zh-CN"/>
        </w:rPr>
        <w:t>应</w:t>
      </w:r>
      <w:r>
        <w:rPr>
          <w:rFonts w:hint="eastAsia" w:cs="Times New Roman"/>
          <w:b/>
          <w:bCs/>
          <w:color w:val="auto"/>
          <w:highlight w:val="none"/>
        </w:rPr>
        <w:t>提供明确以上事项的《中小企业声明函》</w:t>
      </w:r>
      <w:r>
        <w:rPr>
          <w:rFonts w:hint="eastAsia" w:cs="Times New Roman"/>
          <w:b/>
          <w:bCs/>
          <w:color w:val="auto"/>
          <w:highlight w:val="none"/>
          <w:lang w:eastAsia="zh-CN"/>
        </w:rPr>
        <w:t>。</w:t>
      </w:r>
    </w:p>
    <w:p w14:paraId="1FB534E2">
      <w:pPr>
        <w:pageBreakBefore w:val="0"/>
        <w:widowControl w:val="0"/>
        <w:shd w:val="clear" w:color="auto" w:fill="auto"/>
        <w:kinsoku/>
        <w:wordWrap/>
        <w:overflowPunct/>
        <w:bidi w:val="0"/>
        <w:adjustRightInd/>
        <w:snapToGrid/>
        <w:textAlignment w:val="auto"/>
        <w:outlineLvl w:val="9"/>
        <w:rPr>
          <w:rFonts w:hint="eastAsia" w:ascii="宋体" w:hAnsi="宋体" w:eastAsia="宋体" w:cs="宋体"/>
          <w:b w:val="0"/>
          <w:bCs w:val="0"/>
          <w:sz w:val="21"/>
          <w:szCs w:val="21"/>
          <w:highlight w:val="none"/>
          <w:u w:val="none"/>
          <w:lang w:eastAsia="zh-CN"/>
        </w:rPr>
      </w:pPr>
      <w:r>
        <w:rPr>
          <w:rFonts w:hint="eastAsia" w:cs="Times New Roman"/>
          <w:b w:val="0"/>
          <w:bCs w:val="0"/>
          <w:color w:val="auto"/>
          <w:highlight w:val="none"/>
        </w:rPr>
        <w:t>监狱企业视同小型、微型企业，提供由省级以上监狱管理局、戒毒管理局（含新疆生产建设兵团）出具的属于监狱企业的证明文件；残疾人福利性单位视同小型、微型企业，提供《残疾人福利性单位声明函》。</w:t>
      </w:r>
    </w:p>
    <w:p w14:paraId="77BF5F78">
      <w:pPr>
        <w:pageBreakBefore w:val="0"/>
        <w:widowControl w:val="0"/>
        <w:shd w:val="clear" w:color="auto" w:fill="auto"/>
        <w:kinsoku/>
        <w:wordWrap/>
        <w:overflowPunct/>
        <w:bidi w:val="0"/>
        <w:adjustRightInd/>
        <w:snapToGrid/>
        <w:textAlignment w:val="auto"/>
        <w:outlineLvl w:val="9"/>
        <w:rPr>
          <w:rFonts w:hint="eastAsia" w:eastAsia="宋体" w:cs="Times New Roman"/>
          <w:b w:val="0"/>
          <w:bCs w:val="0"/>
          <w:color w:val="auto"/>
          <w:highlight w:val="none"/>
          <w:lang w:val="en-US" w:eastAsia="zh-CN"/>
        </w:rPr>
      </w:pPr>
      <w:r>
        <w:rPr>
          <w:rFonts w:hint="eastAsia" w:cs="Times New Roman"/>
          <w:b w:val="0"/>
          <w:bCs w:val="0"/>
          <w:color w:val="auto"/>
          <w:highlight w:val="none"/>
          <w:lang w:val="en-US" w:eastAsia="zh-CN"/>
        </w:rPr>
        <w:t>本项目采购标的对应的中小企业划分标准所属行业为：</w:t>
      </w:r>
      <w:r>
        <w:rPr>
          <w:rFonts w:hint="eastAsia" w:cs="Times New Roman"/>
          <w:b/>
          <w:bCs/>
          <w:color w:val="auto"/>
          <w:highlight w:val="none"/>
          <w:u w:val="single"/>
          <w:lang w:val="en-US" w:eastAsia="zh-CN"/>
        </w:rPr>
        <w:t>批发业。</w:t>
      </w:r>
    </w:p>
    <w:p w14:paraId="280D3591">
      <w:pPr>
        <w:keepNext w:val="0"/>
        <w:keepLines w:val="0"/>
        <w:pageBreakBefore w:val="0"/>
        <w:widowControl w:val="0"/>
        <w:shd w:val="clear"/>
        <w:kinsoku/>
        <w:wordWrap/>
        <w:overflowPunct/>
        <w:topLinePunct/>
        <w:autoSpaceDE w:val="0"/>
        <w:autoSpaceDN w:val="0"/>
        <w:bidi w:val="0"/>
        <w:adjustRightInd/>
        <w:snapToGrid/>
        <w:textAlignment w:val="auto"/>
        <w:outlineLvl w:val="9"/>
        <w:rPr>
          <w:rFonts w:hint="eastAsia"/>
          <w:highlight w:val="none"/>
        </w:rPr>
      </w:pPr>
      <w:r>
        <w:rPr>
          <w:rFonts w:hint="eastAsia"/>
          <w:b/>
          <w:bCs/>
          <w:color w:val="auto"/>
          <w:highlight w:val="none"/>
          <w:lang w:val="en-US" w:eastAsia="zh-CN"/>
        </w:rPr>
        <w:t>签订分包意向协议的中小企业的具体情况需要在《中小企业声明函》中进行说明。</w:t>
      </w:r>
    </w:p>
    <w:p w14:paraId="1C4C803E">
      <w:pPr>
        <w:pageBreakBefore w:val="0"/>
        <w:widowControl w:val="0"/>
        <w:kinsoku/>
        <w:wordWrap/>
        <w:overflowPunct/>
        <w:bidi w:val="0"/>
        <w:adjustRightInd/>
        <w:snapToGrid/>
        <w:textAlignment w:val="auto"/>
        <w:outlineLvl w:val="9"/>
        <w:rPr>
          <w:rFonts w:hint="eastAsia"/>
          <w:color w:val="auto"/>
          <w:highlight w:val="none"/>
        </w:rPr>
      </w:pPr>
      <w:r>
        <w:rPr>
          <w:rFonts w:hint="eastAsia"/>
          <w:color w:val="auto"/>
          <w:highlight w:val="none"/>
        </w:rPr>
        <w:br w:type="page"/>
      </w:r>
    </w:p>
    <w:p w14:paraId="10227EF6">
      <w:pPr>
        <w:pStyle w:val="8"/>
        <w:shd w:val="clear"/>
        <w:jc w:val="center"/>
        <w:rPr>
          <w:color w:val="auto"/>
          <w:highlight w:val="none"/>
        </w:rPr>
      </w:pPr>
      <w:bookmarkStart w:id="152" w:name="_Toc14905"/>
      <w:r>
        <w:rPr>
          <w:rFonts w:hint="eastAsia" w:ascii="宋体" w:hAnsi="宋体" w:eastAsia="宋体" w:cs="宋体"/>
          <w:color w:val="auto"/>
          <w:highlight w:val="none"/>
        </w:rPr>
        <w:t>格式</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 xml:space="preserve">  中小企业声明函</w:t>
      </w:r>
      <w:bookmarkEnd w:id="152"/>
    </w:p>
    <w:p w14:paraId="0B06BC5E">
      <w:pPr>
        <w:topLinePunct/>
        <w:autoSpaceDE w:val="0"/>
        <w:autoSpaceDN w:val="0"/>
        <w:spacing w:line="460" w:lineRule="exact"/>
        <w:jc w:val="center"/>
        <w:rPr>
          <w:rFonts w:hint="eastAsia" w:ascii="宋体" w:hAnsi="宋体" w:cs="宋体"/>
          <w:b/>
          <w:bCs/>
          <w:color w:val="auto"/>
          <w:sz w:val="28"/>
          <w:szCs w:val="28"/>
          <w:highlight w:val="none"/>
        </w:rPr>
      </w:pPr>
    </w:p>
    <w:p w14:paraId="60AEB40E">
      <w:pPr>
        <w:topLinePunct/>
        <w:autoSpaceDE w:val="0"/>
        <w:autoSpaceDN w:val="0"/>
        <w:spacing w:line="460" w:lineRule="exact"/>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中小企业声明函（</w:t>
      </w:r>
      <w:r>
        <w:rPr>
          <w:rFonts w:hint="eastAsia" w:ascii="宋体" w:hAnsi="宋体" w:cs="宋体"/>
          <w:b/>
          <w:bCs/>
          <w:color w:val="auto"/>
          <w:sz w:val="28"/>
          <w:szCs w:val="28"/>
          <w:highlight w:val="none"/>
          <w:lang w:val="en-US" w:eastAsia="zh-CN"/>
        </w:rPr>
        <w:t>服务</w:t>
      </w:r>
      <w:r>
        <w:rPr>
          <w:rFonts w:hint="eastAsia" w:ascii="宋体" w:hAnsi="宋体" w:cs="宋体"/>
          <w:b/>
          <w:bCs/>
          <w:color w:val="auto"/>
          <w:sz w:val="28"/>
          <w:szCs w:val="28"/>
          <w:highlight w:val="none"/>
        </w:rPr>
        <w:t>）</w:t>
      </w:r>
    </w:p>
    <w:p w14:paraId="6509E031">
      <w:pPr>
        <w:rPr>
          <w:color w:val="auto"/>
          <w:highlight w:val="none"/>
        </w:rPr>
      </w:pPr>
    </w:p>
    <w:p w14:paraId="76B473F6">
      <w:pPr>
        <w:pStyle w:val="17"/>
        <w:snapToGrid w:val="0"/>
        <w:spacing w:line="360" w:lineRule="auto"/>
        <w:ind w:firstLine="420" w:firstLineChars="20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本公司郑重声明，根据《政府采购促进中小企业发展管理办法》（财库﹝2020﹞46 号）的规定，本公司参加</w:t>
      </w:r>
      <w:r>
        <w:rPr>
          <w:rFonts w:hint="eastAsia" w:hAnsi="宋体" w:cs="宋体"/>
          <w:b/>
          <w:bCs/>
          <w:i w:val="0"/>
          <w:iCs w:val="0"/>
          <w:color w:val="auto"/>
          <w:sz w:val="21"/>
          <w:szCs w:val="21"/>
          <w:highlight w:val="none"/>
          <w:u w:val="single"/>
          <w:lang w:eastAsia="zh-CN"/>
        </w:rPr>
        <w:t>国家税务总局沭阳县税务局</w:t>
      </w:r>
      <w:r>
        <w:rPr>
          <w:rFonts w:hint="eastAsia" w:ascii="宋体" w:hAnsi="宋体" w:eastAsia="宋体" w:cs="宋体"/>
          <w:i w:val="0"/>
          <w:iCs w:val="0"/>
          <w:color w:val="auto"/>
          <w:sz w:val="21"/>
          <w:szCs w:val="21"/>
          <w:highlight w:val="none"/>
        </w:rPr>
        <w:t>的</w:t>
      </w:r>
      <w:r>
        <w:rPr>
          <w:rFonts w:hint="eastAsia" w:hAnsi="宋体" w:cs="宋体"/>
          <w:b/>
          <w:bCs/>
          <w:i w:val="0"/>
          <w:iCs w:val="0"/>
          <w:color w:val="auto"/>
          <w:sz w:val="21"/>
          <w:szCs w:val="21"/>
          <w:highlight w:val="none"/>
          <w:u w:val="single"/>
          <w:lang w:eastAsia="zh-CN"/>
        </w:rPr>
        <w:t>国家税务总局沭阳县税务局2026年食堂食材配送服务采购项目</w:t>
      </w:r>
      <w:r>
        <w:rPr>
          <w:rFonts w:hint="eastAsia" w:ascii="宋体" w:hAnsi="宋体" w:eastAsia="宋体" w:cs="宋体"/>
          <w:i w:val="0"/>
          <w:iCs w:val="0"/>
          <w:color w:val="auto"/>
          <w:sz w:val="21"/>
          <w:szCs w:val="21"/>
          <w:highlight w:val="none"/>
        </w:rPr>
        <w:t>采购活动，服务全部由符合政策要求的中小企业承接。相关企业（含签订分包意向协议的中小企业）的具体情况如下：</w:t>
      </w:r>
    </w:p>
    <w:p w14:paraId="6A711FC8">
      <w:pPr>
        <w:pStyle w:val="17"/>
        <w:snapToGrid w:val="0"/>
        <w:spacing w:line="360" w:lineRule="auto"/>
        <w:ind w:firstLine="420" w:firstLineChars="20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1.</w:t>
      </w:r>
      <w:r>
        <w:rPr>
          <w:rFonts w:hint="eastAsia" w:ascii="宋体" w:hAnsi="宋体" w:eastAsia="宋体" w:cs="宋体"/>
          <w:i w:val="0"/>
          <w:iCs w:val="0"/>
          <w:color w:val="auto"/>
          <w:sz w:val="21"/>
          <w:szCs w:val="21"/>
          <w:highlight w:val="none"/>
          <w:u w:val="single"/>
        </w:rPr>
        <w:t xml:space="preserve"> （标的名称） </w:t>
      </w:r>
      <w:r>
        <w:rPr>
          <w:rFonts w:hint="eastAsia" w:ascii="宋体" w:hAnsi="宋体" w:eastAsia="宋体" w:cs="宋体"/>
          <w:i w:val="0"/>
          <w:iCs w:val="0"/>
          <w:color w:val="auto"/>
          <w:sz w:val="21"/>
          <w:szCs w:val="21"/>
          <w:highlight w:val="none"/>
        </w:rPr>
        <w:t>，属于</w:t>
      </w:r>
      <w:r>
        <w:rPr>
          <w:rFonts w:hint="eastAsia" w:ascii="宋体" w:hAnsi="宋体" w:eastAsia="宋体" w:cs="宋体"/>
          <w:b/>
          <w:bCs/>
          <w:i w:val="0"/>
          <w:iCs w:val="0"/>
          <w:color w:val="auto"/>
          <w:sz w:val="21"/>
          <w:szCs w:val="21"/>
          <w:highlight w:val="none"/>
          <w:u w:val="single"/>
          <w:lang w:val="en-US" w:eastAsia="zh-CN"/>
        </w:rPr>
        <w:t xml:space="preserve">   </w:t>
      </w:r>
      <w:r>
        <w:rPr>
          <w:rFonts w:hint="eastAsia" w:ascii="宋体" w:hAnsi="宋体" w:eastAsia="宋体" w:cs="宋体"/>
          <w:b/>
          <w:bCs/>
          <w:i w:val="0"/>
          <w:iCs w:val="0"/>
          <w:color w:val="auto"/>
          <w:sz w:val="21"/>
          <w:szCs w:val="21"/>
          <w:highlight w:val="none"/>
          <w:u w:val="single"/>
        </w:rPr>
        <w:t>批发业</w:t>
      </w:r>
      <w:r>
        <w:rPr>
          <w:rFonts w:hint="eastAsia" w:ascii="宋体" w:hAnsi="宋体" w:eastAsia="宋体" w:cs="宋体"/>
          <w:b/>
          <w:bCs/>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rPr>
        <w:t>；承接企业为</w:t>
      </w:r>
      <w:r>
        <w:rPr>
          <w:rFonts w:hint="eastAsia" w:ascii="宋体" w:hAnsi="宋体" w:eastAsia="宋体" w:cs="宋体"/>
          <w:i w:val="0"/>
          <w:iCs w:val="0"/>
          <w:color w:val="auto"/>
          <w:sz w:val="21"/>
          <w:szCs w:val="21"/>
          <w:highlight w:val="none"/>
          <w:u w:val="single"/>
        </w:rPr>
        <w:t>（企业名称）</w:t>
      </w:r>
      <w:r>
        <w:rPr>
          <w:rFonts w:hint="eastAsia" w:ascii="宋体" w:hAnsi="宋体" w:eastAsia="宋体" w:cs="宋体"/>
          <w:i w:val="0"/>
          <w:iCs w:val="0"/>
          <w:color w:val="auto"/>
          <w:sz w:val="21"/>
          <w:szCs w:val="21"/>
          <w:highlight w:val="none"/>
        </w:rPr>
        <w:t>，从业人员</w:t>
      </w:r>
      <w:r>
        <w:rPr>
          <w:rFonts w:hint="eastAsia" w:ascii="宋体" w:hAnsi="宋体" w:eastAsia="宋体" w:cs="宋体"/>
          <w:i w:val="0"/>
          <w:iCs w:val="0"/>
          <w:color w:val="auto"/>
          <w:sz w:val="21"/>
          <w:szCs w:val="21"/>
          <w:highlight w:val="none"/>
          <w:u w:val="single"/>
        </w:rPr>
        <w:tab/>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人，营业收入为</w:t>
      </w:r>
      <w:r>
        <w:rPr>
          <w:rFonts w:hint="eastAsia" w:ascii="宋体" w:hAnsi="宋体" w:eastAsia="宋体" w:cs="宋体"/>
          <w:i w:val="0"/>
          <w:iCs w:val="0"/>
          <w:color w:val="auto"/>
          <w:sz w:val="21"/>
          <w:szCs w:val="21"/>
          <w:highlight w:val="none"/>
          <w:u w:val="single"/>
        </w:rPr>
        <w:tab/>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万元，资产总额为</w:t>
      </w:r>
      <w:r>
        <w:rPr>
          <w:rFonts w:hint="eastAsia" w:ascii="宋体" w:hAnsi="宋体" w:eastAsia="宋体" w:cs="宋体"/>
          <w:i w:val="0"/>
          <w:iCs w:val="0"/>
          <w:color w:val="auto"/>
          <w:sz w:val="21"/>
          <w:szCs w:val="21"/>
          <w:highlight w:val="none"/>
          <w:u w:val="single"/>
        </w:rPr>
        <w:tab/>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万元</w:t>
      </w:r>
      <w:r>
        <w:rPr>
          <w:rFonts w:hint="eastAsia" w:ascii="宋体" w:hAnsi="宋体" w:eastAsia="宋体" w:cs="宋体"/>
          <w:i w:val="0"/>
          <w:iCs w:val="0"/>
          <w:color w:val="auto"/>
          <w:sz w:val="21"/>
          <w:szCs w:val="21"/>
          <w:highlight w:val="none"/>
          <w:vertAlign w:val="superscript"/>
        </w:rPr>
        <w:t>1</w:t>
      </w:r>
      <w:r>
        <w:rPr>
          <w:rFonts w:hint="eastAsia" w:ascii="宋体" w:hAnsi="宋体" w:eastAsia="宋体" w:cs="宋体"/>
          <w:i w:val="0"/>
          <w:iCs w:val="0"/>
          <w:color w:val="auto"/>
          <w:sz w:val="21"/>
          <w:szCs w:val="21"/>
          <w:highlight w:val="none"/>
        </w:rPr>
        <w:t>，属于</w:t>
      </w:r>
      <w:r>
        <w:rPr>
          <w:rFonts w:hint="eastAsia"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rPr>
        <w:t xml:space="preserve">； </w:t>
      </w:r>
    </w:p>
    <w:p w14:paraId="6EF22118">
      <w:pPr>
        <w:pStyle w:val="17"/>
        <w:snapToGrid w:val="0"/>
        <w:spacing w:line="360" w:lineRule="auto"/>
        <w:ind w:firstLine="420" w:firstLineChars="20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2.</w:t>
      </w:r>
      <w:r>
        <w:rPr>
          <w:rFonts w:hint="eastAsia" w:ascii="宋体" w:hAnsi="宋体" w:eastAsia="宋体" w:cs="宋体"/>
          <w:i w:val="0"/>
          <w:iCs w:val="0"/>
          <w:color w:val="auto"/>
          <w:sz w:val="21"/>
          <w:szCs w:val="21"/>
          <w:highlight w:val="none"/>
          <w:u w:val="single"/>
        </w:rPr>
        <w:t xml:space="preserve"> （标的名称） </w:t>
      </w:r>
      <w:r>
        <w:rPr>
          <w:rFonts w:hint="eastAsia" w:ascii="宋体" w:hAnsi="宋体" w:eastAsia="宋体" w:cs="宋体"/>
          <w:i w:val="0"/>
          <w:iCs w:val="0"/>
          <w:color w:val="auto"/>
          <w:sz w:val="21"/>
          <w:szCs w:val="21"/>
          <w:highlight w:val="none"/>
        </w:rPr>
        <w:t>，属于</w:t>
      </w:r>
      <w:r>
        <w:rPr>
          <w:rFonts w:hint="eastAsia" w:ascii="宋体" w:hAnsi="宋体" w:eastAsia="宋体" w:cs="宋体"/>
          <w:b/>
          <w:bCs/>
          <w:i w:val="0"/>
          <w:iCs w:val="0"/>
          <w:color w:val="auto"/>
          <w:sz w:val="21"/>
          <w:szCs w:val="21"/>
          <w:highlight w:val="none"/>
          <w:u w:val="single"/>
          <w:lang w:val="en-US" w:eastAsia="zh-CN"/>
        </w:rPr>
        <w:t xml:space="preserve">   </w:t>
      </w:r>
      <w:r>
        <w:rPr>
          <w:rFonts w:hint="eastAsia" w:ascii="宋体" w:hAnsi="宋体" w:eastAsia="宋体" w:cs="宋体"/>
          <w:b/>
          <w:bCs/>
          <w:i w:val="0"/>
          <w:iCs w:val="0"/>
          <w:color w:val="auto"/>
          <w:sz w:val="21"/>
          <w:szCs w:val="21"/>
          <w:highlight w:val="none"/>
          <w:u w:val="single"/>
        </w:rPr>
        <w:t>批发业</w:t>
      </w:r>
      <w:r>
        <w:rPr>
          <w:rFonts w:hint="eastAsia" w:ascii="宋体" w:hAnsi="宋体" w:eastAsia="宋体" w:cs="宋体"/>
          <w:b/>
          <w:bCs/>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rPr>
        <w:t>；承接企业为</w:t>
      </w:r>
      <w:r>
        <w:rPr>
          <w:rFonts w:hint="eastAsia" w:ascii="宋体" w:hAnsi="宋体" w:eastAsia="宋体" w:cs="宋体"/>
          <w:i w:val="0"/>
          <w:iCs w:val="0"/>
          <w:color w:val="auto"/>
          <w:sz w:val="21"/>
          <w:szCs w:val="21"/>
          <w:highlight w:val="none"/>
          <w:u w:val="single"/>
        </w:rPr>
        <w:t>（企业名称）</w:t>
      </w:r>
      <w:r>
        <w:rPr>
          <w:rFonts w:hint="eastAsia" w:ascii="宋体" w:hAnsi="宋体" w:eastAsia="宋体" w:cs="宋体"/>
          <w:i w:val="0"/>
          <w:iCs w:val="0"/>
          <w:color w:val="auto"/>
          <w:sz w:val="21"/>
          <w:szCs w:val="21"/>
          <w:highlight w:val="none"/>
        </w:rPr>
        <w:t>，从业人员</w:t>
      </w:r>
      <w:r>
        <w:rPr>
          <w:rFonts w:hint="eastAsia" w:ascii="宋体" w:hAnsi="宋体" w:eastAsia="宋体" w:cs="宋体"/>
          <w:i w:val="0"/>
          <w:iCs w:val="0"/>
          <w:color w:val="auto"/>
          <w:sz w:val="21"/>
          <w:szCs w:val="21"/>
          <w:highlight w:val="none"/>
          <w:u w:val="single"/>
        </w:rPr>
        <w:tab/>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人，营业收入为</w:t>
      </w:r>
      <w:r>
        <w:rPr>
          <w:rFonts w:hint="eastAsia" w:ascii="宋体" w:hAnsi="宋体" w:eastAsia="宋体" w:cs="宋体"/>
          <w:i w:val="0"/>
          <w:iCs w:val="0"/>
          <w:color w:val="auto"/>
          <w:sz w:val="21"/>
          <w:szCs w:val="21"/>
          <w:highlight w:val="none"/>
          <w:u w:val="single"/>
        </w:rPr>
        <w:tab/>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万元，资产总额为</w:t>
      </w:r>
      <w:r>
        <w:rPr>
          <w:rFonts w:hint="eastAsia" w:ascii="宋体" w:hAnsi="宋体" w:eastAsia="宋体" w:cs="宋体"/>
          <w:i w:val="0"/>
          <w:iCs w:val="0"/>
          <w:color w:val="auto"/>
          <w:sz w:val="21"/>
          <w:szCs w:val="21"/>
          <w:highlight w:val="none"/>
          <w:u w:val="single"/>
        </w:rPr>
        <w:tab/>
      </w:r>
      <w:r>
        <w:rPr>
          <w:rFonts w:hint="eastAsia" w:ascii="宋体" w:hAnsi="宋体" w:eastAsia="宋体" w:cs="宋体"/>
          <w:i w:val="0"/>
          <w:iCs w:val="0"/>
          <w:color w:val="auto"/>
          <w:sz w:val="21"/>
          <w:szCs w:val="21"/>
          <w:highlight w:val="none"/>
          <w:u w:val="single"/>
        </w:rPr>
        <w:t xml:space="preserve">   </w:t>
      </w:r>
      <w:r>
        <w:rPr>
          <w:rFonts w:hint="eastAsia" w:ascii="宋体" w:hAnsi="宋体" w:eastAsia="宋体" w:cs="宋体"/>
          <w:i w:val="0"/>
          <w:iCs w:val="0"/>
          <w:color w:val="auto"/>
          <w:sz w:val="21"/>
          <w:szCs w:val="21"/>
          <w:highlight w:val="none"/>
        </w:rPr>
        <w:t>万元</w:t>
      </w:r>
      <w:r>
        <w:rPr>
          <w:rFonts w:hint="eastAsia" w:ascii="宋体" w:hAnsi="宋体" w:eastAsia="宋体" w:cs="宋体"/>
          <w:i w:val="0"/>
          <w:iCs w:val="0"/>
          <w:color w:val="auto"/>
          <w:sz w:val="21"/>
          <w:szCs w:val="21"/>
          <w:highlight w:val="none"/>
          <w:vertAlign w:val="superscript"/>
        </w:rPr>
        <w:t>1</w:t>
      </w:r>
      <w:r>
        <w:rPr>
          <w:rFonts w:hint="eastAsia" w:ascii="宋体" w:hAnsi="宋体" w:eastAsia="宋体" w:cs="宋体"/>
          <w:i w:val="0"/>
          <w:iCs w:val="0"/>
          <w:color w:val="auto"/>
          <w:sz w:val="21"/>
          <w:szCs w:val="21"/>
          <w:highlight w:val="none"/>
        </w:rPr>
        <w:t>，属于</w:t>
      </w:r>
      <w:r>
        <w:rPr>
          <w:rFonts w:hint="eastAsia"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rPr>
        <w:t xml:space="preserve">； </w:t>
      </w:r>
    </w:p>
    <w:p w14:paraId="488961F6">
      <w:pPr>
        <w:pStyle w:val="17"/>
        <w:snapToGrid w:val="0"/>
        <w:spacing w:line="360" w:lineRule="auto"/>
        <w:ind w:firstLine="420" w:firstLineChars="20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p w14:paraId="1D883292">
      <w:pPr>
        <w:pStyle w:val="17"/>
        <w:snapToGrid w:val="0"/>
        <w:spacing w:line="360" w:lineRule="auto"/>
        <w:ind w:firstLine="420" w:firstLineChars="20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以上企业，不属于大企业的分支机构，不存在控股股东为大企业的情形，也不存在与大企业的负责人为同一人的情形。</w:t>
      </w:r>
    </w:p>
    <w:p w14:paraId="4D4F8687">
      <w:pPr>
        <w:pStyle w:val="17"/>
        <w:snapToGrid w:val="0"/>
        <w:spacing w:line="360" w:lineRule="auto"/>
        <w:ind w:firstLine="420" w:firstLineChars="20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本企业对上述声明内容的真实性负责。如有虚假，将依法承担相应责任。 </w:t>
      </w:r>
    </w:p>
    <w:p w14:paraId="44359DDD">
      <w:pPr>
        <w:pStyle w:val="17"/>
        <w:snapToGrid w:val="0"/>
        <w:spacing w:line="360" w:lineRule="auto"/>
        <w:ind w:firstLine="420" w:firstLineChars="200"/>
        <w:rPr>
          <w:rFonts w:hint="eastAsia" w:ascii="宋体" w:hAnsi="宋体" w:eastAsia="宋体" w:cs="宋体"/>
          <w:i w:val="0"/>
          <w:iCs w:val="0"/>
          <w:color w:val="auto"/>
          <w:sz w:val="21"/>
          <w:szCs w:val="21"/>
          <w:highlight w:val="none"/>
        </w:rPr>
      </w:pPr>
    </w:p>
    <w:p w14:paraId="05A9EE77">
      <w:pPr>
        <w:pStyle w:val="17"/>
        <w:snapToGrid w:val="0"/>
        <w:spacing w:line="360" w:lineRule="auto"/>
        <w:ind w:firstLine="420" w:firstLineChars="200"/>
        <w:rPr>
          <w:rFonts w:hint="eastAsia" w:ascii="宋体" w:hAnsi="宋体" w:eastAsia="宋体" w:cs="宋体"/>
          <w:i w:val="0"/>
          <w:iCs w:val="0"/>
          <w:color w:val="auto"/>
          <w:sz w:val="21"/>
          <w:szCs w:val="21"/>
          <w:highlight w:val="none"/>
        </w:rPr>
      </w:pPr>
    </w:p>
    <w:p w14:paraId="103221BE">
      <w:pPr>
        <w:tabs>
          <w:tab w:val="left" w:pos="1230"/>
        </w:tabs>
        <w:topLinePunct/>
        <w:autoSpaceDE w:val="0"/>
        <w:autoSpaceDN w:val="0"/>
        <w:adjustRightInd w:val="0"/>
        <w:snapToGrid w:val="0"/>
        <w:spacing w:after="0" w:line="360" w:lineRule="auto"/>
        <w:ind w:firstLine="420" w:firstLineChars="200"/>
        <w:rPr>
          <w:rFonts w:hint="eastAsia" w:ascii="宋体" w:hAnsi="宋体" w:eastAsia="宋体" w:cs="宋体"/>
          <w:i w:val="0"/>
          <w:iCs w:val="0"/>
          <w:color w:val="auto"/>
          <w:sz w:val="21"/>
          <w:szCs w:val="21"/>
          <w:highlight w:val="none"/>
        </w:rPr>
      </w:pPr>
      <w:r>
        <w:rPr>
          <w:rFonts w:hint="eastAsia" w:ascii="宋体" w:hAnsi="宋体" w:cs="宋体"/>
          <w:i w:val="0"/>
          <w:iCs w:val="0"/>
          <w:color w:val="auto"/>
          <w:sz w:val="21"/>
          <w:szCs w:val="21"/>
          <w:highlight w:val="none"/>
          <w:lang w:eastAsia="zh-CN"/>
        </w:rPr>
        <w:t>企业名称</w:t>
      </w:r>
      <w:r>
        <w:rPr>
          <w:rFonts w:hint="eastAsia" w:ascii="宋体" w:hAnsi="宋体" w:eastAsia="宋体" w:cs="宋体"/>
          <w:i w:val="0"/>
          <w:iCs w:val="0"/>
          <w:color w:val="auto"/>
          <w:kern w:val="0"/>
          <w:sz w:val="21"/>
          <w:szCs w:val="21"/>
          <w:highlight w:val="none"/>
        </w:rPr>
        <w:t>（加盖公章</w:t>
      </w:r>
      <w:r>
        <w:rPr>
          <w:rFonts w:hint="eastAsia" w:ascii="宋体" w:hAnsi="宋体" w:eastAsia="宋体" w:cs="宋体"/>
          <w:i w:val="0"/>
          <w:iCs w:val="0"/>
          <w:color w:val="auto"/>
          <w:sz w:val="21"/>
          <w:szCs w:val="21"/>
          <w:highlight w:val="none"/>
        </w:rPr>
        <w:t>）：</w:t>
      </w:r>
      <w:r>
        <w:rPr>
          <w:rFonts w:hint="eastAsia" w:ascii="宋体" w:hAnsi="宋体" w:eastAsia="宋体" w:cs="宋体"/>
          <w:i w:val="0"/>
          <w:iCs w:val="0"/>
          <w:color w:val="auto"/>
          <w:sz w:val="21"/>
          <w:szCs w:val="21"/>
          <w:highlight w:val="none"/>
          <w:u w:val="single"/>
        </w:rPr>
        <w:t xml:space="preserve">             </w:t>
      </w:r>
    </w:p>
    <w:p w14:paraId="06930621">
      <w:pPr>
        <w:tabs>
          <w:tab w:val="left" w:pos="1230"/>
        </w:tabs>
        <w:topLinePunct/>
        <w:autoSpaceDE w:val="0"/>
        <w:autoSpaceDN w:val="0"/>
        <w:adjustRightInd w:val="0"/>
        <w:snapToGrid w:val="0"/>
        <w:spacing w:after="0" w:line="360" w:lineRule="auto"/>
        <w:ind w:firstLine="420" w:firstLineChars="20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日期：</w:t>
      </w:r>
      <w:r>
        <w:rPr>
          <w:rFonts w:hint="eastAsia" w:ascii="宋体" w:hAnsi="宋体" w:eastAsia="宋体" w:cs="宋体"/>
          <w:i w:val="0"/>
          <w:iCs w:val="0"/>
          <w:color w:val="auto"/>
          <w:sz w:val="21"/>
          <w:szCs w:val="21"/>
          <w:highlight w:val="none"/>
          <w:u w:val="single"/>
        </w:rPr>
        <w:t xml:space="preserve">                                 </w:t>
      </w:r>
    </w:p>
    <w:p w14:paraId="7EA7099F">
      <w:pPr>
        <w:pStyle w:val="17"/>
        <w:snapToGrid w:val="0"/>
        <w:spacing w:line="360" w:lineRule="auto"/>
        <w:ind w:firstLine="420" w:firstLineChars="200"/>
        <w:rPr>
          <w:rFonts w:hint="eastAsia" w:ascii="宋体" w:hAnsi="宋体" w:eastAsia="宋体" w:cs="宋体"/>
          <w:i w:val="0"/>
          <w:iCs w:val="0"/>
          <w:color w:val="auto"/>
          <w:sz w:val="21"/>
          <w:szCs w:val="21"/>
          <w:highlight w:val="none"/>
        </w:rPr>
      </w:pPr>
    </w:p>
    <w:p w14:paraId="49722A9F">
      <w:pPr>
        <w:pStyle w:val="17"/>
        <w:snapToGrid w:val="0"/>
        <w:spacing w:line="360" w:lineRule="auto"/>
        <w:ind w:firstLine="420" w:firstLineChars="200"/>
        <w:rPr>
          <w:rFonts w:hint="eastAsia" w:ascii="宋体" w:hAnsi="宋体" w:eastAsia="宋体" w:cs="宋体"/>
          <w:i w:val="0"/>
          <w:iCs w:val="0"/>
          <w:color w:val="auto"/>
          <w:sz w:val="21"/>
          <w:szCs w:val="21"/>
          <w:highlight w:val="none"/>
        </w:rPr>
      </w:pPr>
    </w:p>
    <w:p w14:paraId="18A16650">
      <w:pPr>
        <w:widowControl/>
        <w:rPr>
          <w:rFonts w:hint="eastAsia" w:ascii="宋体" w:hAnsi="宋体" w:eastAsia="宋体" w:cs="宋体"/>
          <w:i w:val="0"/>
          <w:iCs w:val="0"/>
          <w:color w:val="auto"/>
          <w:sz w:val="21"/>
          <w:szCs w:val="21"/>
          <w:highlight w:val="none"/>
        </w:rPr>
      </w:pPr>
    </w:p>
    <w:p w14:paraId="2F4BE5DD">
      <w:pPr>
        <w:keepNext w:val="0"/>
        <w:keepLines w:val="0"/>
        <w:pageBreakBefore w:val="0"/>
        <w:widowControl/>
        <w:kinsoku/>
        <w:wordWrap/>
        <w:overflowPunct/>
        <w:topLinePunct/>
        <w:autoSpaceDE w:val="0"/>
        <w:autoSpaceDN w:val="0"/>
        <w:bidi w:val="0"/>
        <w:adjustRightInd/>
        <w:snapToGrid/>
        <w:ind w:firstLine="420" w:firstLineChars="200"/>
        <w:jc w:val="lef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kern w:val="0"/>
          <w:sz w:val="21"/>
          <w:szCs w:val="21"/>
          <w:highlight w:val="none"/>
        </w:rPr>
        <w:t>1</w:t>
      </w:r>
      <w:r>
        <w:rPr>
          <w:rFonts w:hint="eastAsia" w:ascii="宋体" w:hAnsi="宋体" w:eastAsia="宋体" w:cs="宋体"/>
          <w:i w:val="0"/>
          <w:iCs w:val="0"/>
          <w:color w:val="auto"/>
          <w:kern w:val="0"/>
          <w:sz w:val="21"/>
          <w:szCs w:val="21"/>
          <w:highlight w:val="none"/>
          <w:lang w:val="en-US" w:eastAsia="zh-CN"/>
        </w:rPr>
        <w:t>.</w:t>
      </w:r>
      <w:r>
        <w:rPr>
          <w:rFonts w:hint="eastAsia" w:ascii="宋体" w:hAnsi="宋体" w:eastAsia="宋体" w:cs="宋体"/>
          <w:i w:val="0"/>
          <w:iCs w:val="0"/>
          <w:color w:val="auto"/>
          <w:kern w:val="0"/>
          <w:sz w:val="21"/>
          <w:szCs w:val="21"/>
          <w:highlight w:val="none"/>
        </w:rPr>
        <w:t xml:space="preserve">从业人员、营业收入、资产总额填报上一年度数据，无上一年度数据的新成立企业可不填报。 </w:t>
      </w:r>
    </w:p>
    <w:p w14:paraId="4CB46CC3">
      <w:pPr>
        <w:keepNext w:val="0"/>
        <w:keepLines w:val="0"/>
        <w:pageBreakBefore w:val="0"/>
        <w:widowControl w:val="0"/>
        <w:shd w:val="clear"/>
        <w:kinsoku/>
        <w:wordWrap/>
        <w:overflowPunct/>
        <w:topLinePunct/>
        <w:autoSpaceDE w:val="0"/>
        <w:autoSpaceDN w:val="0"/>
        <w:bidi w:val="0"/>
        <w:adjustRightInd/>
        <w:snapToGrid/>
        <w:ind w:firstLine="420" w:firstLineChars="200"/>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kern w:val="0"/>
          <w:sz w:val="21"/>
          <w:szCs w:val="21"/>
          <w:highlight w:val="none"/>
          <w:lang w:val="en-US" w:eastAsia="zh-CN"/>
        </w:rPr>
        <w:t>2.</w:t>
      </w:r>
      <w:r>
        <w:rPr>
          <w:rFonts w:hint="eastAsia" w:ascii="宋体" w:hAnsi="宋体" w:eastAsia="宋体" w:cs="宋体"/>
          <w:i w:val="0"/>
          <w:iCs w:val="0"/>
          <w:color w:val="auto"/>
          <w:kern w:val="0"/>
          <w:sz w:val="21"/>
          <w:szCs w:val="21"/>
          <w:highlight w:val="none"/>
        </w:rPr>
        <w:t>采购标的对应的中小企业划分标准所属行业</w:t>
      </w:r>
      <w:r>
        <w:rPr>
          <w:rFonts w:hint="eastAsia" w:ascii="宋体" w:hAnsi="宋体" w:eastAsia="宋体" w:cs="宋体"/>
          <w:i w:val="0"/>
          <w:iCs w:val="0"/>
          <w:color w:val="auto"/>
          <w:kern w:val="0"/>
          <w:sz w:val="21"/>
          <w:szCs w:val="21"/>
          <w:highlight w:val="none"/>
          <w:lang w:eastAsia="zh-CN"/>
        </w:rPr>
        <w:t>：</w:t>
      </w:r>
      <w:r>
        <w:rPr>
          <w:rFonts w:hint="eastAsia" w:ascii="宋体" w:hAnsi="宋体" w:eastAsia="宋体" w:cs="宋体"/>
          <w:b/>
          <w:bCs/>
          <w:i w:val="0"/>
          <w:iCs w:val="0"/>
          <w:color w:val="auto"/>
          <w:kern w:val="0"/>
          <w:sz w:val="21"/>
          <w:szCs w:val="21"/>
          <w:highlight w:val="none"/>
          <w:lang w:eastAsia="zh-CN"/>
        </w:rPr>
        <w:t>批发业</w:t>
      </w:r>
      <w:r>
        <w:rPr>
          <w:rFonts w:hint="eastAsia" w:ascii="宋体" w:hAnsi="宋体" w:eastAsia="宋体" w:cs="宋体"/>
          <w:i w:val="0"/>
          <w:iCs w:val="0"/>
          <w:color w:val="auto"/>
          <w:kern w:val="0"/>
          <w:sz w:val="21"/>
          <w:szCs w:val="21"/>
          <w:highlight w:val="none"/>
          <w:lang w:eastAsia="zh-CN"/>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727D54E">
      <w:pPr>
        <w:pStyle w:val="8"/>
        <w:shd w:val="clear"/>
        <w:jc w:val="center"/>
        <w:rPr>
          <w:color w:val="auto"/>
          <w:highlight w:val="none"/>
        </w:rPr>
      </w:pPr>
      <w:r>
        <w:rPr>
          <w:rFonts w:hint="eastAsia"/>
          <w:color w:val="auto"/>
          <w:sz w:val="24"/>
          <w:highlight w:val="none"/>
        </w:rPr>
        <w:br w:type="page"/>
      </w:r>
      <w:bookmarkStart w:id="153" w:name="_Toc1039"/>
      <w:r>
        <w:rPr>
          <w:rFonts w:hint="eastAsia" w:ascii="宋体" w:hAnsi="宋体" w:eastAsia="宋体" w:cs="宋体"/>
          <w:color w:val="auto"/>
          <w:highlight w:val="none"/>
        </w:rPr>
        <w:t>格式</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 xml:space="preserve">  残疾人福利性单位声明函</w:t>
      </w:r>
      <w:bookmarkEnd w:id="153"/>
    </w:p>
    <w:p w14:paraId="4566C4FF">
      <w:pPr>
        <w:spacing w:line="588" w:lineRule="exact"/>
        <w:ind w:firstLine="444" w:firstLineChars="200"/>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83B013B">
      <w:pPr>
        <w:spacing w:line="588" w:lineRule="exact"/>
        <w:ind w:firstLine="444" w:firstLineChars="200"/>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本单位对上述声明的真实性负责。如有虚假，将依法承担相应责任。</w:t>
      </w:r>
    </w:p>
    <w:p w14:paraId="6FF44B96">
      <w:pPr>
        <w:spacing w:line="588" w:lineRule="exact"/>
        <w:ind w:firstLine="444" w:firstLineChars="200"/>
        <w:rPr>
          <w:rFonts w:hint="default" w:ascii="Times New Roman" w:hAnsi="Times New Roman" w:cs="Times New Roman"/>
          <w:color w:val="auto"/>
          <w:spacing w:val="6"/>
          <w:sz w:val="21"/>
          <w:szCs w:val="21"/>
          <w:highlight w:val="none"/>
        </w:rPr>
      </w:pPr>
    </w:p>
    <w:p w14:paraId="3A16F8AF">
      <w:pPr>
        <w:tabs>
          <w:tab w:val="left" w:pos="1230"/>
        </w:tabs>
        <w:topLinePunct/>
        <w:autoSpaceDE w:val="0"/>
        <w:autoSpaceDN w:val="0"/>
        <w:adjustRightInd w:val="0"/>
        <w:snapToGrid w:val="0"/>
        <w:spacing w:after="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供应商</w:t>
      </w:r>
      <w:r>
        <w:rPr>
          <w:rFonts w:hint="default" w:ascii="Times New Roman" w:hAnsi="Times New Roman" w:cs="Times New Roman"/>
          <w:color w:val="auto"/>
          <w:kern w:val="0"/>
          <w:sz w:val="21"/>
          <w:szCs w:val="21"/>
          <w:highlight w:val="none"/>
        </w:rPr>
        <w:t>（全称并加盖公章</w:t>
      </w:r>
      <w:r>
        <w:rPr>
          <w:rFonts w:hint="default" w:ascii="Times New Roman" w:hAnsi="Times New Roman" w:cs="Times New Roman"/>
          <w:color w:val="auto"/>
          <w:sz w:val="21"/>
          <w:szCs w:val="21"/>
          <w:highlight w:val="none"/>
        </w:rPr>
        <w:t>）：</w:t>
      </w:r>
      <w:r>
        <w:rPr>
          <w:rFonts w:hint="default" w:ascii="Times New Roman" w:hAnsi="Times New Roman" w:cs="Times New Roman"/>
          <w:color w:val="auto"/>
          <w:sz w:val="21"/>
          <w:szCs w:val="21"/>
          <w:highlight w:val="none"/>
          <w:u w:val="single"/>
        </w:rPr>
        <w:t xml:space="preserve">             </w:t>
      </w:r>
    </w:p>
    <w:p w14:paraId="2CD33726">
      <w:pPr>
        <w:tabs>
          <w:tab w:val="left" w:pos="1230"/>
        </w:tabs>
        <w:topLinePunct/>
        <w:autoSpaceDE w:val="0"/>
        <w:autoSpaceDN w:val="0"/>
        <w:adjustRightInd w:val="0"/>
        <w:snapToGrid w:val="0"/>
        <w:spacing w:after="0" w:line="360" w:lineRule="auto"/>
        <w:ind w:firstLine="420" w:firstLineChars="200"/>
        <w:rPr>
          <w:rFonts w:hint="default" w:ascii="Times New Roman" w:hAnsi="Times New Roman" w:cs="Times New Roman"/>
          <w:color w:val="auto"/>
          <w:sz w:val="21"/>
          <w:szCs w:val="21"/>
          <w:highlight w:val="none"/>
          <w:u w:val="single"/>
        </w:rPr>
      </w:pPr>
      <w:r>
        <w:rPr>
          <w:rFonts w:hint="default" w:ascii="Times New Roman" w:hAnsi="Times New Roman" w:cs="Times New Roman"/>
          <w:color w:val="auto"/>
          <w:sz w:val="21"/>
          <w:szCs w:val="21"/>
          <w:highlight w:val="none"/>
        </w:rPr>
        <w:t>日期：</w:t>
      </w:r>
      <w:r>
        <w:rPr>
          <w:rFonts w:hint="default" w:ascii="Times New Roman" w:hAnsi="Times New Roman" w:cs="Times New Roman"/>
          <w:color w:val="auto"/>
          <w:sz w:val="21"/>
          <w:szCs w:val="21"/>
          <w:highlight w:val="none"/>
          <w:u w:val="single"/>
        </w:rPr>
        <w:t xml:space="preserve">                                 </w:t>
      </w:r>
    </w:p>
    <w:p w14:paraId="16BF41E1">
      <w:pPr>
        <w:tabs>
          <w:tab w:val="left" w:pos="1230"/>
        </w:tabs>
        <w:topLinePunct/>
        <w:autoSpaceDE w:val="0"/>
        <w:autoSpaceDN w:val="0"/>
        <w:adjustRightInd w:val="0"/>
        <w:snapToGrid w:val="0"/>
        <w:spacing w:after="0" w:line="360" w:lineRule="auto"/>
        <w:ind w:firstLine="420" w:firstLineChars="200"/>
        <w:rPr>
          <w:rFonts w:hint="eastAsia" w:ascii="Times New Roman" w:hAnsi="Times New Roman" w:cs="Times New Roman"/>
          <w:color w:val="auto"/>
          <w:sz w:val="21"/>
          <w:szCs w:val="21"/>
          <w:highlight w:val="none"/>
          <w:u w:val="none"/>
          <w:lang w:val="en-US" w:eastAsia="zh-CN"/>
        </w:rPr>
      </w:pPr>
    </w:p>
    <w:p w14:paraId="2E883F86">
      <w:pPr>
        <w:tabs>
          <w:tab w:val="left" w:pos="1230"/>
        </w:tabs>
        <w:topLinePunct/>
        <w:autoSpaceDE w:val="0"/>
        <w:autoSpaceDN w:val="0"/>
        <w:adjustRightInd w:val="0"/>
        <w:snapToGrid w:val="0"/>
        <w:spacing w:after="0" w:line="360" w:lineRule="auto"/>
        <w:ind w:firstLine="420" w:firstLineChars="200"/>
        <w:rPr>
          <w:rFonts w:hint="eastAsia" w:ascii="Times New Roman" w:hAnsi="Times New Roman" w:cs="Times New Roman"/>
          <w:color w:val="auto"/>
          <w:sz w:val="21"/>
          <w:szCs w:val="21"/>
          <w:highlight w:val="none"/>
          <w:u w:val="none"/>
          <w:lang w:val="en-US" w:eastAsia="zh-CN"/>
        </w:rPr>
      </w:pPr>
    </w:p>
    <w:p w14:paraId="2DB62472">
      <w:pPr>
        <w:tabs>
          <w:tab w:val="left" w:pos="1230"/>
        </w:tabs>
        <w:topLinePunct/>
        <w:autoSpaceDE w:val="0"/>
        <w:autoSpaceDN w:val="0"/>
        <w:adjustRightInd w:val="0"/>
        <w:snapToGrid w:val="0"/>
        <w:spacing w:after="0" w:line="360" w:lineRule="auto"/>
        <w:ind w:firstLine="420" w:firstLineChars="200"/>
        <w:rPr>
          <w:rFonts w:hint="eastAsia" w:ascii="Times New Roman" w:hAnsi="Times New Roman" w:cs="Times New Roman"/>
          <w:color w:val="auto"/>
          <w:sz w:val="21"/>
          <w:szCs w:val="21"/>
          <w:highlight w:val="none"/>
          <w:u w:val="none"/>
          <w:lang w:val="en-US" w:eastAsia="zh-CN"/>
        </w:rPr>
      </w:pPr>
    </w:p>
    <w:p w14:paraId="3F812C2E">
      <w:pPr>
        <w:tabs>
          <w:tab w:val="left" w:pos="1230"/>
        </w:tabs>
        <w:topLinePunct/>
        <w:autoSpaceDE w:val="0"/>
        <w:autoSpaceDN w:val="0"/>
        <w:adjustRightInd w:val="0"/>
        <w:snapToGrid w:val="0"/>
        <w:spacing w:after="0" w:line="360" w:lineRule="auto"/>
        <w:ind w:firstLine="420" w:firstLineChars="200"/>
        <w:rPr>
          <w:rFonts w:hint="eastAsia" w:ascii="Times New Roman" w:hAnsi="Times New Roman" w:cs="Times New Roman"/>
          <w:color w:val="auto"/>
          <w:sz w:val="21"/>
          <w:szCs w:val="21"/>
          <w:highlight w:val="none"/>
          <w:u w:val="none"/>
          <w:lang w:val="en-US" w:eastAsia="zh-CN"/>
        </w:rPr>
      </w:pPr>
    </w:p>
    <w:p w14:paraId="66F6095B">
      <w:pPr>
        <w:pStyle w:val="8"/>
        <w:shd w:val="clear"/>
        <w:jc w:val="center"/>
        <w:rPr>
          <w:rFonts w:hint="eastAsia" w:ascii="宋体" w:hAnsi="宋体" w:eastAsia="宋体" w:cs="宋体"/>
          <w:color w:val="auto"/>
          <w:highlight w:val="none"/>
        </w:rPr>
      </w:pPr>
      <w:bookmarkStart w:id="154" w:name="_Toc26506"/>
      <w:r>
        <w:rPr>
          <w:rFonts w:hint="eastAsia" w:ascii="宋体" w:hAnsi="宋体" w:eastAsia="宋体" w:cs="宋体"/>
          <w:color w:val="auto"/>
          <w:highlight w:val="none"/>
        </w:rPr>
        <w:t>格式</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 xml:space="preserve">  监狱企业证明</w:t>
      </w:r>
      <w:bookmarkEnd w:id="154"/>
    </w:p>
    <w:p w14:paraId="35E76587">
      <w:pPr>
        <w:spacing w:line="588" w:lineRule="exact"/>
        <w:ind w:firstLine="444" w:firstLineChars="200"/>
        <w:rPr>
          <w:color w:val="auto"/>
          <w:highlight w:val="none"/>
        </w:rPr>
      </w:pPr>
      <w:r>
        <w:rPr>
          <w:rFonts w:hint="default" w:ascii="Times New Roman" w:hAnsi="Times New Roman" w:cs="Times New Roman"/>
          <w:color w:val="auto"/>
          <w:spacing w:val="6"/>
          <w:sz w:val="21"/>
          <w:szCs w:val="21"/>
          <w:highlight w:val="none"/>
        </w:rPr>
        <w:t>监狱企业证明文件[监狱企业投标的，应提交省级以上监狱管理局、戒毒管理局（含新疆生产建设兵团）出具的证明文件复印件]。</w:t>
      </w:r>
    </w:p>
    <w:p w14:paraId="5490820C">
      <w:pPr>
        <w:shd w:val="clear"/>
        <w:rPr>
          <w:color w:val="auto"/>
          <w:highlight w:val="none"/>
        </w:rPr>
      </w:pPr>
    </w:p>
    <w:p w14:paraId="33DA3BA1">
      <w:pPr>
        <w:pStyle w:val="8"/>
        <w:shd w:val="clear"/>
        <w:jc w:val="center"/>
        <w:rPr>
          <w:color w:val="auto"/>
          <w:highlight w:val="none"/>
        </w:rPr>
      </w:pPr>
      <w:bookmarkStart w:id="155" w:name="_Toc1652355655"/>
      <w:bookmarkStart w:id="156" w:name="_Toc38030071"/>
      <w:bookmarkStart w:id="157" w:name="_Toc386861148"/>
      <w:bookmarkStart w:id="158" w:name="_Toc113393336"/>
      <w:bookmarkStart w:id="159" w:name="_Toc38030154"/>
      <w:bookmarkStart w:id="160" w:name="_Toc1403531177"/>
      <w:r>
        <w:rPr>
          <w:rFonts w:hint="eastAsia"/>
          <w:color w:val="auto"/>
          <w:szCs w:val="28"/>
          <w:highlight w:val="none"/>
        </w:rPr>
        <w:br w:type="page"/>
      </w:r>
      <w:bookmarkStart w:id="161" w:name="_Toc12496"/>
      <w:bookmarkStart w:id="162" w:name="_Toc220361175"/>
      <w:bookmarkStart w:id="163" w:name="_Toc1615545750"/>
      <w:bookmarkStart w:id="164" w:name="_Toc1097421187"/>
      <w:bookmarkStart w:id="165" w:name="_Toc1749127877"/>
      <w:bookmarkStart w:id="166" w:name="_Toc598152851"/>
      <w:bookmarkStart w:id="167" w:name="_Toc681730266"/>
      <w:bookmarkStart w:id="168" w:name="_Toc1381122819"/>
      <w:bookmarkStart w:id="169" w:name="_Toc680706022"/>
      <w:bookmarkStart w:id="170" w:name="_Toc78504842"/>
      <w:r>
        <w:rPr>
          <w:rFonts w:hint="eastAsia" w:ascii="宋体" w:hAnsi="宋体" w:eastAsia="宋体" w:cs="宋体"/>
          <w:color w:val="auto"/>
          <w:highlight w:val="none"/>
        </w:rPr>
        <w:t>格式</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 xml:space="preserve">  成功案例一览表</w:t>
      </w:r>
      <w:bookmarkEnd w:id="161"/>
      <w:bookmarkEnd w:id="162"/>
      <w:bookmarkEnd w:id="163"/>
      <w:bookmarkEnd w:id="164"/>
      <w:bookmarkEnd w:id="165"/>
      <w:bookmarkEnd w:id="166"/>
      <w:bookmarkEnd w:id="167"/>
      <w:bookmarkEnd w:id="168"/>
      <w:bookmarkEnd w:id="169"/>
      <w:bookmarkEnd w:id="170"/>
    </w:p>
    <w:p w14:paraId="5E6BF925">
      <w:pPr>
        <w:shd w:val="clear"/>
        <w:jc w:val="center"/>
        <w:rPr>
          <w:color w:val="auto"/>
          <w:highlight w:val="none"/>
        </w:rPr>
      </w:pPr>
      <w:r>
        <w:rPr>
          <w:rFonts w:hint="eastAsia"/>
          <w:color w:val="auto"/>
          <w:highlight w:val="none"/>
        </w:rPr>
        <w:t>（根据招标文件要求调整）</w:t>
      </w:r>
    </w:p>
    <w:tbl>
      <w:tblPr>
        <w:tblStyle w:val="27"/>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819"/>
        <w:gridCol w:w="864"/>
        <w:gridCol w:w="707"/>
        <w:gridCol w:w="744"/>
        <w:gridCol w:w="1221"/>
        <w:gridCol w:w="1161"/>
        <w:gridCol w:w="1065"/>
        <w:gridCol w:w="1737"/>
      </w:tblGrid>
      <w:tr w14:paraId="4BD95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537A9657">
            <w:pPr>
              <w:shd w:val="clear"/>
              <w:jc w:val="center"/>
              <w:rPr>
                <w:b/>
                <w:bCs/>
                <w:color w:val="auto"/>
                <w:highlight w:val="none"/>
              </w:rPr>
            </w:pPr>
            <w:r>
              <w:rPr>
                <w:b/>
                <w:bCs/>
                <w:color w:val="auto"/>
                <w:highlight w:val="none"/>
              </w:rPr>
              <w:t>序号</w:t>
            </w:r>
          </w:p>
        </w:tc>
        <w:tc>
          <w:tcPr>
            <w:tcW w:w="819" w:type="dxa"/>
            <w:tcBorders>
              <w:top w:val="single" w:color="auto" w:sz="4" w:space="0"/>
              <w:left w:val="single" w:color="auto" w:sz="4" w:space="0"/>
              <w:bottom w:val="single" w:color="auto" w:sz="4" w:space="0"/>
              <w:right w:val="single" w:color="auto" w:sz="4" w:space="0"/>
            </w:tcBorders>
            <w:noWrap/>
            <w:vAlign w:val="center"/>
          </w:tcPr>
          <w:p w14:paraId="77E40BA5">
            <w:pPr>
              <w:shd w:val="clear"/>
              <w:jc w:val="center"/>
              <w:rPr>
                <w:b/>
                <w:bCs/>
                <w:color w:val="auto"/>
                <w:highlight w:val="none"/>
              </w:rPr>
            </w:pPr>
            <w:r>
              <w:rPr>
                <w:b/>
                <w:bCs/>
                <w:color w:val="auto"/>
                <w:highlight w:val="none"/>
              </w:rPr>
              <w:t>合同</w:t>
            </w:r>
          </w:p>
          <w:p w14:paraId="605DCA0B">
            <w:pPr>
              <w:shd w:val="clear"/>
              <w:jc w:val="center"/>
              <w:rPr>
                <w:b/>
                <w:bCs/>
                <w:color w:val="auto"/>
                <w:highlight w:val="none"/>
              </w:rPr>
            </w:pPr>
            <w:r>
              <w:rPr>
                <w:b/>
                <w:bCs/>
                <w:color w:val="auto"/>
                <w:highlight w:val="none"/>
              </w:rPr>
              <w:t>名称</w:t>
            </w:r>
          </w:p>
        </w:tc>
        <w:tc>
          <w:tcPr>
            <w:tcW w:w="864" w:type="dxa"/>
            <w:tcBorders>
              <w:top w:val="single" w:color="auto" w:sz="4" w:space="0"/>
              <w:left w:val="single" w:color="auto" w:sz="4" w:space="0"/>
              <w:bottom w:val="single" w:color="auto" w:sz="4" w:space="0"/>
              <w:right w:val="single" w:color="auto" w:sz="4" w:space="0"/>
            </w:tcBorders>
            <w:noWrap/>
            <w:vAlign w:val="center"/>
          </w:tcPr>
          <w:p w14:paraId="21EDF559">
            <w:pPr>
              <w:shd w:val="clear"/>
              <w:jc w:val="center"/>
              <w:rPr>
                <w:b/>
                <w:bCs/>
                <w:color w:val="auto"/>
                <w:highlight w:val="none"/>
              </w:rPr>
            </w:pPr>
            <w:r>
              <w:rPr>
                <w:b/>
                <w:bCs/>
                <w:color w:val="auto"/>
                <w:highlight w:val="none"/>
              </w:rPr>
              <w:t>合同</w:t>
            </w:r>
          </w:p>
          <w:p w14:paraId="583C225A">
            <w:pPr>
              <w:shd w:val="clear"/>
              <w:jc w:val="center"/>
              <w:rPr>
                <w:b/>
                <w:bCs/>
                <w:color w:val="auto"/>
                <w:highlight w:val="none"/>
              </w:rPr>
            </w:pPr>
            <w:r>
              <w:rPr>
                <w:b/>
                <w:bCs/>
                <w:color w:val="auto"/>
                <w:highlight w:val="none"/>
              </w:rPr>
              <w:t>甲方</w:t>
            </w:r>
          </w:p>
        </w:tc>
        <w:tc>
          <w:tcPr>
            <w:tcW w:w="707" w:type="dxa"/>
            <w:tcBorders>
              <w:top w:val="single" w:color="auto" w:sz="4" w:space="0"/>
              <w:left w:val="single" w:color="auto" w:sz="4" w:space="0"/>
              <w:bottom w:val="single" w:color="auto" w:sz="4" w:space="0"/>
              <w:right w:val="single" w:color="auto" w:sz="4" w:space="0"/>
            </w:tcBorders>
            <w:noWrap/>
            <w:vAlign w:val="center"/>
          </w:tcPr>
          <w:p w14:paraId="4965A788">
            <w:pPr>
              <w:shd w:val="clear"/>
              <w:jc w:val="center"/>
              <w:rPr>
                <w:b/>
                <w:bCs/>
                <w:color w:val="auto"/>
                <w:highlight w:val="none"/>
              </w:rPr>
            </w:pPr>
            <w:r>
              <w:rPr>
                <w:b/>
                <w:bCs/>
                <w:color w:val="auto"/>
                <w:highlight w:val="none"/>
              </w:rPr>
              <w:t>合同时间</w:t>
            </w:r>
          </w:p>
        </w:tc>
        <w:tc>
          <w:tcPr>
            <w:tcW w:w="744" w:type="dxa"/>
            <w:tcBorders>
              <w:top w:val="single" w:color="auto" w:sz="4" w:space="0"/>
              <w:left w:val="single" w:color="auto" w:sz="4" w:space="0"/>
              <w:bottom w:val="single" w:color="auto" w:sz="4" w:space="0"/>
              <w:right w:val="single" w:color="auto" w:sz="4" w:space="0"/>
            </w:tcBorders>
            <w:noWrap/>
            <w:vAlign w:val="center"/>
          </w:tcPr>
          <w:p w14:paraId="24B3C392">
            <w:pPr>
              <w:shd w:val="clear"/>
              <w:jc w:val="center"/>
              <w:rPr>
                <w:b/>
                <w:bCs/>
                <w:color w:val="auto"/>
                <w:highlight w:val="none"/>
              </w:rPr>
            </w:pPr>
            <w:r>
              <w:rPr>
                <w:b/>
                <w:bCs/>
                <w:color w:val="auto"/>
                <w:highlight w:val="none"/>
              </w:rPr>
              <w:t>合同</w:t>
            </w:r>
          </w:p>
          <w:p w14:paraId="04FC059B">
            <w:pPr>
              <w:shd w:val="clear"/>
              <w:jc w:val="center"/>
              <w:rPr>
                <w:b/>
                <w:bCs/>
                <w:color w:val="auto"/>
                <w:highlight w:val="none"/>
              </w:rPr>
            </w:pPr>
            <w:r>
              <w:rPr>
                <w:b/>
                <w:bCs/>
                <w:color w:val="auto"/>
                <w:highlight w:val="none"/>
              </w:rPr>
              <w:t>金额</w:t>
            </w:r>
          </w:p>
        </w:tc>
        <w:tc>
          <w:tcPr>
            <w:tcW w:w="1221" w:type="dxa"/>
            <w:tcBorders>
              <w:top w:val="single" w:color="auto" w:sz="4" w:space="0"/>
              <w:left w:val="single" w:color="auto" w:sz="4" w:space="0"/>
              <w:bottom w:val="single" w:color="auto" w:sz="4" w:space="0"/>
              <w:right w:val="single" w:color="auto" w:sz="4" w:space="0"/>
            </w:tcBorders>
            <w:noWrap/>
            <w:vAlign w:val="center"/>
          </w:tcPr>
          <w:p w14:paraId="7B08A702">
            <w:pPr>
              <w:shd w:val="clear"/>
              <w:jc w:val="center"/>
              <w:rPr>
                <w:b/>
                <w:bCs/>
                <w:color w:val="auto"/>
                <w:highlight w:val="none"/>
              </w:rPr>
            </w:pPr>
            <w:r>
              <w:rPr>
                <w:b/>
                <w:bCs/>
                <w:color w:val="auto"/>
                <w:highlight w:val="none"/>
              </w:rPr>
              <w:t>合同主要</w:t>
            </w:r>
          </w:p>
          <w:p w14:paraId="24D80E76">
            <w:pPr>
              <w:shd w:val="clear"/>
              <w:jc w:val="center"/>
              <w:rPr>
                <w:b/>
                <w:bCs/>
                <w:color w:val="auto"/>
                <w:highlight w:val="none"/>
              </w:rPr>
            </w:pPr>
            <w:r>
              <w:rPr>
                <w:b/>
                <w:bCs/>
                <w:color w:val="auto"/>
                <w:highlight w:val="none"/>
              </w:rPr>
              <w:t>内容</w:t>
            </w:r>
          </w:p>
        </w:tc>
        <w:tc>
          <w:tcPr>
            <w:tcW w:w="1161" w:type="dxa"/>
            <w:tcBorders>
              <w:top w:val="single" w:color="auto" w:sz="4" w:space="0"/>
              <w:left w:val="single" w:color="auto" w:sz="4" w:space="0"/>
              <w:bottom w:val="single" w:color="auto" w:sz="4" w:space="0"/>
              <w:right w:val="single" w:color="auto" w:sz="4" w:space="0"/>
            </w:tcBorders>
            <w:noWrap/>
            <w:vAlign w:val="center"/>
          </w:tcPr>
          <w:p w14:paraId="5062E282">
            <w:pPr>
              <w:shd w:val="clear"/>
              <w:jc w:val="center"/>
              <w:rPr>
                <w:b/>
                <w:bCs/>
                <w:color w:val="auto"/>
                <w:highlight w:val="none"/>
              </w:rPr>
            </w:pPr>
            <w:r>
              <w:rPr>
                <w:b/>
                <w:bCs/>
                <w:color w:val="auto"/>
                <w:highlight w:val="none"/>
              </w:rPr>
              <w:t>用  户</w:t>
            </w:r>
          </w:p>
          <w:p w14:paraId="4DA238A1">
            <w:pPr>
              <w:shd w:val="clear"/>
              <w:jc w:val="center"/>
              <w:rPr>
                <w:b/>
                <w:bCs/>
                <w:color w:val="auto"/>
                <w:highlight w:val="none"/>
              </w:rPr>
            </w:pPr>
            <w:r>
              <w:rPr>
                <w:b/>
                <w:bCs/>
                <w:color w:val="auto"/>
                <w:highlight w:val="none"/>
              </w:rPr>
              <w:t>联系人</w:t>
            </w:r>
          </w:p>
        </w:tc>
        <w:tc>
          <w:tcPr>
            <w:tcW w:w="1065" w:type="dxa"/>
            <w:tcBorders>
              <w:top w:val="single" w:color="auto" w:sz="4" w:space="0"/>
              <w:left w:val="single" w:color="auto" w:sz="4" w:space="0"/>
              <w:bottom w:val="single" w:color="auto" w:sz="4" w:space="0"/>
              <w:right w:val="single" w:color="auto" w:sz="4" w:space="0"/>
            </w:tcBorders>
            <w:noWrap/>
            <w:vAlign w:val="center"/>
          </w:tcPr>
          <w:p w14:paraId="232E6881">
            <w:pPr>
              <w:shd w:val="clear"/>
              <w:jc w:val="center"/>
              <w:rPr>
                <w:b/>
                <w:bCs/>
                <w:color w:val="auto"/>
                <w:highlight w:val="none"/>
              </w:rPr>
            </w:pPr>
            <w:r>
              <w:rPr>
                <w:b/>
                <w:bCs/>
                <w:color w:val="auto"/>
                <w:highlight w:val="none"/>
              </w:rPr>
              <w:t>用户联</w:t>
            </w:r>
          </w:p>
          <w:p w14:paraId="72A4DFF0">
            <w:pPr>
              <w:shd w:val="clear"/>
              <w:jc w:val="center"/>
              <w:rPr>
                <w:b/>
                <w:bCs/>
                <w:color w:val="auto"/>
                <w:highlight w:val="none"/>
              </w:rPr>
            </w:pPr>
            <w:r>
              <w:rPr>
                <w:b/>
                <w:bCs/>
                <w:color w:val="auto"/>
                <w:highlight w:val="none"/>
              </w:rPr>
              <w:t>系电话</w:t>
            </w:r>
          </w:p>
        </w:tc>
        <w:tc>
          <w:tcPr>
            <w:tcW w:w="1737" w:type="dxa"/>
            <w:tcBorders>
              <w:top w:val="single" w:color="auto" w:sz="4" w:space="0"/>
              <w:left w:val="single" w:color="auto" w:sz="4" w:space="0"/>
              <w:bottom w:val="single" w:color="auto" w:sz="4" w:space="0"/>
              <w:right w:val="single" w:color="auto" w:sz="4" w:space="0"/>
            </w:tcBorders>
            <w:noWrap/>
            <w:vAlign w:val="center"/>
          </w:tcPr>
          <w:p w14:paraId="4FD1B6B3">
            <w:pPr>
              <w:shd w:val="clear"/>
              <w:jc w:val="center"/>
              <w:rPr>
                <w:b/>
                <w:bCs/>
                <w:color w:val="auto"/>
                <w:highlight w:val="none"/>
              </w:rPr>
            </w:pPr>
            <w:r>
              <w:rPr>
                <w:b/>
                <w:bCs/>
                <w:color w:val="auto"/>
                <w:highlight w:val="none"/>
              </w:rPr>
              <w:t>备注</w:t>
            </w:r>
          </w:p>
        </w:tc>
      </w:tr>
      <w:tr w14:paraId="150D4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668C760A">
            <w:pPr>
              <w:shd w:val="clear"/>
              <w:jc w:val="center"/>
              <w:rPr>
                <w:color w:val="auto"/>
                <w:highlight w:val="none"/>
              </w:rPr>
            </w:pPr>
            <w:r>
              <w:rPr>
                <w:color w:val="auto"/>
                <w:highlight w:val="none"/>
              </w:rPr>
              <w:t>1</w:t>
            </w:r>
          </w:p>
        </w:tc>
        <w:tc>
          <w:tcPr>
            <w:tcW w:w="819" w:type="dxa"/>
            <w:tcBorders>
              <w:top w:val="single" w:color="auto" w:sz="4" w:space="0"/>
              <w:left w:val="single" w:color="auto" w:sz="4" w:space="0"/>
              <w:bottom w:val="single" w:color="auto" w:sz="4" w:space="0"/>
              <w:right w:val="single" w:color="auto" w:sz="4" w:space="0"/>
            </w:tcBorders>
            <w:noWrap/>
            <w:vAlign w:val="center"/>
          </w:tcPr>
          <w:p w14:paraId="0147E7AE">
            <w:pPr>
              <w:shd w:val="clear"/>
              <w:rPr>
                <w:color w:val="auto"/>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19C99705">
            <w:pPr>
              <w:shd w:val="clear"/>
              <w:rPr>
                <w:color w:val="auto"/>
                <w:highlight w:val="none"/>
              </w:rPr>
            </w:pPr>
          </w:p>
        </w:tc>
        <w:tc>
          <w:tcPr>
            <w:tcW w:w="707" w:type="dxa"/>
            <w:tcBorders>
              <w:top w:val="single" w:color="auto" w:sz="4" w:space="0"/>
              <w:left w:val="single" w:color="auto" w:sz="4" w:space="0"/>
              <w:bottom w:val="single" w:color="auto" w:sz="4" w:space="0"/>
              <w:right w:val="single" w:color="auto" w:sz="4" w:space="0"/>
            </w:tcBorders>
            <w:noWrap/>
            <w:vAlign w:val="center"/>
          </w:tcPr>
          <w:p w14:paraId="0F8D5ABE">
            <w:pPr>
              <w:shd w:val="clear"/>
              <w:rPr>
                <w:color w:val="auto"/>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0A2CE008">
            <w:pPr>
              <w:shd w:val="clear"/>
              <w:rPr>
                <w:color w:val="auto"/>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67862526">
            <w:pPr>
              <w:shd w:val="clear"/>
              <w:rPr>
                <w:color w:val="auto"/>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1239F29A">
            <w:pPr>
              <w:shd w:val="clear"/>
              <w:rPr>
                <w:color w:val="auto"/>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67D0CDA2">
            <w:pPr>
              <w:shd w:val="clear"/>
              <w:rPr>
                <w:color w:val="auto"/>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41A2954E">
            <w:pPr>
              <w:shd w:val="clear"/>
              <w:rPr>
                <w:color w:val="auto"/>
                <w:highlight w:val="none"/>
              </w:rPr>
            </w:pPr>
          </w:p>
        </w:tc>
      </w:tr>
      <w:tr w14:paraId="7A75F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41E55572">
            <w:pPr>
              <w:shd w:val="clear"/>
              <w:jc w:val="center"/>
              <w:rPr>
                <w:color w:val="auto"/>
                <w:highlight w:val="none"/>
              </w:rPr>
            </w:pPr>
            <w:r>
              <w:rPr>
                <w:color w:val="auto"/>
                <w:highlight w:val="none"/>
              </w:rPr>
              <w:t>2</w:t>
            </w:r>
          </w:p>
        </w:tc>
        <w:tc>
          <w:tcPr>
            <w:tcW w:w="819" w:type="dxa"/>
            <w:tcBorders>
              <w:top w:val="single" w:color="auto" w:sz="4" w:space="0"/>
              <w:left w:val="single" w:color="auto" w:sz="4" w:space="0"/>
              <w:bottom w:val="single" w:color="auto" w:sz="4" w:space="0"/>
              <w:right w:val="single" w:color="auto" w:sz="4" w:space="0"/>
            </w:tcBorders>
            <w:noWrap/>
            <w:vAlign w:val="center"/>
          </w:tcPr>
          <w:p w14:paraId="3FE415F8">
            <w:pPr>
              <w:shd w:val="clear"/>
              <w:rPr>
                <w:color w:val="auto"/>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049AB0CA">
            <w:pPr>
              <w:shd w:val="clear"/>
              <w:rPr>
                <w:color w:val="auto"/>
                <w:highlight w:val="none"/>
              </w:rPr>
            </w:pPr>
          </w:p>
        </w:tc>
        <w:tc>
          <w:tcPr>
            <w:tcW w:w="707" w:type="dxa"/>
            <w:tcBorders>
              <w:top w:val="single" w:color="auto" w:sz="4" w:space="0"/>
              <w:left w:val="single" w:color="auto" w:sz="4" w:space="0"/>
              <w:bottom w:val="single" w:color="auto" w:sz="4" w:space="0"/>
              <w:right w:val="single" w:color="auto" w:sz="4" w:space="0"/>
            </w:tcBorders>
            <w:noWrap/>
            <w:vAlign w:val="center"/>
          </w:tcPr>
          <w:p w14:paraId="7E67B330">
            <w:pPr>
              <w:shd w:val="clear"/>
              <w:rPr>
                <w:color w:val="auto"/>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615E8572">
            <w:pPr>
              <w:shd w:val="clear"/>
              <w:rPr>
                <w:color w:val="auto"/>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31F0AB92">
            <w:pPr>
              <w:shd w:val="clear"/>
              <w:rPr>
                <w:color w:val="auto"/>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6B93ED0F">
            <w:pPr>
              <w:shd w:val="clear"/>
              <w:rPr>
                <w:color w:val="auto"/>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5217212C">
            <w:pPr>
              <w:shd w:val="clear"/>
              <w:rPr>
                <w:color w:val="auto"/>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1FD1126C">
            <w:pPr>
              <w:shd w:val="clear"/>
              <w:rPr>
                <w:color w:val="auto"/>
                <w:highlight w:val="none"/>
              </w:rPr>
            </w:pPr>
          </w:p>
        </w:tc>
      </w:tr>
      <w:tr w14:paraId="77B0B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0EB5CB66">
            <w:pPr>
              <w:shd w:val="clear"/>
              <w:jc w:val="center"/>
              <w:rPr>
                <w:color w:val="auto"/>
                <w:highlight w:val="none"/>
              </w:rPr>
            </w:pPr>
            <w:r>
              <w:rPr>
                <w:color w:val="auto"/>
                <w:highlight w:val="none"/>
              </w:rPr>
              <w:t>3</w:t>
            </w:r>
          </w:p>
        </w:tc>
        <w:tc>
          <w:tcPr>
            <w:tcW w:w="819" w:type="dxa"/>
            <w:tcBorders>
              <w:top w:val="single" w:color="auto" w:sz="4" w:space="0"/>
              <w:left w:val="single" w:color="auto" w:sz="4" w:space="0"/>
              <w:bottom w:val="single" w:color="auto" w:sz="4" w:space="0"/>
              <w:right w:val="single" w:color="auto" w:sz="4" w:space="0"/>
            </w:tcBorders>
            <w:noWrap/>
            <w:vAlign w:val="center"/>
          </w:tcPr>
          <w:p w14:paraId="0D470A1E">
            <w:pPr>
              <w:shd w:val="clear"/>
              <w:rPr>
                <w:color w:val="auto"/>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002DC371">
            <w:pPr>
              <w:shd w:val="clear"/>
              <w:rPr>
                <w:color w:val="auto"/>
                <w:highlight w:val="none"/>
              </w:rPr>
            </w:pPr>
          </w:p>
        </w:tc>
        <w:tc>
          <w:tcPr>
            <w:tcW w:w="707" w:type="dxa"/>
            <w:tcBorders>
              <w:top w:val="single" w:color="auto" w:sz="4" w:space="0"/>
              <w:left w:val="single" w:color="auto" w:sz="4" w:space="0"/>
              <w:bottom w:val="single" w:color="auto" w:sz="4" w:space="0"/>
              <w:right w:val="single" w:color="auto" w:sz="4" w:space="0"/>
            </w:tcBorders>
            <w:noWrap/>
            <w:vAlign w:val="center"/>
          </w:tcPr>
          <w:p w14:paraId="7AB1D69C">
            <w:pPr>
              <w:shd w:val="clear"/>
              <w:rPr>
                <w:color w:val="auto"/>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348A3B86">
            <w:pPr>
              <w:shd w:val="clear"/>
              <w:rPr>
                <w:color w:val="auto"/>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41E7886F">
            <w:pPr>
              <w:shd w:val="clear"/>
              <w:rPr>
                <w:color w:val="auto"/>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6DCB6DCE">
            <w:pPr>
              <w:shd w:val="clear"/>
              <w:rPr>
                <w:color w:val="auto"/>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0F06B27E">
            <w:pPr>
              <w:shd w:val="clear"/>
              <w:rPr>
                <w:color w:val="auto"/>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0290C9BC">
            <w:pPr>
              <w:shd w:val="clear"/>
              <w:rPr>
                <w:color w:val="auto"/>
                <w:highlight w:val="none"/>
              </w:rPr>
            </w:pPr>
          </w:p>
        </w:tc>
      </w:tr>
      <w:tr w14:paraId="040C1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7A084364">
            <w:pPr>
              <w:shd w:val="clear"/>
              <w:jc w:val="center"/>
              <w:rPr>
                <w:color w:val="auto"/>
                <w:highlight w:val="none"/>
              </w:rPr>
            </w:pPr>
            <w:r>
              <w:rPr>
                <w:color w:val="auto"/>
                <w:highlight w:val="none"/>
              </w:rPr>
              <w:t>4</w:t>
            </w:r>
          </w:p>
        </w:tc>
        <w:tc>
          <w:tcPr>
            <w:tcW w:w="819" w:type="dxa"/>
            <w:tcBorders>
              <w:top w:val="single" w:color="auto" w:sz="4" w:space="0"/>
              <w:left w:val="single" w:color="auto" w:sz="4" w:space="0"/>
              <w:bottom w:val="single" w:color="auto" w:sz="4" w:space="0"/>
              <w:right w:val="single" w:color="auto" w:sz="4" w:space="0"/>
            </w:tcBorders>
            <w:noWrap/>
            <w:vAlign w:val="center"/>
          </w:tcPr>
          <w:p w14:paraId="4E69113D">
            <w:pPr>
              <w:shd w:val="clear"/>
              <w:rPr>
                <w:color w:val="auto"/>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18BB5E76">
            <w:pPr>
              <w:shd w:val="clear"/>
              <w:rPr>
                <w:color w:val="auto"/>
                <w:highlight w:val="none"/>
              </w:rPr>
            </w:pPr>
          </w:p>
        </w:tc>
        <w:tc>
          <w:tcPr>
            <w:tcW w:w="707" w:type="dxa"/>
            <w:tcBorders>
              <w:top w:val="single" w:color="auto" w:sz="4" w:space="0"/>
              <w:left w:val="single" w:color="auto" w:sz="4" w:space="0"/>
              <w:bottom w:val="single" w:color="auto" w:sz="4" w:space="0"/>
              <w:right w:val="single" w:color="auto" w:sz="4" w:space="0"/>
            </w:tcBorders>
            <w:noWrap/>
            <w:vAlign w:val="center"/>
          </w:tcPr>
          <w:p w14:paraId="11AE76CB">
            <w:pPr>
              <w:shd w:val="clear"/>
              <w:rPr>
                <w:color w:val="auto"/>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442C193C">
            <w:pPr>
              <w:shd w:val="clear"/>
              <w:rPr>
                <w:color w:val="auto"/>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3E7667FC">
            <w:pPr>
              <w:shd w:val="clear"/>
              <w:rPr>
                <w:color w:val="auto"/>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47170F81">
            <w:pPr>
              <w:shd w:val="clear"/>
              <w:rPr>
                <w:color w:val="auto"/>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2FDECC49">
            <w:pPr>
              <w:shd w:val="clear"/>
              <w:rPr>
                <w:color w:val="auto"/>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0CCC931A">
            <w:pPr>
              <w:shd w:val="clear"/>
              <w:rPr>
                <w:color w:val="auto"/>
                <w:highlight w:val="none"/>
              </w:rPr>
            </w:pPr>
          </w:p>
        </w:tc>
      </w:tr>
      <w:tr w14:paraId="3050E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16BC79C5">
            <w:pPr>
              <w:shd w:val="clear"/>
              <w:jc w:val="center"/>
              <w:rPr>
                <w:color w:val="auto"/>
                <w:highlight w:val="none"/>
              </w:rPr>
            </w:pPr>
            <w:r>
              <w:rPr>
                <w:color w:val="auto"/>
                <w:highlight w:val="none"/>
              </w:rPr>
              <w:t>5</w:t>
            </w:r>
          </w:p>
        </w:tc>
        <w:tc>
          <w:tcPr>
            <w:tcW w:w="819" w:type="dxa"/>
            <w:tcBorders>
              <w:top w:val="single" w:color="auto" w:sz="4" w:space="0"/>
              <w:left w:val="single" w:color="auto" w:sz="4" w:space="0"/>
              <w:bottom w:val="single" w:color="auto" w:sz="4" w:space="0"/>
              <w:right w:val="single" w:color="auto" w:sz="4" w:space="0"/>
            </w:tcBorders>
            <w:noWrap/>
            <w:vAlign w:val="center"/>
          </w:tcPr>
          <w:p w14:paraId="40E310D2">
            <w:pPr>
              <w:shd w:val="clear"/>
              <w:rPr>
                <w:color w:val="auto"/>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08C218C5">
            <w:pPr>
              <w:shd w:val="clear"/>
              <w:rPr>
                <w:color w:val="auto"/>
                <w:highlight w:val="none"/>
              </w:rPr>
            </w:pPr>
          </w:p>
        </w:tc>
        <w:tc>
          <w:tcPr>
            <w:tcW w:w="707" w:type="dxa"/>
            <w:tcBorders>
              <w:top w:val="single" w:color="auto" w:sz="4" w:space="0"/>
              <w:left w:val="single" w:color="auto" w:sz="4" w:space="0"/>
              <w:bottom w:val="single" w:color="auto" w:sz="4" w:space="0"/>
              <w:right w:val="single" w:color="auto" w:sz="4" w:space="0"/>
            </w:tcBorders>
            <w:noWrap/>
            <w:vAlign w:val="center"/>
          </w:tcPr>
          <w:p w14:paraId="6285709A">
            <w:pPr>
              <w:shd w:val="clear"/>
              <w:rPr>
                <w:color w:val="auto"/>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36A8DBC9">
            <w:pPr>
              <w:shd w:val="clear"/>
              <w:rPr>
                <w:color w:val="auto"/>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03DB7864">
            <w:pPr>
              <w:shd w:val="clear"/>
              <w:rPr>
                <w:color w:val="auto"/>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62F81DAB">
            <w:pPr>
              <w:shd w:val="clear"/>
              <w:rPr>
                <w:color w:val="auto"/>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5D21D665">
            <w:pPr>
              <w:shd w:val="clear"/>
              <w:rPr>
                <w:color w:val="auto"/>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4A2F2CD6">
            <w:pPr>
              <w:shd w:val="clear"/>
              <w:rPr>
                <w:color w:val="auto"/>
                <w:highlight w:val="none"/>
              </w:rPr>
            </w:pPr>
          </w:p>
        </w:tc>
      </w:tr>
      <w:tr w14:paraId="44845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10BF89DE">
            <w:pPr>
              <w:shd w:val="clear"/>
              <w:jc w:val="center"/>
              <w:rPr>
                <w:color w:val="auto"/>
                <w:highlight w:val="none"/>
              </w:rPr>
            </w:pPr>
            <w:r>
              <w:rPr>
                <w:color w:val="auto"/>
                <w:highlight w:val="none"/>
              </w:rPr>
              <w:t>……</w:t>
            </w:r>
          </w:p>
        </w:tc>
        <w:tc>
          <w:tcPr>
            <w:tcW w:w="819" w:type="dxa"/>
            <w:tcBorders>
              <w:top w:val="single" w:color="auto" w:sz="4" w:space="0"/>
              <w:left w:val="single" w:color="auto" w:sz="4" w:space="0"/>
              <w:bottom w:val="single" w:color="auto" w:sz="4" w:space="0"/>
              <w:right w:val="single" w:color="auto" w:sz="4" w:space="0"/>
            </w:tcBorders>
            <w:noWrap/>
            <w:vAlign w:val="center"/>
          </w:tcPr>
          <w:p w14:paraId="71402775">
            <w:pPr>
              <w:shd w:val="clear"/>
              <w:rPr>
                <w:color w:val="auto"/>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5B388A2C">
            <w:pPr>
              <w:shd w:val="clear"/>
              <w:rPr>
                <w:color w:val="auto"/>
                <w:highlight w:val="none"/>
              </w:rPr>
            </w:pPr>
          </w:p>
        </w:tc>
        <w:tc>
          <w:tcPr>
            <w:tcW w:w="707" w:type="dxa"/>
            <w:tcBorders>
              <w:top w:val="single" w:color="auto" w:sz="4" w:space="0"/>
              <w:left w:val="single" w:color="auto" w:sz="4" w:space="0"/>
              <w:bottom w:val="single" w:color="auto" w:sz="4" w:space="0"/>
              <w:right w:val="single" w:color="auto" w:sz="4" w:space="0"/>
            </w:tcBorders>
            <w:noWrap/>
            <w:vAlign w:val="center"/>
          </w:tcPr>
          <w:p w14:paraId="77845112">
            <w:pPr>
              <w:shd w:val="clear"/>
              <w:rPr>
                <w:color w:val="auto"/>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2586922B">
            <w:pPr>
              <w:shd w:val="clear"/>
              <w:rPr>
                <w:color w:val="auto"/>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5149AF88">
            <w:pPr>
              <w:shd w:val="clear"/>
              <w:rPr>
                <w:color w:val="auto"/>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56EEF1E2">
            <w:pPr>
              <w:shd w:val="clear"/>
              <w:rPr>
                <w:color w:val="auto"/>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03CA9118">
            <w:pPr>
              <w:shd w:val="clear"/>
              <w:rPr>
                <w:color w:val="auto"/>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1A672A1C">
            <w:pPr>
              <w:shd w:val="clear"/>
              <w:rPr>
                <w:color w:val="auto"/>
                <w:highlight w:val="none"/>
              </w:rPr>
            </w:pPr>
          </w:p>
        </w:tc>
      </w:tr>
    </w:tbl>
    <w:p w14:paraId="1EE4FAAC">
      <w:pPr>
        <w:shd w:val="clear"/>
        <w:rPr>
          <w:color w:val="auto"/>
          <w:highlight w:val="none"/>
        </w:rPr>
      </w:pPr>
      <w:r>
        <w:rPr>
          <w:color w:val="auto"/>
          <w:highlight w:val="none"/>
        </w:rPr>
        <w:t>特别说明：</w:t>
      </w:r>
    </w:p>
    <w:bookmarkEnd w:id="155"/>
    <w:bookmarkEnd w:id="156"/>
    <w:bookmarkEnd w:id="157"/>
    <w:bookmarkEnd w:id="158"/>
    <w:bookmarkEnd w:id="159"/>
    <w:bookmarkEnd w:id="160"/>
    <w:p w14:paraId="05DA3226">
      <w:pPr>
        <w:numPr>
          <w:ilvl w:val="0"/>
          <w:numId w:val="0"/>
        </w:numPr>
        <w:shd w:val="clear"/>
        <w:rPr>
          <w:rFonts w:hint="eastAsia"/>
          <w:color w:val="auto"/>
          <w:highlight w:val="none"/>
          <w:lang w:eastAsia="zh-CN"/>
        </w:rPr>
      </w:pPr>
      <w:r>
        <w:rPr>
          <w:rFonts w:hint="eastAsia"/>
          <w:color w:val="auto"/>
          <w:highlight w:val="none"/>
          <w:lang w:val="en-US" w:eastAsia="zh-CN"/>
        </w:rPr>
        <w:t>1.</w:t>
      </w:r>
      <w:r>
        <w:rPr>
          <w:rFonts w:hint="eastAsia"/>
          <w:color w:val="auto"/>
          <w:highlight w:val="none"/>
          <w:lang w:eastAsia="zh-CN"/>
        </w:rPr>
        <w:t>投标人提供自2023年1月1日（含）以来（以合同签订日期为准）承接过类似食材配送项目案例（必须包含本项目采购的部分或全部食材类别）。</w:t>
      </w:r>
    </w:p>
    <w:p w14:paraId="4AC03CC5">
      <w:pPr>
        <w:numPr>
          <w:ilvl w:val="0"/>
          <w:numId w:val="0"/>
        </w:numPr>
        <w:shd w:val="clear"/>
        <w:rPr>
          <w:rFonts w:hint="default"/>
          <w:color w:val="auto"/>
          <w:highlight w:val="none"/>
          <w:lang w:val="en-US"/>
        </w:rPr>
      </w:pPr>
      <w:r>
        <w:rPr>
          <w:rFonts w:hint="eastAsia"/>
          <w:color w:val="auto"/>
          <w:highlight w:val="none"/>
          <w:lang w:val="en-US" w:eastAsia="zh-CN"/>
        </w:rPr>
        <w:t>2.投标人提供的案例证明材料应包括合同及合同期内至少一笔货款支付的发票复印件，合同复印件应能清晰体现合同甲乙双方、合同时间、合同主要内容等，并提供对方联系人及联系方式，发票复印件与合同双方名称一致，否则不能获得相应分值。</w:t>
      </w:r>
    </w:p>
    <w:p w14:paraId="227E250C">
      <w:pPr>
        <w:shd w:val="clear"/>
        <w:rPr>
          <w:color w:val="auto"/>
          <w:highlight w:val="none"/>
        </w:rPr>
      </w:pPr>
      <w:r>
        <w:rPr>
          <w:rFonts w:hint="eastAsia"/>
          <w:color w:val="auto"/>
          <w:highlight w:val="none"/>
        </w:rPr>
        <w:br w:type="page"/>
      </w:r>
    </w:p>
    <w:p w14:paraId="10DBAF40">
      <w:pPr>
        <w:shd w:val="clear"/>
        <w:rPr>
          <w:color w:val="auto"/>
          <w:highlight w:val="none"/>
        </w:rPr>
      </w:pPr>
    </w:p>
    <w:p w14:paraId="1FAFAAA4">
      <w:pPr>
        <w:shd w:val="clear"/>
        <w:spacing w:line="240" w:lineRule="auto"/>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投  标  文  件</w:t>
      </w:r>
    </w:p>
    <w:p w14:paraId="15284754">
      <w:pPr>
        <w:keepNext w:val="0"/>
        <w:keepLines w:val="0"/>
        <w:pageBreakBefore w:val="0"/>
        <w:widowControl w:val="0"/>
        <w:shd w:val="clear"/>
        <w:kinsoku/>
        <w:wordWrap/>
        <w:overflowPunct/>
        <w:topLinePunct/>
        <w:autoSpaceDE w:val="0"/>
        <w:autoSpaceDN w:val="0"/>
        <w:bidi w:val="0"/>
        <w:adjustRightInd/>
        <w:snapToGrid/>
        <w:spacing w:line="240" w:lineRule="auto"/>
        <w:jc w:val="center"/>
        <w:textAlignment w:val="auto"/>
        <w:outlineLvl w:val="2"/>
        <w:rPr>
          <w:rFonts w:hint="eastAsia" w:ascii="宋体" w:hAnsi="宋体" w:eastAsia="宋体" w:cs="宋体"/>
          <w:b/>
          <w:bCs w:val="0"/>
          <w:color w:val="auto"/>
          <w:sz w:val="32"/>
          <w:szCs w:val="32"/>
          <w:highlight w:val="none"/>
        </w:rPr>
      </w:pPr>
      <w:bookmarkStart w:id="171" w:name="_Toc5579"/>
      <w:bookmarkStart w:id="172" w:name="_Toc6245"/>
      <w:r>
        <w:rPr>
          <w:rFonts w:hint="eastAsia" w:ascii="宋体" w:hAnsi="宋体" w:eastAsia="宋体" w:cs="宋体"/>
          <w:b/>
          <w:bCs w:val="0"/>
          <w:color w:val="auto"/>
          <w:sz w:val="32"/>
          <w:szCs w:val="32"/>
          <w:highlight w:val="none"/>
        </w:rPr>
        <w:t>技术部分</w:t>
      </w:r>
      <w:bookmarkEnd w:id="171"/>
      <w:bookmarkEnd w:id="172"/>
    </w:p>
    <w:p w14:paraId="32BD44E3">
      <w:pPr>
        <w:shd w:val="clear"/>
        <w:spacing w:line="240" w:lineRule="auto"/>
        <w:jc w:val="center"/>
        <w:rPr>
          <w:rFonts w:ascii="华文中宋" w:hAnsi="华文中宋" w:eastAsia="华文中宋" w:cs="华文中宋"/>
          <w:bCs/>
          <w:color w:val="auto"/>
          <w:sz w:val="32"/>
          <w:szCs w:val="32"/>
          <w:highlight w:val="none"/>
        </w:rPr>
      </w:pPr>
    </w:p>
    <w:p w14:paraId="04A4285B">
      <w:pPr>
        <w:shd w:val="clear"/>
        <w:topLinePunct w:val="0"/>
        <w:autoSpaceDE/>
        <w:autoSpaceDN/>
        <w:jc w:val="center"/>
        <w:rPr>
          <w:rFonts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rPr>
        <w:t>（填写正本或副本）</w:t>
      </w:r>
    </w:p>
    <w:p w14:paraId="46B4BFEE">
      <w:pPr>
        <w:shd w:val="clear"/>
        <w:rPr>
          <w:color w:val="auto"/>
          <w:highlight w:val="none"/>
        </w:rPr>
      </w:pPr>
    </w:p>
    <w:p w14:paraId="0DB53A61">
      <w:pPr>
        <w:pStyle w:val="14"/>
        <w:shd w:val="clear"/>
        <w:rPr>
          <w:color w:val="auto"/>
          <w:highlight w:val="none"/>
        </w:rPr>
      </w:pPr>
    </w:p>
    <w:p w14:paraId="74030547">
      <w:pPr>
        <w:shd w:val="clear"/>
        <w:rPr>
          <w:color w:val="auto"/>
          <w:highlight w:val="none"/>
        </w:rPr>
      </w:pPr>
    </w:p>
    <w:p w14:paraId="681A6CEC">
      <w:pPr>
        <w:shd w:val="clear"/>
        <w:topLinePunct w:val="0"/>
        <w:autoSpaceDE/>
        <w:autoSpaceDN/>
        <w:ind w:left="1197" w:leftChars="570"/>
        <w:rPr>
          <w:rFonts w:hint="default" w:asciiTheme="minorEastAsia" w:hAnsiTheme="minorEastAsia" w:eastAsiaTheme="minorEastAsia" w:cstheme="minorEastAsia"/>
          <w:bCs/>
          <w:color w:val="auto"/>
          <w:kern w:val="0"/>
          <w:sz w:val="24"/>
          <w:szCs w:val="24"/>
          <w:highlight w:val="none"/>
          <w:u w:val="none"/>
          <w:lang w:val="en" w:eastAsia="zh-CN"/>
        </w:rPr>
      </w:pPr>
      <w:r>
        <w:rPr>
          <w:rFonts w:hint="eastAsia" w:asciiTheme="minorEastAsia" w:hAnsiTheme="minorEastAsia" w:eastAsiaTheme="minorEastAsia" w:cstheme="minorEastAsia"/>
          <w:bCs/>
          <w:color w:val="auto"/>
          <w:kern w:val="0"/>
          <w:sz w:val="24"/>
          <w:szCs w:val="24"/>
          <w:highlight w:val="none"/>
          <w:u w:val="none"/>
        </w:rPr>
        <w:t>项目名称：</w:t>
      </w:r>
      <w:r>
        <w:rPr>
          <w:rFonts w:hint="eastAsia" w:asciiTheme="minorEastAsia" w:hAnsiTheme="minorEastAsia" w:eastAsiaTheme="minorEastAsia" w:cstheme="minorEastAsia"/>
          <w:bCs/>
          <w:color w:val="auto"/>
          <w:kern w:val="0"/>
          <w:sz w:val="24"/>
          <w:szCs w:val="24"/>
          <w:highlight w:val="none"/>
          <w:u w:val="none"/>
          <w:lang w:val="en" w:eastAsia="zh-CN"/>
        </w:rPr>
        <w:t>国家税务总局沭阳县税务局2026年食堂食材配送服务采购项目</w:t>
      </w:r>
    </w:p>
    <w:p w14:paraId="50B4CC38">
      <w:pPr>
        <w:shd w:val="clear"/>
        <w:topLinePunct w:val="0"/>
        <w:autoSpaceDE/>
        <w:autoSpaceDN/>
        <w:ind w:left="1197" w:leftChars="570"/>
        <w:rPr>
          <w:rFonts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lang w:eastAsia="zh-CN"/>
        </w:rPr>
        <w:t>采购人项目编号：</w:t>
      </w:r>
      <w:r>
        <w:rPr>
          <w:rFonts w:hint="eastAsia" w:asciiTheme="minorEastAsia" w:hAnsiTheme="minorEastAsia" w:eastAsiaTheme="minorEastAsia" w:cstheme="minorEastAsia"/>
          <w:bCs/>
          <w:color w:val="000000" w:themeColor="text1"/>
          <w:kern w:val="0"/>
          <w:sz w:val="24"/>
          <w:szCs w:val="24"/>
          <w:highlight w:val="none"/>
          <w:lang w:eastAsia="zh-CN"/>
          <w14:textFill>
            <w14:solidFill>
              <w14:schemeClr w14:val="tx1"/>
            </w14:solidFill>
          </w14:textFill>
        </w:rPr>
        <w:t>JS2026-DLGK-C0214-B00</w:t>
      </w:r>
      <w:r>
        <w:rPr>
          <w:rFonts w:hint="eastAsia" w:asciiTheme="minorEastAsia" w:hAnsiTheme="minorEastAsia" w:eastAsiaTheme="minorEastAsia" w:cstheme="minorEastAsia"/>
          <w:bCs/>
          <w:color w:val="auto"/>
          <w:kern w:val="0"/>
          <w:sz w:val="24"/>
          <w:szCs w:val="24"/>
          <w:highlight w:val="none"/>
          <w:lang w:eastAsia="zh-CN"/>
        </w:rPr>
        <w:br w:type="textWrapping"/>
      </w:r>
      <w:r>
        <w:rPr>
          <w:rFonts w:hint="eastAsia" w:asciiTheme="minorEastAsia" w:hAnsiTheme="minorEastAsia" w:eastAsiaTheme="minorEastAsia" w:cstheme="minorEastAsia"/>
          <w:bCs/>
          <w:color w:val="auto"/>
          <w:kern w:val="0"/>
          <w:sz w:val="24"/>
          <w:szCs w:val="24"/>
          <w:highlight w:val="none"/>
          <w:lang w:val="en-US" w:eastAsia="zh-CN"/>
        </w:rPr>
        <w:t>代理机构项目编号</w:t>
      </w:r>
      <w:r>
        <w:rPr>
          <w:rFonts w:hint="eastAsia" w:asciiTheme="minorEastAsia" w:hAnsiTheme="minorEastAsia" w:eastAsiaTheme="minorEastAsia" w:cstheme="minorEastAsia"/>
          <w:bCs/>
          <w:color w:val="auto"/>
          <w:kern w:val="0"/>
          <w:sz w:val="24"/>
          <w:szCs w:val="24"/>
          <w:highlight w:val="none"/>
          <w:lang w:eastAsia="zh-CN"/>
        </w:rPr>
        <w:t>：JSHZ[2026]0809号</w:t>
      </w:r>
      <w:r>
        <w:rPr>
          <w:rFonts w:hint="eastAsia" w:asciiTheme="minorEastAsia" w:hAnsiTheme="minorEastAsia" w:eastAsiaTheme="minorEastAsia" w:cstheme="minorEastAsia"/>
          <w:bCs/>
          <w:color w:val="auto"/>
          <w:kern w:val="0"/>
          <w:sz w:val="24"/>
          <w:szCs w:val="24"/>
          <w:highlight w:val="none"/>
          <w:lang w:eastAsia="zh-CN"/>
        </w:rPr>
        <w:br w:type="textWrapping"/>
      </w:r>
      <w:r>
        <w:rPr>
          <w:rFonts w:hint="eastAsia" w:asciiTheme="minorEastAsia" w:hAnsiTheme="minorEastAsia" w:eastAsiaTheme="minorEastAsia" w:cstheme="minorEastAsia"/>
          <w:bCs/>
          <w:color w:val="auto"/>
          <w:kern w:val="0"/>
          <w:sz w:val="24"/>
          <w:szCs w:val="24"/>
          <w:highlight w:val="none"/>
        </w:rPr>
        <w:t>开标时间：</w:t>
      </w:r>
      <w:r>
        <w:rPr>
          <w:rFonts w:hint="eastAsia" w:asciiTheme="minorEastAsia" w:hAnsiTheme="minorEastAsia" w:eastAsiaTheme="minorEastAsia" w:cstheme="minorEastAsia"/>
          <w:bCs/>
          <w:color w:val="auto"/>
          <w:kern w:val="0"/>
          <w:sz w:val="24"/>
          <w:szCs w:val="24"/>
          <w:highlight w:val="none"/>
          <w:lang w:val="en-US" w:eastAsia="zh-CN"/>
        </w:rPr>
        <w:t xml:space="preserve">    </w:t>
      </w:r>
      <w:r>
        <w:rPr>
          <w:rFonts w:hint="eastAsia" w:asciiTheme="minorEastAsia" w:hAnsiTheme="minorEastAsia" w:eastAsiaTheme="minorEastAsia" w:cstheme="minorEastAsia"/>
          <w:bCs/>
          <w:color w:val="auto"/>
          <w:kern w:val="0"/>
          <w:sz w:val="24"/>
          <w:szCs w:val="24"/>
          <w:highlight w:val="none"/>
        </w:rPr>
        <w:t>年</w:t>
      </w:r>
      <w:r>
        <w:rPr>
          <w:rFonts w:hint="eastAsia" w:asciiTheme="minorEastAsia" w:hAnsiTheme="minorEastAsia" w:eastAsiaTheme="minorEastAsia" w:cstheme="minorEastAsia"/>
          <w:bCs/>
          <w:color w:val="auto"/>
          <w:kern w:val="0"/>
          <w:sz w:val="24"/>
          <w:szCs w:val="24"/>
          <w:highlight w:val="none"/>
          <w:lang w:val="en-US" w:eastAsia="zh-CN"/>
        </w:rPr>
        <w:t xml:space="preserve">  </w:t>
      </w:r>
      <w:r>
        <w:rPr>
          <w:rFonts w:hint="eastAsia" w:asciiTheme="minorEastAsia" w:hAnsiTheme="minorEastAsia" w:eastAsiaTheme="minorEastAsia" w:cstheme="minorEastAsia"/>
          <w:bCs/>
          <w:color w:val="auto"/>
          <w:kern w:val="0"/>
          <w:sz w:val="24"/>
          <w:szCs w:val="24"/>
          <w:highlight w:val="none"/>
        </w:rPr>
        <w:t>月</w:t>
      </w:r>
      <w:r>
        <w:rPr>
          <w:rFonts w:hint="eastAsia" w:asciiTheme="minorEastAsia" w:hAnsiTheme="minorEastAsia" w:eastAsiaTheme="minorEastAsia" w:cstheme="minorEastAsia"/>
          <w:bCs/>
          <w:color w:val="auto"/>
          <w:kern w:val="0"/>
          <w:sz w:val="24"/>
          <w:szCs w:val="24"/>
          <w:highlight w:val="none"/>
          <w:lang w:val="en-US" w:eastAsia="zh-CN"/>
        </w:rPr>
        <w:t xml:space="preserve">  日</w:t>
      </w:r>
    </w:p>
    <w:p w14:paraId="19D7CB66">
      <w:pPr>
        <w:shd w:val="clear"/>
        <w:topLinePunct w:val="0"/>
        <w:autoSpaceDE/>
        <w:autoSpaceDN/>
        <w:ind w:left="1197" w:leftChars="570"/>
        <w:rPr>
          <w:rFonts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lang w:eastAsia="zh-CN"/>
        </w:rPr>
        <w:t>投标人</w:t>
      </w:r>
      <w:r>
        <w:rPr>
          <w:rFonts w:hint="eastAsia" w:asciiTheme="minorEastAsia" w:hAnsiTheme="minorEastAsia" w:eastAsiaTheme="minorEastAsia" w:cstheme="minorEastAsia"/>
          <w:bCs/>
          <w:color w:val="auto"/>
          <w:kern w:val="0"/>
          <w:sz w:val="24"/>
          <w:szCs w:val="24"/>
          <w:highlight w:val="none"/>
          <w:lang w:val="en-US" w:eastAsia="zh-CN"/>
        </w:rPr>
        <w:t>名称</w:t>
      </w:r>
      <w:r>
        <w:rPr>
          <w:rFonts w:hint="eastAsia" w:asciiTheme="minorEastAsia" w:hAnsiTheme="minorEastAsia" w:eastAsiaTheme="minorEastAsia" w:cstheme="minorEastAsia"/>
          <w:bCs/>
          <w:color w:val="auto"/>
          <w:kern w:val="0"/>
          <w:sz w:val="24"/>
          <w:szCs w:val="24"/>
          <w:highlight w:val="none"/>
        </w:rPr>
        <w:t>：</w:t>
      </w:r>
    </w:p>
    <w:p w14:paraId="13AFB65D">
      <w:pPr>
        <w:shd w:val="clear"/>
        <w:topLinePunct w:val="0"/>
        <w:autoSpaceDE/>
        <w:autoSpaceDN/>
        <w:ind w:left="1197" w:leftChars="570"/>
        <w:rPr>
          <w:rFonts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kern w:val="0"/>
          <w:sz w:val="24"/>
          <w:szCs w:val="24"/>
          <w:highlight w:val="none"/>
        </w:rPr>
        <w:t>日  期：</w:t>
      </w:r>
    </w:p>
    <w:p w14:paraId="686E047F">
      <w:pPr>
        <w:shd w:val="clear"/>
        <w:topLinePunct w:val="0"/>
        <w:autoSpaceDE/>
        <w:autoSpaceDN/>
        <w:ind w:left="1197" w:leftChars="570"/>
        <w:rPr>
          <w:rFonts w:asciiTheme="minorEastAsia" w:hAnsiTheme="minorEastAsia" w:eastAsiaTheme="minorEastAsia" w:cstheme="minorEastAsia"/>
          <w:bCs/>
          <w:color w:val="auto"/>
          <w:kern w:val="0"/>
          <w:sz w:val="24"/>
          <w:szCs w:val="24"/>
          <w:highlight w:val="none"/>
        </w:rPr>
      </w:pPr>
    </w:p>
    <w:p w14:paraId="7234B155">
      <w:pPr>
        <w:pStyle w:val="8"/>
        <w:shd w:val="clear"/>
        <w:jc w:val="center"/>
        <w:rPr>
          <w:color w:val="auto"/>
          <w:highlight w:val="none"/>
        </w:rPr>
      </w:pPr>
      <w:r>
        <w:rPr>
          <w:bCs/>
          <w:color w:val="auto"/>
          <w:sz w:val="36"/>
          <w:szCs w:val="36"/>
          <w:highlight w:val="none"/>
        </w:rPr>
        <w:br w:type="page"/>
      </w:r>
      <w:bookmarkStart w:id="173" w:name="_Toc4260"/>
      <w:r>
        <w:rPr>
          <w:rFonts w:hint="eastAsia" w:ascii="宋体" w:hAnsi="宋体" w:eastAsia="宋体" w:cs="宋体"/>
          <w:color w:val="auto"/>
          <w:highlight w:val="none"/>
        </w:rPr>
        <w:t>格式</w:t>
      </w:r>
      <w:r>
        <w:rPr>
          <w:rFonts w:hint="eastAsia" w:ascii="宋体" w:hAnsi="宋体" w:eastAsia="宋体" w:cs="宋体"/>
          <w:color w:val="auto"/>
          <w:highlight w:val="none"/>
          <w:lang w:val="en-US" w:eastAsia="zh-CN"/>
        </w:rPr>
        <w:t>11</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技术条款偏离表</w:t>
      </w:r>
      <w:bookmarkEnd w:id="173"/>
    </w:p>
    <w:tbl>
      <w:tblPr>
        <w:tblStyle w:val="27"/>
        <w:tblW w:w="867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28"/>
        <w:gridCol w:w="1516"/>
        <w:gridCol w:w="2116"/>
        <w:gridCol w:w="1684"/>
        <w:gridCol w:w="1667"/>
        <w:gridCol w:w="765"/>
      </w:tblGrid>
      <w:tr w14:paraId="4948D5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1F37BDB1">
            <w:pPr>
              <w:shd w:val="clear"/>
              <w:jc w:val="center"/>
              <w:rPr>
                <w:color w:val="auto"/>
                <w:highlight w:val="none"/>
              </w:rPr>
            </w:pPr>
            <w:r>
              <w:rPr>
                <w:color w:val="auto"/>
                <w:highlight w:val="none"/>
              </w:rPr>
              <w:t>序号</w:t>
            </w:r>
          </w:p>
        </w:tc>
        <w:tc>
          <w:tcPr>
            <w:tcW w:w="1516" w:type="dxa"/>
            <w:noWrap/>
            <w:vAlign w:val="center"/>
          </w:tcPr>
          <w:p w14:paraId="6558F9C9">
            <w:pPr>
              <w:shd w:val="clear"/>
              <w:jc w:val="center"/>
              <w:rPr>
                <w:color w:val="auto"/>
                <w:highlight w:val="none"/>
              </w:rPr>
            </w:pPr>
            <w:r>
              <w:rPr>
                <w:color w:val="auto"/>
                <w:highlight w:val="none"/>
              </w:rPr>
              <w:t>招标文件</w:t>
            </w:r>
          </w:p>
          <w:p w14:paraId="3FE73CA2">
            <w:pPr>
              <w:shd w:val="clear"/>
              <w:jc w:val="center"/>
              <w:rPr>
                <w:color w:val="auto"/>
                <w:highlight w:val="none"/>
              </w:rPr>
            </w:pPr>
            <w:r>
              <w:rPr>
                <w:color w:val="auto"/>
                <w:highlight w:val="none"/>
              </w:rPr>
              <w:t>技术部分序号</w:t>
            </w:r>
          </w:p>
        </w:tc>
        <w:tc>
          <w:tcPr>
            <w:tcW w:w="2116" w:type="dxa"/>
            <w:noWrap/>
            <w:vAlign w:val="center"/>
          </w:tcPr>
          <w:p w14:paraId="2749C57A">
            <w:pPr>
              <w:shd w:val="clear"/>
              <w:jc w:val="center"/>
              <w:rPr>
                <w:color w:val="auto"/>
                <w:highlight w:val="none"/>
              </w:rPr>
            </w:pPr>
            <w:r>
              <w:rPr>
                <w:color w:val="auto"/>
                <w:highlight w:val="none"/>
              </w:rPr>
              <w:t>招标文件</w:t>
            </w:r>
          </w:p>
          <w:p w14:paraId="3940D4E9">
            <w:pPr>
              <w:shd w:val="clear"/>
              <w:jc w:val="center"/>
              <w:rPr>
                <w:color w:val="auto"/>
                <w:highlight w:val="none"/>
              </w:rPr>
            </w:pPr>
            <w:r>
              <w:rPr>
                <w:color w:val="auto"/>
                <w:highlight w:val="none"/>
              </w:rPr>
              <w:t>技术部分内容要求</w:t>
            </w:r>
          </w:p>
        </w:tc>
        <w:tc>
          <w:tcPr>
            <w:tcW w:w="1684" w:type="dxa"/>
            <w:noWrap/>
            <w:vAlign w:val="center"/>
          </w:tcPr>
          <w:p w14:paraId="18118F8F">
            <w:pPr>
              <w:shd w:val="clear"/>
              <w:jc w:val="center"/>
              <w:rPr>
                <w:color w:val="auto"/>
                <w:highlight w:val="none"/>
              </w:rPr>
            </w:pPr>
            <w:r>
              <w:rPr>
                <w:color w:val="auto"/>
                <w:highlight w:val="none"/>
              </w:rPr>
              <w:t>投标文件</w:t>
            </w:r>
          </w:p>
          <w:p w14:paraId="6FE782C5">
            <w:pPr>
              <w:shd w:val="clear"/>
              <w:jc w:val="center"/>
              <w:rPr>
                <w:color w:val="auto"/>
                <w:highlight w:val="none"/>
              </w:rPr>
            </w:pPr>
            <w:r>
              <w:rPr>
                <w:color w:val="auto"/>
                <w:highlight w:val="none"/>
              </w:rPr>
              <w:t>应答情况</w:t>
            </w:r>
          </w:p>
        </w:tc>
        <w:tc>
          <w:tcPr>
            <w:tcW w:w="1667" w:type="dxa"/>
            <w:noWrap/>
            <w:vAlign w:val="center"/>
          </w:tcPr>
          <w:p w14:paraId="27A93111">
            <w:pPr>
              <w:shd w:val="clear"/>
              <w:jc w:val="center"/>
              <w:rPr>
                <w:color w:val="auto"/>
                <w:highlight w:val="none"/>
              </w:rPr>
            </w:pPr>
            <w:r>
              <w:rPr>
                <w:color w:val="auto"/>
                <w:highlight w:val="none"/>
              </w:rPr>
              <w:t>偏离（无/正/负）</w:t>
            </w:r>
          </w:p>
        </w:tc>
        <w:tc>
          <w:tcPr>
            <w:tcW w:w="765" w:type="dxa"/>
            <w:noWrap/>
            <w:vAlign w:val="center"/>
          </w:tcPr>
          <w:p w14:paraId="1B2EB501">
            <w:pPr>
              <w:shd w:val="clear"/>
              <w:jc w:val="center"/>
              <w:rPr>
                <w:color w:val="auto"/>
                <w:highlight w:val="none"/>
              </w:rPr>
            </w:pPr>
            <w:r>
              <w:rPr>
                <w:color w:val="auto"/>
                <w:highlight w:val="none"/>
              </w:rPr>
              <w:t>备注</w:t>
            </w:r>
          </w:p>
        </w:tc>
      </w:tr>
      <w:tr w14:paraId="3C5176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38827A4B">
            <w:pPr>
              <w:shd w:val="clear"/>
              <w:jc w:val="center"/>
              <w:rPr>
                <w:color w:val="auto"/>
                <w:highlight w:val="none"/>
              </w:rPr>
            </w:pPr>
            <w:r>
              <w:rPr>
                <w:color w:val="auto"/>
                <w:highlight w:val="none"/>
              </w:rPr>
              <w:t>1</w:t>
            </w:r>
          </w:p>
        </w:tc>
        <w:tc>
          <w:tcPr>
            <w:tcW w:w="1516" w:type="dxa"/>
            <w:noWrap/>
            <w:vAlign w:val="center"/>
          </w:tcPr>
          <w:p w14:paraId="79CF5052">
            <w:pPr>
              <w:shd w:val="clear"/>
              <w:jc w:val="center"/>
              <w:rPr>
                <w:color w:val="auto"/>
                <w:highlight w:val="none"/>
              </w:rPr>
            </w:pPr>
          </w:p>
        </w:tc>
        <w:tc>
          <w:tcPr>
            <w:tcW w:w="2116" w:type="dxa"/>
            <w:noWrap/>
            <w:vAlign w:val="center"/>
          </w:tcPr>
          <w:p w14:paraId="146F6636">
            <w:pPr>
              <w:shd w:val="clear"/>
              <w:jc w:val="center"/>
              <w:rPr>
                <w:color w:val="auto"/>
                <w:highlight w:val="none"/>
              </w:rPr>
            </w:pPr>
          </w:p>
        </w:tc>
        <w:tc>
          <w:tcPr>
            <w:tcW w:w="1684" w:type="dxa"/>
            <w:noWrap/>
            <w:vAlign w:val="center"/>
          </w:tcPr>
          <w:p w14:paraId="60135328">
            <w:pPr>
              <w:shd w:val="clear"/>
              <w:jc w:val="center"/>
              <w:rPr>
                <w:color w:val="auto"/>
                <w:highlight w:val="none"/>
              </w:rPr>
            </w:pPr>
          </w:p>
        </w:tc>
        <w:tc>
          <w:tcPr>
            <w:tcW w:w="1667" w:type="dxa"/>
            <w:noWrap/>
            <w:vAlign w:val="center"/>
          </w:tcPr>
          <w:p w14:paraId="68AE4293">
            <w:pPr>
              <w:shd w:val="clear"/>
              <w:jc w:val="center"/>
              <w:rPr>
                <w:color w:val="auto"/>
                <w:highlight w:val="none"/>
              </w:rPr>
            </w:pPr>
          </w:p>
        </w:tc>
        <w:tc>
          <w:tcPr>
            <w:tcW w:w="765" w:type="dxa"/>
            <w:noWrap/>
            <w:vAlign w:val="center"/>
          </w:tcPr>
          <w:p w14:paraId="368067A0">
            <w:pPr>
              <w:shd w:val="clear"/>
              <w:jc w:val="center"/>
              <w:rPr>
                <w:color w:val="auto"/>
                <w:highlight w:val="none"/>
              </w:rPr>
            </w:pPr>
          </w:p>
        </w:tc>
      </w:tr>
      <w:tr w14:paraId="6C1F61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44F3DABC">
            <w:pPr>
              <w:shd w:val="clear"/>
              <w:jc w:val="center"/>
              <w:rPr>
                <w:color w:val="auto"/>
                <w:highlight w:val="none"/>
              </w:rPr>
            </w:pPr>
            <w:r>
              <w:rPr>
                <w:color w:val="auto"/>
                <w:highlight w:val="none"/>
              </w:rPr>
              <w:t>2</w:t>
            </w:r>
          </w:p>
        </w:tc>
        <w:tc>
          <w:tcPr>
            <w:tcW w:w="1516" w:type="dxa"/>
            <w:noWrap/>
            <w:vAlign w:val="center"/>
          </w:tcPr>
          <w:p w14:paraId="380B6251">
            <w:pPr>
              <w:shd w:val="clear"/>
              <w:jc w:val="center"/>
              <w:rPr>
                <w:color w:val="auto"/>
                <w:highlight w:val="none"/>
              </w:rPr>
            </w:pPr>
          </w:p>
        </w:tc>
        <w:tc>
          <w:tcPr>
            <w:tcW w:w="2116" w:type="dxa"/>
            <w:noWrap/>
            <w:vAlign w:val="center"/>
          </w:tcPr>
          <w:p w14:paraId="4D7E4E40">
            <w:pPr>
              <w:shd w:val="clear"/>
              <w:jc w:val="center"/>
              <w:rPr>
                <w:color w:val="auto"/>
                <w:highlight w:val="none"/>
              </w:rPr>
            </w:pPr>
          </w:p>
        </w:tc>
        <w:tc>
          <w:tcPr>
            <w:tcW w:w="1684" w:type="dxa"/>
            <w:noWrap/>
            <w:vAlign w:val="center"/>
          </w:tcPr>
          <w:p w14:paraId="08C46FD4">
            <w:pPr>
              <w:shd w:val="clear"/>
              <w:jc w:val="center"/>
              <w:rPr>
                <w:color w:val="auto"/>
                <w:highlight w:val="none"/>
              </w:rPr>
            </w:pPr>
          </w:p>
        </w:tc>
        <w:tc>
          <w:tcPr>
            <w:tcW w:w="1667" w:type="dxa"/>
            <w:noWrap/>
            <w:vAlign w:val="center"/>
          </w:tcPr>
          <w:p w14:paraId="3440FE5A">
            <w:pPr>
              <w:shd w:val="clear"/>
              <w:jc w:val="center"/>
              <w:rPr>
                <w:color w:val="auto"/>
                <w:highlight w:val="none"/>
              </w:rPr>
            </w:pPr>
          </w:p>
        </w:tc>
        <w:tc>
          <w:tcPr>
            <w:tcW w:w="765" w:type="dxa"/>
            <w:noWrap/>
            <w:vAlign w:val="center"/>
          </w:tcPr>
          <w:p w14:paraId="748AB285">
            <w:pPr>
              <w:shd w:val="clear"/>
              <w:jc w:val="center"/>
              <w:rPr>
                <w:color w:val="auto"/>
                <w:highlight w:val="none"/>
              </w:rPr>
            </w:pPr>
          </w:p>
        </w:tc>
      </w:tr>
      <w:tr w14:paraId="3E8FC1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1DF5FA49">
            <w:pPr>
              <w:shd w:val="clear"/>
              <w:jc w:val="center"/>
              <w:rPr>
                <w:color w:val="auto"/>
                <w:highlight w:val="none"/>
              </w:rPr>
            </w:pPr>
            <w:r>
              <w:rPr>
                <w:color w:val="auto"/>
                <w:highlight w:val="none"/>
              </w:rPr>
              <w:t>3</w:t>
            </w:r>
          </w:p>
        </w:tc>
        <w:tc>
          <w:tcPr>
            <w:tcW w:w="1516" w:type="dxa"/>
            <w:noWrap/>
            <w:vAlign w:val="center"/>
          </w:tcPr>
          <w:p w14:paraId="583E014F">
            <w:pPr>
              <w:shd w:val="clear"/>
              <w:jc w:val="center"/>
              <w:rPr>
                <w:color w:val="auto"/>
                <w:highlight w:val="none"/>
              </w:rPr>
            </w:pPr>
          </w:p>
        </w:tc>
        <w:tc>
          <w:tcPr>
            <w:tcW w:w="2116" w:type="dxa"/>
            <w:noWrap/>
            <w:vAlign w:val="center"/>
          </w:tcPr>
          <w:p w14:paraId="1FDFEDC3">
            <w:pPr>
              <w:shd w:val="clear"/>
              <w:jc w:val="center"/>
              <w:rPr>
                <w:color w:val="auto"/>
                <w:highlight w:val="none"/>
              </w:rPr>
            </w:pPr>
          </w:p>
        </w:tc>
        <w:tc>
          <w:tcPr>
            <w:tcW w:w="1684" w:type="dxa"/>
            <w:noWrap/>
            <w:vAlign w:val="center"/>
          </w:tcPr>
          <w:p w14:paraId="4EDE1F35">
            <w:pPr>
              <w:shd w:val="clear"/>
              <w:jc w:val="center"/>
              <w:rPr>
                <w:color w:val="auto"/>
                <w:highlight w:val="none"/>
              </w:rPr>
            </w:pPr>
          </w:p>
        </w:tc>
        <w:tc>
          <w:tcPr>
            <w:tcW w:w="1667" w:type="dxa"/>
            <w:noWrap/>
            <w:vAlign w:val="center"/>
          </w:tcPr>
          <w:p w14:paraId="4822739A">
            <w:pPr>
              <w:shd w:val="clear"/>
              <w:jc w:val="center"/>
              <w:rPr>
                <w:color w:val="auto"/>
                <w:highlight w:val="none"/>
              </w:rPr>
            </w:pPr>
          </w:p>
        </w:tc>
        <w:tc>
          <w:tcPr>
            <w:tcW w:w="765" w:type="dxa"/>
            <w:noWrap/>
            <w:vAlign w:val="center"/>
          </w:tcPr>
          <w:p w14:paraId="7D011B94">
            <w:pPr>
              <w:shd w:val="clear"/>
              <w:jc w:val="center"/>
              <w:rPr>
                <w:color w:val="auto"/>
                <w:highlight w:val="none"/>
              </w:rPr>
            </w:pPr>
          </w:p>
        </w:tc>
      </w:tr>
      <w:tr w14:paraId="55FE02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28842A49">
            <w:pPr>
              <w:shd w:val="clear"/>
              <w:jc w:val="center"/>
              <w:rPr>
                <w:color w:val="auto"/>
                <w:highlight w:val="none"/>
              </w:rPr>
            </w:pPr>
            <w:r>
              <w:rPr>
                <w:color w:val="auto"/>
                <w:highlight w:val="none"/>
              </w:rPr>
              <w:t>4</w:t>
            </w:r>
          </w:p>
        </w:tc>
        <w:tc>
          <w:tcPr>
            <w:tcW w:w="1516" w:type="dxa"/>
            <w:noWrap/>
            <w:vAlign w:val="center"/>
          </w:tcPr>
          <w:p w14:paraId="1D21D52A">
            <w:pPr>
              <w:shd w:val="clear"/>
              <w:jc w:val="center"/>
              <w:rPr>
                <w:color w:val="auto"/>
                <w:highlight w:val="none"/>
              </w:rPr>
            </w:pPr>
          </w:p>
        </w:tc>
        <w:tc>
          <w:tcPr>
            <w:tcW w:w="2116" w:type="dxa"/>
            <w:noWrap/>
            <w:vAlign w:val="center"/>
          </w:tcPr>
          <w:p w14:paraId="30393D9E">
            <w:pPr>
              <w:shd w:val="clear"/>
              <w:jc w:val="center"/>
              <w:rPr>
                <w:color w:val="auto"/>
                <w:highlight w:val="none"/>
              </w:rPr>
            </w:pPr>
          </w:p>
        </w:tc>
        <w:tc>
          <w:tcPr>
            <w:tcW w:w="1684" w:type="dxa"/>
            <w:noWrap/>
            <w:vAlign w:val="center"/>
          </w:tcPr>
          <w:p w14:paraId="6F3F4EAB">
            <w:pPr>
              <w:shd w:val="clear"/>
              <w:jc w:val="center"/>
              <w:rPr>
                <w:color w:val="auto"/>
                <w:highlight w:val="none"/>
              </w:rPr>
            </w:pPr>
          </w:p>
        </w:tc>
        <w:tc>
          <w:tcPr>
            <w:tcW w:w="1667" w:type="dxa"/>
            <w:noWrap/>
            <w:vAlign w:val="center"/>
          </w:tcPr>
          <w:p w14:paraId="205E4BF9">
            <w:pPr>
              <w:shd w:val="clear"/>
              <w:jc w:val="center"/>
              <w:rPr>
                <w:color w:val="auto"/>
                <w:highlight w:val="none"/>
              </w:rPr>
            </w:pPr>
          </w:p>
        </w:tc>
        <w:tc>
          <w:tcPr>
            <w:tcW w:w="765" w:type="dxa"/>
            <w:noWrap/>
            <w:vAlign w:val="center"/>
          </w:tcPr>
          <w:p w14:paraId="41A60B68">
            <w:pPr>
              <w:shd w:val="clear"/>
              <w:jc w:val="center"/>
              <w:rPr>
                <w:color w:val="auto"/>
                <w:highlight w:val="none"/>
              </w:rPr>
            </w:pPr>
          </w:p>
        </w:tc>
      </w:tr>
      <w:tr w14:paraId="6031E4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63B7DE2C">
            <w:pPr>
              <w:shd w:val="clear"/>
              <w:jc w:val="center"/>
              <w:rPr>
                <w:color w:val="auto"/>
                <w:highlight w:val="none"/>
              </w:rPr>
            </w:pPr>
            <w:r>
              <w:rPr>
                <w:color w:val="auto"/>
                <w:highlight w:val="none"/>
              </w:rPr>
              <w:t>5</w:t>
            </w:r>
          </w:p>
        </w:tc>
        <w:tc>
          <w:tcPr>
            <w:tcW w:w="1516" w:type="dxa"/>
            <w:noWrap/>
            <w:vAlign w:val="center"/>
          </w:tcPr>
          <w:p w14:paraId="340A3F4B">
            <w:pPr>
              <w:shd w:val="clear"/>
              <w:jc w:val="center"/>
              <w:rPr>
                <w:color w:val="auto"/>
                <w:highlight w:val="none"/>
              </w:rPr>
            </w:pPr>
          </w:p>
        </w:tc>
        <w:tc>
          <w:tcPr>
            <w:tcW w:w="2116" w:type="dxa"/>
            <w:noWrap/>
            <w:vAlign w:val="center"/>
          </w:tcPr>
          <w:p w14:paraId="0337AED0">
            <w:pPr>
              <w:shd w:val="clear"/>
              <w:jc w:val="center"/>
              <w:rPr>
                <w:color w:val="auto"/>
                <w:highlight w:val="none"/>
              </w:rPr>
            </w:pPr>
          </w:p>
        </w:tc>
        <w:tc>
          <w:tcPr>
            <w:tcW w:w="1684" w:type="dxa"/>
            <w:noWrap/>
            <w:vAlign w:val="center"/>
          </w:tcPr>
          <w:p w14:paraId="7B3E41BC">
            <w:pPr>
              <w:shd w:val="clear"/>
              <w:jc w:val="center"/>
              <w:rPr>
                <w:color w:val="auto"/>
                <w:highlight w:val="none"/>
              </w:rPr>
            </w:pPr>
          </w:p>
        </w:tc>
        <w:tc>
          <w:tcPr>
            <w:tcW w:w="1667" w:type="dxa"/>
            <w:noWrap/>
            <w:vAlign w:val="center"/>
          </w:tcPr>
          <w:p w14:paraId="43318CC4">
            <w:pPr>
              <w:shd w:val="clear"/>
              <w:jc w:val="center"/>
              <w:rPr>
                <w:color w:val="auto"/>
                <w:highlight w:val="none"/>
              </w:rPr>
            </w:pPr>
          </w:p>
        </w:tc>
        <w:tc>
          <w:tcPr>
            <w:tcW w:w="765" w:type="dxa"/>
            <w:noWrap/>
            <w:vAlign w:val="center"/>
          </w:tcPr>
          <w:p w14:paraId="5C6EBEA4">
            <w:pPr>
              <w:shd w:val="clear"/>
              <w:jc w:val="center"/>
              <w:rPr>
                <w:color w:val="auto"/>
                <w:highlight w:val="none"/>
              </w:rPr>
            </w:pPr>
          </w:p>
        </w:tc>
      </w:tr>
      <w:tr w14:paraId="70CD5B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928" w:type="dxa"/>
            <w:noWrap/>
            <w:vAlign w:val="center"/>
          </w:tcPr>
          <w:p w14:paraId="4334975C">
            <w:pPr>
              <w:shd w:val="clear"/>
              <w:jc w:val="center"/>
              <w:rPr>
                <w:color w:val="auto"/>
                <w:highlight w:val="none"/>
              </w:rPr>
            </w:pPr>
            <w:r>
              <w:rPr>
                <w:color w:val="auto"/>
                <w:highlight w:val="none"/>
              </w:rPr>
              <w:t>……</w:t>
            </w:r>
          </w:p>
        </w:tc>
        <w:tc>
          <w:tcPr>
            <w:tcW w:w="1516" w:type="dxa"/>
            <w:noWrap/>
            <w:vAlign w:val="center"/>
          </w:tcPr>
          <w:p w14:paraId="6F709777">
            <w:pPr>
              <w:shd w:val="clear"/>
              <w:jc w:val="center"/>
              <w:rPr>
                <w:color w:val="auto"/>
                <w:highlight w:val="none"/>
              </w:rPr>
            </w:pPr>
          </w:p>
        </w:tc>
        <w:tc>
          <w:tcPr>
            <w:tcW w:w="2116" w:type="dxa"/>
            <w:noWrap/>
            <w:vAlign w:val="center"/>
          </w:tcPr>
          <w:p w14:paraId="65033238">
            <w:pPr>
              <w:shd w:val="clear"/>
              <w:jc w:val="center"/>
              <w:rPr>
                <w:color w:val="auto"/>
                <w:highlight w:val="none"/>
              </w:rPr>
            </w:pPr>
          </w:p>
        </w:tc>
        <w:tc>
          <w:tcPr>
            <w:tcW w:w="1684" w:type="dxa"/>
            <w:noWrap/>
            <w:vAlign w:val="center"/>
          </w:tcPr>
          <w:p w14:paraId="4B34E417">
            <w:pPr>
              <w:shd w:val="clear"/>
              <w:jc w:val="center"/>
              <w:rPr>
                <w:color w:val="auto"/>
                <w:highlight w:val="none"/>
              </w:rPr>
            </w:pPr>
          </w:p>
        </w:tc>
        <w:tc>
          <w:tcPr>
            <w:tcW w:w="1667" w:type="dxa"/>
            <w:noWrap/>
            <w:vAlign w:val="center"/>
          </w:tcPr>
          <w:p w14:paraId="3C69F805">
            <w:pPr>
              <w:shd w:val="clear"/>
              <w:jc w:val="center"/>
              <w:rPr>
                <w:color w:val="auto"/>
                <w:highlight w:val="none"/>
              </w:rPr>
            </w:pPr>
          </w:p>
        </w:tc>
        <w:tc>
          <w:tcPr>
            <w:tcW w:w="765" w:type="dxa"/>
            <w:noWrap/>
            <w:vAlign w:val="center"/>
          </w:tcPr>
          <w:p w14:paraId="45FAB420">
            <w:pPr>
              <w:shd w:val="clear"/>
              <w:jc w:val="center"/>
              <w:rPr>
                <w:color w:val="auto"/>
                <w:highlight w:val="none"/>
              </w:rPr>
            </w:pPr>
          </w:p>
        </w:tc>
      </w:tr>
    </w:tbl>
    <w:p w14:paraId="4C9B4A42">
      <w:pPr>
        <w:shd w:val="clear"/>
        <w:rPr>
          <w:color w:val="auto"/>
          <w:highlight w:val="none"/>
        </w:rPr>
      </w:pPr>
      <w:r>
        <w:rPr>
          <w:rFonts w:hint="eastAsia"/>
          <w:color w:val="auto"/>
          <w:highlight w:val="none"/>
        </w:rPr>
        <w:t>特别说明：</w:t>
      </w:r>
    </w:p>
    <w:p w14:paraId="41CFA136">
      <w:pPr>
        <w:shd w:val="clea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1.按照《招标文件-技术部分》技术要求内容要求，一一对应填写。</w:t>
      </w:r>
    </w:p>
    <w:p w14:paraId="001E002A">
      <w:pPr>
        <w:shd w:val="clear"/>
        <w:rPr>
          <w:color w:val="auto"/>
          <w:highlight w:val="none"/>
        </w:rPr>
      </w:pPr>
      <w:r>
        <w:rPr>
          <w:color w:val="000000" w:themeColor="text1"/>
          <w:highlight w:val="none"/>
          <w14:textFill>
            <w14:solidFill>
              <w14:schemeClr w14:val="tx1"/>
            </w14:solidFill>
          </w14:textFill>
        </w:rPr>
        <w:t>2.《招标文件-技术部分》技术要求内容</w:t>
      </w:r>
      <w:r>
        <w:rPr>
          <w:rFonts w:hint="eastAsia"/>
          <w:color w:val="000000" w:themeColor="text1"/>
          <w:highlight w:val="none"/>
          <w:lang w:val="en-US" w:eastAsia="zh-CN"/>
          <w14:textFill>
            <w14:solidFill>
              <w14:schemeClr w14:val="tx1"/>
            </w14:solidFill>
          </w14:textFill>
        </w:rPr>
        <w:t>应</w:t>
      </w:r>
      <w:r>
        <w:rPr>
          <w:color w:val="000000" w:themeColor="text1"/>
          <w:highlight w:val="none"/>
          <w14:textFill>
            <w14:solidFill>
              <w14:schemeClr w14:val="tx1"/>
            </w14:solidFill>
          </w14:textFill>
        </w:rPr>
        <w:t>条对条应答。</w:t>
      </w:r>
      <w:r>
        <w:rPr>
          <w:color w:val="auto"/>
          <w:highlight w:val="none"/>
        </w:rPr>
        <w:t>如无偏离，请在此表中填写“无偏离”。如有偏离，请在此表中应答为“正/负偏离”并说明偏离情况。</w:t>
      </w:r>
      <w:r>
        <w:rPr>
          <w:rFonts w:hint="eastAsia"/>
          <w:color w:val="auto"/>
          <w:highlight w:val="none"/>
          <w:lang w:eastAsia="zh-CN"/>
        </w:rPr>
        <w:t>除★号要求外，</w:t>
      </w:r>
      <w:r>
        <w:rPr>
          <w:color w:val="auto"/>
          <w:highlight w:val="none"/>
        </w:rPr>
        <w:t>未在技术条款偏离表中列出的部分，采购人将视同</w:t>
      </w:r>
      <w:r>
        <w:rPr>
          <w:rFonts w:hint="eastAsia"/>
          <w:color w:val="auto"/>
          <w:highlight w:val="none"/>
          <w:lang w:eastAsia="zh-CN"/>
        </w:rPr>
        <w:t>投标人</w:t>
      </w:r>
      <w:r>
        <w:rPr>
          <w:color w:val="auto"/>
          <w:highlight w:val="none"/>
        </w:rPr>
        <w:t>满足《招标文件-技术部分》技术要求的对应内容，无偏离。如中标人在签约时，以未在投标文件技术条款偏离表中列出的内容为由对招标文件的规定提出任何异议，</w:t>
      </w:r>
      <w:r>
        <w:rPr>
          <w:rFonts w:hint="eastAsia"/>
          <w:color w:val="auto"/>
          <w:highlight w:val="none"/>
          <w:lang w:val="en-US" w:eastAsia="zh-CN"/>
        </w:rPr>
        <w:t>拒不签订采购合同的，</w:t>
      </w:r>
      <w:r>
        <w:rPr>
          <w:color w:val="auto"/>
          <w:highlight w:val="none"/>
        </w:rPr>
        <w:t>将导致投标保证金被没收并取消中标资格。同时采购人有权按评标时的排名顺序，另行确定中标人。</w:t>
      </w:r>
    </w:p>
    <w:p w14:paraId="059D9F75">
      <w:pPr>
        <w:shd w:val="clear"/>
        <w:rPr>
          <w:color w:val="auto"/>
          <w:highlight w:val="none"/>
        </w:rPr>
      </w:pPr>
      <w:r>
        <w:rPr>
          <w:color w:val="auto"/>
          <w:highlight w:val="none"/>
        </w:rPr>
        <w:t>3.如《招标文件-技术部分》技术要求中有标注</w:t>
      </w:r>
      <w:r>
        <w:rPr>
          <w:rFonts w:ascii="Segoe UI Symbol" w:hAnsi="Segoe UI Symbol" w:cs="Segoe UI Symbol"/>
          <w:color w:val="auto"/>
          <w:highlight w:val="none"/>
        </w:rPr>
        <w:t>★</w:t>
      </w:r>
      <w:r>
        <w:rPr>
          <w:color w:val="auto"/>
          <w:highlight w:val="none"/>
        </w:rPr>
        <w:t>号的，则为实质性要求，必须满足，如应答为“负偏离”，将导致投标无效。</w:t>
      </w:r>
    </w:p>
    <w:p w14:paraId="03A61301">
      <w:pPr>
        <w:shd w:val="clear"/>
        <w:rPr>
          <w:color w:val="auto"/>
          <w:highlight w:val="none"/>
        </w:rPr>
      </w:pPr>
    </w:p>
    <w:p w14:paraId="3D54F4AD">
      <w:pPr>
        <w:pStyle w:val="35"/>
        <w:shd w:val="clear"/>
        <w:spacing w:after="156"/>
        <w:rPr>
          <w:color w:val="auto"/>
          <w:sz w:val="21"/>
          <w:szCs w:val="21"/>
          <w:highlight w:val="none"/>
        </w:rPr>
      </w:pPr>
    </w:p>
    <w:p w14:paraId="5273FF41">
      <w:pPr>
        <w:shd w:val="clear"/>
        <w:rPr>
          <w:rFonts w:cs="宋体"/>
          <w:color w:val="auto"/>
          <w:highlight w:val="none"/>
        </w:rPr>
      </w:pPr>
      <w:r>
        <w:rPr>
          <w:rFonts w:hint="eastAsia" w:cs="宋体"/>
          <w:color w:val="auto"/>
          <w:highlight w:val="none"/>
          <w:lang w:eastAsia="zh-CN"/>
        </w:rPr>
        <w:t>投标人</w:t>
      </w:r>
      <w:r>
        <w:rPr>
          <w:color w:val="auto"/>
          <w:highlight w:val="none"/>
        </w:rPr>
        <w:t>（全称并加盖公章</w:t>
      </w:r>
      <w:r>
        <w:rPr>
          <w:rFonts w:hint="eastAsia" w:cs="宋体"/>
          <w:color w:val="auto"/>
          <w:highlight w:val="none"/>
        </w:rPr>
        <w:t>）：</w:t>
      </w:r>
      <w:r>
        <w:rPr>
          <w:rFonts w:hint="eastAsia" w:cs="宋体"/>
          <w:color w:val="auto"/>
          <w:highlight w:val="none"/>
          <w:u w:val="single"/>
          <w:lang w:val="en-US" w:eastAsia="zh-CN"/>
        </w:rPr>
        <w:t xml:space="preserve">                </w:t>
      </w:r>
    </w:p>
    <w:p w14:paraId="6F29DE5B">
      <w:pPr>
        <w:shd w:val="clear"/>
        <w:rPr>
          <w:rFonts w:cs="宋体"/>
          <w:color w:val="auto"/>
          <w:highlight w:val="none"/>
        </w:rPr>
      </w:pPr>
      <w:r>
        <w:rPr>
          <w:rFonts w:hint="eastAsia"/>
          <w:color w:val="auto"/>
          <w:highlight w:val="none"/>
          <w:lang w:eastAsia="zh-CN"/>
        </w:rPr>
        <w:t>投标人</w:t>
      </w:r>
      <w:r>
        <w:rPr>
          <w:rFonts w:hint="eastAsia"/>
          <w:color w:val="auto"/>
          <w:highlight w:val="none"/>
        </w:rPr>
        <w:t>代表（签字或盖章）</w:t>
      </w:r>
      <w:r>
        <w:rPr>
          <w:rFonts w:hint="eastAsia" w:cs="宋体"/>
          <w:color w:val="auto"/>
          <w:highlight w:val="none"/>
        </w:rPr>
        <w:t>：</w:t>
      </w:r>
    </w:p>
    <w:p w14:paraId="29EB557D">
      <w:pPr>
        <w:shd w:val="clear"/>
        <w:rPr>
          <w:color w:val="auto"/>
          <w:highlight w:val="none"/>
        </w:rPr>
      </w:pPr>
      <w:r>
        <w:rPr>
          <w:rFonts w:hint="eastAsia"/>
          <w:color w:val="auto"/>
          <w:highlight w:val="none"/>
        </w:rPr>
        <w:t>日期：</w:t>
      </w:r>
    </w:p>
    <w:p w14:paraId="766B3F34">
      <w:pPr>
        <w:pStyle w:val="8"/>
        <w:shd w:val="clear"/>
        <w:jc w:val="center"/>
        <w:rPr>
          <w:color w:val="auto"/>
          <w:highlight w:val="none"/>
        </w:rPr>
      </w:pPr>
      <w:r>
        <w:rPr>
          <w:rFonts w:hint="eastAsia"/>
          <w:color w:val="auto"/>
          <w:sz w:val="24"/>
          <w:highlight w:val="none"/>
        </w:rPr>
        <w:br w:type="page"/>
      </w:r>
      <w:bookmarkStart w:id="174" w:name="_Toc7727"/>
      <w:r>
        <w:rPr>
          <w:rFonts w:hint="eastAsia" w:ascii="宋体" w:hAnsi="宋体" w:eastAsia="宋体" w:cs="宋体"/>
          <w:color w:val="auto"/>
          <w:highlight w:val="none"/>
        </w:rPr>
        <w:t>格式</w:t>
      </w:r>
      <w:r>
        <w:rPr>
          <w:rFonts w:hint="eastAsia" w:ascii="宋体" w:hAnsi="宋体" w:eastAsia="宋体" w:cs="宋体"/>
          <w:color w:val="auto"/>
          <w:highlight w:val="none"/>
          <w:lang w:val="en-US" w:eastAsia="zh-CN"/>
        </w:rPr>
        <w:t>12</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服务方案、实施方案及技术方案</w:t>
      </w:r>
      <w:bookmarkEnd w:id="174"/>
    </w:p>
    <w:p w14:paraId="41348988">
      <w:pPr>
        <w:keepNext w:val="0"/>
        <w:keepLines w:val="0"/>
        <w:pageBreakBefore w:val="0"/>
        <w:widowControl w:val="0"/>
        <w:kinsoku/>
        <w:wordWrap/>
        <w:overflowPunct/>
        <w:topLinePunct w:val="0"/>
        <w:autoSpaceDE/>
        <w:autoSpaceDN/>
        <w:bidi w:val="0"/>
        <w:adjustRightInd w:val="0"/>
        <w:snapToGrid w:val="0"/>
        <w:spacing w:after="0" w:line="360" w:lineRule="auto"/>
        <w:ind w:firstLine="0"/>
        <w:jc w:val="center"/>
        <w:textAlignment w:val="auto"/>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服务</w:t>
      </w:r>
      <w:r>
        <w:rPr>
          <w:rFonts w:hint="eastAsia" w:ascii="宋体" w:hAnsi="宋体" w:cs="宋体"/>
          <w:b/>
          <w:bCs/>
          <w:color w:val="auto"/>
          <w:sz w:val="28"/>
          <w:szCs w:val="28"/>
          <w:highlight w:val="none"/>
        </w:rPr>
        <w:t>方案</w:t>
      </w:r>
    </w:p>
    <w:p w14:paraId="52891B34">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(1)项目总体把控；</w:t>
      </w:r>
    </w:p>
    <w:p w14:paraId="0D9486B2">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(2)质量安全把控方案；</w:t>
      </w:r>
    </w:p>
    <w:p w14:paraId="0D8E4604">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(3)供应方案；</w:t>
      </w:r>
    </w:p>
    <w:p w14:paraId="5C5159B9">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(4)定价与结算要求方案；</w:t>
      </w:r>
    </w:p>
    <w:p w14:paraId="3C80C30C">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(5)应急保障方案；</w:t>
      </w:r>
    </w:p>
    <w:p w14:paraId="5C74C5ED">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w:t>
      </w:r>
      <w:r>
        <w:rPr>
          <w:rFonts w:hint="eastAsia" w:ascii="宋体" w:hAnsi="宋体"/>
          <w:color w:val="auto"/>
          <w:kern w:val="0"/>
          <w:sz w:val="21"/>
          <w:szCs w:val="21"/>
          <w:highlight w:val="none"/>
          <w:lang w:val="en-US" w:eastAsia="zh-CN"/>
        </w:rPr>
        <w:t>6</w:t>
      </w:r>
      <w:r>
        <w:rPr>
          <w:rFonts w:hint="eastAsia" w:ascii="宋体" w:hAnsi="宋体"/>
          <w:color w:val="auto"/>
          <w:kern w:val="0"/>
          <w:sz w:val="21"/>
          <w:szCs w:val="21"/>
          <w:highlight w:val="none"/>
        </w:rPr>
        <w:t>)合理化建议；</w:t>
      </w:r>
    </w:p>
    <w:p w14:paraId="07976601">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w:t>
      </w:r>
      <w:r>
        <w:rPr>
          <w:rFonts w:hint="eastAsia" w:ascii="宋体" w:hAnsi="宋体"/>
          <w:color w:val="auto"/>
          <w:kern w:val="0"/>
          <w:sz w:val="21"/>
          <w:szCs w:val="21"/>
          <w:highlight w:val="none"/>
          <w:lang w:val="en-US" w:eastAsia="zh-CN"/>
        </w:rPr>
        <w:t>7</w:t>
      </w:r>
      <w:r>
        <w:rPr>
          <w:rFonts w:hint="eastAsia" w:ascii="宋体" w:hAnsi="宋体"/>
          <w:color w:val="auto"/>
          <w:kern w:val="0"/>
          <w:sz w:val="21"/>
          <w:szCs w:val="21"/>
          <w:highlight w:val="none"/>
        </w:rPr>
        <w:t>)其他。</w:t>
      </w:r>
    </w:p>
    <w:p w14:paraId="6385460C">
      <w:pPr>
        <w:spacing w:after="0" w:line="240" w:lineRule="auto"/>
        <w:ind w:firstLine="420" w:firstLineChars="200"/>
        <w:rPr>
          <w:rFonts w:eastAsia="仿宋_GB2312"/>
          <w:color w:val="auto"/>
          <w:szCs w:val="21"/>
          <w:highlight w:val="none"/>
        </w:rPr>
      </w:pPr>
    </w:p>
    <w:p w14:paraId="1B707420">
      <w:pPr>
        <w:keepNext w:val="0"/>
        <w:keepLines w:val="0"/>
        <w:pageBreakBefore w:val="0"/>
        <w:widowControl w:val="0"/>
        <w:kinsoku/>
        <w:wordWrap/>
        <w:overflowPunct/>
        <w:topLinePunct w:val="0"/>
        <w:autoSpaceDE/>
        <w:autoSpaceDN/>
        <w:bidi w:val="0"/>
        <w:adjustRightInd w:val="0"/>
        <w:snapToGrid w:val="0"/>
        <w:spacing w:after="0" w:line="360" w:lineRule="auto"/>
        <w:ind w:firstLine="0"/>
        <w:jc w:val="center"/>
        <w:textAlignment w:val="auto"/>
        <w:outlineLvl w:val="9"/>
        <w:rPr>
          <w:rFonts w:hint="eastAsia" w:ascii="宋体" w:hAnsi="宋体" w:cs="宋体"/>
          <w:b/>
          <w:bCs/>
          <w:color w:val="auto"/>
          <w:sz w:val="28"/>
          <w:szCs w:val="28"/>
          <w:highlight w:val="none"/>
          <w:lang w:val="en-US" w:eastAsia="zh-CN"/>
        </w:rPr>
      </w:pPr>
      <w:bookmarkStart w:id="175" w:name="_Toc12844"/>
      <w:r>
        <w:rPr>
          <w:rFonts w:hint="eastAsia" w:ascii="宋体" w:hAnsi="宋体" w:cs="宋体"/>
          <w:b/>
          <w:bCs/>
          <w:color w:val="auto"/>
          <w:sz w:val="28"/>
          <w:szCs w:val="28"/>
          <w:highlight w:val="none"/>
          <w:lang w:val="en-US" w:eastAsia="zh-CN"/>
        </w:rPr>
        <w:t>实施方案</w:t>
      </w:r>
    </w:p>
    <w:p w14:paraId="76556A9E">
      <w:pPr>
        <w:spacing w:line="360" w:lineRule="auto"/>
        <w:ind w:firstLine="420" w:firstLineChars="200"/>
        <w:jc w:val="left"/>
        <w:rPr>
          <w:rFonts w:ascii="宋体" w:hAnsi="宋体"/>
          <w:color w:val="auto"/>
          <w:kern w:val="0"/>
          <w:sz w:val="21"/>
          <w:szCs w:val="21"/>
          <w:highlight w:val="none"/>
        </w:rPr>
      </w:pPr>
      <w:r>
        <w:rPr>
          <w:rFonts w:hint="eastAsia" w:ascii="宋体" w:hAnsi="宋体"/>
          <w:color w:val="auto"/>
          <w:kern w:val="0"/>
          <w:sz w:val="21"/>
          <w:szCs w:val="21"/>
          <w:highlight w:val="none"/>
        </w:rPr>
        <w:t>(示例略)</w:t>
      </w:r>
    </w:p>
    <w:p w14:paraId="2CF9D10E">
      <w:pPr>
        <w:keepNext w:val="0"/>
        <w:keepLines w:val="0"/>
        <w:pageBreakBefore w:val="0"/>
        <w:widowControl w:val="0"/>
        <w:kinsoku/>
        <w:wordWrap/>
        <w:overflowPunct/>
        <w:topLinePunct w:val="0"/>
        <w:autoSpaceDE/>
        <w:autoSpaceDN/>
        <w:bidi w:val="0"/>
        <w:adjustRightInd w:val="0"/>
        <w:snapToGrid w:val="0"/>
        <w:spacing w:after="0" w:line="360" w:lineRule="auto"/>
        <w:ind w:firstLine="0"/>
        <w:jc w:val="center"/>
        <w:textAlignment w:val="auto"/>
        <w:outlineLvl w:val="9"/>
        <w:rPr>
          <w:rFonts w:hint="eastAsia" w:ascii="宋体" w:hAnsi="宋体" w:cs="宋体"/>
          <w:b/>
          <w:bCs/>
          <w:color w:val="auto"/>
          <w:sz w:val="28"/>
          <w:szCs w:val="28"/>
          <w:highlight w:val="none"/>
          <w:lang w:val="en-US" w:eastAsia="zh-CN"/>
        </w:rPr>
      </w:pPr>
    </w:p>
    <w:p w14:paraId="46FA5B1D">
      <w:pPr>
        <w:keepNext w:val="0"/>
        <w:keepLines w:val="0"/>
        <w:pageBreakBefore w:val="0"/>
        <w:widowControl w:val="0"/>
        <w:kinsoku/>
        <w:wordWrap/>
        <w:overflowPunct/>
        <w:topLinePunct w:val="0"/>
        <w:autoSpaceDE/>
        <w:autoSpaceDN/>
        <w:bidi w:val="0"/>
        <w:adjustRightInd w:val="0"/>
        <w:snapToGrid w:val="0"/>
        <w:spacing w:after="0" w:line="360" w:lineRule="auto"/>
        <w:ind w:firstLine="0"/>
        <w:jc w:val="center"/>
        <w:textAlignment w:val="auto"/>
        <w:outlineLvl w:val="9"/>
        <w:rPr>
          <w:rFonts w:ascii="宋体" w:hAnsi="宋体" w:cs="宋体"/>
          <w:b/>
          <w:bCs/>
          <w:color w:val="auto"/>
          <w:sz w:val="28"/>
          <w:szCs w:val="28"/>
          <w:highlight w:val="none"/>
        </w:rPr>
      </w:pPr>
      <w:r>
        <w:rPr>
          <w:rFonts w:hint="eastAsia" w:ascii="宋体" w:hAnsi="宋体" w:cs="宋体"/>
          <w:b/>
          <w:bCs/>
          <w:color w:val="auto"/>
          <w:sz w:val="28"/>
          <w:szCs w:val="28"/>
          <w:highlight w:val="none"/>
        </w:rPr>
        <w:t>技术方案</w:t>
      </w:r>
      <w:bookmarkEnd w:id="175"/>
    </w:p>
    <w:p w14:paraId="46E953F3">
      <w:pPr>
        <w:numPr>
          <w:ilvl w:val="0"/>
          <w:numId w:val="0"/>
        </w:numPr>
        <w:ind w:firstLine="420" w:firstLineChars="200"/>
        <w:jc w:val="left"/>
        <w:rPr>
          <w:rFonts w:hint="eastAsia"/>
          <w:highlight w:val="none"/>
          <w:lang w:val="en-US" w:eastAsia="zh-CN"/>
        </w:rPr>
      </w:pPr>
      <w:r>
        <w:rPr>
          <w:rFonts w:hint="eastAsia" w:ascii="宋体" w:hAnsi="宋体"/>
          <w:color w:val="auto"/>
          <w:kern w:val="0"/>
          <w:sz w:val="21"/>
          <w:szCs w:val="21"/>
          <w:highlight w:val="none"/>
          <w:lang w:eastAsia="zh-CN"/>
        </w:rPr>
        <w:br w:type="page"/>
      </w:r>
    </w:p>
    <w:p w14:paraId="26553490">
      <w:pPr>
        <w:pStyle w:val="8"/>
        <w:shd w:val="clear"/>
        <w:jc w:val="center"/>
        <w:rPr>
          <w:rFonts w:hint="eastAsia" w:ascii="宋体" w:hAnsi="宋体" w:eastAsia="宋体" w:cs="宋体"/>
          <w:color w:val="auto"/>
          <w:highlight w:val="none"/>
        </w:rPr>
      </w:pPr>
      <w:bookmarkStart w:id="176" w:name="_Toc18678"/>
      <w:r>
        <w:rPr>
          <w:rFonts w:hint="eastAsia" w:ascii="宋体" w:hAnsi="宋体" w:eastAsia="宋体" w:cs="宋体"/>
          <w:color w:val="auto"/>
          <w:highlight w:val="none"/>
        </w:rPr>
        <w:t>格式</w:t>
      </w:r>
      <w:bookmarkStart w:id="177" w:name="_Toc231801039"/>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技术力量一览表</w:t>
      </w:r>
      <w:bookmarkEnd w:id="176"/>
    </w:p>
    <w:tbl>
      <w:tblPr>
        <w:tblStyle w:val="27"/>
        <w:tblW w:w="8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356"/>
        <w:gridCol w:w="1187"/>
        <w:gridCol w:w="1189"/>
        <w:gridCol w:w="1275"/>
        <w:gridCol w:w="1243"/>
        <w:gridCol w:w="1916"/>
      </w:tblGrid>
      <w:tr w14:paraId="28449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19FD7D72">
            <w:pPr>
              <w:shd w:val="clear"/>
              <w:jc w:val="center"/>
              <w:rPr>
                <w:color w:val="auto"/>
                <w:highlight w:val="none"/>
              </w:rPr>
            </w:pPr>
            <w:r>
              <w:rPr>
                <w:color w:val="auto"/>
                <w:highlight w:val="none"/>
              </w:rPr>
              <w:t>序号</w:t>
            </w:r>
          </w:p>
        </w:tc>
        <w:tc>
          <w:tcPr>
            <w:tcW w:w="1356" w:type="dxa"/>
            <w:tcBorders>
              <w:top w:val="single" w:color="auto" w:sz="4" w:space="0"/>
              <w:left w:val="single" w:color="auto" w:sz="4" w:space="0"/>
              <w:bottom w:val="single" w:color="auto" w:sz="4" w:space="0"/>
              <w:right w:val="single" w:color="auto" w:sz="4" w:space="0"/>
            </w:tcBorders>
            <w:noWrap/>
            <w:vAlign w:val="center"/>
          </w:tcPr>
          <w:p w14:paraId="68C731EF">
            <w:pPr>
              <w:shd w:val="clear"/>
              <w:jc w:val="center"/>
              <w:rPr>
                <w:color w:val="auto"/>
                <w:highlight w:val="none"/>
              </w:rPr>
            </w:pPr>
            <w:r>
              <w:rPr>
                <w:color w:val="auto"/>
                <w:highlight w:val="none"/>
              </w:rPr>
              <w:t>姓 名</w:t>
            </w:r>
          </w:p>
        </w:tc>
        <w:tc>
          <w:tcPr>
            <w:tcW w:w="1187" w:type="dxa"/>
            <w:tcBorders>
              <w:top w:val="single" w:color="auto" w:sz="4" w:space="0"/>
              <w:left w:val="single" w:color="auto" w:sz="4" w:space="0"/>
              <w:bottom w:val="single" w:color="auto" w:sz="4" w:space="0"/>
              <w:right w:val="single" w:color="auto" w:sz="4" w:space="0"/>
            </w:tcBorders>
            <w:noWrap/>
            <w:vAlign w:val="center"/>
          </w:tcPr>
          <w:p w14:paraId="07433EB8">
            <w:pPr>
              <w:shd w:val="clear"/>
              <w:jc w:val="center"/>
              <w:rPr>
                <w:color w:val="auto"/>
                <w:highlight w:val="none"/>
              </w:rPr>
            </w:pPr>
            <w:r>
              <w:rPr>
                <w:color w:val="auto"/>
                <w:highlight w:val="none"/>
              </w:rPr>
              <w:t>技术职称</w:t>
            </w:r>
          </w:p>
        </w:tc>
        <w:tc>
          <w:tcPr>
            <w:tcW w:w="1189" w:type="dxa"/>
            <w:tcBorders>
              <w:top w:val="single" w:color="auto" w:sz="4" w:space="0"/>
              <w:left w:val="single" w:color="auto" w:sz="4" w:space="0"/>
              <w:bottom w:val="single" w:color="auto" w:sz="4" w:space="0"/>
              <w:right w:val="single" w:color="auto" w:sz="4" w:space="0"/>
            </w:tcBorders>
            <w:noWrap/>
            <w:vAlign w:val="center"/>
          </w:tcPr>
          <w:p w14:paraId="3CA16BFA">
            <w:pPr>
              <w:shd w:val="clear"/>
              <w:jc w:val="center"/>
              <w:rPr>
                <w:color w:val="auto"/>
                <w:highlight w:val="none"/>
              </w:rPr>
            </w:pPr>
            <w:r>
              <w:rPr>
                <w:color w:val="auto"/>
                <w:highlight w:val="none"/>
              </w:rPr>
              <w:t>人员级别</w:t>
            </w:r>
          </w:p>
        </w:tc>
        <w:tc>
          <w:tcPr>
            <w:tcW w:w="1275" w:type="dxa"/>
            <w:tcBorders>
              <w:top w:val="single" w:color="auto" w:sz="4" w:space="0"/>
              <w:left w:val="single" w:color="auto" w:sz="4" w:space="0"/>
              <w:bottom w:val="single" w:color="auto" w:sz="4" w:space="0"/>
              <w:right w:val="single" w:color="auto" w:sz="4" w:space="0"/>
            </w:tcBorders>
            <w:noWrap/>
            <w:vAlign w:val="center"/>
          </w:tcPr>
          <w:p w14:paraId="61F9285A">
            <w:pPr>
              <w:shd w:val="clear"/>
              <w:jc w:val="center"/>
              <w:rPr>
                <w:color w:val="auto"/>
                <w:highlight w:val="none"/>
              </w:rPr>
            </w:pPr>
            <w:r>
              <w:rPr>
                <w:color w:val="auto"/>
                <w:highlight w:val="none"/>
              </w:rPr>
              <w:t>工作年限</w:t>
            </w:r>
          </w:p>
        </w:tc>
        <w:tc>
          <w:tcPr>
            <w:tcW w:w="1243" w:type="dxa"/>
            <w:tcBorders>
              <w:top w:val="single" w:color="auto" w:sz="4" w:space="0"/>
              <w:left w:val="single" w:color="auto" w:sz="4" w:space="0"/>
              <w:bottom w:val="single" w:color="auto" w:sz="4" w:space="0"/>
              <w:right w:val="single" w:color="auto" w:sz="4" w:space="0"/>
            </w:tcBorders>
            <w:noWrap/>
            <w:vAlign w:val="center"/>
          </w:tcPr>
          <w:p w14:paraId="54E9FBE9">
            <w:pPr>
              <w:shd w:val="clear"/>
              <w:jc w:val="center"/>
              <w:rPr>
                <w:color w:val="auto"/>
                <w:highlight w:val="none"/>
              </w:rPr>
            </w:pPr>
            <w:r>
              <w:rPr>
                <w:color w:val="auto"/>
                <w:highlight w:val="none"/>
              </w:rPr>
              <w:t>本项目中担任职务</w:t>
            </w:r>
          </w:p>
        </w:tc>
        <w:tc>
          <w:tcPr>
            <w:tcW w:w="1916" w:type="dxa"/>
            <w:tcBorders>
              <w:top w:val="single" w:color="auto" w:sz="4" w:space="0"/>
              <w:left w:val="single" w:color="auto" w:sz="4" w:space="0"/>
              <w:bottom w:val="single" w:color="auto" w:sz="4" w:space="0"/>
              <w:right w:val="single" w:color="auto" w:sz="4" w:space="0"/>
            </w:tcBorders>
            <w:noWrap/>
            <w:vAlign w:val="center"/>
          </w:tcPr>
          <w:p w14:paraId="55CF2AD8">
            <w:pPr>
              <w:shd w:val="clear"/>
              <w:jc w:val="center"/>
              <w:rPr>
                <w:color w:val="auto"/>
                <w:highlight w:val="none"/>
              </w:rPr>
            </w:pPr>
            <w:r>
              <w:rPr>
                <w:color w:val="auto"/>
                <w:highlight w:val="none"/>
              </w:rPr>
              <w:t>认证情况</w:t>
            </w:r>
          </w:p>
        </w:tc>
      </w:tr>
      <w:tr w14:paraId="79408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60" w:type="dxa"/>
            <w:gridSpan w:val="7"/>
            <w:tcBorders>
              <w:top w:val="single" w:color="auto" w:sz="4" w:space="0"/>
              <w:left w:val="single" w:color="auto" w:sz="4" w:space="0"/>
              <w:bottom w:val="single" w:color="auto" w:sz="4" w:space="0"/>
              <w:right w:val="single" w:color="auto" w:sz="4" w:space="0"/>
            </w:tcBorders>
            <w:noWrap/>
            <w:vAlign w:val="center"/>
          </w:tcPr>
          <w:p w14:paraId="2CE7273D">
            <w:pPr>
              <w:shd w:val="clear"/>
              <w:rPr>
                <w:color w:val="auto"/>
                <w:highlight w:val="none"/>
              </w:rPr>
            </w:pPr>
            <w:r>
              <w:rPr>
                <w:color w:val="auto"/>
                <w:highlight w:val="none"/>
              </w:rPr>
              <w:t>项目管理人员</w:t>
            </w:r>
          </w:p>
          <w:p w14:paraId="1987762B">
            <w:pPr>
              <w:shd w:val="clear"/>
              <w:rPr>
                <w:color w:val="auto"/>
                <w:highlight w:val="none"/>
              </w:rPr>
            </w:pPr>
            <w:r>
              <w:rPr>
                <w:color w:val="auto"/>
                <w:highlight w:val="none"/>
              </w:rPr>
              <w:t>（一）项目负责人</w:t>
            </w:r>
          </w:p>
        </w:tc>
      </w:tr>
      <w:tr w14:paraId="06F5D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60C52420">
            <w:pPr>
              <w:shd w:val="clear"/>
              <w:rPr>
                <w:color w:val="auto"/>
                <w:highlight w:val="none"/>
              </w:rPr>
            </w:pPr>
            <w:r>
              <w:rPr>
                <w:color w:val="auto"/>
                <w:highlight w:val="none"/>
              </w:rPr>
              <w:t>1</w:t>
            </w:r>
          </w:p>
        </w:tc>
        <w:tc>
          <w:tcPr>
            <w:tcW w:w="1356" w:type="dxa"/>
            <w:tcBorders>
              <w:top w:val="single" w:color="auto" w:sz="4" w:space="0"/>
              <w:left w:val="single" w:color="auto" w:sz="4" w:space="0"/>
              <w:bottom w:val="single" w:color="auto" w:sz="4" w:space="0"/>
              <w:right w:val="single" w:color="auto" w:sz="4" w:space="0"/>
            </w:tcBorders>
            <w:noWrap/>
            <w:vAlign w:val="center"/>
          </w:tcPr>
          <w:p w14:paraId="69085A53">
            <w:pPr>
              <w:shd w:val="clear"/>
              <w:rPr>
                <w:color w:val="auto"/>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0D542FAF">
            <w:pPr>
              <w:shd w:val="clear"/>
              <w:rPr>
                <w:color w:val="auto"/>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5A3F6888">
            <w:pPr>
              <w:shd w:val="clear"/>
              <w:rPr>
                <w:color w:val="auto"/>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1A1F4607">
            <w:pPr>
              <w:shd w:val="clear"/>
              <w:rPr>
                <w:color w:val="auto"/>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41EDB7B1">
            <w:pPr>
              <w:shd w:val="clear"/>
              <w:rPr>
                <w:color w:val="auto"/>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0571356A">
            <w:pPr>
              <w:shd w:val="clear"/>
              <w:rPr>
                <w:color w:val="auto"/>
                <w:highlight w:val="none"/>
              </w:rPr>
            </w:pPr>
          </w:p>
        </w:tc>
      </w:tr>
      <w:tr w14:paraId="38DB0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48BC68C5">
            <w:pPr>
              <w:shd w:val="clear"/>
              <w:rPr>
                <w:color w:val="auto"/>
                <w:highlight w:val="none"/>
              </w:rPr>
            </w:pPr>
            <w:r>
              <w:rPr>
                <w:color w:val="auto"/>
                <w:highlight w:val="none"/>
              </w:rPr>
              <w:t>2</w:t>
            </w:r>
          </w:p>
        </w:tc>
        <w:tc>
          <w:tcPr>
            <w:tcW w:w="1356" w:type="dxa"/>
            <w:tcBorders>
              <w:top w:val="single" w:color="auto" w:sz="4" w:space="0"/>
              <w:left w:val="single" w:color="auto" w:sz="4" w:space="0"/>
              <w:bottom w:val="single" w:color="auto" w:sz="4" w:space="0"/>
              <w:right w:val="single" w:color="auto" w:sz="4" w:space="0"/>
            </w:tcBorders>
            <w:noWrap/>
            <w:vAlign w:val="center"/>
          </w:tcPr>
          <w:p w14:paraId="3363405E">
            <w:pPr>
              <w:shd w:val="clear"/>
              <w:rPr>
                <w:color w:val="auto"/>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14658AC1">
            <w:pPr>
              <w:shd w:val="clear"/>
              <w:rPr>
                <w:color w:val="auto"/>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233164C8">
            <w:pPr>
              <w:shd w:val="clear"/>
              <w:rPr>
                <w:color w:val="auto"/>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08F159FC">
            <w:pPr>
              <w:shd w:val="clear"/>
              <w:rPr>
                <w:color w:val="auto"/>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2C24CC8F">
            <w:pPr>
              <w:shd w:val="clear"/>
              <w:rPr>
                <w:color w:val="auto"/>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27CCBAD3">
            <w:pPr>
              <w:shd w:val="clear"/>
              <w:rPr>
                <w:color w:val="auto"/>
                <w:highlight w:val="none"/>
              </w:rPr>
            </w:pPr>
          </w:p>
        </w:tc>
      </w:tr>
      <w:tr w14:paraId="40F10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0F6D37DD">
            <w:pPr>
              <w:shd w:val="clear"/>
              <w:rPr>
                <w:color w:val="auto"/>
                <w:highlight w:val="none"/>
              </w:rPr>
            </w:pPr>
            <w:r>
              <w:rPr>
                <w:color w:val="auto"/>
                <w:highlight w:val="none"/>
              </w:rPr>
              <w:t>……</w:t>
            </w:r>
          </w:p>
        </w:tc>
        <w:tc>
          <w:tcPr>
            <w:tcW w:w="1356" w:type="dxa"/>
            <w:tcBorders>
              <w:top w:val="single" w:color="auto" w:sz="4" w:space="0"/>
              <w:left w:val="single" w:color="auto" w:sz="4" w:space="0"/>
              <w:bottom w:val="single" w:color="auto" w:sz="4" w:space="0"/>
              <w:right w:val="single" w:color="auto" w:sz="4" w:space="0"/>
            </w:tcBorders>
            <w:noWrap/>
            <w:vAlign w:val="center"/>
          </w:tcPr>
          <w:p w14:paraId="6C44608C">
            <w:pPr>
              <w:shd w:val="clear"/>
              <w:rPr>
                <w:color w:val="auto"/>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128C2AC4">
            <w:pPr>
              <w:shd w:val="clear"/>
              <w:rPr>
                <w:color w:val="auto"/>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09D79D12">
            <w:pPr>
              <w:shd w:val="clear"/>
              <w:rPr>
                <w:color w:val="auto"/>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52B89CAE">
            <w:pPr>
              <w:shd w:val="clear"/>
              <w:rPr>
                <w:color w:val="auto"/>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052BB5D2">
            <w:pPr>
              <w:shd w:val="clear"/>
              <w:rPr>
                <w:color w:val="auto"/>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2EFE84B7">
            <w:pPr>
              <w:shd w:val="clear"/>
              <w:rPr>
                <w:color w:val="auto"/>
                <w:highlight w:val="none"/>
              </w:rPr>
            </w:pPr>
          </w:p>
        </w:tc>
      </w:tr>
      <w:tr w14:paraId="48A48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0" w:type="dxa"/>
            <w:gridSpan w:val="7"/>
            <w:tcBorders>
              <w:top w:val="single" w:color="auto" w:sz="4" w:space="0"/>
              <w:left w:val="single" w:color="auto" w:sz="4" w:space="0"/>
              <w:bottom w:val="single" w:color="auto" w:sz="4" w:space="0"/>
              <w:right w:val="single" w:color="auto" w:sz="4" w:space="0"/>
            </w:tcBorders>
            <w:noWrap/>
            <w:vAlign w:val="center"/>
          </w:tcPr>
          <w:p w14:paraId="6247626A">
            <w:pPr>
              <w:shd w:val="clear"/>
              <w:rPr>
                <w:color w:val="auto"/>
                <w:highlight w:val="none"/>
              </w:rPr>
            </w:pPr>
            <w:r>
              <w:rPr>
                <w:color w:val="auto"/>
                <w:highlight w:val="none"/>
              </w:rPr>
              <w:t>（二）技术负责人</w:t>
            </w:r>
          </w:p>
        </w:tc>
      </w:tr>
      <w:tr w14:paraId="6CB20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2848E7A2">
            <w:pPr>
              <w:shd w:val="clear"/>
              <w:rPr>
                <w:color w:val="auto"/>
                <w:highlight w:val="none"/>
              </w:rPr>
            </w:pPr>
            <w:r>
              <w:rPr>
                <w:color w:val="auto"/>
                <w:highlight w:val="none"/>
              </w:rPr>
              <w:t>1</w:t>
            </w:r>
          </w:p>
        </w:tc>
        <w:tc>
          <w:tcPr>
            <w:tcW w:w="1356" w:type="dxa"/>
            <w:tcBorders>
              <w:top w:val="single" w:color="auto" w:sz="4" w:space="0"/>
              <w:left w:val="single" w:color="auto" w:sz="4" w:space="0"/>
              <w:bottom w:val="single" w:color="auto" w:sz="4" w:space="0"/>
              <w:right w:val="single" w:color="auto" w:sz="4" w:space="0"/>
            </w:tcBorders>
            <w:noWrap/>
            <w:vAlign w:val="center"/>
          </w:tcPr>
          <w:p w14:paraId="46EE24C9">
            <w:pPr>
              <w:shd w:val="clear"/>
              <w:rPr>
                <w:color w:val="auto"/>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206E0E38">
            <w:pPr>
              <w:shd w:val="clear"/>
              <w:rPr>
                <w:color w:val="auto"/>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020A37E2">
            <w:pPr>
              <w:shd w:val="clear"/>
              <w:rPr>
                <w:color w:val="auto"/>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21842939">
            <w:pPr>
              <w:shd w:val="clear"/>
              <w:rPr>
                <w:color w:val="auto"/>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46208229">
            <w:pPr>
              <w:shd w:val="clear"/>
              <w:rPr>
                <w:color w:val="auto"/>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3043C353">
            <w:pPr>
              <w:shd w:val="clear"/>
              <w:rPr>
                <w:color w:val="auto"/>
                <w:highlight w:val="none"/>
              </w:rPr>
            </w:pPr>
          </w:p>
        </w:tc>
      </w:tr>
      <w:tr w14:paraId="7FF64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62510753">
            <w:pPr>
              <w:shd w:val="clear"/>
              <w:rPr>
                <w:color w:val="auto"/>
                <w:highlight w:val="none"/>
              </w:rPr>
            </w:pPr>
            <w:r>
              <w:rPr>
                <w:color w:val="auto"/>
                <w:highlight w:val="none"/>
              </w:rPr>
              <w:t>2</w:t>
            </w:r>
          </w:p>
        </w:tc>
        <w:tc>
          <w:tcPr>
            <w:tcW w:w="1356" w:type="dxa"/>
            <w:tcBorders>
              <w:top w:val="single" w:color="auto" w:sz="4" w:space="0"/>
              <w:left w:val="single" w:color="auto" w:sz="4" w:space="0"/>
              <w:bottom w:val="single" w:color="auto" w:sz="4" w:space="0"/>
              <w:right w:val="single" w:color="auto" w:sz="4" w:space="0"/>
            </w:tcBorders>
            <w:noWrap/>
            <w:vAlign w:val="center"/>
          </w:tcPr>
          <w:p w14:paraId="05D94050">
            <w:pPr>
              <w:shd w:val="clear"/>
              <w:rPr>
                <w:color w:val="auto"/>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2EFBA122">
            <w:pPr>
              <w:shd w:val="clear"/>
              <w:rPr>
                <w:color w:val="auto"/>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69F9DE76">
            <w:pPr>
              <w:shd w:val="clear"/>
              <w:rPr>
                <w:color w:val="auto"/>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202D6C2E">
            <w:pPr>
              <w:shd w:val="clear"/>
              <w:rPr>
                <w:color w:val="auto"/>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7BCEECA4">
            <w:pPr>
              <w:shd w:val="clear"/>
              <w:rPr>
                <w:color w:val="auto"/>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21A72A45">
            <w:pPr>
              <w:shd w:val="clear"/>
              <w:rPr>
                <w:color w:val="auto"/>
                <w:highlight w:val="none"/>
              </w:rPr>
            </w:pPr>
          </w:p>
        </w:tc>
      </w:tr>
      <w:tr w14:paraId="76351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5E22C56B">
            <w:pPr>
              <w:shd w:val="clear"/>
              <w:rPr>
                <w:color w:val="auto"/>
                <w:highlight w:val="none"/>
              </w:rPr>
            </w:pPr>
            <w:r>
              <w:rPr>
                <w:color w:val="auto"/>
                <w:highlight w:val="none"/>
              </w:rPr>
              <w:t>……</w:t>
            </w:r>
          </w:p>
        </w:tc>
        <w:tc>
          <w:tcPr>
            <w:tcW w:w="1356" w:type="dxa"/>
            <w:tcBorders>
              <w:top w:val="single" w:color="auto" w:sz="4" w:space="0"/>
              <w:left w:val="single" w:color="auto" w:sz="4" w:space="0"/>
              <w:bottom w:val="single" w:color="auto" w:sz="4" w:space="0"/>
              <w:right w:val="single" w:color="auto" w:sz="4" w:space="0"/>
            </w:tcBorders>
            <w:noWrap/>
            <w:vAlign w:val="center"/>
          </w:tcPr>
          <w:p w14:paraId="0BB35145">
            <w:pPr>
              <w:shd w:val="clear"/>
              <w:rPr>
                <w:color w:val="auto"/>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63B0B6AD">
            <w:pPr>
              <w:shd w:val="clear"/>
              <w:rPr>
                <w:color w:val="auto"/>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2294E1A2">
            <w:pPr>
              <w:shd w:val="clear"/>
              <w:rPr>
                <w:color w:val="auto"/>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1A3A92FF">
            <w:pPr>
              <w:shd w:val="clear"/>
              <w:rPr>
                <w:color w:val="auto"/>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44EDA097">
            <w:pPr>
              <w:shd w:val="clear"/>
              <w:rPr>
                <w:color w:val="auto"/>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6B4787E4">
            <w:pPr>
              <w:shd w:val="clear"/>
              <w:rPr>
                <w:color w:val="auto"/>
                <w:highlight w:val="none"/>
              </w:rPr>
            </w:pPr>
          </w:p>
        </w:tc>
      </w:tr>
      <w:tr w14:paraId="0F32C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0" w:type="dxa"/>
            <w:gridSpan w:val="7"/>
            <w:tcBorders>
              <w:top w:val="single" w:color="auto" w:sz="4" w:space="0"/>
              <w:left w:val="single" w:color="auto" w:sz="4" w:space="0"/>
              <w:bottom w:val="single" w:color="auto" w:sz="4" w:space="0"/>
              <w:right w:val="single" w:color="auto" w:sz="4" w:space="0"/>
            </w:tcBorders>
            <w:noWrap/>
            <w:vAlign w:val="center"/>
          </w:tcPr>
          <w:p w14:paraId="64E2049E">
            <w:pPr>
              <w:shd w:val="clear"/>
              <w:rPr>
                <w:color w:val="auto"/>
                <w:highlight w:val="none"/>
              </w:rPr>
            </w:pPr>
            <w:r>
              <w:rPr>
                <w:color w:val="auto"/>
                <w:highlight w:val="none"/>
              </w:rPr>
              <w:t>二、XX人员</w:t>
            </w:r>
          </w:p>
        </w:tc>
      </w:tr>
      <w:tr w14:paraId="4E367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30D388D0">
            <w:pPr>
              <w:shd w:val="clear"/>
              <w:rPr>
                <w:color w:val="auto"/>
                <w:highlight w:val="none"/>
              </w:rPr>
            </w:pPr>
            <w:r>
              <w:rPr>
                <w:color w:val="auto"/>
                <w:highlight w:val="none"/>
              </w:rPr>
              <w:t>1</w:t>
            </w:r>
          </w:p>
        </w:tc>
        <w:tc>
          <w:tcPr>
            <w:tcW w:w="1356" w:type="dxa"/>
            <w:tcBorders>
              <w:top w:val="single" w:color="auto" w:sz="4" w:space="0"/>
              <w:left w:val="single" w:color="auto" w:sz="4" w:space="0"/>
              <w:bottom w:val="single" w:color="auto" w:sz="4" w:space="0"/>
              <w:right w:val="single" w:color="auto" w:sz="4" w:space="0"/>
            </w:tcBorders>
            <w:noWrap/>
            <w:vAlign w:val="center"/>
          </w:tcPr>
          <w:p w14:paraId="09BBCBF7">
            <w:pPr>
              <w:shd w:val="clear"/>
              <w:rPr>
                <w:color w:val="auto"/>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03F64A10">
            <w:pPr>
              <w:shd w:val="clear"/>
              <w:rPr>
                <w:color w:val="auto"/>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357CAA5F">
            <w:pPr>
              <w:shd w:val="clear"/>
              <w:rPr>
                <w:color w:val="auto"/>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3E7A067C">
            <w:pPr>
              <w:shd w:val="clear"/>
              <w:rPr>
                <w:color w:val="auto"/>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34EBF43B">
            <w:pPr>
              <w:shd w:val="clear"/>
              <w:rPr>
                <w:color w:val="auto"/>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0CE52826">
            <w:pPr>
              <w:shd w:val="clear"/>
              <w:rPr>
                <w:color w:val="auto"/>
                <w:highlight w:val="none"/>
              </w:rPr>
            </w:pPr>
          </w:p>
        </w:tc>
      </w:tr>
      <w:tr w14:paraId="10555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1FB13960">
            <w:pPr>
              <w:shd w:val="clear"/>
              <w:rPr>
                <w:color w:val="auto"/>
                <w:highlight w:val="none"/>
              </w:rPr>
            </w:pPr>
            <w:r>
              <w:rPr>
                <w:color w:val="auto"/>
                <w:highlight w:val="none"/>
              </w:rPr>
              <w:t>2</w:t>
            </w:r>
          </w:p>
        </w:tc>
        <w:tc>
          <w:tcPr>
            <w:tcW w:w="1356" w:type="dxa"/>
            <w:tcBorders>
              <w:top w:val="single" w:color="auto" w:sz="4" w:space="0"/>
              <w:left w:val="single" w:color="auto" w:sz="4" w:space="0"/>
              <w:bottom w:val="single" w:color="auto" w:sz="4" w:space="0"/>
              <w:right w:val="single" w:color="auto" w:sz="4" w:space="0"/>
            </w:tcBorders>
            <w:noWrap/>
            <w:vAlign w:val="center"/>
          </w:tcPr>
          <w:p w14:paraId="1B134845">
            <w:pPr>
              <w:shd w:val="clear"/>
              <w:rPr>
                <w:color w:val="auto"/>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3E240399">
            <w:pPr>
              <w:shd w:val="clear"/>
              <w:rPr>
                <w:color w:val="auto"/>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16DC8B87">
            <w:pPr>
              <w:shd w:val="clear"/>
              <w:rPr>
                <w:color w:val="auto"/>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6EFD4B66">
            <w:pPr>
              <w:shd w:val="clear"/>
              <w:rPr>
                <w:color w:val="auto"/>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5386A8B4">
            <w:pPr>
              <w:shd w:val="clear"/>
              <w:rPr>
                <w:color w:val="auto"/>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2268C9FE">
            <w:pPr>
              <w:shd w:val="clear"/>
              <w:rPr>
                <w:color w:val="auto"/>
                <w:highlight w:val="none"/>
              </w:rPr>
            </w:pPr>
          </w:p>
        </w:tc>
      </w:tr>
      <w:tr w14:paraId="1C14C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tcBorders>
              <w:top w:val="single" w:color="auto" w:sz="4" w:space="0"/>
              <w:left w:val="single" w:color="auto" w:sz="4" w:space="0"/>
              <w:bottom w:val="single" w:color="auto" w:sz="4" w:space="0"/>
              <w:right w:val="single" w:color="auto" w:sz="4" w:space="0"/>
            </w:tcBorders>
            <w:noWrap/>
            <w:vAlign w:val="center"/>
          </w:tcPr>
          <w:p w14:paraId="6C3E3F84">
            <w:pPr>
              <w:shd w:val="clear"/>
              <w:rPr>
                <w:color w:val="auto"/>
                <w:highlight w:val="none"/>
              </w:rPr>
            </w:pPr>
            <w:r>
              <w:rPr>
                <w:color w:val="auto"/>
                <w:highlight w:val="none"/>
              </w:rPr>
              <w:t>……</w:t>
            </w:r>
          </w:p>
        </w:tc>
        <w:tc>
          <w:tcPr>
            <w:tcW w:w="1356" w:type="dxa"/>
            <w:tcBorders>
              <w:top w:val="single" w:color="auto" w:sz="4" w:space="0"/>
              <w:left w:val="single" w:color="auto" w:sz="4" w:space="0"/>
              <w:bottom w:val="single" w:color="auto" w:sz="4" w:space="0"/>
              <w:right w:val="single" w:color="auto" w:sz="4" w:space="0"/>
            </w:tcBorders>
            <w:noWrap/>
            <w:vAlign w:val="center"/>
          </w:tcPr>
          <w:p w14:paraId="413F5F59">
            <w:pPr>
              <w:shd w:val="clear"/>
              <w:rPr>
                <w:color w:val="auto"/>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1FD91E37">
            <w:pPr>
              <w:shd w:val="clear"/>
              <w:rPr>
                <w:color w:val="auto"/>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417A678A">
            <w:pPr>
              <w:shd w:val="clear"/>
              <w:rPr>
                <w:color w:val="auto"/>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0B113845">
            <w:pPr>
              <w:shd w:val="clear"/>
              <w:rPr>
                <w:color w:val="auto"/>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75A904FD">
            <w:pPr>
              <w:shd w:val="clear"/>
              <w:rPr>
                <w:color w:val="auto"/>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1B066E8D">
            <w:pPr>
              <w:shd w:val="clear"/>
              <w:rPr>
                <w:color w:val="auto"/>
                <w:highlight w:val="none"/>
              </w:rPr>
            </w:pPr>
          </w:p>
        </w:tc>
      </w:tr>
      <w:tr w14:paraId="053DD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0" w:type="dxa"/>
            <w:gridSpan w:val="7"/>
            <w:tcBorders>
              <w:top w:val="single" w:color="auto" w:sz="4" w:space="0"/>
              <w:left w:val="single" w:color="auto" w:sz="4" w:space="0"/>
              <w:bottom w:val="single" w:color="auto" w:sz="4" w:space="0"/>
              <w:right w:val="single" w:color="auto" w:sz="4" w:space="0"/>
            </w:tcBorders>
            <w:noWrap/>
            <w:vAlign w:val="center"/>
          </w:tcPr>
          <w:p w14:paraId="575C8B47">
            <w:pPr>
              <w:shd w:val="clear"/>
              <w:rPr>
                <w:color w:val="auto"/>
                <w:highlight w:val="none"/>
              </w:rPr>
            </w:pPr>
            <w:r>
              <w:rPr>
                <w:color w:val="auto"/>
                <w:highlight w:val="none"/>
              </w:rPr>
              <w:t>三、XX人员</w:t>
            </w:r>
          </w:p>
        </w:tc>
      </w:tr>
      <w:tr w14:paraId="031F5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noWrap/>
            <w:vAlign w:val="center"/>
          </w:tcPr>
          <w:p w14:paraId="6ADEC99D">
            <w:pPr>
              <w:shd w:val="clear"/>
              <w:rPr>
                <w:color w:val="auto"/>
                <w:highlight w:val="none"/>
              </w:rPr>
            </w:pPr>
            <w:r>
              <w:rPr>
                <w:color w:val="auto"/>
                <w:highlight w:val="none"/>
              </w:rPr>
              <w:t>1</w:t>
            </w:r>
          </w:p>
        </w:tc>
        <w:tc>
          <w:tcPr>
            <w:tcW w:w="1356" w:type="dxa"/>
            <w:noWrap/>
            <w:vAlign w:val="center"/>
          </w:tcPr>
          <w:p w14:paraId="7E4C0BB8">
            <w:pPr>
              <w:shd w:val="clear"/>
              <w:rPr>
                <w:color w:val="auto"/>
                <w:highlight w:val="none"/>
              </w:rPr>
            </w:pPr>
          </w:p>
        </w:tc>
        <w:tc>
          <w:tcPr>
            <w:tcW w:w="1187" w:type="dxa"/>
            <w:noWrap/>
            <w:vAlign w:val="center"/>
          </w:tcPr>
          <w:p w14:paraId="047007B5">
            <w:pPr>
              <w:shd w:val="clear"/>
              <w:rPr>
                <w:color w:val="auto"/>
                <w:highlight w:val="none"/>
              </w:rPr>
            </w:pPr>
          </w:p>
        </w:tc>
        <w:tc>
          <w:tcPr>
            <w:tcW w:w="1189" w:type="dxa"/>
            <w:noWrap/>
            <w:vAlign w:val="center"/>
          </w:tcPr>
          <w:p w14:paraId="54E33FE4">
            <w:pPr>
              <w:shd w:val="clear"/>
              <w:rPr>
                <w:color w:val="auto"/>
                <w:highlight w:val="none"/>
              </w:rPr>
            </w:pPr>
          </w:p>
        </w:tc>
        <w:tc>
          <w:tcPr>
            <w:tcW w:w="1275" w:type="dxa"/>
            <w:noWrap/>
            <w:vAlign w:val="center"/>
          </w:tcPr>
          <w:p w14:paraId="16FFEC3A">
            <w:pPr>
              <w:shd w:val="clear"/>
              <w:rPr>
                <w:color w:val="auto"/>
                <w:highlight w:val="none"/>
              </w:rPr>
            </w:pPr>
          </w:p>
        </w:tc>
        <w:tc>
          <w:tcPr>
            <w:tcW w:w="1243" w:type="dxa"/>
            <w:noWrap/>
            <w:vAlign w:val="center"/>
          </w:tcPr>
          <w:p w14:paraId="298D4B55">
            <w:pPr>
              <w:shd w:val="clear"/>
              <w:rPr>
                <w:color w:val="auto"/>
                <w:highlight w:val="none"/>
              </w:rPr>
            </w:pPr>
          </w:p>
        </w:tc>
        <w:tc>
          <w:tcPr>
            <w:tcW w:w="1916" w:type="dxa"/>
            <w:noWrap/>
            <w:vAlign w:val="center"/>
          </w:tcPr>
          <w:p w14:paraId="466A1C41">
            <w:pPr>
              <w:shd w:val="clear"/>
              <w:rPr>
                <w:color w:val="auto"/>
                <w:highlight w:val="none"/>
              </w:rPr>
            </w:pPr>
          </w:p>
        </w:tc>
      </w:tr>
      <w:tr w14:paraId="023A9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noWrap/>
            <w:vAlign w:val="center"/>
          </w:tcPr>
          <w:p w14:paraId="186423E2">
            <w:pPr>
              <w:shd w:val="clear"/>
              <w:rPr>
                <w:color w:val="auto"/>
                <w:highlight w:val="none"/>
              </w:rPr>
            </w:pPr>
            <w:r>
              <w:rPr>
                <w:color w:val="auto"/>
                <w:highlight w:val="none"/>
              </w:rPr>
              <w:t>2</w:t>
            </w:r>
          </w:p>
        </w:tc>
        <w:tc>
          <w:tcPr>
            <w:tcW w:w="1356" w:type="dxa"/>
            <w:noWrap/>
            <w:vAlign w:val="center"/>
          </w:tcPr>
          <w:p w14:paraId="1EF9A196">
            <w:pPr>
              <w:shd w:val="clear"/>
              <w:rPr>
                <w:color w:val="auto"/>
                <w:highlight w:val="none"/>
              </w:rPr>
            </w:pPr>
          </w:p>
        </w:tc>
        <w:tc>
          <w:tcPr>
            <w:tcW w:w="1187" w:type="dxa"/>
            <w:noWrap/>
            <w:vAlign w:val="center"/>
          </w:tcPr>
          <w:p w14:paraId="7CCDFD64">
            <w:pPr>
              <w:shd w:val="clear"/>
              <w:rPr>
                <w:color w:val="auto"/>
                <w:highlight w:val="none"/>
              </w:rPr>
            </w:pPr>
          </w:p>
        </w:tc>
        <w:tc>
          <w:tcPr>
            <w:tcW w:w="1189" w:type="dxa"/>
            <w:noWrap/>
            <w:vAlign w:val="center"/>
          </w:tcPr>
          <w:p w14:paraId="39904C69">
            <w:pPr>
              <w:shd w:val="clear"/>
              <w:rPr>
                <w:color w:val="auto"/>
                <w:highlight w:val="none"/>
              </w:rPr>
            </w:pPr>
          </w:p>
        </w:tc>
        <w:tc>
          <w:tcPr>
            <w:tcW w:w="1275" w:type="dxa"/>
            <w:noWrap/>
            <w:vAlign w:val="center"/>
          </w:tcPr>
          <w:p w14:paraId="4643A1A4">
            <w:pPr>
              <w:shd w:val="clear"/>
              <w:rPr>
                <w:color w:val="auto"/>
                <w:highlight w:val="none"/>
              </w:rPr>
            </w:pPr>
          </w:p>
        </w:tc>
        <w:tc>
          <w:tcPr>
            <w:tcW w:w="1243" w:type="dxa"/>
            <w:noWrap/>
            <w:vAlign w:val="center"/>
          </w:tcPr>
          <w:p w14:paraId="17FD43E9">
            <w:pPr>
              <w:shd w:val="clear"/>
              <w:rPr>
                <w:color w:val="auto"/>
                <w:highlight w:val="none"/>
              </w:rPr>
            </w:pPr>
          </w:p>
        </w:tc>
        <w:tc>
          <w:tcPr>
            <w:tcW w:w="1916" w:type="dxa"/>
            <w:noWrap/>
            <w:vAlign w:val="center"/>
          </w:tcPr>
          <w:p w14:paraId="60E3A6D0">
            <w:pPr>
              <w:shd w:val="clear"/>
              <w:rPr>
                <w:color w:val="auto"/>
                <w:highlight w:val="none"/>
              </w:rPr>
            </w:pPr>
          </w:p>
        </w:tc>
      </w:tr>
      <w:tr w14:paraId="758A2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noWrap/>
            <w:vAlign w:val="center"/>
          </w:tcPr>
          <w:p w14:paraId="321140DF">
            <w:pPr>
              <w:shd w:val="clear"/>
              <w:rPr>
                <w:color w:val="auto"/>
                <w:highlight w:val="none"/>
              </w:rPr>
            </w:pPr>
            <w:r>
              <w:rPr>
                <w:color w:val="auto"/>
                <w:highlight w:val="none"/>
              </w:rPr>
              <w:t>……</w:t>
            </w:r>
          </w:p>
        </w:tc>
        <w:tc>
          <w:tcPr>
            <w:tcW w:w="1356" w:type="dxa"/>
            <w:noWrap/>
            <w:vAlign w:val="center"/>
          </w:tcPr>
          <w:p w14:paraId="7607A283">
            <w:pPr>
              <w:shd w:val="clear"/>
              <w:rPr>
                <w:color w:val="auto"/>
                <w:highlight w:val="none"/>
              </w:rPr>
            </w:pPr>
          </w:p>
        </w:tc>
        <w:tc>
          <w:tcPr>
            <w:tcW w:w="1187" w:type="dxa"/>
            <w:noWrap/>
            <w:vAlign w:val="center"/>
          </w:tcPr>
          <w:p w14:paraId="59D66ADB">
            <w:pPr>
              <w:shd w:val="clear"/>
              <w:rPr>
                <w:color w:val="auto"/>
                <w:highlight w:val="none"/>
              </w:rPr>
            </w:pPr>
          </w:p>
        </w:tc>
        <w:tc>
          <w:tcPr>
            <w:tcW w:w="1189" w:type="dxa"/>
            <w:noWrap/>
            <w:vAlign w:val="center"/>
          </w:tcPr>
          <w:p w14:paraId="753A1DC1">
            <w:pPr>
              <w:shd w:val="clear"/>
              <w:rPr>
                <w:color w:val="auto"/>
                <w:highlight w:val="none"/>
              </w:rPr>
            </w:pPr>
          </w:p>
        </w:tc>
        <w:tc>
          <w:tcPr>
            <w:tcW w:w="1275" w:type="dxa"/>
            <w:noWrap/>
            <w:vAlign w:val="center"/>
          </w:tcPr>
          <w:p w14:paraId="5407A6BE">
            <w:pPr>
              <w:shd w:val="clear"/>
              <w:rPr>
                <w:color w:val="auto"/>
                <w:highlight w:val="none"/>
              </w:rPr>
            </w:pPr>
          </w:p>
        </w:tc>
        <w:tc>
          <w:tcPr>
            <w:tcW w:w="1243" w:type="dxa"/>
            <w:noWrap/>
            <w:vAlign w:val="center"/>
          </w:tcPr>
          <w:p w14:paraId="461BD04C">
            <w:pPr>
              <w:shd w:val="clear"/>
              <w:rPr>
                <w:color w:val="auto"/>
                <w:highlight w:val="none"/>
              </w:rPr>
            </w:pPr>
          </w:p>
        </w:tc>
        <w:tc>
          <w:tcPr>
            <w:tcW w:w="1916" w:type="dxa"/>
            <w:noWrap/>
            <w:vAlign w:val="center"/>
          </w:tcPr>
          <w:p w14:paraId="1BCBA8F5">
            <w:pPr>
              <w:shd w:val="clear"/>
              <w:rPr>
                <w:color w:val="auto"/>
                <w:highlight w:val="none"/>
              </w:rPr>
            </w:pPr>
          </w:p>
        </w:tc>
      </w:tr>
      <w:bookmarkEnd w:id="177"/>
    </w:tbl>
    <w:p w14:paraId="0F936B3F">
      <w:pPr>
        <w:shd w:val="clear"/>
        <w:rPr>
          <w:color w:val="auto"/>
          <w:highlight w:val="none"/>
        </w:rPr>
      </w:pPr>
      <w:r>
        <w:rPr>
          <w:color w:val="auto"/>
          <w:highlight w:val="none"/>
        </w:rPr>
        <w:t>特别说明：</w:t>
      </w:r>
    </w:p>
    <w:p w14:paraId="03700C4B">
      <w:pPr>
        <w:shd w:val="clear"/>
        <w:rPr>
          <w:color w:val="auto"/>
          <w:highlight w:val="none"/>
        </w:rPr>
      </w:pPr>
      <w:r>
        <w:rPr>
          <w:rFonts w:hint="eastAsia"/>
          <w:color w:val="auto"/>
          <w:highlight w:val="none"/>
          <w:lang w:eastAsia="zh-CN"/>
        </w:rPr>
        <w:t>投标人</w:t>
      </w:r>
      <w:r>
        <w:rPr>
          <w:rFonts w:hint="eastAsia"/>
          <w:color w:val="auto"/>
          <w:highlight w:val="none"/>
          <w:lang w:val="en-US" w:eastAsia="zh-CN"/>
        </w:rPr>
        <w:t>应</w:t>
      </w:r>
      <w:r>
        <w:rPr>
          <w:rFonts w:hint="eastAsia"/>
          <w:color w:val="auto"/>
          <w:highlight w:val="none"/>
        </w:rPr>
        <w:t>按照上述格式填写投入本项目所有人员的相关信息。</w:t>
      </w:r>
    </w:p>
    <w:p w14:paraId="2C5FCB1A">
      <w:pPr>
        <w:shd w:val="clear"/>
        <w:rPr>
          <w:color w:val="auto"/>
          <w:w w:val="150"/>
          <w:highlight w:val="none"/>
          <w:shd w:val="clear" w:color="auto" w:fill="FFFF00"/>
        </w:rPr>
      </w:pPr>
    </w:p>
    <w:p w14:paraId="789371C2">
      <w:pPr>
        <w:pStyle w:val="8"/>
        <w:shd w:val="clear"/>
        <w:jc w:val="center"/>
        <w:rPr>
          <w:color w:val="auto"/>
          <w:highlight w:val="none"/>
        </w:rPr>
      </w:pPr>
      <w:r>
        <w:rPr>
          <w:rFonts w:hint="eastAsia"/>
          <w:color w:val="auto"/>
          <w:sz w:val="30"/>
          <w:szCs w:val="30"/>
          <w:highlight w:val="none"/>
        </w:rPr>
        <w:br w:type="page"/>
      </w:r>
      <w:bookmarkStart w:id="178" w:name="_Toc9559"/>
      <w:r>
        <w:rPr>
          <w:rFonts w:hint="eastAsia" w:ascii="宋体" w:hAnsi="宋体" w:eastAsia="宋体" w:cs="宋体"/>
          <w:color w:val="auto"/>
          <w:highlight w:val="none"/>
        </w:rPr>
        <w:t>格式1</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技术人员简历表</w:t>
      </w:r>
      <w:bookmarkEnd w:id="178"/>
    </w:p>
    <w:tbl>
      <w:tblPr>
        <w:tblStyle w:val="27"/>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3"/>
        <w:gridCol w:w="1713"/>
        <w:gridCol w:w="1505"/>
        <w:gridCol w:w="1388"/>
        <w:gridCol w:w="1796"/>
        <w:gridCol w:w="1263"/>
      </w:tblGrid>
      <w:tr w14:paraId="67AE5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63" w:type="dxa"/>
            <w:tcBorders>
              <w:top w:val="single" w:color="auto" w:sz="4" w:space="0"/>
              <w:left w:val="single" w:color="auto" w:sz="4" w:space="0"/>
              <w:bottom w:val="single" w:color="auto" w:sz="4" w:space="0"/>
              <w:right w:val="single" w:color="auto" w:sz="4" w:space="0"/>
            </w:tcBorders>
            <w:noWrap/>
            <w:vAlign w:val="center"/>
          </w:tcPr>
          <w:p w14:paraId="6C752C02">
            <w:pPr>
              <w:shd w:val="clear"/>
              <w:rPr>
                <w:color w:val="auto"/>
                <w:highlight w:val="none"/>
              </w:rPr>
            </w:pPr>
            <w:r>
              <w:rPr>
                <w:rFonts w:hint="eastAsia"/>
                <w:color w:val="auto"/>
                <w:highlight w:val="none"/>
              </w:rPr>
              <w:t>姓   名</w:t>
            </w:r>
          </w:p>
        </w:tc>
        <w:tc>
          <w:tcPr>
            <w:tcW w:w="1714" w:type="dxa"/>
            <w:tcBorders>
              <w:top w:val="single" w:color="auto" w:sz="4" w:space="0"/>
              <w:left w:val="single" w:color="auto" w:sz="4" w:space="0"/>
              <w:bottom w:val="single" w:color="auto" w:sz="4" w:space="0"/>
              <w:right w:val="single" w:color="auto" w:sz="4" w:space="0"/>
            </w:tcBorders>
            <w:noWrap/>
            <w:vAlign w:val="center"/>
          </w:tcPr>
          <w:p w14:paraId="74AD5976">
            <w:pPr>
              <w:shd w:val="clear"/>
              <w:rPr>
                <w:color w:val="auto"/>
                <w:highlight w:val="none"/>
              </w:rPr>
            </w:pPr>
          </w:p>
        </w:tc>
        <w:tc>
          <w:tcPr>
            <w:tcW w:w="1506" w:type="dxa"/>
            <w:tcBorders>
              <w:top w:val="single" w:color="auto" w:sz="4" w:space="0"/>
              <w:left w:val="single" w:color="auto" w:sz="4" w:space="0"/>
              <w:bottom w:val="single" w:color="auto" w:sz="4" w:space="0"/>
              <w:right w:val="single" w:color="auto" w:sz="4" w:space="0"/>
            </w:tcBorders>
            <w:noWrap/>
            <w:vAlign w:val="center"/>
          </w:tcPr>
          <w:p w14:paraId="2D300244">
            <w:pPr>
              <w:shd w:val="clear"/>
              <w:rPr>
                <w:color w:val="auto"/>
                <w:highlight w:val="none"/>
              </w:rPr>
            </w:pPr>
            <w:r>
              <w:rPr>
                <w:rFonts w:hint="eastAsia"/>
                <w:color w:val="auto"/>
                <w:highlight w:val="none"/>
              </w:rPr>
              <w:t>性    别</w:t>
            </w:r>
          </w:p>
        </w:tc>
        <w:tc>
          <w:tcPr>
            <w:tcW w:w="1385" w:type="dxa"/>
            <w:tcBorders>
              <w:top w:val="single" w:color="auto" w:sz="4" w:space="0"/>
              <w:left w:val="single" w:color="auto" w:sz="4" w:space="0"/>
              <w:bottom w:val="single" w:color="auto" w:sz="4" w:space="0"/>
              <w:right w:val="single" w:color="auto" w:sz="4" w:space="0"/>
            </w:tcBorders>
            <w:noWrap/>
            <w:vAlign w:val="center"/>
          </w:tcPr>
          <w:p w14:paraId="7598A6D1">
            <w:pPr>
              <w:shd w:val="clear"/>
              <w:rPr>
                <w:color w:val="auto"/>
                <w:highlight w:val="none"/>
              </w:rPr>
            </w:pPr>
          </w:p>
        </w:tc>
        <w:tc>
          <w:tcPr>
            <w:tcW w:w="1797" w:type="dxa"/>
            <w:tcBorders>
              <w:top w:val="single" w:color="auto" w:sz="4" w:space="0"/>
              <w:left w:val="single" w:color="auto" w:sz="4" w:space="0"/>
              <w:bottom w:val="single" w:color="auto" w:sz="4" w:space="0"/>
              <w:right w:val="single" w:color="auto" w:sz="4" w:space="0"/>
            </w:tcBorders>
            <w:noWrap/>
            <w:vAlign w:val="center"/>
          </w:tcPr>
          <w:p w14:paraId="723F8573">
            <w:pPr>
              <w:shd w:val="clear"/>
              <w:rPr>
                <w:color w:val="auto"/>
                <w:highlight w:val="none"/>
              </w:rPr>
            </w:pPr>
            <w:r>
              <w:rPr>
                <w:rFonts w:hint="eastAsia"/>
                <w:color w:val="auto"/>
                <w:highlight w:val="none"/>
              </w:rPr>
              <w:t>出生日期</w:t>
            </w:r>
          </w:p>
        </w:tc>
        <w:tc>
          <w:tcPr>
            <w:tcW w:w="1263" w:type="dxa"/>
            <w:tcBorders>
              <w:top w:val="single" w:color="auto" w:sz="4" w:space="0"/>
              <w:left w:val="single" w:color="auto" w:sz="4" w:space="0"/>
              <w:bottom w:val="single" w:color="auto" w:sz="4" w:space="0"/>
              <w:right w:val="single" w:color="auto" w:sz="4" w:space="0"/>
            </w:tcBorders>
            <w:noWrap/>
            <w:vAlign w:val="center"/>
          </w:tcPr>
          <w:p w14:paraId="56B805CC">
            <w:pPr>
              <w:shd w:val="clear"/>
              <w:rPr>
                <w:color w:val="auto"/>
                <w:highlight w:val="none"/>
              </w:rPr>
            </w:pPr>
          </w:p>
        </w:tc>
      </w:tr>
      <w:tr w14:paraId="37787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63" w:type="dxa"/>
            <w:tcBorders>
              <w:top w:val="single" w:color="auto" w:sz="4" w:space="0"/>
              <w:left w:val="single" w:color="auto" w:sz="4" w:space="0"/>
              <w:bottom w:val="single" w:color="auto" w:sz="4" w:space="0"/>
              <w:right w:val="single" w:color="auto" w:sz="4" w:space="0"/>
            </w:tcBorders>
            <w:noWrap/>
            <w:vAlign w:val="center"/>
          </w:tcPr>
          <w:p w14:paraId="609AC321">
            <w:pPr>
              <w:shd w:val="clear"/>
              <w:rPr>
                <w:color w:val="auto"/>
                <w:highlight w:val="none"/>
              </w:rPr>
            </w:pPr>
            <w:r>
              <w:rPr>
                <w:rFonts w:hint="eastAsia"/>
                <w:color w:val="auto"/>
                <w:highlight w:val="none"/>
              </w:rPr>
              <w:t>学   历</w:t>
            </w:r>
          </w:p>
        </w:tc>
        <w:tc>
          <w:tcPr>
            <w:tcW w:w="1714" w:type="dxa"/>
            <w:tcBorders>
              <w:top w:val="single" w:color="auto" w:sz="4" w:space="0"/>
              <w:left w:val="single" w:color="auto" w:sz="4" w:space="0"/>
              <w:bottom w:val="single" w:color="auto" w:sz="4" w:space="0"/>
              <w:right w:val="single" w:color="auto" w:sz="4" w:space="0"/>
            </w:tcBorders>
            <w:noWrap/>
            <w:vAlign w:val="center"/>
          </w:tcPr>
          <w:p w14:paraId="5DC7DB4E">
            <w:pPr>
              <w:shd w:val="clear"/>
              <w:rPr>
                <w:color w:val="auto"/>
                <w:highlight w:val="none"/>
              </w:rPr>
            </w:pPr>
          </w:p>
        </w:tc>
        <w:tc>
          <w:tcPr>
            <w:tcW w:w="1506" w:type="dxa"/>
            <w:tcBorders>
              <w:top w:val="single" w:color="auto" w:sz="4" w:space="0"/>
              <w:left w:val="single" w:color="auto" w:sz="4" w:space="0"/>
              <w:bottom w:val="single" w:color="auto" w:sz="4" w:space="0"/>
              <w:right w:val="single" w:color="auto" w:sz="4" w:space="0"/>
            </w:tcBorders>
            <w:noWrap/>
            <w:vAlign w:val="center"/>
          </w:tcPr>
          <w:p w14:paraId="3A51530D">
            <w:pPr>
              <w:shd w:val="clear"/>
              <w:rPr>
                <w:color w:val="auto"/>
                <w:highlight w:val="none"/>
              </w:rPr>
            </w:pPr>
            <w:r>
              <w:rPr>
                <w:rFonts w:hint="eastAsia"/>
                <w:color w:val="auto"/>
                <w:highlight w:val="none"/>
              </w:rPr>
              <w:t>毕业学校</w:t>
            </w:r>
          </w:p>
        </w:tc>
        <w:tc>
          <w:tcPr>
            <w:tcW w:w="1385" w:type="dxa"/>
            <w:tcBorders>
              <w:top w:val="single" w:color="auto" w:sz="4" w:space="0"/>
              <w:left w:val="single" w:color="auto" w:sz="4" w:space="0"/>
              <w:bottom w:val="single" w:color="auto" w:sz="4" w:space="0"/>
              <w:right w:val="single" w:color="auto" w:sz="4" w:space="0"/>
            </w:tcBorders>
            <w:noWrap/>
            <w:vAlign w:val="center"/>
          </w:tcPr>
          <w:p w14:paraId="54522512">
            <w:pPr>
              <w:shd w:val="clear"/>
              <w:rPr>
                <w:color w:val="auto"/>
                <w:highlight w:val="none"/>
              </w:rPr>
            </w:pPr>
          </w:p>
        </w:tc>
        <w:tc>
          <w:tcPr>
            <w:tcW w:w="1797" w:type="dxa"/>
            <w:tcBorders>
              <w:top w:val="single" w:color="auto" w:sz="4" w:space="0"/>
              <w:left w:val="single" w:color="auto" w:sz="4" w:space="0"/>
              <w:bottom w:val="single" w:color="auto" w:sz="4" w:space="0"/>
              <w:right w:val="single" w:color="auto" w:sz="4" w:space="0"/>
            </w:tcBorders>
            <w:noWrap/>
            <w:vAlign w:val="center"/>
          </w:tcPr>
          <w:p w14:paraId="3014C4CA">
            <w:pPr>
              <w:shd w:val="clear"/>
              <w:rPr>
                <w:color w:val="auto"/>
                <w:highlight w:val="none"/>
              </w:rPr>
            </w:pPr>
            <w:r>
              <w:rPr>
                <w:rFonts w:hint="eastAsia"/>
                <w:color w:val="auto"/>
                <w:highlight w:val="none"/>
              </w:rPr>
              <w:t>技术职称</w:t>
            </w:r>
          </w:p>
        </w:tc>
        <w:tc>
          <w:tcPr>
            <w:tcW w:w="1263" w:type="dxa"/>
            <w:tcBorders>
              <w:top w:val="single" w:color="auto" w:sz="4" w:space="0"/>
              <w:left w:val="single" w:color="auto" w:sz="4" w:space="0"/>
              <w:bottom w:val="single" w:color="auto" w:sz="4" w:space="0"/>
              <w:right w:val="single" w:color="auto" w:sz="4" w:space="0"/>
            </w:tcBorders>
            <w:noWrap/>
            <w:vAlign w:val="center"/>
          </w:tcPr>
          <w:p w14:paraId="30104972">
            <w:pPr>
              <w:shd w:val="clear"/>
              <w:rPr>
                <w:color w:val="auto"/>
                <w:highlight w:val="none"/>
              </w:rPr>
            </w:pPr>
          </w:p>
        </w:tc>
      </w:tr>
      <w:tr w14:paraId="75918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63" w:type="dxa"/>
            <w:tcBorders>
              <w:top w:val="single" w:color="auto" w:sz="4" w:space="0"/>
              <w:left w:val="single" w:color="auto" w:sz="4" w:space="0"/>
              <w:bottom w:val="single" w:color="auto" w:sz="4" w:space="0"/>
              <w:right w:val="single" w:color="auto" w:sz="4" w:space="0"/>
            </w:tcBorders>
            <w:noWrap/>
            <w:vAlign w:val="center"/>
          </w:tcPr>
          <w:p w14:paraId="78EF9225">
            <w:pPr>
              <w:shd w:val="clear"/>
              <w:rPr>
                <w:color w:val="auto"/>
                <w:highlight w:val="none"/>
              </w:rPr>
            </w:pPr>
            <w:r>
              <w:rPr>
                <w:rFonts w:hint="eastAsia"/>
                <w:color w:val="auto"/>
                <w:highlight w:val="none"/>
              </w:rPr>
              <w:t>公司职务</w:t>
            </w:r>
          </w:p>
        </w:tc>
        <w:tc>
          <w:tcPr>
            <w:tcW w:w="1714" w:type="dxa"/>
            <w:tcBorders>
              <w:top w:val="single" w:color="auto" w:sz="4" w:space="0"/>
              <w:left w:val="single" w:color="auto" w:sz="4" w:space="0"/>
              <w:bottom w:val="single" w:color="auto" w:sz="4" w:space="0"/>
              <w:right w:val="single" w:color="auto" w:sz="4" w:space="0"/>
            </w:tcBorders>
            <w:noWrap/>
            <w:vAlign w:val="center"/>
          </w:tcPr>
          <w:p w14:paraId="6C2030C3">
            <w:pPr>
              <w:shd w:val="clear"/>
              <w:rPr>
                <w:color w:val="auto"/>
                <w:highlight w:val="none"/>
              </w:rPr>
            </w:pPr>
          </w:p>
        </w:tc>
        <w:tc>
          <w:tcPr>
            <w:tcW w:w="1506" w:type="dxa"/>
            <w:tcBorders>
              <w:top w:val="single" w:color="auto" w:sz="4" w:space="0"/>
              <w:left w:val="single" w:color="auto" w:sz="4" w:space="0"/>
              <w:bottom w:val="single" w:color="auto" w:sz="4" w:space="0"/>
              <w:right w:val="single" w:color="auto" w:sz="4" w:space="0"/>
            </w:tcBorders>
            <w:noWrap/>
            <w:vAlign w:val="center"/>
          </w:tcPr>
          <w:p w14:paraId="05945F8A">
            <w:pPr>
              <w:shd w:val="clear"/>
              <w:rPr>
                <w:color w:val="auto"/>
                <w:highlight w:val="none"/>
              </w:rPr>
            </w:pPr>
            <w:r>
              <w:rPr>
                <w:rFonts w:hint="eastAsia"/>
                <w:color w:val="auto"/>
                <w:highlight w:val="none"/>
              </w:rPr>
              <w:t>任职时间</w:t>
            </w:r>
          </w:p>
        </w:tc>
        <w:tc>
          <w:tcPr>
            <w:tcW w:w="1385" w:type="dxa"/>
            <w:tcBorders>
              <w:top w:val="single" w:color="auto" w:sz="4" w:space="0"/>
              <w:left w:val="single" w:color="auto" w:sz="4" w:space="0"/>
              <w:bottom w:val="single" w:color="auto" w:sz="4" w:space="0"/>
              <w:right w:val="single" w:color="auto" w:sz="4" w:space="0"/>
            </w:tcBorders>
            <w:noWrap/>
            <w:vAlign w:val="center"/>
          </w:tcPr>
          <w:p w14:paraId="4FA50C80">
            <w:pPr>
              <w:shd w:val="clear"/>
              <w:rPr>
                <w:color w:val="auto"/>
                <w:highlight w:val="none"/>
              </w:rPr>
            </w:pPr>
          </w:p>
        </w:tc>
        <w:tc>
          <w:tcPr>
            <w:tcW w:w="1797" w:type="dxa"/>
            <w:tcBorders>
              <w:top w:val="single" w:color="auto" w:sz="4" w:space="0"/>
              <w:left w:val="single" w:color="auto" w:sz="4" w:space="0"/>
              <w:bottom w:val="single" w:color="auto" w:sz="4" w:space="0"/>
              <w:right w:val="single" w:color="auto" w:sz="4" w:space="0"/>
            </w:tcBorders>
            <w:noWrap/>
            <w:vAlign w:val="center"/>
          </w:tcPr>
          <w:p w14:paraId="0CB9DA28">
            <w:pPr>
              <w:shd w:val="clear"/>
              <w:rPr>
                <w:color w:val="auto"/>
                <w:highlight w:val="none"/>
              </w:rPr>
            </w:pPr>
            <w:r>
              <w:rPr>
                <w:rFonts w:hint="eastAsia"/>
                <w:color w:val="auto"/>
                <w:highlight w:val="none"/>
              </w:rPr>
              <w:t>本项目任职</w:t>
            </w:r>
          </w:p>
        </w:tc>
        <w:tc>
          <w:tcPr>
            <w:tcW w:w="1263" w:type="dxa"/>
            <w:tcBorders>
              <w:top w:val="single" w:color="auto" w:sz="4" w:space="0"/>
              <w:left w:val="single" w:color="auto" w:sz="4" w:space="0"/>
              <w:bottom w:val="single" w:color="auto" w:sz="4" w:space="0"/>
              <w:right w:val="single" w:color="auto" w:sz="4" w:space="0"/>
            </w:tcBorders>
            <w:noWrap/>
            <w:vAlign w:val="center"/>
          </w:tcPr>
          <w:p w14:paraId="651EEA64">
            <w:pPr>
              <w:shd w:val="clear"/>
              <w:rPr>
                <w:color w:val="auto"/>
                <w:highlight w:val="none"/>
              </w:rPr>
            </w:pPr>
          </w:p>
        </w:tc>
      </w:tr>
      <w:tr w14:paraId="19E21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263" w:type="dxa"/>
            <w:tcBorders>
              <w:top w:val="single" w:color="auto" w:sz="4" w:space="0"/>
              <w:left w:val="single" w:color="auto" w:sz="4" w:space="0"/>
              <w:bottom w:val="single" w:color="auto" w:sz="4" w:space="0"/>
              <w:right w:val="single" w:color="auto" w:sz="4" w:space="0"/>
            </w:tcBorders>
            <w:noWrap/>
            <w:vAlign w:val="center"/>
          </w:tcPr>
          <w:p w14:paraId="438C05FA">
            <w:pPr>
              <w:shd w:val="clear"/>
              <w:rPr>
                <w:color w:val="auto"/>
                <w:highlight w:val="none"/>
              </w:rPr>
            </w:pPr>
            <w:r>
              <w:rPr>
                <w:rFonts w:hint="eastAsia"/>
                <w:color w:val="auto"/>
                <w:highlight w:val="none"/>
              </w:rPr>
              <w:t>人员级别</w:t>
            </w:r>
          </w:p>
        </w:tc>
        <w:tc>
          <w:tcPr>
            <w:tcW w:w="1714" w:type="dxa"/>
            <w:tcBorders>
              <w:top w:val="single" w:color="auto" w:sz="4" w:space="0"/>
              <w:left w:val="single" w:color="auto" w:sz="4" w:space="0"/>
              <w:bottom w:val="single" w:color="auto" w:sz="4" w:space="0"/>
              <w:right w:val="single" w:color="auto" w:sz="4" w:space="0"/>
            </w:tcBorders>
            <w:noWrap/>
            <w:vAlign w:val="center"/>
          </w:tcPr>
          <w:p w14:paraId="06919B74">
            <w:pPr>
              <w:shd w:val="clear"/>
              <w:rPr>
                <w:color w:val="auto"/>
                <w:highlight w:val="none"/>
              </w:rPr>
            </w:pPr>
          </w:p>
        </w:tc>
        <w:tc>
          <w:tcPr>
            <w:tcW w:w="1506" w:type="dxa"/>
            <w:tcBorders>
              <w:top w:val="single" w:color="auto" w:sz="4" w:space="0"/>
              <w:left w:val="single" w:color="auto" w:sz="4" w:space="0"/>
              <w:bottom w:val="single" w:color="auto" w:sz="4" w:space="0"/>
              <w:right w:val="single" w:color="auto" w:sz="4" w:space="0"/>
            </w:tcBorders>
            <w:noWrap/>
            <w:vAlign w:val="center"/>
          </w:tcPr>
          <w:p w14:paraId="523DEF8C">
            <w:pPr>
              <w:shd w:val="clear"/>
              <w:rPr>
                <w:color w:val="auto"/>
                <w:highlight w:val="none"/>
              </w:rPr>
            </w:pPr>
            <w:r>
              <w:rPr>
                <w:rFonts w:hint="eastAsia"/>
                <w:color w:val="auto"/>
                <w:highlight w:val="none"/>
              </w:rPr>
              <w:t>从事XXX工作年限</w:t>
            </w:r>
          </w:p>
        </w:tc>
        <w:tc>
          <w:tcPr>
            <w:tcW w:w="1388" w:type="dxa"/>
            <w:tcBorders>
              <w:top w:val="single" w:color="auto" w:sz="4" w:space="0"/>
              <w:left w:val="single" w:color="auto" w:sz="4" w:space="0"/>
              <w:bottom w:val="single" w:color="auto" w:sz="4" w:space="0"/>
              <w:right w:val="single" w:color="auto" w:sz="4" w:space="0"/>
            </w:tcBorders>
            <w:noWrap/>
            <w:vAlign w:val="center"/>
          </w:tcPr>
          <w:p w14:paraId="4FAF0AD2">
            <w:pPr>
              <w:shd w:val="clear"/>
              <w:rPr>
                <w:color w:val="auto"/>
                <w:highlight w:val="none"/>
              </w:rPr>
            </w:pPr>
          </w:p>
        </w:tc>
        <w:tc>
          <w:tcPr>
            <w:tcW w:w="1794" w:type="dxa"/>
            <w:tcBorders>
              <w:top w:val="single" w:color="auto" w:sz="4" w:space="0"/>
              <w:left w:val="single" w:color="auto" w:sz="4" w:space="0"/>
              <w:bottom w:val="single" w:color="auto" w:sz="4" w:space="0"/>
              <w:right w:val="single" w:color="auto" w:sz="4" w:space="0"/>
            </w:tcBorders>
            <w:noWrap/>
            <w:vAlign w:val="center"/>
          </w:tcPr>
          <w:p w14:paraId="7706A85C">
            <w:pPr>
              <w:shd w:val="clear"/>
              <w:rPr>
                <w:color w:val="auto"/>
                <w:highlight w:val="none"/>
              </w:rPr>
            </w:pPr>
            <w:r>
              <w:rPr>
                <w:rFonts w:hint="eastAsia"/>
                <w:color w:val="auto"/>
                <w:highlight w:val="none"/>
              </w:rPr>
              <w:t>从事XXXX年限</w:t>
            </w:r>
          </w:p>
        </w:tc>
        <w:tc>
          <w:tcPr>
            <w:tcW w:w="1263" w:type="dxa"/>
            <w:tcBorders>
              <w:top w:val="single" w:color="auto" w:sz="4" w:space="0"/>
              <w:left w:val="single" w:color="auto" w:sz="4" w:space="0"/>
              <w:bottom w:val="single" w:color="auto" w:sz="4" w:space="0"/>
              <w:right w:val="single" w:color="auto" w:sz="4" w:space="0"/>
            </w:tcBorders>
            <w:noWrap/>
            <w:vAlign w:val="center"/>
          </w:tcPr>
          <w:p w14:paraId="6E152391">
            <w:pPr>
              <w:shd w:val="clear"/>
              <w:rPr>
                <w:color w:val="auto"/>
                <w:highlight w:val="none"/>
              </w:rPr>
            </w:pPr>
          </w:p>
        </w:tc>
      </w:tr>
      <w:tr w14:paraId="2CCD3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63" w:type="dxa"/>
            <w:tcBorders>
              <w:top w:val="single" w:color="auto" w:sz="4" w:space="0"/>
              <w:left w:val="single" w:color="auto" w:sz="4" w:space="0"/>
              <w:bottom w:val="single" w:color="auto" w:sz="4" w:space="0"/>
              <w:right w:val="single" w:color="auto" w:sz="4" w:space="0"/>
            </w:tcBorders>
            <w:noWrap/>
            <w:vAlign w:val="center"/>
          </w:tcPr>
          <w:p w14:paraId="1C5BD44E">
            <w:pPr>
              <w:shd w:val="clear"/>
              <w:rPr>
                <w:color w:val="auto"/>
                <w:highlight w:val="none"/>
              </w:rPr>
            </w:pPr>
            <w:r>
              <w:rPr>
                <w:rFonts w:hint="eastAsia"/>
                <w:color w:val="auto"/>
                <w:highlight w:val="none"/>
              </w:rPr>
              <w:t>认证证书</w:t>
            </w:r>
          </w:p>
        </w:tc>
        <w:tc>
          <w:tcPr>
            <w:tcW w:w="7665" w:type="dxa"/>
            <w:gridSpan w:val="5"/>
            <w:tcBorders>
              <w:top w:val="single" w:color="auto" w:sz="4" w:space="0"/>
              <w:left w:val="single" w:color="auto" w:sz="4" w:space="0"/>
              <w:bottom w:val="single" w:color="auto" w:sz="4" w:space="0"/>
              <w:right w:val="single" w:color="auto" w:sz="4" w:space="0"/>
            </w:tcBorders>
            <w:noWrap/>
            <w:vAlign w:val="center"/>
          </w:tcPr>
          <w:p w14:paraId="2C714985">
            <w:pPr>
              <w:shd w:val="clear"/>
              <w:rPr>
                <w:color w:val="auto"/>
                <w:highlight w:val="none"/>
              </w:rPr>
            </w:pPr>
          </w:p>
        </w:tc>
      </w:tr>
      <w:tr w14:paraId="4A9BD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4" w:hRule="atLeast"/>
        </w:trPr>
        <w:tc>
          <w:tcPr>
            <w:tcW w:w="8928" w:type="dxa"/>
            <w:gridSpan w:val="6"/>
            <w:tcBorders>
              <w:top w:val="single" w:color="auto" w:sz="4" w:space="0"/>
              <w:left w:val="single" w:color="auto" w:sz="4" w:space="0"/>
              <w:bottom w:val="single" w:color="auto" w:sz="4" w:space="0"/>
              <w:right w:val="single" w:color="auto" w:sz="4" w:space="0"/>
            </w:tcBorders>
            <w:noWrap/>
          </w:tcPr>
          <w:p w14:paraId="4394EE39">
            <w:pPr>
              <w:shd w:val="clear"/>
              <w:rPr>
                <w:color w:val="auto"/>
                <w:highlight w:val="none"/>
              </w:rPr>
            </w:pPr>
            <w:r>
              <w:rPr>
                <w:rFonts w:hint="eastAsia"/>
                <w:color w:val="auto"/>
                <w:highlight w:val="none"/>
              </w:rPr>
              <w:t>工作简历及主要业绩</w:t>
            </w:r>
          </w:p>
          <w:p w14:paraId="2F727979">
            <w:pPr>
              <w:shd w:val="clear"/>
              <w:rPr>
                <w:color w:val="auto"/>
                <w:highlight w:val="none"/>
              </w:rPr>
            </w:pPr>
          </w:p>
        </w:tc>
      </w:tr>
    </w:tbl>
    <w:p w14:paraId="69C243DB">
      <w:pPr>
        <w:shd w:val="clear"/>
        <w:rPr>
          <w:color w:val="auto"/>
          <w:highlight w:val="none"/>
        </w:rPr>
      </w:pPr>
      <w:r>
        <w:rPr>
          <w:color w:val="auto"/>
          <w:highlight w:val="none"/>
        </w:rPr>
        <w:t>特别说明：</w:t>
      </w:r>
    </w:p>
    <w:p w14:paraId="4C60376F">
      <w:pPr>
        <w:shd w:val="clear"/>
        <w:rPr>
          <w:color w:val="auto"/>
          <w:highlight w:val="none"/>
        </w:rPr>
      </w:pPr>
      <w:r>
        <w:rPr>
          <w:color w:val="auto"/>
          <w:highlight w:val="none"/>
        </w:rPr>
        <w:t>1.</w:t>
      </w:r>
      <w:r>
        <w:rPr>
          <w:rFonts w:hint="eastAsia"/>
          <w:color w:val="auto"/>
          <w:highlight w:val="none"/>
          <w:lang w:eastAsia="zh-CN"/>
        </w:rPr>
        <w:t>投标人</w:t>
      </w:r>
      <w:r>
        <w:rPr>
          <w:color w:val="auto"/>
          <w:highlight w:val="none"/>
        </w:rPr>
        <w:t>应提供投入本项目所有人员的简历。</w:t>
      </w:r>
    </w:p>
    <w:p w14:paraId="655CA754">
      <w:pPr>
        <w:shd w:val="clear"/>
        <w:rPr>
          <w:color w:val="auto"/>
          <w:highlight w:val="none"/>
        </w:rPr>
      </w:pPr>
      <w:r>
        <w:rPr>
          <w:color w:val="auto"/>
          <w:highlight w:val="none"/>
        </w:rPr>
        <w:t>2.</w:t>
      </w:r>
      <w:r>
        <w:rPr>
          <w:rFonts w:hint="eastAsia"/>
          <w:color w:val="auto"/>
          <w:highlight w:val="none"/>
        </w:rPr>
        <w:t>按照招标文件“第三章 评标方法及标准”要求提供人员证明材料</w:t>
      </w:r>
      <w:r>
        <w:rPr>
          <w:color w:val="auto"/>
          <w:highlight w:val="none"/>
        </w:rPr>
        <w:t xml:space="preserve">。 </w:t>
      </w:r>
    </w:p>
    <w:p w14:paraId="7A0FA2CC">
      <w:pPr>
        <w:shd w:val="clear"/>
        <w:rPr>
          <w:color w:val="auto"/>
          <w:highlight w:val="none"/>
        </w:rPr>
      </w:pPr>
    </w:p>
    <w:p w14:paraId="2F374070">
      <w:pPr>
        <w:pStyle w:val="8"/>
        <w:shd w:val="clear"/>
        <w:jc w:val="center"/>
        <w:rPr>
          <w:color w:val="auto"/>
          <w:highlight w:val="none"/>
        </w:rPr>
      </w:pPr>
      <w:r>
        <w:rPr>
          <w:bCs/>
          <w:color w:val="auto"/>
          <w:sz w:val="36"/>
          <w:szCs w:val="36"/>
          <w:highlight w:val="none"/>
        </w:rPr>
        <w:br w:type="page"/>
      </w:r>
      <w:bookmarkStart w:id="179" w:name="_Toc13637"/>
      <w:r>
        <w:rPr>
          <w:rFonts w:hint="eastAsia" w:ascii="宋体" w:hAnsi="宋体" w:eastAsia="宋体" w:cs="宋体"/>
          <w:color w:val="auto"/>
          <w:highlight w:val="none"/>
        </w:rPr>
        <w:t>格式1</w:t>
      </w:r>
      <w:r>
        <w:rPr>
          <w:rFonts w:hint="eastAsia" w:ascii="宋体" w:hAnsi="宋体" w:eastAsia="宋体" w:cs="宋体"/>
          <w:color w:val="auto"/>
          <w:highlight w:val="none"/>
          <w:lang w:val="en-US" w:eastAsia="zh-CN"/>
        </w:rPr>
        <w:t xml:space="preserve">5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售后服务承诺</w:t>
      </w:r>
      <w:bookmarkEnd w:id="179"/>
    </w:p>
    <w:p w14:paraId="1FE74A73">
      <w:pPr>
        <w:shd w:val="clear"/>
        <w:jc w:val="center"/>
        <w:rPr>
          <w:color w:val="auto"/>
          <w:highlight w:val="none"/>
        </w:rPr>
      </w:pPr>
      <w:r>
        <w:rPr>
          <w:color w:val="auto"/>
          <w:highlight w:val="none"/>
        </w:rPr>
        <w:t>(示例略)</w:t>
      </w:r>
    </w:p>
    <w:p w14:paraId="176A5FFB">
      <w:pPr>
        <w:shd w:val="clear"/>
        <w:jc w:val="center"/>
        <w:rPr>
          <w:color w:val="auto"/>
          <w:highlight w:val="none"/>
        </w:rPr>
        <w:sectPr>
          <w:pgSz w:w="11906" w:h="16838"/>
          <w:pgMar w:top="1440" w:right="1752" w:bottom="1440" w:left="1752" w:header="851" w:footer="992" w:gutter="0"/>
          <w:pgNumType w:fmt="decimal"/>
          <w:cols w:space="720" w:num="1"/>
          <w:titlePg/>
          <w:docGrid w:type="lines" w:linePitch="312" w:charSpace="0"/>
        </w:sectPr>
      </w:pPr>
    </w:p>
    <w:p w14:paraId="7945A0B6">
      <w:pPr>
        <w:pStyle w:val="14"/>
        <w:shd w:val="clear"/>
        <w:rPr>
          <w:color w:val="auto"/>
          <w:highlight w:val="none"/>
        </w:rPr>
      </w:pPr>
    </w:p>
    <w:p w14:paraId="5211C61D">
      <w:pPr>
        <w:shd w:val="clear"/>
        <w:spacing w:line="240" w:lineRule="auto"/>
        <w:jc w:val="center"/>
        <w:rPr>
          <w:rFonts w:ascii="华文中宋" w:hAnsi="华文中宋" w:eastAsia="华文中宋" w:cs="华文中宋"/>
          <w:bCs/>
          <w:color w:val="auto"/>
          <w:sz w:val="44"/>
          <w:szCs w:val="44"/>
          <w:highlight w:val="none"/>
        </w:rPr>
      </w:pPr>
      <w:r>
        <w:rPr>
          <w:rFonts w:hint="eastAsia" w:ascii="华文中宋" w:hAnsi="华文中宋" w:eastAsia="华文中宋" w:cs="华文中宋"/>
          <w:bCs/>
          <w:color w:val="auto"/>
          <w:sz w:val="44"/>
          <w:szCs w:val="44"/>
          <w:highlight w:val="none"/>
        </w:rPr>
        <w:t>招 标 文 件</w:t>
      </w:r>
    </w:p>
    <w:p w14:paraId="0AFC31EF">
      <w:pPr>
        <w:shd w:val="clear"/>
        <w:rPr>
          <w:color w:val="auto"/>
          <w:sz w:val="44"/>
          <w:szCs w:val="44"/>
          <w:highlight w:val="none"/>
        </w:rPr>
      </w:pPr>
    </w:p>
    <w:p w14:paraId="35358F16">
      <w:pPr>
        <w:shd w:val="clear"/>
        <w:spacing w:line="240" w:lineRule="auto"/>
        <w:jc w:val="center"/>
        <w:rPr>
          <w:rFonts w:ascii="华文中宋" w:hAnsi="华文中宋" w:eastAsia="华文中宋" w:cs="华文中宋"/>
          <w:bCs/>
          <w:color w:val="auto"/>
          <w:sz w:val="44"/>
          <w:szCs w:val="44"/>
          <w:highlight w:val="none"/>
        </w:rPr>
      </w:pPr>
      <w:r>
        <w:rPr>
          <w:rFonts w:hint="eastAsia" w:ascii="华文中宋" w:hAnsi="华文中宋" w:eastAsia="华文中宋" w:cs="华文中宋"/>
          <w:bCs/>
          <w:color w:val="auto"/>
          <w:sz w:val="44"/>
          <w:szCs w:val="44"/>
          <w:highlight w:val="none"/>
        </w:rPr>
        <w:t>（技术部分）</w:t>
      </w:r>
    </w:p>
    <w:p w14:paraId="7DB91EDE">
      <w:pPr>
        <w:shd w:val="clear"/>
        <w:rPr>
          <w:color w:val="auto"/>
          <w:sz w:val="44"/>
          <w:szCs w:val="44"/>
          <w:highlight w:val="none"/>
        </w:rPr>
      </w:pPr>
    </w:p>
    <w:p w14:paraId="4D0994E8">
      <w:pPr>
        <w:shd w:val="clear"/>
        <w:rPr>
          <w:color w:val="auto"/>
          <w:highlight w:val="none"/>
        </w:rPr>
      </w:pPr>
    </w:p>
    <w:p w14:paraId="571C253F">
      <w:pPr>
        <w:pStyle w:val="14"/>
        <w:shd w:val="clear"/>
        <w:rPr>
          <w:color w:val="auto"/>
          <w:highlight w:val="none"/>
        </w:rPr>
      </w:pPr>
    </w:p>
    <w:p w14:paraId="498110F2">
      <w:pPr>
        <w:pStyle w:val="14"/>
        <w:shd w:val="clear"/>
        <w:rPr>
          <w:color w:val="auto"/>
          <w:highlight w:val="none"/>
        </w:rPr>
      </w:pPr>
    </w:p>
    <w:p w14:paraId="536F46A3">
      <w:pPr>
        <w:shd w:val="clear"/>
        <w:topLinePunct w:val="0"/>
        <w:autoSpaceDE/>
        <w:autoSpaceDN/>
        <w:spacing w:line="240" w:lineRule="auto"/>
        <w:ind w:left="0" w:leftChars="0"/>
        <w:jc w:val="center"/>
        <w:rPr>
          <w:rFonts w:hint="default" w:ascii="宋体" w:hAnsi="宋体" w:eastAsia="宋体" w:cs="宋体"/>
          <w:color w:val="auto"/>
          <w:sz w:val="32"/>
          <w:szCs w:val="32"/>
          <w:highlight w:val="none"/>
          <w:u w:val="none"/>
          <w:lang w:val="en" w:eastAsia="zh-CN"/>
        </w:rPr>
      </w:pPr>
      <w:r>
        <w:rPr>
          <w:rFonts w:hint="eastAsia" w:ascii="宋体" w:hAnsi="宋体" w:eastAsia="宋体" w:cs="宋体"/>
          <w:color w:val="auto"/>
          <w:sz w:val="32"/>
          <w:szCs w:val="32"/>
          <w:highlight w:val="none"/>
        </w:rPr>
        <w:t>项目名称：</w:t>
      </w:r>
      <w:r>
        <w:rPr>
          <w:rFonts w:hint="eastAsia" w:ascii="宋体" w:hAnsi="宋体" w:cs="宋体"/>
          <w:color w:val="auto"/>
          <w:sz w:val="32"/>
          <w:szCs w:val="32"/>
          <w:highlight w:val="none"/>
          <w:u w:val="none"/>
          <w:lang w:val="en" w:eastAsia="zh-CN"/>
        </w:rPr>
        <w:t>国家税务总局沭阳县税务局2026年食堂食材配送服务采购项目</w:t>
      </w:r>
    </w:p>
    <w:p w14:paraId="3C42C234">
      <w:pPr>
        <w:shd w:val="clear"/>
        <w:topLinePunct w:val="0"/>
        <w:autoSpaceDE/>
        <w:autoSpaceDN/>
        <w:spacing w:line="24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采购人项目编号：</w:t>
      </w:r>
      <w:r>
        <w:rPr>
          <w:rFonts w:hint="eastAsia" w:ascii="宋体" w:hAnsi="宋体" w:cs="宋体"/>
          <w:color w:val="000000" w:themeColor="text1"/>
          <w:sz w:val="32"/>
          <w:szCs w:val="32"/>
          <w:highlight w:val="none"/>
          <w:lang w:eastAsia="zh-CN"/>
          <w14:textFill>
            <w14:solidFill>
              <w14:schemeClr w14:val="tx1"/>
            </w14:solidFill>
          </w14:textFill>
        </w:rPr>
        <w:t>JS2026-DLGK-C0214-B00</w:t>
      </w:r>
    </w:p>
    <w:p w14:paraId="66DEE883">
      <w:pPr>
        <w:shd w:val="clear"/>
        <w:topLinePunct w:val="0"/>
        <w:autoSpaceDE/>
        <w:autoSpaceDN/>
        <w:spacing w:line="240" w:lineRule="auto"/>
        <w:jc w:val="cente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en-US" w:eastAsia="zh-CN"/>
        </w:rPr>
        <w:t>代理机构</w:t>
      </w:r>
      <w:r>
        <w:rPr>
          <w:rFonts w:hint="eastAsia" w:ascii="宋体" w:hAnsi="宋体" w:cs="宋体"/>
          <w:color w:val="auto"/>
          <w:sz w:val="32"/>
          <w:szCs w:val="32"/>
          <w:highlight w:val="none"/>
        </w:rPr>
        <w:t>项目编号：</w:t>
      </w:r>
      <w:r>
        <w:rPr>
          <w:rFonts w:hint="eastAsia" w:ascii="宋体" w:hAnsi="宋体" w:cs="宋体"/>
          <w:color w:val="auto"/>
          <w:sz w:val="32"/>
          <w:szCs w:val="32"/>
          <w:highlight w:val="none"/>
          <w:lang w:eastAsia="zh-CN"/>
        </w:rPr>
        <w:t>JSHZ[2026]0809号</w:t>
      </w:r>
    </w:p>
    <w:p w14:paraId="2039399B">
      <w:pPr>
        <w:shd w:val="clear"/>
        <w:topLinePunct w:val="0"/>
        <w:autoSpaceDE/>
        <w:autoSpaceDN/>
        <w:spacing w:line="240" w:lineRule="auto"/>
        <w:ind w:left="0" w:leftChars="0"/>
        <w:jc w:val="center"/>
        <w:rPr>
          <w:rFonts w:hint="eastAsia" w:ascii="宋体" w:hAnsi="宋体" w:eastAsia="宋体" w:cs="宋体"/>
          <w:color w:val="auto"/>
          <w:sz w:val="32"/>
          <w:szCs w:val="32"/>
          <w:highlight w:val="none"/>
          <w:u w:val="none"/>
          <w:lang w:eastAsia="zh-CN"/>
        </w:rPr>
      </w:pPr>
      <w:r>
        <w:rPr>
          <w:rFonts w:hint="eastAsia" w:ascii="宋体" w:hAnsi="宋体" w:eastAsia="宋体" w:cs="宋体"/>
          <w:color w:val="auto"/>
          <w:sz w:val="32"/>
          <w:szCs w:val="32"/>
          <w:highlight w:val="none"/>
          <w:u w:val="none"/>
        </w:rPr>
        <w:t>采购人名称：</w:t>
      </w:r>
      <w:r>
        <w:rPr>
          <w:rFonts w:hint="eastAsia" w:ascii="宋体" w:hAnsi="宋体" w:cs="宋体"/>
          <w:color w:val="auto"/>
          <w:sz w:val="32"/>
          <w:szCs w:val="32"/>
          <w:highlight w:val="none"/>
          <w:u w:val="none"/>
          <w:lang w:eastAsia="zh-CN"/>
        </w:rPr>
        <w:t>国家税务总局沭阳县税务局</w:t>
      </w:r>
    </w:p>
    <w:p w14:paraId="2AEBEC24">
      <w:pPr>
        <w:shd w:val="clear"/>
        <w:topLinePunct w:val="0"/>
        <w:autoSpaceDE/>
        <w:autoSpaceDN/>
        <w:spacing w:line="240" w:lineRule="auto"/>
        <w:ind w:left="0" w:leftChars="0"/>
        <w:jc w:val="center"/>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采购代理机构：</w:t>
      </w:r>
      <w:r>
        <w:rPr>
          <w:rFonts w:hint="eastAsia" w:ascii="宋体" w:hAnsi="宋体" w:cs="宋体"/>
          <w:color w:val="auto"/>
          <w:sz w:val="32"/>
          <w:szCs w:val="32"/>
          <w:highlight w:val="none"/>
          <w:lang w:eastAsia="zh-CN"/>
        </w:rPr>
        <w:t>江苏宏壮工程项目管理有限公司</w:t>
      </w:r>
    </w:p>
    <w:p w14:paraId="6CAF618E">
      <w:pPr>
        <w:shd w:val="clear"/>
        <w:topLinePunct w:val="0"/>
        <w:autoSpaceDE/>
        <w:autoSpaceDN/>
        <w:ind w:left="2155" w:leftChars="1026"/>
        <w:jc w:val="left"/>
        <w:rPr>
          <w:rFonts w:asciiTheme="minorEastAsia" w:hAnsiTheme="minorEastAsia" w:eastAsiaTheme="minorEastAsia" w:cstheme="minorEastAsia"/>
          <w:color w:val="auto"/>
          <w:sz w:val="28"/>
          <w:szCs w:val="28"/>
          <w:highlight w:val="none"/>
        </w:rPr>
      </w:pPr>
    </w:p>
    <w:p w14:paraId="5F4350D0">
      <w:pPr>
        <w:shd w:val="clear"/>
        <w:topLinePunct w:val="0"/>
        <w:autoSpaceDE/>
        <w:autoSpaceDN/>
        <w:ind w:left="2155" w:leftChars="1026"/>
        <w:jc w:val="left"/>
        <w:rPr>
          <w:rFonts w:asciiTheme="minorEastAsia" w:hAnsiTheme="minorEastAsia" w:eastAsiaTheme="minorEastAsia" w:cstheme="minorEastAsia"/>
          <w:color w:val="auto"/>
          <w:sz w:val="28"/>
          <w:szCs w:val="28"/>
          <w:highlight w:val="none"/>
        </w:rPr>
      </w:pPr>
    </w:p>
    <w:p w14:paraId="109B2D6D">
      <w:pPr>
        <w:shd w:val="clear"/>
        <w:topLinePunct w:val="0"/>
        <w:autoSpaceDE/>
        <w:autoSpaceDN/>
        <w:ind w:left="2155" w:leftChars="1026"/>
        <w:jc w:val="left"/>
        <w:rPr>
          <w:rFonts w:asciiTheme="minorEastAsia" w:hAnsiTheme="minorEastAsia" w:eastAsiaTheme="minorEastAsia" w:cstheme="minorEastAsia"/>
          <w:color w:val="auto"/>
          <w:sz w:val="28"/>
          <w:szCs w:val="28"/>
          <w:highlight w:val="none"/>
        </w:rPr>
      </w:pPr>
    </w:p>
    <w:p w14:paraId="0972BF8E">
      <w:pPr>
        <w:shd w:val="clear"/>
        <w:topLinePunct w:val="0"/>
        <w:autoSpaceDE/>
        <w:autoSpaceDN/>
        <w:spacing w:line="240" w:lineRule="auto"/>
        <w:ind w:left="0" w:leftChars="0"/>
        <w:jc w:val="center"/>
        <w:rPr>
          <w:rFonts w:hint="eastAsia" w:asciiTheme="minorEastAsia" w:hAnsiTheme="minorEastAsia" w:eastAsiaTheme="minorEastAsia" w:cstheme="minorEastAsia"/>
          <w:color w:val="auto"/>
          <w:sz w:val="28"/>
          <w:szCs w:val="28"/>
          <w:highlight w:val="none"/>
          <w:lang w:eastAsia="zh-CN"/>
        </w:rPr>
      </w:pPr>
      <w:r>
        <w:rPr>
          <w:rFonts w:hint="eastAsia" w:ascii="宋体" w:hAnsi="宋体" w:cs="宋体"/>
          <w:color w:val="auto"/>
          <w:sz w:val="32"/>
          <w:szCs w:val="32"/>
          <w:highlight w:val="none"/>
          <w:lang w:eastAsia="zh-CN"/>
        </w:rPr>
        <w:t>国家税务总局沭阳县税务局</w:t>
      </w:r>
    </w:p>
    <w:p w14:paraId="3F470E3D">
      <w:pPr>
        <w:shd w:val="clear"/>
        <w:topLinePunct w:val="0"/>
        <w:autoSpaceDE/>
        <w:autoSpaceDN/>
        <w:ind w:left="2155" w:leftChars="1026" w:firstLine="560" w:firstLineChars="200"/>
        <w:jc w:val="left"/>
        <w:rPr>
          <w:rFonts w:asciiTheme="minorEastAsia" w:hAnsiTheme="minorEastAsia" w:eastAsiaTheme="minorEastAsia" w:cstheme="minorEastAsia"/>
          <w:color w:val="auto"/>
          <w:sz w:val="28"/>
          <w:szCs w:val="28"/>
          <w:highlight w:val="none"/>
          <w:u w:val="none"/>
        </w:rPr>
      </w:pPr>
      <w:r>
        <w:rPr>
          <w:rFonts w:hint="eastAsia" w:asciiTheme="minorEastAsia" w:hAnsiTheme="minorEastAsia" w:eastAsiaTheme="minorEastAsia" w:cstheme="minorEastAsia"/>
          <w:color w:val="auto"/>
          <w:sz w:val="28"/>
          <w:szCs w:val="28"/>
          <w:highlight w:val="none"/>
          <w:u w:val="none"/>
          <w:lang w:val="en-US" w:eastAsia="zh-CN"/>
        </w:rPr>
        <w:t>2026</w:t>
      </w:r>
      <w:r>
        <w:rPr>
          <w:rFonts w:hint="eastAsia" w:asciiTheme="minorEastAsia" w:hAnsiTheme="minorEastAsia" w:eastAsiaTheme="minorEastAsia" w:cstheme="minorEastAsia"/>
          <w:color w:val="auto"/>
          <w:sz w:val="28"/>
          <w:szCs w:val="28"/>
          <w:highlight w:val="none"/>
          <w:u w:val="none"/>
        </w:rPr>
        <w:t>年</w:t>
      </w:r>
      <w:r>
        <w:rPr>
          <w:rFonts w:hint="eastAsia" w:asciiTheme="minorEastAsia" w:hAnsiTheme="minorEastAsia" w:eastAsiaTheme="minorEastAsia" w:cstheme="minorEastAsia"/>
          <w:color w:val="auto"/>
          <w:sz w:val="28"/>
          <w:szCs w:val="28"/>
          <w:highlight w:val="none"/>
          <w:u w:val="none"/>
          <w:lang w:val="en-US" w:eastAsia="zh-CN"/>
        </w:rPr>
        <w:t xml:space="preserve">  </w:t>
      </w:r>
      <w:r>
        <w:rPr>
          <w:rFonts w:hint="eastAsia" w:asciiTheme="minorEastAsia" w:hAnsiTheme="minorEastAsia" w:eastAsiaTheme="minorEastAsia" w:cstheme="minorEastAsia"/>
          <w:color w:val="auto"/>
          <w:sz w:val="28"/>
          <w:szCs w:val="28"/>
          <w:highlight w:val="none"/>
          <w:u w:val="none"/>
        </w:rPr>
        <w:t>月</w:t>
      </w:r>
      <w:r>
        <w:rPr>
          <w:rFonts w:hint="eastAsia" w:asciiTheme="minorEastAsia" w:hAnsiTheme="minorEastAsia" w:eastAsiaTheme="minorEastAsia" w:cstheme="minorEastAsia"/>
          <w:color w:val="auto"/>
          <w:sz w:val="28"/>
          <w:szCs w:val="28"/>
          <w:highlight w:val="none"/>
          <w:u w:val="none"/>
          <w:lang w:val="en-US" w:eastAsia="zh-CN"/>
        </w:rPr>
        <w:t xml:space="preserve">  </w:t>
      </w:r>
      <w:r>
        <w:rPr>
          <w:rFonts w:hint="eastAsia" w:asciiTheme="minorEastAsia" w:hAnsiTheme="minorEastAsia" w:eastAsiaTheme="minorEastAsia" w:cstheme="minorEastAsia"/>
          <w:color w:val="auto"/>
          <w:sz w:val="28"/>
          <w:szCs w:val="28"/>
          <w:highlight w:val="none"/>
          <w:u w:val="none"/>
        </w:rPr>
        <w:t>日</w:t>
      </w:r>
    </w:p>
    <w:p w14:paraId="749A7E5A">
      <w:pPr>
        <w:pStyle w:val="6"/>
        <w:shd w:val="clear"/>
        <w:jc w:val="center"/>
        <w:rPr>
          <w:rFonts w:hint="default"/>
          <w:color w:val="auto"/>
          <w:highlight w:val="none"/>
        </w:rPr>
      </w:pPr>
      <w:r>
        <w:rPr>
          <w:rFonts w:asciiTheme="minorEastAsia" w:hAnsiTheme="minorEastAsia" w:eastAsiaTheme="minorEastAsia" w:cstheme="minorEastAsia"/>
          <w:color w:val="auto"/>
          <w:sz w:val="28"/>
          <w:szCs w:val="28"/>
          <w:highlight w:val="none"/>
        </w:rPr>
        <w:br w:type="page"/>
      </w:r>
      <w:bookmarkStart w:id="180" w:name="_Toc238"/>
      <w:bookmarkStart w:id="181" w:name="_Toc9401"/>
      <w:bookmarkStart w:id="182" w:name="_Toc13043"/>
      <w:r>
        <w:rPr>
          <w:color w:val="auto"/>
          <w:highlight w:val="none"/>
        </w:rPr>
        <w:t>第六章  项目采购需求</w:t>
      </w:r>
      <w:bookmarkEnd w:id="180"/>
      <w:bookmarkEnd w:id="181"/>
      <w:bookmarkEnd w:id="182"/>
    </w:p>
    <w:p w14:paraId="2F51951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项目属性：服务类项目</w:t>
      </w:r>
    </w:p>
    <w:p w14:paraId="3F0BC77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本项目采购标的对应的中小企业划分标准所属行业：</w:t>
      </w:r>
      <w:r>
        <w:rPr>
          <w:rFonts w:hint="eastAsia" w:asciiTheme="majorEastAsia" w:hAnsiTheme="majorEastAsia" w:eastAsiaTheme="majorEastAsia" w:cstheme="majorEastAsia"/>
          <w:bCs/>
          <w:caps w:val="0"/>
          <w:color w:val="auto"/>
          <w:kern w:val="0"/>
          <w:sz w:val="21"/>
          <w:szCs w:val="21"/>
          <w:highlight w:val="none"/>
          <w:u w:val="single"/>
          <w:lang w:val="en-US" w:eastAsia="zh-CN"/>
        </w:rPr>
        <w:t>批发业</w:t>
      </w:r>
    </w:p>
    <w:p w14:paraId="45F3895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本项目 不接受（接受/不接受）进口产品。</w:t>
      </w:r>
    </w:p>
    <w:p w14:paraId="3D1A5843">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ajorEastAsia" w:hAnsiTheme="majorEastAsia" w:eastAsiaTheme="majorEastAsia" w:cstheme="majorEastAsia"/>
          <w:b/>
          <w:bCs w:val="0"/>
          <w:caps w:val="0"/>
          <w:color w:val="auto"/>
          <w:kern w:val="0"/>
          <w:sz w:val="21"/>
          <w:szCs w:val="21"/>
          <w:highlight w:val="none"/>
          <w:lang w:val="en-US" w:eastAsia="zh-CN"/>
        </w:rPr>
      </w:pPr>
      <w:r>
        <w:rPr>
          <w:rFonts w:hint="eastAsia" w:asciiTheme="majorEastAsia" w:hAnsiTheme="majorEastAsia" w:eastAsiaTheme="majorEastAsia" w:cstheme="majorEastAsia"/>
          <w:b/>
          <w:bCs w:val="0"/>
          <w:caps w:val="0"/>
          <w:color w:val="auto"/>
          <w:kern w:val="0"/>
          <w:sz w:val="21"/>
          <w:szCs w:val="21"/>
          <w:highlight w:val="none"/>
          <w:lang w:val="en-US" w:eastAsia="zh-CN"/>
        </w:rPr>
        <w:t>一、项目概况</w:t>
      </w:r>
    </w:p>
    <w:p w14:paraId="315FE4C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国家税务总局沭阳县税务局2026年食堂食材配送服务采购项目，拟对食堂米、面粉、食用油、干货、调料品、肉类、水产、禽蛋、奶制品、蔬菜、水果、豆制品等进行采购配送服务，总预算：256万元。</w:t>
      </w:r>
    </w:p>
    <w:p w14:paraId="320B9F7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以上项目结算价款以实际采购量结算，总结算金额不超过采购预算。</w:t>
      </w:r>
    </w:p>
    <w:p w14:paraId="36DE4267">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ajorEastAsia" w:hAnsiTheme="majorEastAsia" w:eastAsiaTheme="majorEastAsia" w:cstheme="majorEastAsia"/>
          <w:b/>
          <w:bCs w:val="0"/>
          <w:caps w:val="0"/>
          <w:color w:val="auto"/>
          <w:kern w:val="0"/>
          <w:sz w:val="21"/>
          <w:szCs w:val="21"/>
          <w:highlight w:val="none"/>
          <w:lang w:val="en-US" w:eastAsia="zh-CN"/>
        </w:rPr>
      </w:pPr>
      <w:r>
        <w:rPr>
          <w:rFonts w:hint="eastAsia" w:asciiTheme="majorEastAsia" w:hAnsiTheme="majorEastAsia" w:eastAsiaTheme="majorEastAsia" w:cstheme="majorEastAsia"/>
          <w:b/>
          <w:bCs w:val="0"/>
          <w:caps w:val="0"/>
          <w:color w:val="auto"/>
          <w:kern w:val="0"/>
          <w:sz w:val="21"/>
          <w:szCs w:val="21"/>
          <w:highlight w:val="none"/>
          <w:lang w:val="en-US" w:eastAsia="zh-CN"/>
        </w:rPr>
        <w:t>二、项目内容</w:t>
      </w:r>
    </w:p>
    <w:p w14:paraId="2D6C299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（一）合同履约期、交货时间</w:t>
      </w:r>
    </w:p>
    <w:p w14:paraId="608B46A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1.合同履约期：一年。</w:t>
      </w:r>
    </w:p>
    <w:p w14:paraId="1324846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2.交货时间：中标投标人须按照采购人具体要求进行供货及配送，保证日常需要。</w:t>
      </w:r>
    </w:p>
    <w:p w14:paraId="544BEAE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（二）交货地点</w:t>
      </w:r>
    </w:p>
    <w:p w14:paraId="48CB4C9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国家税务总局沭阳县税务局上海路职工食堂（位于沭城街道上海路）、国家税务总局沭阳县税务局人民路职工食堂（位于沭城街道人民西路）、国家税务总局沭阳县税务局苏州路职工食堂（位于沭城街道苏州路）及国家税务总局沭阳县税务局马厂分局（位于沭阳县马厂镇）、国家税务总局沭阳县税务局塘沟分局（位于沭阳县塘沟镇）、国家税务总局沭阳县税务局陇集分局（位于沭阳县陇集镇）、国家税务总局沭阳县税务局韩山分局（位于沭阳县原官墩乡）、国家税务总局沭阳县税务局华冲分局（位于沭阳县华冲镇）、国家税务总局沭阳县税务局庙头分局（位于沭阳县庙头镇）职工食堂。</w:t>
      </w:r>
    </w:p>
    <w:p w14:paraId="35755930">
      <w:pPr>
        <w:rPr>
          <w:rFonts w:hint="eastAsia"/>
          <w:highlight w:val="none"/>
          <w:lang w:val="en-US" w:eastAsia="zh-CN"/>
        </w:rPr>
      </w:pPr>
      <w:r>
        <w:rPr>
          <w:rFonts w:hint="default"/>
          <w:b/>
          <w:bCs/>
          <w:color w:val="auto"/>
          <w:highlight w:val="none"/>
          <w:lang w:val="en-US" w:eastAsia="zh-CN"/>
        </w:rPr>
        <w:t>★注：本项目服务范围为</w:t>
      </w:r>
      <w:r>
        <w:rPr>
          <w:rFonts w:hint="eastAsia"/>
          <w:b/>
          <w:bCs/>
          <w:color w:val="auto"/>
          <w:highlight w:val="none"/>
          <w:lang w:val="en-US" w:eastAsia="zh-CN"/>
        </w:rPr>
        <w:t>沭阳</w:t>
      </w:r>
      <w:r>
        <w:rPr>
          <w:rFonts w:hint="default"/>
          <w:b/>
          <w:bCs/>
          <w:color w:val="auto"/>
          <w:highlight w:val="none"/>
          <w:lang w:val="en-US" w:eastAsia="zh-CN"/>
        </w:rPr>
        <w:t>县全域（含乡镇），成交供应商须按采购人需要将食材配送至指定地点（提供承诺函），供应商报价应充分考虑配送费用，如因考虑不足造成的一切损失均视为供应商让利行为。</w:t>
      </w:r>
    </w:p>
    <w:p w14:paraId="11A84CD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（三）配送频率要求</w:t>
      </w:r>
    </w:p>
    <w:p w14:paraId="4448020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1.原则上每天送货一次，应急配送的在收到通知后半小时内响应，1小时内完成或提出解决方案。</w:t>
      </w:r>
    </w:p>
    <w:p w14:paraId="0A1BF62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2.中标投标人必须仔细核对采购清单，确保所需的食品原材料品种、规格、品牌、数量、质量等准确无误，并在规定时间内及时送达。</w:t>
      </w:r>
    </w:p>
    <w:p w14:paraId="6F3346D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3.配送车辆符合国家食品运输相关规定。</w:t>
      </w:r>
    </w:p>
    <w:p w14:paraId="2086387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（四）验收方式</w:t>
      </w:r>
    </w:p>
    <w:p w14:paraId="40B10FB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1.每批大米、面粉、油出厂前应经当地国家认可的质量检测机构进行检验，合格产品方可销售；肉类、鱼、禽蛋、蔬菜、水果等所有食材在送达指定地点时须经1名食堂工作人员和2名沭阳县税务局工作人员验收后称重，双方签字确认；不合格产品由投标人负责调换，对工作造成不良影响的由投标人负责赔偿，直至中止合同。</w:t>
      </w:r>
    </w:p>
    <w:p w14:paraId="3EC999C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2.中标投标人应保证货物到达用户所在地完好无损，如有缺漏、损坏，由中标投标人负责调换、补齐或赔偿。</w:t>
      </w:r>
    </w:p>
    <w:p w14:paraId="4AEA4D5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3.中标投标人提供货物未达到招标文件要求的，如属不合格或劣质产品，且对采购人造成损失的，由中标投标人承担一切责任，并赔偿所造成的损失，赔偿责任并不因终止合同而免除。</w:t>
      </w:r>
    </w:p>
    <w:p w14:paraId="563DA1D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4.采购人需要厂家对中标投标人交付的产品（包括质量、技术参数等）进行确认的，厂家应予以配合，并出具书面意见。</w:t>
      </w:r>
    </w:p>
    <w:p w14:paraId="7276006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5.中标投标人提供的产品须经过食堂验收人员的感官检验、外观检验和试用检验，若产品外观、包装、形式不符合要求、感官检验不能达到食品卫生要求，当即拒收；中标投标人不能满足食品的质量及售后服务要求时，采购人有权进行处罚或终止合同。</w:t>
      </w:r>
    </w:p>
    <w:p w14:paraId="731904D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6.中标投标人必须按照食堂采购人员通知的时间、数量、品种、品质要求及协定的价格准时送货，经验收合格后签字确认，不能以任何理由推脱，一旦影响到食堂的正常运转，中标投标人应承担相应的经济赔偿。</w:t>
      </w:r>
    </w:p>
    <w:p w14:paraId="46E63F6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7.因产品质量问题发生的食物中毒等事故，由中标投标人承担全部经济赔偿责任以及其他法律责任。</w:t>
      </w:r>
    </w:p>
    <w:p w14:paraId="4865653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8.采购人所采购物品品种、数量、时间、品质等，中标投标人均需响应。</w:t>
      </w:r>
    </w:p>
    <w:p w14:paraId="7557390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9.中标投标人负责把食材运放到指定位置，运输过程中产生的一切费用及安全责任由中标投标人负责。</w:t>
      </w:r>
    </w:p>
    <w:p w14:paraId="3F63097D">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ajorEastAsia" w:hAnsiTheme="majorEastAsia" w:eastAsiaTheme="majorEastAsia" w:cstheme="majorEastAsia"/>
          <w:b/>
          <w:bCs w:val="0"/>
          <w:caps w:val="0"/>
          <w:color w:val="auto"/>
          <w:kern w:val="0"/>
          <w:sz w:val="21"/>
          <w:szCs w:val="21"/>
          <w:highlight w:val="none"/>
          <w:lang w:val="en-US" w:eastAsia="zh-CN"/>
        </w:rPr>
      </w:pPr>
      <w:r>
        <w:rPr>
          <w:rFonts w:hint="eastAsia" w:asciiTheme="majorEastAsia" w:hAnsiTheme="majorEastAsia" w:eastAsiaTheme="majorEastAsia" w:cstheme="majorEastAsia"/>
          <w:b/>
          <w:bCs w:val="0"/>
          <w:caps w:val="0"/>
          <w:color w:val="auto"/>
          <w:kern w:val="0"/>
          <w:sz w:val="21"/>
          <w:szCs w:val="21"/>
          <w:highlight w:val="none"/>
          <w:lang w:val="en-US" w:eastAsia="zh-CN"/>
        </w:rPr>
        <w:t>三、质量保证</w:t>
      </w:r>
    </w:p>
    <w:p w14:paraId="5E2F7811">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ajorEastAsia" w:hAnsiTheme="majorEastAsia" w:eastAsiaTheme="majorEastAsia" w:cstheme="majorEastAsia"/>
          <w:b/>
          <w:bCs w:val="0"/>
          <w:caps w:val="0"/>
          <w:color w:val="auto"/>
          <w:kern w:val="0"/>
          <w:sz w:val="21"/>
          <w:szCs w:val="21"/>
          <w:highlight w:val="none"/>
          <w:lang w:val="en-US" w:eastAsia="zh-CN"/>
        </w:rPr>
      </w:pPr>
      <w:r>
        <w:rPr>
          <w:rFonts w:hint="eastAsia" w:asciiTheme="majorEastAsia" w:hAnsiTheme="majorEastAsia" w:eastAsiaTheme="majorEastAsia" w:cstheme="majorEastAsia"/>
          <w:b/>
          <w:bCs w:val="0"/>
          <w:caps w:val="0"/>
          <w:color w:val="auto"/>
          <w:kern w:val="0"/>
          <w:sz w:val="21"/>
          <w:szCs w:val="21"/>
          <w:highlight w:val="none"/>
          <w:lang w:val="en-US" w:eastAsia="zh-CN"/>
        </w:rPr>
        <w:t>一：蔬菜类</w:t>
      </w:r>
    </w:p>
    <w:p w14:paraId="3C2B4C9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（一）食材质量安全要求</w:t>
      </w:r>
    </w:p>
    <w:p w14:paraId="4D2FE84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1.食材质量要求</w:t>
      </w:r>
    </w:p>
    <w:p w14:paraId="57B1DCE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（1）蔬菜总体质量要求</w:t>
      </w:r>
    </w:p>
    <w:p w14:paraId="34360D8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①所有食材均为非转基因，必须符合国家饮食卫生标准、国家相关法律法规的规定以及行业主管部门发布的规定、标准、规范，同时保证食品新鲜，不得出现腐烂、变质，以次充好等情况。</w:t>
      </w:r>
    </w:p>
    <w:p w14:paraId="6D4A435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②所有食材的来源清晰，按规定必须经由法定食品检验机构检测的食品，供应商应在交货时向采购人提供同批次食品检验报告或合格证（如复印件应加盖公章）。</w:t>
      </w:r>
    </w:p>
    <w:p w14:paraId="18436E8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③当季各类新鲜蔬菜或大棚种植蔬菜，包括但不限于叶菜、茄果、根茎、豆、菌菇、葱姜蒜类等类别，所配送蔬菜应提供产地合格证明，且符合《农产品质量安全法》要求。</w:t>
      </w:r>
    </w:p>
    <w:p w14:paraId="2C26A47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④实际验收情况包括但不限于以上标准，招标文件未明示的验收标准参照相关国家标准、行业标准或行业惯例。</w:t>
      </w:r>
    </w:p>
    <w:p w14:paraId="7040EF5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（2）蔬菜新鲜有光泽，无黄叶、枯死叶，心部不腐烂，原菜应保证菜面干净、码放整齐、无破损、大小基本统一，不得过熟或欠熟，无农残气味。具体验收标准包括但不限于以下几种：</w:t>
      </w:r>
    </w:p>
    <w:p w14:paraId="063BE24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①叶菜类质量要求：青菜、菜心、生菜形状完整，颜色翠绿，无黄叶、烂叶，无过多虫眼，底部无腐烂。包菜形状饱满，紧实，绿叶完整，无黄叶，无腐烂。茼蒿颜色翠绿，叶片完整，触感脆嫩，有特殊清香。大白菜色泽鲜亮，包心紧实，根削平，无枯老叶、烂叶，棵大帮小。</w:t>
      </w:r>
    </w:p>
    <w:p w14:paraId="640BA98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②茄果类质量要求：瓜果类外表光亮，形状色泽一致，无疤点，无断裂，无软塌处。黄瓜鲜绿色，瓜条较直、瓜形端正，果实硬实，外观良好。冬瓜皮薄、肉厚，表面基本光滑。南瓜表面伤痕少、硬实。青椒、尖椒表面光泽鲜绿，富有弹性，外皮硬脆，不发软，皮肉较厚，大小基本均匀。茄子外表颜色纯正，果蒂鲜绿，无空心。西红柿大小均匀，光泽亮艳，有弹性，八成熟，疤痕少。</w:t>
      </w:r>
    </w:p>
    <w:p w14:paraId="4A8F548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③根茎类质量要求：藕等食材肉质嫩，成熟度适中，无腐烂、异味，无明显机械伤，不带泥土和杂质，不干瘪。菜花根短（以叉根为标准），花球洁白，无茸毛，脆嫩，花球紧实，无虫害，无霉斑，无发霉。芹菜色泽鲜绿，叶柄厚，茎部稍呈圆形，内侧微向内凹，菜叶翠绿而稀少，杆部易折断。莴笋条顺直、叶少，质地脆嫩，叶折之处有白汁。土豆2-3 个/斤，大小基本均匀、表皮光滑、无发芽。胡萝卜肉质紧密，条直匀称，硬实不软，水分大，无病虫害，皮色光滑。</w:t>
      </w:r>
    </w:p>
    <w:p w14:paraId="2D72A79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④豆类质量要求：四季豆颜色鲜绿，无黄棕色斑点，外形完整，无明显破损、裂缝或虫蛀。毛豆豆荚碧绿，颜色鲜亮，豆粒饱满，内有豆衣。绿豆芽、黄豆芽等芽苗幼嫩，芽身挺直、稍细，芽脚不软、脆嫩，不带豆壳杂质，无腐烂、异味。</w:t>
      </w:r>
    </w:p>
    <w:p w14:paraId="16F70C0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⑤菌菇类质量要求：鲜菌菇肉质肥厚，表面有丝状光泽，菌体粗细均匀，新鲜无萎蔫，株形完整，菇体修割整齐，干燥整洁，无异常外来水分。</w:t>
      </w:r>
    </w:p>
    <w:p w14:paraId="5CB0E3F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⑥葱姜蒜类质量要求：大葱新鲜青绿，无空心，无枯、焦、烂叶，葱株粗状匀称、硬实，无折断，扎成捆，葱白长，管状叶短，干净，无泥无水，根部不腐烂。生姜姜块完整、丰满结实，无损伤，辣味强，无姜腐病，不带枯苗和泥土，无焦皮，不皱缩，无黑心、糠心现象，不烂芽。洋葱红皮，无破损，个头大，无青苔。蒜苗质量颜色青绿、根部易折断。生蒜个头大，瓣少、瓣大，整齐坚实，用手掂量感到分量重，蒜瓣不发芽，无臭味，干燥、不发霉，大小均匀，不皱缩。</w:t>
      </w:r>
    </w:p>
    <w:p w14:paraId="3418014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2.食品安全把控方案要求</w:t>
      </w:r>
    </w:p>
    <w:p w14:paraId="026ADA9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供应商应按照前述食材质量要求提供食品安全把控方案。方案内容详细描述供应食材质量把控措施、食材来源追溯的方法和渠道、食材检验检疫的方法和措施、针对不符合采购人要求食材的应对处置方案等内容，确保提供食材安全可靠。</w:t>
      </w:r>
    </w:p>
    <w:p w14:paraId="1FBC3AD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（二）食材供应要求</w:t>
      </w:r>
    </w:p>
    <w:p w14:paraId="403306F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供应商应提交科学合理的供应方案。方案应包含采购团队管理措施、内部采购管理措施、储存分拣管理措施、科学合理运输措施、配送时效、食材验收及服务团队保障措施。</w:t>
      </w:r>
    </w:p>
    <w:p w14:paraId="5C5E12F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1.采购及溯源能力要求</w:t>
      </w:r>
    </w:p>
    <w:p w14:paraId="7C58594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供应商所供食材均需来源清晰、供应链明确且可追溯至源头。供应商对包内主要食材应提供品牌名称，同时具备完善的内部采购管理措施及成熟稳固的采购渠道，保证货源安全足量，供应及时。</w:t>
      </w:r>
    </w:p>
    <w:p w14:paraId="43371C9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2.储存分拣加工管理要求</w:t>
      </w:r>
    </w:p>
    <w:p w14:paraId="7C788B8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供应商应具有一定的仓储加工能力，对自产、购入食材认真检查，严格根据《餐饮服务食品安全操作规范》进行分类、分拣等操作，按照要求贮存食品，科学管理库存，确保食材的质量和安全。</w:t>
      </w:r>
    </w:p>
    <w:p w14:paraId="717D47F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3.运输管理要求</w:t>
      </w:r>
    </w:p>
    <w:p w14:paraId="50B21CA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供应商整个运输过程应采用符合食品安全卫生有关要求的外包装和运载工具，对运输工具做到每日清洗消毒，车厢内无不良气味、异味，确保运输过程安全卫生。冷鲜农产品等冷鲜食品必须使用符合规范标准的冷链车进行运输，在运输过程中保持安全的冷藏、冷冻温度。</w:t>
      </w:r>
    </w:p>
    <w:p w14:paraId="22ABB8D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供应商运输工具进入采购人食材收货地点，应当服从采购人的统一管理，污染收货区域应及时清理，因不当操作导致人员、设施损伤，由供应商承担赔偿责任。</w:t>
      </w:r>
    </w:p>
    <w:p w14:paraId="1BED349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4.配送时效要求</w:t>
      </w:r>
    </w:p>
    <w:p w14:paraId="4241CCD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供应商应指定专人、明确有效方式接受采购人的订单。采购人原则上按天向供应商发布采购订单内容，供应商应在核对确认采购内容无误后，按采购人时间要求配送至指定验收地点。采购人有权要求临时补货，供应商应当在收到采购人的临时补货需求后1个小时内完成配送。供应商接受订单渠道应全天候备勤。</w:t>
      </w:r>
    </w:p>
    <w:p w14:paraId="23EB373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5.现场加工能力要求</w:t>
      </w:r>
    </w:p>
    <w:p w14:paraId="407EEC2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对采购人提出的在收货现场进行食材简易加工的要求，供应商应具备相应的能力（应提供承诺函，格式自拟，加盖公章）。</w:t>
      </w:r>
    </w:p>
    <w:p w14:paraId="15B83B2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6.食材验收要求</w:t>
      </w:r>
    </w:p>
    <w:p w14:paraId="25A266D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1）原则上采取当场验收方式，供应商应在验收时提供与送货内容一致的送货单，并提供相应食材质量合格检测报告，应配合验收人员进行倒筐去皮称重，对采购货物的品种、质量、数量进行检查验收，共同签字确认。</w:t>
      </w:r>
    </w:p>
    <w:p w14:paraId="2D2AD99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（2）对包括但不限于以下情形的食材，采购人有权拒收或退货；以下情况采购人要求及时补货的，供应商应在1小时内完成食材补送（补货食材送达之前，不合格食材样品暂存采购人处）：</w:t>
      </w:r>
    </w:p>
    <w:p w14:paraId="0D95155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①质量不合格的；</w:t>
      </w:r>
    </w:p>
    <w:p w14:paraId="1AAFF36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②不符合订单要求的种类与规格的；</w:t>
      </w:r>
    </w:p>
    <w:p w14:paraId="6180745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③原包装受损的；</w:t>
      </w:r>
    </w:p>
    <w:p w14:paraId="2E94ADC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④使用有毒塑料制品包装的。</w:t>
      </w:r>
    </w:p>
    <w:p w14:paraId="36082423">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ajorEastAsia" w:hAnsiTheme="majorEastAsia" w:eastAsiaTheme="majorEastAsia" w:cstheme="majorEastAsia"/>
          <w:b/>
          <w:bCs w:val="0"/>
          <w:caps w:val="0"/>
          <w:color w:val="auto"/>
          <w:kern w:val="0"/>
          <w:sz w:val="21"/>
          <w:szCs w:val="21"/>
          <w:highlight w:val="none"/>
          <w:lang w:val="en-US" w:eastAsia="zh-CN"/>
        </w:rPr>
      </w:pPr>
      <w:r>
        <w:rPr>
          <w:rFonts w:hint="eastAsia" w:asciiTheme="majorEastAsia" w:hAnsiTheme="majorEastAsia" w:eastAsiaTheme="majorEastAsia" w:cstheme="majorEastAsia"/>
          <w:b/>
          <w:bCs w:val="0"/>
          <w:caps w:val="0"/>
          <w:color w:val="auto"/>
          <w:kern w:val="0"/>
          <w:sz w:val="21"/>
          <w:szCs w:val="21"/>
          <w:highlight w:val="none"/>
          <w:lang w:val="en-US" w:eastAsia="zh-CN"/>
        </w:rPr>
        <w:t>二：鲜冻畜肉类</w:t>
      </w:r>
    </w:p>
    <w:p w14:paraId="09A614F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（一）食材质量安全要求</w:t>
      </w:r>
    </w:p>
    <w:p w14:paraId="26DF162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1.食材质量要求</w:t>
      </w:r>
    </w:p>
    <w:p w14:paraId="2213C8C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（1）所有食材均为非转基因，必须符合国家饮食卫生标准、国家相关法律法规的规定以及行业主管部门发布的规定、标准、规范，同时保证食品新鲜，不得出现腐烂、变质，以次充好等情况。</w:t>
      </w:r>
    </w:p>
    <w:p w14:paraId="00D0A22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2）所有食材的来源清晰，按规定必须经由法定食品检验机构检测的食品，供应商应在交货时向采购人提供同批次食品检验报告或合格证（如复印件应加盖公章）。供应商所配食材检测报告应显示供应商为本批食材直接采购人。</w:t>
      </w:r>
    </w:p>
    <w:p w14:paraId="6D6D4BB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3）鲜肉类食材应保证新鲜，表皮洁净、色泽鲜亮，纹理清晰、肉质细腻，膘厚适中、脂肪洁白，无异味、无毛；外表微干或微湿润，按压无水迹，肉质有弹性，放手后指压的凹陷立即恢复，不粘手；无淤血，无注水，无寄生虫。</w:t>
      </w:r>
    </w:p>
    <w:p w14:paraId="411D420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冻肉类外包装应密封、完整，无破损，商品合格证齐全。冻品在解冻后，发现质量问题承诺退货。配送食材送达时,食材剩余保质期限不低于其原保质期的2/3（例如：食材保质期限为10天以内的，送达时间不能超过生产日期3天；食材保质期为6个月以内的，送达时间不能超过生产日期2个月，其他同理以此类推）。</w:t>
      </w:r>
    </w:p>
    <w:p w14:paraId="001E9B2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（4）实际验收包括但不限于以上标准，招标文件未明示的验收标准参照相关国家标准、行业标准或行业惯例。</w:t>
      </w:r>
    </w:p>
    <w:p w14:paraId="3BA5FA6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（5）鲜猪肉通用质量要求</w:t>
      </w:r>
      <w:r>
        <w:rPr>
          <w:rFonts w:hint="eastAsia" w:asciiTheme="majorEastAsia" w:hAnsiTheme="majorEastAsia" w:eastAsiaTheme="majorEastAsia" w:cstheme="majorEastAsia"/>
          <w:b w:val="0"/>
          <w:bCs/>
          <w:caps w:val="0"/>
          <w:color w:val="auto"/>
          <w:kern w:val="0"/>
          <w:sz w:val="21"/>
          <w:szCs w:val="21"/>
          <w:highlight w:val="none"/>
          <w:lang w:val="en-US" w:eastAsia="zh-CN"/>
        </w:rPr>
        <w:tab/>
      </w:r>
    </w:p>
    <w:p w14:paraId="632630A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鲜猪肉应为宰杀时间在24小时之内的冷鲜肉，精修，瘦肉部分颜色呈鲜红色、红色或者粉红，脂肪颜色为白色，肉质紧密富有弹性，无异味，无淋巴结、淋巴肉。主要部位肉符合GB/T 9959相关规定，均要求一级品。</w:t>
      </w:r>
    </w:p>
    <w:p w14:paraId="0AE68AD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①五花肉质量要求</w:t>
      </w:r>
      <w:r>
        <w:rPr>
          <w:rFonts w:hint="eastAsia" w:asciiTheme="majorEastAsia" w:hAnsiTheme="majorEastAsia" w:eastAsiaTheme="majorEastAsia" w:cstheme="majorEastAsia"/>
          <w:b w:val="0"/>
          <w:bCs/>
          <w:caps w:val="0"/>
          <w:color w:val="auto"/>
          <w:kern w:val="0"/>
          <w:sz w:val="21"/>
          <w:szCs w:val="21"/>
          <w:highlight w:val="none"/>
          <w:lang w:val="en-US" w:eastAsia="zh-CN"/>
        </w:rPr>
        <w:tab/>
      </w:r>
    </w:p>
    <w:p w14:paraId="484B066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一级五花肉，肥膘厚度≤2.0cm，肥瘦相间，肉质细腻，三面见花。</w:t>
      </w:r>
    </w:p>
    <w:p w14:paraId="7A80FF8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②猪前腿肉质量要求</w:t>
      </w:r>
    </w:p>
    <w:p w14:paraId="34B7C9F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去皮，新鲜有光泽，肉质紧实有弹性。</w:t>
      </w:r>
    </w:p>
    <w:p w14:paraId="69BCEB2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③猪后腿肉质量要求</w:t>
      </w:r>
    </w:p>
    <w:p w14:paraId="5071998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去皮，表面湿润有光泽，肉质紧实有弹性，无过多脂肪。</w:t>
      </w:r>
    </w:p>
    <w:p w14:paraId="5227C23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④猪里脊质量要求</w:t>
      </w:r>
    </w:p>
    <w:p w14:paraId="5584806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新鲜色淡，红有光泽，纹理清晰，无刀伤，脂肪修理干净。</w:t>
      </w:r>
    </w:p>
    <w:p w14:paraId="64B3CF9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⑤猪排质量要求</w:t>
      </w:r>
    </w:p>
    <w:p w14:paraId="7DD3E9F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本包采购的猪排特指肋排和仔排。要求肋排无尾骨和颈骨，纹理清晰，边缘整齐；仔排无龙骨和软骨，粗细均匀。</w:t>
      </w:r>
    </w:p>
    <w:p w14:paraId="3B42ADA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⑥筒子骨质量要求</w:t>
      </w:r>
    </w:p>
    <w:p w14:paraId="1E56B16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色泽鲜亮红润，带肉不肥。</w:t>
      </w:r>
    </w:p>
    <w:p w14:paraId="455453C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⑦猪脏器及副产品质量要求</w:t>
      </w:r>
      <w:r>
        <w:rPr>
          <w:rFonts w:hint="eastAsia" w:asciiTheme="majorEastAsia" w:hAnsiTheme="majorEastAsia" w:eastAsiaTheme="majorEastAsia" w:cstheme="majorEastAsia"/>
          <w:b w:val="0"/>
          <w:bCs/>
          <w:caps w:val="0"/>
          <w:color w:val="auto"/>
          <w:kern w:val="0"/>
          <w:sz w:val="21"/>
          <w:szCs w:val="21"/>
          <w:highlight w:val="none"/>
          <w:lang w:val="en-US" w:eastAsia="zh-CN"/>
        </w:rPr>
        <w:tab/>
      </w:r>
    </w:p>
    <w:p w14:paraId="5919442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心肝、腰子类：品质新鲜，外形完整，无异味、无病变，颜色正常。</w:t>
      </w:r>
    </w:p>
    <w:p w14:paraId="26B1482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肚：品质新鲜，外形完整，无溃疡面及其他病变现象，无内容物，无边油。</w:t>
      </w:r>
    </w:p>
    <w:p w14:paraId="28CF54E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大肠、肥肠类：品质新鲜，无明显破损，无病变组织，无肠头细毛，无内容物，去净粘膜。</w:t>
      </w:r>
    </w:p>
    <w:p w14:paraId="06E1C1F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舌：不带根，品质新鲜，外形完整，无病变，无异物，附肉少，无血污、泥污。</w:t>
      </w:r>
    </w:p>
    <w:p w14:paraId="245D110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耳：不带根，品质新鲜，外形完整，无溃烂、病斑，无破损。</w:t>
      </w:r>
    </w:p>
    <w:p w14:paraId="061BF64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蹄爪类：本包采购的猪蹄特指猪前爪，要求品质新鲜，去蹄壳，刮除粗毛、细毛及趾间黑垢，无松香残留。</w:t>
      </w:r>
    </w:p>
    <w:p w14:paraId="5468213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蹄筋类：品质新鲜，无色透明，表面光亮，无油脂、无精肉、无充血现象，顺直、干燥。</w:t>
      </w:r>
    </w:p>
    <w:p w14:paraId="77B5256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猪尾：品质新鲜，去毛洁净，不带毛根或绒毛。</w:t>
      </w:r>
    </w:p>
    <w:p w14:paraId="3A7FBB5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（6）鲜牛肉通用质量要求</w:t>
      </w:r>
      <w:r>
        <w:rPr>
          <w:rFonts w:hint="eastAsia" w:asciiTheme="majorEastAsia" w:hAnsiTheme="majorEastAsia" w:eastAsiaTheme="majorEastAsia" w:cstheme="majorEastAsia"/>
          <w:b w:val="0"/>
          <w:bCs/>
          <w:caps w:val="0"/>
          <w:color w:val="auto"/>
          <w:kern w:val="0"/>
          <w:sz w:val="21"/>
          <w:szCs w:val="21"/>
          <w:highlight w:val="none"/>
          <w:lang w:val="en-US" w:eastAsia="zh-CN"/>
        </w:rPr>
        <w:tab/>
      </w:r>
    </w:p>
    <w:p w14:paraId="77AD426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精修牛肉，颜色呈正常鲜红状，脂肪微黄，表面有光泽有正常油脂分泌，肉质紧密，触摸略感粘稠，按压有弹性，无发酸发臭气味，无腐坏变色现象，挤压无水溢出。</w:t>
      </w:r>
    </w:p>
    <w:p w14:paraId="247BE5E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①牛里脊肉质量要求</w:t>
      </w:r>
      <w:r>
        <w:rPr>
          <w:rFonts w:hint="eastAsia" w:asciiTheme="majorEastAsia" w:hAnsiTheme="majorEastAsia" w:eastAsiaTheme="majorEastAsia" w:cstheme="majorEastAsia"/>
          <w:b w:val="0"/>
          <w:bCs/>
          <w:caps w:val="0"/>
          <w:color w:val="auto"/>
          <w:kern w:val="0"/>
          <w:sz w:val="21"/>
          <w:szCs w:val="21"/>
          <w:highlight w:val="none"/>
          <w:lang w:val="en-US" w:eastAsia="zh-CN"/>
        </w:rPr>
        <w:tab/>
      </w:r>
    </w:p>
    <w:p w14:paraId="311820C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精修牛里脊，长条状，肉质非常细嫩。</w:t>
      </w:r>
    </w:p>
    <w:p w14:paraId="754B94A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②牛腩质量要求</w:t>
      </w:r>
    </w:p>
    <w:p w14:paraId="4C076A5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精修牛腩肉，牛腹部及靠近牛肋处的松软肌肉，带有筋、肉、油花的肉块。</w:t>
      </w:r>
    </w:p>
    <w:p w14:paraId="3FAFDC1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③牛腱子质量要求</w:t>
      </w:r>
    </w:p>
    <w:p w14:paraId="7F96D7A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肉质紧密富有弹性，肌肉纤维分明，富有光泽，表面无粘液。</w:t>
      </w:r>
    </w:p>
    <w:p w14:paraId="180E98B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④牛排骨（切块）质量要求</w:t>
      </w:r>
    </w:p>
    <w:p w14:paraId="1818D3E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形状规整，大小一致，骨肉连接紧密，肉质饱满，无明显缺损或变形。</w:t>
      </w:r>
    </w:p>
    <w:p w14:paraId="5EBF916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（7）鲜羊肉质量要求</w:t>
      </w:r>
      <w:r>
        <w:rPr>
          <w:rFonts w:hint="eastAsia" w:asciiTheme="majorEastAsia" w:hAnsiTheme="majorEastAsia" w:eastAsiaTheme="majorEastAsia" w:cstheme="majorEastAsia"/>
          <w:b w:val="0"/>
          <w:bCs/>
          <w:caps w:val="0"/>
          <w:color w:val="auto"/>
          <w:kern w:val="0"/>
          <w:sz w:val="21"/>
          <w:szCs w:val="21"/>
          <w:highlight w:val="none"/>
          <w:lang w:val="en-US" w:eastAsia="zh-CN"/>
        </w:rPr>
        <w:tab/>
      </w:r>
    </w:p>
    <w:p w14:paraId="3A7D712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精修羊肉，肌肉红色均匀，有光泽，脂肪洁白。外表触摸不粘手，弹性好，指压后凹陷立即恢复。具有鲜羊肉正常气味，无泥污，无血污，肉边整齐，无碎肉，碎骨，按标准部位分割，羊腿肉肥瘦相间，背部膘头厚度适中，无多余脂肪及血管。</w:t>
      </w:r>
    </w:p>
    <w:p w14:paraId="2B2781D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（8）冻畜肉质量要求</w:t>
      </w:r>
      <w:r>
        <w:rPr>
          <w:rFonts w:hint="eastAsia" w:asciiTheme="majorEastAsia" w:hAnsiTheme="majorEastAsia" w:eastAsiaTheme="majorEastAsia" w:cstheme="majorEastAsia"/>
          <w:b w:val="0"/>
          <w:bCs/>
          <w:caps w:val="0"/>
          <w:color w:val="auto"/>
          <w:kern w:val="0"/>
          <w:sz w:val="21"/>
          <w:szCs w:val="21"/>
          <w:highlight w:val="none"/>
          <w:lang w:val="en-US" w:eastAsia="zh-CN"/>
        </w:rPr>
        <w:tab/>
      </w:r>
    </w:p>
    <w:p w14:paraId="6DBC7A0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色泽：颜色比冷却肉鲜明，在表面切开处为浅玫瑰色至灰色，用手或热刀触之，立显示鲜红色。脂肪猪、羊为白色，牛为淡黄色。肌腱为白色，石灰色。</w:t>
      </w:r>
    </w:p>
    <w:p w14:paraId="0B58385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外表：无杂质，无肌肉风干现象，无白、黄、绿斑、紫斑，无污血，无过多冰衣、白霜。</w:t>
      </w:r>
    </w:p>
    <w:p w14:paraId="3AF0361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气味：化冻时，有肉的正常味，略潮，没有熟肉味。</w:t>
      </w:r>
    </w:p>
    <w:p w14:paraId="622F8E1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包装：按标准部位分割，外包装无破损，有生产日期。</w:t>
      </w:r>
    </w:p>
    <w:p w14:paraId="25CB5B2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2.食品安全把控方案要求</w:t>
      </w:r>
    </w:p>
    <w:p w14:paraId="6D134EF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供应商应按照前述食材质量要求提供食品安全把控方案。方案内容详细描述供应食材质量把控措施、食材来源追溯的方法和渠道、食材检验检疫的方法和措施、针对不符合采购人要求食材的应对处置方案等内容，确保提供食材安全可靠。</w:t>
      </w:r>
    </w:p>
    <w:p w14:paraId="49A50D3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（二）食材供应要求</w:t>
      </w:r>
    </w:p>
    <w:p w14:paraId="714F8B4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供应商应提交科学合理的供应方案。方案应包含采购团队管理措施、内部采购管理措施、储存分拣管理措施、科学合理运输措施、配送时效、食材验收及服务团队保障措施。</w:t>
      </w:r>
    </w:p>
    <w:p w14:paraId="199AA72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1.供货范围及确认（供应商应提供承诺函）</w:t>
      </w:r>
    </w:p>
    <w:p w14:paraId="385E9E2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针对畜肉类食材，尤其是冷冻类食材，供应商应向采购人提供各类可供应食材的生产、加工基地名称或品牌规格清单，由采购人选择。</w:t>
      </w:r>
    </w:p>
    <w:p w14:paraId="62A1D68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供应指定网站（“宿迁阳光物价网”或“周边大型农贸市场、大型超市公布范围之外的食材品种（供应商应当提供相关产品检测报告、合格证、销售记录及价格），应经采购人查验确认后方可进行供货。</w:t>
      </w:r>
    </w:p>
    <w:p w14:paraId="02F9913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2.采购及溯源能力要求</w:t>
      </w:r>
    </w:p>
    <w:p w14:paraId="6A8A0A5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供应商所供食材均需来源清晰、供应链明确且可追溯至源头。供应商对包内主要食材应提供品牌名称，同时具备完善的内部采购管理措施及成熟稳固的采购渠道，保证货源安全足量，供应及时。</w:t>
      </w:r>
    </w:p>
    <w:p w14:paraId="616D3DD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3.储存分拣加工管理要求</w:t>
      </w:r>
    </w:p>
    <w:p w14:paraId="595E27C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供应商应具有一定的仓储加工能力，对自产、购入食材认真检查，严格根据《餐饮服务食品安全操作规范》进行分类、分拣等操作，按照要求贮存食品，科学管理库存，确保食材的质量和安全。</w:t>
      </w:r>
    </w:p>
    <w:p w14:paraId="188323A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4.运输管理要求</w:t>
      </w:r>
    </w:p>
    <w:p w14:paraId="082ACB7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供应商整个运输过程应采用符合食品安全卫生有关要求的外包装和运载工具，对运输工具做到每日清洗消毒，车厢内无不良气味、异味，确保运输过程安全卫生。生鲜肉类、冷冻制品等冷链食品必须使用符合规范标准的冷链车进行运输，在运输过程中保持安全的冷藏、冷冻温度。</w:t>
      </w:r>
    </w:p>
    <w:p w14:paraId="6911A2B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供应商运输工具进入采购人食材收货地点，应当服从采购人的统一管理，污染收货区域应及时清理，因不当操作导致人员、设施损伤，由供应商承担赔偿责任。</w:t>
      </w:r>
    </w:p>
    <w:p w14:paraId="595AB52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5.配送时效要求</w:t>
      </w:r>
    </w:p>
    <w:p w14:paraId="4C2BE5B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供应商应指定专人、明确有效方式接受采购人的订单。采购人原则上按天向供应商发布采购订单内容，供应商应在核对确认采购内容无误后，按采购人时间要求配送至指定验收地点。采购人有权要求临时补货，供应商应当在收到采购人的临时补货需求后1个小时内完成配送。供应商接受订单渠道应全天候备勤。</w:t>
      </w:r>
    </w:p>
    <w:p w14:paraId="223F6CC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6.现场加工能力要求（供应商应提供承诺函）</w:t>
      </w:r>
    </w:p>
    <w:p w14:paraId="5E89789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对采购人提出的在收货现场进行食材简易加工的要求，供应商应具备相应的能力。如肉类去皮、排骨切块、淋巴肉或多余肥肉修剪等（承诺函格式自拟，加盖公章）。</w:t>
      </w:r>
    </w:p>
    <w:p w14:paraId="757F938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7.食材验收要求</w:t>
      </w:r>
    </w:p>
    <w:p w14:paraId="2622C5E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1）原则上采取当场验收方式，供应商应在验收时提供与送货内容一致的送货单，并提供相应食材质量检测报告（鲜肉类食材验收时应提供24小时内检验检疫票，食材来源应与票面上注明的送检公司名称一致），应配合验收人员进行去皮称重，对采购货物的品种、质量、数量进行检查验收，共同签字确认。</w:t>
      </w:r>
    </w:p>
    <w:p w14:paraId="5F2216F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（2）对包括但不限于以下情形的食材，采购人有权拒收或退货；以下食材采购人要求及时补货的，供应商应在1小时内完成食材补送（补货食材送达之前，不合格食材样品暂存采购人处）：</w:t>
      </w:r>
    </w:p>
    <w:p w14:paraId="59A9F41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①质量不合格的；</w:t>
      </w:r>
    </w:p>
    <w:p w14:paraId="3310792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②不符合订单要求的种类与规格的；</w:t>
      </w:r>
    </w:p>
    <w:p w14:paraId="2C99C58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③原包装受损的；</w:t>
      </w:r>
    </w:p>
    <w:p w14:paraId="5FB56CD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④使用有毒塑料制品包装的。</w:t>
      </w:r>
    </w:p>
    <w:p w14:paraId="4592B199">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ajorEastAsia" w:hAnsiTheme="majorEastAsia" w:eastAsiaTheme="majorEastAsia" w:cstheme="majorEastAsia"/>
          <w:b/>
          <w:bCs w:val="0"/>
          <w:caps w:val="0"/>
          <w:color w:val="auto"/>
          <w:kern w:val="0"/>
          <w:sz w:val="21"/>
          <w:szCs w:val="21"/>
          <w:highlight w:val="none"/>
          <w:lang w:val="en-US" w:eastAsia="zh-CN"/>
        </w:rPr>
      </w:pPr>
      <w:r>
        <w:rPr>
          <w:rFonts w:hint="eastAsia" w:asciiTheme="majorEastAsia" w:hAnsiTheme="majorEastAsia" w:eastAsiaTheme="majorEastAsia" w:cstheme="majorEastAsia"/>
          <w:b/>
          <w:bCs w:val="0"/>
          <w:caps w:val="0"/>
          <w:color w:val="auto"/>
          <w:kern w:val="0"/>
          <w:sz w:val="21"/>
          <w:szCs w:val="21"/>
          <w:highlight w:val="none"/>
          <w:lang w:val="en-US" w:eastAsia="zh-CN"/>
        </w:rPr>
        <w:t>三：其他综合类</w:t>
      </w:r>
    </w:p>
    <w:p w14:paraId="535D05B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（一）食材质量安全要求</w:t>
      </w:r>
    </w:p>
    <w:p w14:paraId="0A991CA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1.食材质量要求</w:t>
      </w:r>
    </w:p>
    <w:p w14:paraId="7A340B5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（1）食材总体质量要求</w:t>
      </w:r>
    </w:p>
    <w:p w14:paraId="033C4C6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①所有食材均为非转基因，品牌优质，符合国家饮食卫生标准、国家相关法律法规的规定以及行业主管部门发布的规定、标准、规范，同时保证食品新鲜，成熟度适中，形态完整，规格统一，不得出现腐烂、变质，以次充好等情况。</w:t>
      </w:r>
    </w:p>
    <w:p w14:paraId="127CD60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②所有食材的来源清晰，按规定必须经由法定食品检验机构检测的食品，供应商应在交货时向采购人提供同批次食品检验报告或合格证（如复印件应加盖公章）。</w:t>
      </w:r>
    </w:p>
    <w:p w14:paraId="6CBF981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③配送食材送达时,食材剩余保质期限不低于其原保质期的2/3（例如：食材保质期限为 10 天以内的，送达时间不能超过生产日期3天；食材保质期为6个月以内的，送达时间不能超过生产日期2个月，其他同理以此类推）。</w:t>
      </w:r>
    </w:p>
    <w:p w14:paraId="766F9D9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④实际验收情况包括但不限于以上标准，招标文件未明示的验收标准参照相关国家标准、行业标准或行业惯例。</w:t>
      </w:r>
    </w:p>
    <w:p w14:paraId="0373FBD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（2）大米质量标准</w:t>
      </w:r>
      <w:r>
        <w:rPr>
          <w:rFonts w:hint="eastAsia" w:asciiTheme="majorEastAsia" w:hAnsiTheme="majorEastAsia" w:eastAsiaTheme="majorEastAsia" w:cstheme="majorEastAsia"/>
          <w:b w:val="0"/>
          <w:bCs/>
          <w:caps w:val="0"/>
          <w:color w:val="auto"/>
          <w:kern w:val="0"/>
          <w:sz w:val="21"/>
          <w:szCs w:val="21"/>
          <w:highlight w:val="none"/>
          <w:lang w:val="en-US" w:eastAsia="zh-CN"/>
        </w:rPr>
        <w:tab/>
      </w:r>
    </w:p>
    <w:p w14:paraId="71584AE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符合GB/T 1354中关于一级米的标准，加工精度为精碾，小碎米含量≤1.0%，不完善粒≤3.0%，带壳稗粒≤3粒/公斤，带谷粒≤4粒/公斤。</w:t>
      </w:r>
    </w:p>
    <w:p w14:paraId="23055C7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（3）面粉（含面粉配料）质量标准</w:t>
      </w:r>
      <w:r>
        <w:rPr>
          <w:rFonts w:hint="eastAsia" w:asciiTheme="majorEastAsia" w:hAnsiTheme="majorEastAsia" w:eastAsiaTheme="majorEastAsia" w:cstheme="majorEastAsia"/>
          <w:b w:val="0"/>
          <w:bCs/>
          <w:caps w:val="0"/>
          <w:color w:val="auto"/>
          <w:kern w:val="0"/>
          <w:sz w:val="21"/>
          <w:szCs w:val="21"/>
          <w:highlight w:val="none"/>
          <w:lang w:val="en-US" w:eastAsia="zh-CN"/>
        </w:rPr>
        <w:tab/>
      </w:r>
    </w:p>
    <w:p w14:paraId="05C4EF1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通用面粉达GB/T 1355国家标准。</w:t>
      </w:r>
    </w:p>
    <w:p w14:paraId="68F7A91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高筋面粉达GB/T 8607国家标准，质量等级一级；低筋面粉达GB8608标准，质量等级一级。色泽正常，干爽无异味。</w:t>
      </w:r>
    </w:p>
    <w:p w14:paraId="08FD2EA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（4）面条米线质量要求</w:t>
      </w:r>
      <w:r>
        <w:rPr>
          <w:rFonts w:hint="eastAsia" w:asciiTheme="majorEastAsia" w:hAnsiTheme="majorEastAsia" w:eastAsiaTheme="majorEastAsia" w:cstheme="majorEastAsia"/>
          <w:b w:val="0"/>
          <w:bCs/>
          <w:caps w:val="0"/>
          <w:color w:val="auto"/>
          <w:kern w:val="0"/>
          <w:sz w:val="21"/>
          <w:szCs w:val="21"/>
          <w:highlight w:val="none"/>
          <w:lang w:val="en-US" w:eastAsia="zh-CN"/>
        </w:rPr>
        <w:tab/>
      </w:r>
    </w:p>
    <w:p w14:paraId="224FD2C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不含非食品用化学物质、无杂质。以小麦、大米为原料的面条、米线颜色呈白色、乳白色、奶黄色，色亮,不发灰、发暗。表面结构细密、光滑。软硬适中，爽口不粘牙，口感光滑，具有粮食清香，无异味。</w:t>
      </w:r>
    </w:p>
    <w:p w14:paraId="091E461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（5）食用油质量标准</w:t>
      </w:r>
      <w:r>
        <w:rPr>
          <w:rFonts w:hint="eastAsia" w:asciiTheme="majorEastAsia" w:hAnsiTheme="majorEastAsia" w:eastAsiaTheme="majorEastAsia" w:cstheme="majorEastAsia"/>
          <w:b w:val="0"/>
          <w:bCs/>
          <w:caps w:val="0"/>
          <w:color w:val="auto"/>
          <w:kern w:val="0"/>
          <w:sz w:val="21"/>
          <w:szCs w:val="21"/>
          <w:highlight w:val="none"/>
          <w:lang w:val="en-US" w:eastAsia="zh-CN"/>
        </w:rPr>
        <w:tab/>
      </w:r>
    </w:p>
    <w:p w14:paraId="31CCBCE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包括但不限于菜籽油、葵花籽油、大豆油、花生油等，标签标识需符合GB/T 1536、GB/T 10464、GB/T 1535和GB/T 1534；应为非转基因产品；具有产品合格证，有QS标志，标明品名、厂名、生产日期、保质期、质量等级及加工工艺（即用浸出法生产，还是用压榨法生产）；正常植物油色泽、透明度、气味，无焦臭、酸败及其他异味；剩余保存期不少于保质期的三分之二。</w:t>
      </w:r>
    </w:p>
    <w:p w14:paraId="6CE82B7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（6）豆制品质量要求</w:t>
      </w:r>
      <w:r>
        <w:rPr>
          <w:rFonts w:hint="eastAsia" w:asciiTheme="majorEastAsia" w:hAnsiTheme="majorEastAsia" w:eastAsiaTheme="majorEastAsia" w:cstheme="majorEastAsia"/>
          <w:b w:val="0"/>
          <w:bCs/>
          <w:caps w:val="0"/>
          <w:color w:val="auto"/>
          <w:kern w:val="0"/>
          <w:sz w:val="21"/>
          <w:szCs w:val="21"/>
          <w:highlight w:val="none"/>
          <w:lang w:val="en-US" w:eastAsia="zh-CN"/>
        </w:rPr>
        <w:tab/>
      </w:r>
    </w:p>
    <w:p w14:paraId="1B97DF3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豆制品的种类包括但不限于：豆腐、千张、香干、大油豆腐、小油豆腐等。发酵性豆制品必须符合 GB2712标准，非发酵豆制品必须符合 GB/T22106 标准、GB2711 非发酵性豆制品及面筋卫生标准；豆制品的有关安全健康指标符合国家规定；豆制品定型包装必须具有“SC”食品质量安全认证，并提供产品合格证明文件。</w:t>
      </w:r>
    </w:p>
    <w:p w14:paraId="5F88E8D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（7）干调类质量要求</w:t>
      </w:r>
    </w:p>
    <w:p w14:paraId="5CEA134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调味品类（如酱油、醋、料酒、面酱、盐、糖、味精等）应选用优质名品，包装应完整无破损，标志清楚完整。色味纯正，无杂质霉变，无虫蛀。酱油、醋、料酒等浆液色泽正常，无异常浑浊及絮状物；盐、糖、味精等干爽无杂质，颜色纯正，颗粒均匀。</w:t>
      </w:r>
    </w:p>
    <w:p w14:paraId="105C14B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干货制品（如木耳、香菇、银耳、紫菜等）表面干爽，无受潮现象，无异味，整齐、均匀、完整，无虫蛀、无杂质、无霉点。</w:t>
      </w:r>
    </w:p>
    <w:p w14:paraId="06B7BB3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（8）鲜禽类质量要求</w:t>
      </w:r>
    </w:p>
    <w:p w14:paraId="2EF33D1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鲜禽类食材宰杀时间在12小时之内，眼球无干缩凹陷或晶体状浑浊现象；外表具有其固有表皮颜色；肌肉切面有光泽，无绿、紫等异常颜色；无残羽（尤其在脖、翅等处无较长细毛）、无破损、无残缺，新切面不发粘；具有其固有气味、无异味；有弹性，指压后凹陷、能恢复。</w:t>
      </w:r>
    </w:p>
    <w:p w14:paraId="163420A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（9）禽肉(冻) 类质量要求</w:t>
      </w:r>
    </w:p>
    <w:p w14:paraId="25953D1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无冰衣，解冻后与鲜禽特征相同；外观滋润，呈乳白或微黄色；基本无血脉、风干现象，无白、黄绿、紫斑，无腐臭气味；分割部件应符合标准，外包装完好，商标规格、产品说明清晰完整。</w:t>
      </w:r>
    </w:p>
    <w:p w14:paraId="3DFC610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（10）鲜活、冰鲜、冷冻水产质量要求</w:t>
      </w:r>
    </w:p>
    <w:p w14:paraId="0ED6297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符合国家标准及符合食品卫生相关标准及法规要求，禁止提供产自污染水域的水产品。</w:t>
      </w:r>
    </w:p>
    <w:p w14:paraId="5601F9E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①鲜活水产保持鲜活，验收时发现病态、伤残或死亡的，予以拒收。验收合格的鲜活水产现场宰杀称重；</w:t>
      </w:r>
    </w:p>
    <w:p w14:paraId="6C6AA84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②冰鲜水产未经冷冻，鱼身完整无损，无明显腥味、腐臭味，肉质结实有弹性，不易骨刺分离；</w:t>
      </w:r>
    </w:p>
    <w:p w14:paraId="4A1E441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③冷冻水产选取优质品牌，包装完好未化冻，解冻后水产保证完整无损害。</w:t>
      </w:r>
    </w:p>
    <w:p w14:paraId="58DEFFA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（11）水果质量要求</w:t>
      </w:r>
      <w:r>
        <w:rPr>
          <w:rFonts w:hint="eastAsia" w:asciiTheme="majorEastAsia" w:hAnsiTheme="majorEastAsia" w:eastAsiaTheme="majorEastAsia" w:cstheme="majorEastAsia"/>
          <w:b w:val="0"/>
          <w:bCs/>
          <w:caps w:val="0"/>
          <w:color w:val="auto"/>
          <w:kern w:val="0"/>
          <w:sz w:val="21"/>
          <w:szCs w:val="21"/>
          <w:highlight w:val="none"/>
          <w:lang w:val="en-US" w:eastAsia="zh-CN"/>
        </w:rPr>
        <w:tab/>
      </w:r>
    </w:p>
    <w:p w14:paraId="7957FB4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果面干净，无虫、无杂质，化学药物不超标，无明显泥土，码放整齐，无破损，芯部不腐烂，口感新鲜、甘甜，无明显酸涩，水分充足。大小符合订单要求并基本统一，不过熟或欠熟，包装完好。几种主要类别水果质量标准如下：</w:t>
      </w:r>
    </w:p>
    <w:p w14:paraId="758EB6D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①柑橘类(脐橙、蜜橘、西柚、蜜柚等)：果实结实、有弹性，手掂有重量感，果形完整，有色泽，无疤痕，不萎缩、变色、受挤压变形，柚类无褐斑、黑点。</w:t>
      </w:r>
    </w:p>
    <w:p w14:paraId="42B460E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②苹果类(蛇果、青苹果、红富士等)：结实，甜而多汁，有光泽，表面光滑，无压伤、疤痕，不干皱。</w:t>
      </w:r>
    </w:p>
    <w:p w14:paraId="30856BE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③梨类(鸭梨、雪梨、贡梨、香梨等)：结实，甜而多汁，个体均匀，不变色，干皱，无压伤。</w:t>
      </w:r>
    </w:p>
    <w:p w14:paraId="065FF76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④浆果类(葡萄、柿子、香蕉、火龙果等)：果实结实饱满，大小均匀，无压伤。火龙果表皮鲜红，叶片鲜绿，结实而有弹性，有黑色种子，口味淡甜。香蕉果实象牙状，未成熟青绿色、成熟后鲜黄色，软糯香甜。</w:t>
      </w:r>
    </w:p>
    <w:p w14:paraId="180CE7D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⑤瓜类(哈密瓜、香瓜、木瓜、西瓜等) ：果形完整，结实，无开裂、压伤。</w:t>
      </w:r>
    </w:p>
    <w:p w14:paraId="6D0DED0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⑥核果类（桃等）：形状规整，颜色鲜艳且均匀。桃子表面无斑点，桃香浓郁。</w:t>
      </w:r>
    </w:p>
    <w:p w14:paraId="15CC3B6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（12）蛋类质量要求</w:t>
      </w:r>
    </w:p>
    <w:p w14:paraId="02F2C3E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配送蛋类应为品牌有保证的保洁蛋，一级品鸡蛋、鸭蛋、鹌鹑蛋，包装完好，蛋壳清洁完整，呈规则卵圆形，具有蛋壳固有的色泽，表面无肉眼可见污物，蛋白浓稠、蛋黄圆润。</w:t>
      </w:r>
    </w:p>
    <w:p w14:paraId="127B6AF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（13）乳制品质量标准</w:t>
      </w:r>
    </w:p>
    <w:p w14:paraId="6C74F9D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选取优质品牌，包装完好，日期新鲜，酸奶必须符合GB19302标准，并拥有“QS”食品质量安全认证，送达时不超过有效期的20%；鲜奶类（巴氏奶）必须符合GB19301标准，并拥有“QS”食品质量安全认证，鲜奶配送日期保证在上市当天。</w:t>
      </w:r>
    </w:p>
    <w:p w14:paraId="5AF4307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（14）其他食材质量标准</w:t>
      </w:r>
    </w:p>
    <w:p w14:paraId="757ABA3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未详细列明的其他食材须符合国家食品安全卫生相关质量标准。</w:t>
      </w:r>
    </w:p>
    <w:p w14:paraId="744FB73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（15）特殊准入认证要求</w:t>
      </w:r>
      <w:r>
        <w:rPr>
          <w:rFonts w:hint="eastAsia" w:asciiTheme="majorEastAsia" w:hAnsiTheme="majorEastAsia" w:eastAsiaTheme="majorEastAsia" w:cstheme="majorEastAsia"/>
          <w:b w:val="0"/>
          <w:bCs/>
          <w:caps w:val="0"/>
          <w:color w:val="auto"/>
          <w:kern w:val="0"/>
          <w:sz w:val="21"/>
          <w:szCs w:val="21"/>
          <w:highlight w:val="none"/>
          <w:lang w:val="en-US" w:eastAsia="zh-CN"/>
        </w:rPr>
        <w:tab/>
      </w:r>
    </w:p>
    <w:p w14:paraId="0181176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对实行食品质量（SC）安全市场准入制的食品，应在验收时提供SC认证的相关证明资料。</w:t>
      </w:r>
    </w:p>
    <w:p w14:paraId="1685BC9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2.食品安全把控方案要求</w:t>
      </w:r>
    </w:p>
    <w:p w14:paraId="33BE77C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供应商应按照前述食材质量要求提供食品安全把控方案。方案内容详细描述供应食材质量把控措施、食材来源追溯的方法和渠道、食材检验检疫的方法和措施、针对不符合采购人要求食材的应对处置方案等内容，确保提供食材安全可靠。</w:t>
      </w:r>
    </w:p>
    <w:p w14:paraId="699B97B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（二）食材供应要求</w:t>
      </w:r>
    </w:p>
    <w:p w14:paraId="6B61F99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供应商应提交科学合理的供应方案。方案应包含采购团队管理措施、内部采购管理措施、储存分拣管理措施、科学合理运输措施、配送时效、食材验收及服务团队保障措施。</w:t>
      </w:r>
    </w:p>
    <w:p w14:paraId="199BF32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1.供货范围及确认（供应商应提供承诺函）</w:t>
      </w:r>
    </w:p>
    <w:p w14:paraId="63FE888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针对干调、乳制品、米面油、鸡蛋、禽肉类等食材，供应商应向采购人提供各类可供应食材的品牌规格清单，由采购人选择。</w:t>
      </w:r>
    </w:p>
    <w:p w14:paraId="7309109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除供应指定网站（“宿迁阳光物价网”或“周边大型农贸市场、大型超市公布范围之外的食材品种（供应商应当提供相关产品检测报告、合格证、销售记录及价格），应经采购人查验确认后方可进行供货。</w:t>
      </w:r>
    </w:p>
    <w:p w14:paraId="5B4E6AC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2.采购及溯源能力要求</w:t>
      </w:r>
    </w:p>
    <w:p w14:paraId="6DAC3AC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供应商所供食材均需来源清晰、供应链明确且可追溯至源头。供应商对包内主要食材应提供品牌名称，同时具备完善的内部采购管理措施及成熟稳固的采购渠道，保证货源安全足量，供应及时。</w:t>
      </w:r>
    </w:p>
    <w:p w14:paraId="78E207B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3.储存分拣加工管理要求</w:t>
      </w:r>
    </w:p>
    <w:p w14:paraId="4A34BB4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供应商应具有一定的仓储加工能力，对自产、购入食材认真检查，严格根据《餐饮服务食品安全操作规范》进行分类、分拣等操作，按照要求贮存食品，科学管理库存，确保食材的质量和安全。</w:t>
      </w:r>
    </w:p>
    <w:p w14:paraId="1DB5A7E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4.运输管理要求</w:t>
      </w:r>
    </w:p>
    <w:p w14:paraId="0D85AEC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供应商整个运输过程应采用符合食品安全卫生有关要求的外包装和运载工具，对运输工具做到每日清洗消毒，车厢内无不良气味、异味，确保运输过程安全卫生。冷冻制品、生鲜蛋奶等冷链食品必须使用符合规范标准的冷链车进行运输，在运输过程中保持安全的冷藏、冷冻温度。</w:t>
      </w:r>
    </w:p>
    <w:p w14:paraId="25A7E86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供应商运输工具进入采购人食材收货地点，应当服从采购人的统一管理，污染收货区域应及时清理，因不当操作导致人员、设施损伤，由供应商承担赔偿责任。</w:t>
      </w:r>
    </w:p>
    <w:p w14:paraId="5D060E4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5.配送时效要求</w:t>
      </w:r>
    </w:p>
    <w:p w14:paraId="3BF7DBA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供应商应指定专人、明确有效方式接受采购人的订单。采购人原则上按天向供应商发布采购订单内容，供应商应在核对确认采购内容无误后，按采购人时间要求配送至指定验收地点。采购人有权要求临时补货，供应商应当在收到采购人的临时补货需求后1个小时内完成配送。供应商接受订单渠道应全天候备勤。</w:t>
      </w:r>
    </w:p>
    <w:p w14:paraId="00F4D98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6.现场加工能力要求</w:t>
      </w:r>
    </w:p>
    <w:p w14:paraId="3A78940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对采购人提出的在收货现场进行食材简易加工的要求，供应商应具备相应的能力。如肉类分割，水产类宰杀去鳃去鳞去内脏、特定品种水果洗净削皮等（应提供承诺函，格式自拟，加盖公章）。</w:t>
      </w:r>
    </w:p>
    <w:p w14:paraId="5CA1792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7.食材验收要求</w:t>
      </w:r>
    </w:p>
    <w:p w14:paraId="60B4DB0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1）原则上采取当场验收方式，供应商应在验收时提供与送货内容一致的送货单，并提供相应食材质量检测报告，应配合验收人员进行倒筐去皮称重，对采购货物的品种、质量、数量进行检查验收，共同签字确认。</w:t>
      </w:r>
    </w:p>
    <w:p w14:paraId="4E84EEF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（2）对包括但不限于以下情形的食材，采购人有权拒收或退货；采购人要求及时补货的，供应商应在1小时内完成食材补送（补货食材送达之前，不合格食材样品暂存采购人处）：</w:t>
      </w:r>
    </w:p>
    <w:p w14:paraId="705D521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①质量不合格的；</w:t>
      </w:r>
    </w:p>
    <w:p w14:paraId="2F71356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②不符合订单要求的种类与规格的；</w:t>
      </w:r>
    </w:p>
    <w:p w14:paraId="52773DE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③原包装受损的；</w:t>
      </w:r>
    </w:p>
    <w:p w14:paraId="23A957B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 w:val="0"/>
          <w:bCs/>
          <w:caps w:val="0"/>
          <w:color w:val="auto"/>
          <w:kern w:val="0"/>
          <w:sz w:val="21"/>
          <w:szCs w:val="21"/>
          <w:highlight w:val="none"/>
          <w:lang w:val="en-US" w:eastAsia="zh-CN"/>
        </w:rPr>
      </w:pPr>
      <w:r>
        <w:rPr>
          <w:rFonts w:hint="eastAsia" w:asciiTheme="majorEastAsia" w:hAnsiTheme="majorEastAsia" w:eastAsiaTheme="majorEastAsia" w:cstheme="majorEastAsia"/>
          <w:b w:val="0"/>
          <w:bCs/>
          <w:caps w:val="0"/>
          <w:color w:val="auto"/>
          <w:kern w:val="0"/>
          <w:sz w:val="21"/>
          <w:szCs w:val="21"/>
          <w:highlight w:val="none"/>
          <w:lang w:val="en-US" w:eastAsia="zh-CN"/>
        </w:rPr>
        <w:t>④使用有毒塑料制品包装的。</w:t>
      </w:r>
    </w:p>
    <w:p w14:paraId="37C2FB2B">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ajorEastAsia" w:hAnsiTheme="majorEastAsia" w:eastAsiaTheme="majorEastAsia" w:cstheme="majorEastAsia"/>
          <w:b/>
          <w:bCs w:val="0"/>
          <w:caps w:val="0"/>
          <w:color w:val="auto"/>
          <w:kern w:val="0"/>
          <w:sz w:val="21"/>
          <w:szCs w:val="21"/>
          <w:highlight w:val="none"/>
          <w:lang w:val="en-US" w:eastAsia="zh-CN"/>
        </w:rPr>
      </w:pPr>
      <w:r>
        <w:rPr>
          <w:rFonts w:hint="eastAsia" w:asciiTheme="majorEastAsia" w:hAnsiTheme="majorEastAsia" w:eastAsiaTheme="majorEastAsia" w:cstheme="majorEastAsia"/>
          <w:b/>
          <w:bCs w:val="0"/>
          <w:caps w:val="0"/>
          <w:color w:val="auto"/>
          <w:kern w:val="0"/>
          <w:sz w:val="21"/>
          <w:szCs w:val="21"/>
          <w:highlight w:val="none"/>
          <w:lang w:val="en-US" w:eastAsia="zh-CN"/>
        </w:rPr>
        <w:t>四、价格及结算</w:t>
      </w:r>
    </w:p>
    <w:p w14:paraId="24AF44C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1.价格确定：本项目投标报价须以供货当日“宿迁阳光物价网”网址：（http://ygwj.fgw.suqian.gov.cn/） 公布的最新主副食品价格计价进行折扣；如宿迁阳光物价网无网价的产品，以周边大型农贸市场、大型超市的食材价格进行折扣。</w:t>
      </w:r>
    </w:p>
    <w:p w14:paraId="694CE56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2.费用结算：基准价*费率*实际用量。</w:t>
      </w:r>
    </w:p>
    <w:p w14:paraId="0FDB379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3.投标费率（折扣）计算方式：假设商品“宿迁阳光物价网”或“周边大型农贸市场、大型超市”单价为100元，当费率为95%，则结算时该商品单价=100元*95%=95元；当费率为93%，则结算时该商品单价=100元*93%=93元，以此类推。</w:t>
      </w:r>
    </w:p>
    <w:p w14:paraId="09099747">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ajorEastAsia" w:hAnsiTheme="majorEastAsia" w:eastAsiaTheme="majorEastAsia" w:cstheme="majorEastAsia"/>
          <w:b/>
          <w:bCs w:val="0"/>
          <w:caps w:val="0"/>
          <w:color w:val="auto"/>
          <w:kern w:val="0"/>
          <w:sz w:val="21"/>
          <w:szCs w:val="21"/>
          <w:highlight w:val="none"/>
          <w:lang w:val="en-US" w:eastAsia="zh-CN"/>
        </w:rPr>
      </w:pPr>
      <w:r>
        <w:rPr>
          <w:rFonts w:hint="eastAsia" w:asciiTheme="majorEastAsia" w:hAnsiTheme="majorEastAsia" w:eastAsiaTheme="majorEastAsia" w:cstheme="majorEastAsia"/>
          <w:b/>
          <w:bCs w:val="0"/>
          <w:caps w:val="0"/>
          <w:color w:val="auto"/>
          <w:kern w:val="0"/>
          <w:sz w:val="21"/>
          <w:szCs w:val="21"/>
          <w:highlight w:val="none"/>
          <w:lang w:val="en-US" w:eastAsia="zh-CN"/>
        </w:rPr>
        <w:t>五、付款方式</w:t>
      </w:r>
    </w:p>
    <w:p w14:paraId="0F5AD61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食材费用按月结算，食材验收及单据审核全部合格的，视为验收完成。每月验收完成后，甲乙双方进行上月货款核对，双方核实无误后据实结算。乙方在次月25日前报送正规发票，甲方在收到发票等合同约定付款申请资料后，进行核实，满足合同支付条件的，自收到发票后原则上10个工作日内将资金以转账方式支付到乙方账户，另有争议的除外。对账、开票、付款日遇节假日可顺延。</w:t>
      </w:r>
    </w:p>
    <w:p w14:paraId="56027290">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ajorEastAsia" w:hAnsiTheme="majorEastAsia" w:eastAsiaTheme="majorEastAsia" w:cstheme="majorEastAsia"/>
          <w:b/>
          <w:bCs w:val="0"/>
          <w:caps w:val="0"/>
          <w:color w:val="auto"/>
          <w:kern w:val="0"/>
          <w:sz w:val="21"/>
          <w:szCs w:val="21"/>
          <w:highlight w:val="none"/>
          <w:lang w:val="en-US" w:eastAsia="zh-CN"/>
        </w:rPr>
      </w:pPr>
      <w:r>
        <w:rPr>
          <w:rFonts w:hint="eastAsia" w:asciiTheme="majorEastAsia" w:hAnsiTheme="majorEastAsia" w:eastAsiaTheme="majorEastAsia" w:cstheme="majorEastAsia"/>
          <w:b/>
          <w:bCs w:val="0"/>
          <w:caps w:val="0"/>
          <w:color w:val="auto"/>
          <w:kern w:val="0"/>
          <w:sz w:val="21"/>
          <w:szCs w:val="21"/>
          <w:highlight w:val="none"/>
          <w:lang w:val="en-US" w:eastAsia="zh-CN"/>
        </w:rPr>
        <w:t>六、采购项目技术规格</w:t>
      </w:r>
    </w:p>
    <w:p w14:paraId="4C89449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1.大米：执行国家GB/T 1354一级标准</w:t>
      </w:r>
    </w:p>
    <w:p w14:paraId="470E99F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2.面粉（通用）：精制级馒头用小麦粉（特质一级）</w:t>
      </w:r>
    </w:p>
    <w:p w14:paraId="2B5FDA2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3.豆油（桶装成品油）：大豆油必须是原产桶装成品一级油（非转基因大豆油），投标人不得分装、散装、销售采购人。油应符合GB1535 相关标准，卫生指标按GB2716、GB2760 和国家有关标准、规定执行，不得掺有其他食用油和非食用油，不得添加任何香精和香料。</w:t>
      </w:r>
    </w:p>
    <w:p w14:paraId="343D221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4.肉类：商品要有正规的厂方《营业执照》、《检验合格证》、《生猪定点屠宰证》、检疫证明及可溯源凭证。</w:t>
      </w:r>
    </w:p>
    <w:p w14:paraId="18817BD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5.水产品：应符合GB2760《食品安全国家标准食品添加剂使用标准》、GB2762（食品安全国家标准食品中污染物限量》、GB2763《食品安全国家标准食品中农药最大残留限量》、GB2733《鲜、冻动物性水产品卫生标准》、农业部公告第235 号、GB10133《水产调味品卫生标准》、GB10136《动物性水产品卫生标准》GB29921《食品安全国家标准食品中致病菌限量》以及GB10144《动物性水产制品卫生标准》。</w:t>
      </w:r>
    </w:p>
    <w:p w14:paraId="72C1FF9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6.蔬菜、水果：蔬菜必须为新鲜时令蔬菜。水果保证新鲜，有光泽、表面光滑、饱满，无磕碰、无虫孔、无变质。蔬菜、水果有一定的硬度和弹性且无农药残留符合国家《农产品安全质量无公害蔬菜安全要求》、《食品中污染限量》、《食品中农药最大残留限量》等规定和采购人的质量要求，所供蔬菜必须经过粗加工，食用率达95%以上。</w:t>
      </w:r>
    </w:p>
    <w:p w14:paraId="11662FF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7.实际采购时如因天气问题导致某些蔬菜瓜果品种的数量和质量难以满足订单要求，中标投标人必须能保证提供丰富的时蔬瓜果品种供采购人选择，在经采购人同意可视实际情况采购同等性质、同等价位的蔬菜代替。各品种数量超出规定的部分由中标投标人带回，不纳入结算，短缺的部份由中标投标人负责按采购人要求补足。</w:t>
      </w:r>
    </w:p>
    <w:p w14:paraId="3D9BC70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8.鸡蛋、牛奶：必须符合或优于国家食品安全标准，无病害、无变质。其中鸡蛋生产日期不超过5天，且装箱配送。</w:t>
      </w:r>
    </w:p>
    <w:p w14:paraId="690E703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9.其它类质量要求：其它类质量应符合相应的国家或行业食品安全标准，添加剂的使用必须符合 GB2760 标准，对食品的添加量严格控制在标准规定范围之内。</w:t>
      </w:r>
    </w:p>
    <w:p w14:paraId="68D9E91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10.包装应分别符合GB/T17109、GB7718、GBT17374 的规定和卫生要求。若采用包装袋，则包装袋应坚固结实，封口或者缝口应严密。面粉应有防尘、防雨雪、防潮湿等保护设备。</w:t>
      </w:r>
    </w:p>
    <w:p w14:paraId="3FE0D78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注：以上质量标准如有新的国家或行业标准出台，则以最新标准执行。</w:t>
      </w:r>
    </w:p>
    <w:p w14:paraId="795B69D0">
      <w:pPr>
        <w:keepNext w:val="0"/>
        <w:keepLines w:val="0"/>
        <w:pageBreakBefore w:val="0"/>
        <w:widowControl w:val="0"/>
        <w:numPr>
          <w:ilvl w:val="0"/>
          <w:numId w:val="5"/>
        </w:numPr>
        <w:kinsoku/>
        <w:wordWrap/>
        <w:overflowPunct/>
        <w:topLinePunct w:val="0"/>
        <w:autoSpaceDE/>
        <w:autoSpaceDN/>
        <w:bidi w:val="0"/>
        <w:adjustRightInd/>
        <w:snapToGrid/>
        <w:spacing w:line="500" w:lineRule="exact"/>
        <w:ind w:left="0" w:firstLine="422" w:firstLineChars="200"/>
        <w:textAlignment w:val="auto"/>
        <w:rPr>
          <w:rFonts w:hint="eastAsia" w:asciiTheme="majorEastAsia" w:hAnsiTheme="majorEastAsia" w:eastAsiaTheme="majorEastAsia" w:cstheme="majorEastAsia"/>
          <w:b/>
          <w:bCs w:val="0"/>
          <w:caps w:val="0"/>
          <w:color w:val="auto"/>
          <w:kern w:val="0"/>
          <w:sz w:val="21"/>
          <w:szCs w:val="21"/>
          <w:highlight w:val="none"/>
          <w:lang w:val="en-US" w:eastAsia="zh-CN"/>
        </w:rPr>
      </w:pPr>
      <w:r>
        <w:rPr>
          <w:rFonts w:hint="eastAsia" w:asciiTheme="majorEastAsia" w:hAnsiTheme="majorEastAsia" w:eastAsiaTheme="majorEastAsia" w:cstheme="majorEastAsia"/>
          <w:b/>
          <w:bCs w:val="0"/>
          <w:caps w:val="0"/>
          <w:color w:val="auto"/>
          <w:kern w:val="0"/>
          <w:sz w:val="21"/>
          <w:szCs w:val="21"/>
          <w:highlight w:val="none"/>
          <w:lang w:val="en-US" w:eastAsia="zh-CN"/>
        </w:rPr>
        <w:t>采购项目内容及数量</w:t>
      </w:r>
    </w:p>
    <w:tbl>
      <w:tblPr>
        <w:tblStyle w:val="2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9"/>
        <w:gridCol w:w="4278"/>
        <w:gridCol w:w="3375"/>
      </w:tblGrid>
      <w:tr w14:paraId="17082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69" w:type="dxa"/>
            <w:vAlign w:val="center"/>
          </w:tcPr>
          <w:p w14:paraId="4D8ED164">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Theme="majorEastAsia" w:hAnsiTheme="majorEastAsia" w:eastAsiaTheme="majorEastAsia" w:cstheme="majorEastAsia"/>
                <w:b/>
                <w:bCs/>
                <w:caps w:val="0"/>
                <w:color w:val="auto"/>
                <w:kern w:val="0"/>
                <w:sz w:val="21"/>
                <w:szCs w:val="21"/>
                <w:highlight w:val="none"/>
                <w:lang w:val="en-US" w:eastAsia="zh-CN"/>
              </w:rPr>
            </w:pPr>
            <w:r>
              <w:rPr>
                <w:rFonts w:hint="eastAsia" w:asciiTheme="majorEastAsia" w:hAnsiTheme="majorEastAsia" w:eastAsiaTheme="majorEastAsia" w:cstheme="majorEastAsia"/>
                <w:b/>
                <w:bCs/>
                <w:caps w:val="0"/>
                <w:color w:val="auto"/>
                <w:kern w:val="0"/>
                <w:sz w:val="21"/>
                <w:szCs w:val="21"/>
                <w:highlight w:val="none"/>
                <w:lang w:val="en-US" w:eastAsia="zh-CN"/>
              </w:rPr>
              <w:t>序号</w:t>
            </w:r>
          </w:p>
        </w:tc>
        <w:tc>
          <w:tcPr>
            <w:tcW w:w="4278" w:type="dxa"/>
            <w:vAlign w:val="center"/>
          </w:tcPr>
          <w:p w14:paraId="60D0827F">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Theme="majorEastAsia" w:hAnsiTheme="majorEastAsia" w:eastAsiaTheme="majorEastAsia" w:cstheme="majorEastAsia"/>
                <w:b/>
                <w:bCs/>
                <w:caps w:val="0"/>
                <w:color w:val="auto"/>
                <w:kern w:val="0"/>
                <w:sz w:val="21"/>
                <w:szCs w:val="21"/>
                <w:highlight w:val="none"/>
                <w:lang w:val="en-US" w:eastAsia="zh-CN"/>
              </w:rPr>
            </w:pPr>
            <w:r>
              <w:rPr>
                <w:rFonts w:hint="eastAsia" w:asciiTheme="majorEastAsia" w:hAnsiTheme="majorEastAsia" w:eastAsiaTheme="majorEastAsia" w:cstheme="majorEastAsia"/>
                <w:b/>
                <w:bCs/>
                <w:caps w:val="0"/>
                <w:color w:val="auto"/>
                <w:kern w:val="0"/>
                <w:sz w:val="21"/>
                <w:szCs w:val="21"/>
                <w:highlight w:val="none"/>
                <w:lang w:val="en-US" w:eastAsia="zh-CN"/>
              </w:rPr>
              <w:t>项目名称</w:t>
            </w:r>
          </w:p>
        </w:tc>
        <w:tc>
          <w:tcPr>
            <w:tcW w:w="3375" w:type="dxa"/>
            <w:vAlign w:val="center"/>
          </w:tcPr>
          <w:p w14:paraId="7A49933D">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Theme="majorEastAsia" w:hAnsiTheme="majorEastAsia" w:eastAsiaTheme="majorEastAsia" w:cstheme="majorEastAsia"/>
                <w:b/>
                <w:bCs/>
                <w:caps w:val="0"/>
                <w:color w:val="auto"/>
                <w:kern w:val="0"/>
                <w:sz w:val="21"/>
                <w:szCs w:val="21"/>
                <w:highlight w:val="none"/>
                <w:lang w:val="en-US" w:eastAsia="zh-CN"/>
              </w:rPr>
            </w:pPr>
            <w:r>
              <w:rPr>
                <w:rFonts w:hint="eastAsia" w:asciiTheme="majorEastAsia" w:hAnsiTheme="majorEastAsia" w:eastAsiaTheme="majorEastAsia" w:cstheme="majorEastAsia"/>
                <w:b/>
                <w:bCs/>
                <w:caps w:val="0"/>
                <w:color w:val="auto"/>
                <w:kern w:val="0"/>
                <w:sz w:val="21"/>
                <w:szCs w:val="21"/>
                <w:highlight w:val="none"/>
                <w:lang w:val="en-US" w:eastAsia="zh-CN"/>
              </w:rPr>
              <w:t>数量</w:t>
            </w:r>
          </w:p>
        </w:tc>
      </w:tr>
      <w:tr w14:paraId="5D2DD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69" w:type="dxa"/>
            <w:vAlign w:val="center"/>
          </w:tcPr>
          <w:p w14:paraId="63A01599">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1</w:t>
            </w:r>
          </w:p>
        </w:tc>
        <w:tc>
          <w:tcPr>
            <w:tcW w:w="4278" w:type="dxa"/>
            <w:vAlign w:val="center"/>
          </w:tcPr>
          <w:p w14:paraId="18608BDA">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国家税务总局沭阳县税务局2026年食堂食材配送服务项目</w:t>
            </w:r>
          </w:p>
        </w:tc>
        <w:tc>
          <w:tcPr>
            <w:tcW w:w="3375" w:type="dxa"/>
            <w:vAlign w:val="center"/>
          </w:tcPr>
          <w:p w14:paraId="57FA5EFB">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所采购食材具体数量以采购人的实际需求为准</w:t>
            </w:r>
          </w:p>
        </w:tc>
      </w:tr>
    </w:tbl>
    <w:p w14:paraId="21EB40C9">
      <w:pPr>
        <w:keepNext w:val="0"/>
        <w:keepLines w:val="0"/>
        <w:pageBreakBefore w:val="0"/>
        <w:widowControl w:val="0"/>
        <w:kinsoku/>
        <w:wordWrap/>
        <w:overflowPunct/>
        <w:topLinePunct w:val="0"/>
        <w:autoSpaceDE/>
        <w:autoSpaceDN/>
        <w:bidi w:val="0"/>
        <w:adjustRightInd/>
        <w:snapToGrid/>
        <w:spacing w:line="500" w:lineRule="exact"/>
        <w:ind w:firstLine="422" w:firstLineChars="200"/>
        <w:textAlignment w:val="auto"/>
        <w:rPr>
          <w:rFonts w:hint="eastAsia" w:asciiTheme="majorEastAsia" w:hAnsiTheme="majorEastAsia" w:eastAsiaTheme="majorEastAsia" w:cstheme="majorEastAsia"/>
          <w:b/>
          <w:bCs w:val="0"/>
          <w:caps w:val="0"/>
          <w:color w:val="auto"/>
          <w:kern w:val="0"/>
          <w:sz w:val="21"/>
          <w:szCs w:val="21"/>
          <w:highlight w:val="none"/>
          <w:lang w:val="en-US" w:eastAsia="zh-CN"/>
        </w:rPr>
      </w:pPr>
      <w:r>
        <w:rPr>
          <w:rFonts w:hint="eastAsia" w:asciiTheme="majorEastAsia" w:hAnsiTheme="majorEastAsia" w:eastAsiaTheme="majorEastAsia" w:cstheme="majorEastAsia"/>
          <w:b/>
          <w:bCs w:val="0"/>
          <w:caps w:val="0"/>
          <w:color w:val="auto"/>
          <w:kern w:val="0"/>
          <w:sz w:val="21"/>
          <w:szCs w:val="21"/>
          <w:highlight w:val="none"/>
          <w:lang w:val="en-US" w:eastAsia="zh-CN"/>
        </w:rPr>
        <w:t>八、供应和管理要求</w:t>
      </w:r>
    </w:p>
    <w:p w14:paraId="643EF7D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1.中标投标人应严格遵守《食品安全法》等相关规定，按供货合同约定供货。供货过程中一经发现供应以下食品或出现以下行为的，除全部退货外，将取消中标投标人的供货资格，中标投标人承担由此造成的经济责任和法律责任：</w:t>
      </w:r>
    </w:p>
    <w:p w14:paraId="36F2C2E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（1）腐败变质、油脂酸败、霉变、生虫、污秽不洁、混有异物或者其他感官性状异常，对人体健康有害的；</w:t>
      </w:r>
    </w:p>
    <w:p w14:paraId="6D82125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（2）含有毒、有害物质或者被有害物质污染，对人体健康有害的；</w:t>
      </w:r>
    </w:p>
    <w:p w14:paraId="27A6C04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（3）含有致病性寄生虫、微生物或者微生物含量超过国家限定标准的；</w:t>
      </w:r>
    </w:p>
    <w:p w14:paraId="3815D3E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（4）未经动物检疫部门检疫、检验或者检疫、检验不合格的肉类及其制品；</w:t>
      </w:r>
    </w:p>
    <w:p w14:paraId="3E98474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（5）病死、毒死或者死因不明的禽畜动物等及其制品；</w:t>
      </w:r>
    </w:p>
    <w:p w14:paraId="162033C9">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（6）掺假、掺杂、伪造，影响营养、卫生的；</w:t>
      </w:r>
    </w:p>
    <w:p w14:paraId="1AD5D4E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（7）用非食品原料加工的，加入非食品用化学物质或者将非食品当作食品的；</w:t>
      </w:r>
    </w:p>
    <w:p w14:paraId="2E2573D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（8）超过保质期限的；</w:t>
      </w:r>
    </w:p>
    <w:p w14:paraId="53E26943">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（9）供货不履行双方约定，并严重影响采购人食堂正常作业的；</w:t>
      </w:r>
    </w:p>
    <w:p w14:paraId="3E8732F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（10）中标后未及时按采购单位需求发货，有三次以上不能满足采购单位要求的，采购单位有权取消其供应商资格。</w:t>
      </w:r>
    </w:p>
    <w:p w14:paraId="68D046C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2.采购的食品必须符合食品安全要求。严禁采购无证经营的食品，严禁采购有害、有毒、变质、污垢不洁、混有异物或其他感官性状异常的食品，严禁采购超过保质期限的食品。</w:t>
      </w:r>
    </w:p>
    <w:p w14:paraId="14BAEA8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3.包装与标志要求。包装、容器要求：清洁、干燥、无污染、无异味现象。标志：食品包装必须符合国家标准规范。采购的食品不得存放在有害、有毒的容器内。食品包装上必须使用原产地标识。</w:t>
      </w:r>
    </w:p>
    <w:p w14:paraId="7BF3B33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4.食品供应链要求。所有食品的来源必须清晰，包装食品要有QS标志（农副产品除外）。</w:t>
      </w:r>
    </w:p>
    <w:p w14:paraId="50EF620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5.中标投标人服从采购人管理，否则采购人有权终止双方合同。</w:t>
      </w:r>
    </w:p>
    <w:p w14:paraId="3F9F303C">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ajorEastAsia" w:hAnsiTheme="majorEastAsia" w:eastAsiaTheme="majorEastAsia" w:cstheme="majorEastAsia"/>
          <w:b/>
          <w:bCs w:val="0"/>
          <w:caps w:val="0"/>
          <w:color w:val="auto"/>
          <w:kern w:val="0"/>
          <w:sz w:val="21"/>
          <w:szCs w:val="21"/>
          <w:highlight w:val="none"/>
          <w:lang w:val="en-US" w:eastAsia="zh-CN"/>
        </w:rPr>
      </w:pPr>
      <w:r>
        <w:rPr>
          <w:rFonts w:hint="eastAsia" w:asciiTheme="majorEastAsia" w:hAnsiTheme="majorEastAsia" w:eastAsiaTheme="majorEastAsia" w:cstheme="majorEastAsia"/>
          <w:b/>
          <w:bCs w:val="0"/>
          <w:caps w:val="0"/>
          <w:color w:val="auto"/>
          <w:kern w:val="0"/>
          <w:sz w:val="21"/>
          <w:szCs w:val="21"/>
          <w:highlight w:val="none"/>
          <w:lang w:val="en-US" w:eastAsia="zh-CN"/>
        </w:rPr>
        <w:t>九、双方的责任</w:t>
      </w:r>
    </w:p>
    <w:p w14:paraId="6828157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1.采购人对不合格的货物，有权作退货处理并要求赔偿。采购人有按时与中标投标人结算货款的义务。</w:t>
      </w:r>
    </w:p>
    <w:p w14:paraId="447B6E3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2.由于中标投标人供应货物的质量问题或不能按时按量供应，造成采购人该类货物紧缺，采购人有权自行采购，相应的差价和费用由中标投标人负担。</w:t>
      </w:r>
    </w:p>
    <w:p w14:paraId="33C530AE">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3.因货物的质量问题造成中毒事故，中标投标人承担一切责任和赔偿一切损失。</w:t>
      </w:r>
    </w:p>
    <w:p w14:paraId="0EA7FDA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4.中标投标人负责运送货品进入采购人的车辆、人员要相对固定，中标投标人要负责教育和管理好所选择的驾驶员自觉遵守规章制度，进入供货地点后不得私自离开所规定的区域。</w:t>
      </w:r>
    </w:p>
    <w:p w14:paraId="48053FD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5.中标投标人工作人员必须遵守采购人相关管理，否则后果由中标投标人负责。</w:t>
      </w:r>
    </w:p>
    <w:p w14:paraId="376F2695">
      <w:pPr>
        <w:keepNext w:val="0"/>
        <w:keepLines w:val="0"/>
        <w:pageBreakBefore w:val="0"/>
        <w:widowControl w:val="0"/>
        <w:kinsoku/>
        <w:wordWrap/>
        <w:overflowPunct/>
        <w:topLinePunct w:val="0"/>
        <w:autoSpaceDE/>
        <w:autoSpaceDN/>
        <w:bidi w:val="0"/>
        <w:adjustRightInd/>
        <w:snapToGrid/>
        <w:spacing w:line="500" w:lineRule="exact"/>
        <w:ind w:left="0" w:firstLine="422" w:firstLineChars="200"/>
        <w:textAlignment w:val="auto"/>
        <w:rPr>
          <w:rFonts w:hint="eastAsia" w:asciiTheme="majorEastAsia" w:hAnsiTheme="majorEastAsia" w:eastAsiaTheme="majorEastAsia" w:cstheme="majorEastAsia"/>
          <w:b/>
          <w:bCs w:val="0"/>
          <w:caps w:val="0"/>
          <w:color w:val="auto"/>
          <w:kern w:val="0"/>
          <w:sz w:val="21"/>
          <w:szCs w:val="21"/>
          <w:highlight w:val="none"/>
          <w:lang w:val="en-US" w:eastAsia="zh-CN"/>
        </w:rPr>
      </w:pPr>
      <w:r>
        <w:rPr>
          <w:rFonts w:hint="eastAsia" w:asciiTheme="majorEastAsia" w:hAnsiTheme="majorEastAsia" w:eastAsiaTheme="majorEastAsia" w:cstheme="majorEastAsia"/>
          <w:b/>
          <w:bCs w:val="0"/>
          <w:caps w:val="0"/>
          <w:color w:val="auto"/>
          <w:kern w:val="0"/>
          <w:sz w:val="21"/>
          <w:szCs w:val="21"/>
          <w:highlight w:val="none"/>
          <w:lang w:val="en-US" w:eastAsia="zh-CN"/>
        </w:rPr>
        <w:t>十、其他要求</w:t>
      </w:r>
    </w:p>
    <w:p w14:paraId="6867A7B5">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1.应急保障要求</w:t>
      </w:r>
    </w:p>
    <w:p w14:paraId="6BFB936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供应商应提供在自然灾害、极端事件、市场关闭、物资紧缺等突发紧急情况下拟采取的应急保障方案，包括充分供应、按时保障等措施，确保食材及时供应不间断。</w:t>
      </w:r>
    </w:p>
    <w:p w14:paraId="78D56751">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2.保密要求</w:t>
      </w:r>
    </w:p>
    <w:p w14:paraId="2EA63B7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供应商未经采购人许可，禁止将双方在洽谈、协商、合作或履行合同过程中从采购人获取的采购人或其关联单位的信息，以任何形式对外披露、公布或泄露。因此造成采购人损失的，供应商承担由此产生的一切损失和法律责任。</w:t>
      </w:r>
    </w:p>
    <w:p w14:paraId="6818DEBD">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3.违约风险管控</w:t>
      </w:r>
    </w:p>
    <w:p w14:paraId="502BBF7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（1）供应商有以下情况的，采购人为保障供应可以进行小额紧急采购（采购人内部管理制度要求）：</w:t>
      </w:r>
    </w:p>
    <w:p w14:paraId="38A431F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①所需食材在指定网站“宿迁阳光物价网”公布的最新主副食品价格计价进行折扣；宿迁阳光物价网无网价的产品，周边大型农贸市场、大型超市未公布价格且就结算价与供应商协商无果的；</w:t>
      </w:r>
    </w:p>
    <w:p w14:paraId="599115E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②所需食材在指定网站“宿迁阳光物价网”公布的最新主副食品价格计价进行折扣；宿迁阳光物价网无网价的产品，周边大型农贸市场、大型超市已公布价格，但供应商通过指定报价渠道明确表示不能按要求响应或1天内未响应的；</w:t>
      </w:r>
    </w:p>
    <w:p w14:paraId="7391F3BA">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③供应商虽及时响应采购人订单，但所需食材未按时送达的；</w:t>
      </w:r>
    </w:p>
    <w:p w14:paraId="2811D2E6">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④供应商供应食材不合格的。</w:t>
      </w:r>
    </w:p>
    <w:p w14:paraId="6A62A52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（2）有下列情形之一的，采购人有权要求供应商应承担违约金：</w:t>
      </w:r>
    </w:p>
    <w:p w14:paraId="2513487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①供应商配送食材品相和质量不符合要求但补货合格的，采购人可要求供应商承担退货食材同等结算金额的违约金。属于同批食材中掺杂次品的，则以该批食材的总价为基数计算违约金；</w:t>
      </w:r>
    </w:p>
    <w:p w14:paraId="227CA1DB">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②供应商配送食材品相和质量不符合要求且补货不合格的，采购人可要求供应商承担退货食材结算两倍金额的违约金。属于同批食材中掺杂次品的，则以该批食材的总价为基数计算违约金；</w:t>
      </w:r>
    </w:p>
    <w:p w14:paraId="15F8DC87">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③供应商配送不及时导致采购人供餐延误的，采购人可要求供应商承担退货食材结算三倍金额的违约金；</w:t>
      </w:r>
    </w:p>
    <w:p w14:paraId="70BB2262">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④供应商配送的食材报价高于约定结算价格的，采购人可以要求供应商承担该食材相应结算金额三倍的违约金。</w:t>
      </w:r>
    </w:p>
    <w:p w14:paraId="704FAEDF">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3）有下列情形之一的，采购人有权解除合同，同时有权要求供应商承担剩余不再执行的合同期间对应合同金额（总中标价款减除已执行金额的剩余部分）10%的违约金，按此方法计算的违约金超过10万元的按照10万元执行：</w:t>
      </w:r>
    </w:p>
    <w:p w14:paraId="4DDC5C3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①供应商通过指定报价渠道明确表示对全部或部分食材不再供货的；</w:t>
      </w:r>
    </w:p>
    <w:p w14:paraId="2F569BB4">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②供应商虽未通知采购人不再供货，但对采购人发出的一份或多份订单在24小时内未响应的；</w:t>
      </w:r>
    </w:p>
    <w:p w14:paraId="4AE19F5C">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③供应商配送不及时导致无法供餐或延误供餐三次以上的；</w:t>
      </w:r>
    </w:p>
    <w:p w14:paraId="1C9C8190">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④因供应商提供的食材原因，造成食物中毒等卫生安全事故的；</w:t>
      </w:r>
    </w:p>
    <w:p w14:paraId="25A01658">
      <w:pPr>
        <w:keepNext w:val="0"/>
        <w:keepLines w:val="0"/>
        <w:pageBreakBefore w:val="0"/>
        <w:widowControl w:val="0"/>
        <w:kinsoku/>
        <w:wordWrap/>
        <w:overflowPunct/>
        <w:topLinePunct w:val="0"/>
        <w:autoSpaceDE/>
        <w:autoSpaceDN/>
        <w:bidi w:val="0"/>
        <w:adjustRightInd/>
        <w:snapToGrid/>
        <w:spacing w:line="500" w:lineRule="exact"/>
        <w:ind w:left="0" w:firstLine="420" w:firstLineChars="200"/>
        <w:textAlignment w:val="auto"/>
        <w:rPr>
          <w:rFonts w:hint="eastAsia" w:asciiTheme="majorEastAsia" w:hAnsiTheme="majorEastAsia" w:eastAsiaTheme="majorEastAsia" w:cstheme="majorEastAsia"/>
          <w:bCs/>
          <w:caps w:val="0"/>
          <w:color w:val="auto"/>
          <w:kern w:val="0"/>
          <w:sz w:val="21"/>
          <w:szCs w:val="21"/>
          <w:highlight w:val="none"/>
          <w:lang w:val="en-US" w:eastAsia="zh-CN"/>
        </w:rPr>
      </w:pPr>
      <w:r>
        <w:rPr>
          <w:rFonts w:hint="eastAsia" w:asciiTheme="majorEastAsia" w:hAnsiTheme="majorEastAsia" w:eastAsiaTheme="majorEastAsia" w:cstheme="majorEastAsia"/>
          <w:bCs/>
          <w:caps w:val="0"/>
          <w:color w:val="auto"/>
          <w:kern w:val="0"/>
          <w:sz w:val="21"/>
          <w:szCs w:val="21"/>
          <w:highlight w:val="none"/>
          <w:lang w:val="en-US" w:eastAsia="zh-CN"/>
        </w:rPr>
        <w:t>⑤供应商不再符合准入条件的。</w:t>
      </w:r>
    </w:p>
    <w:p w14:paraId="3E79FB0A">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Theme="majorEastAsia" w:hAnsiTheme="majorEastAsia" w:eastAsiaTheme="majorEastAsia" w:cstheme="majorEastAsia"/>
          <w:sz w:val="21"/>
          <w:szCs w:val="21"/>
          <w:highlight w:val="none"/>
        </w:rPr>
      </w:pPr>
    </w:p>
    <w:p w14:paraId="0448003B">
      <w:pPr>
        <w:keepNext w:val="0"/>
        <w:keepLines w:val="0"/>
        <w:pageBreakBefore w:val="0"/>
        <w:widowControl w:val="0"/>
        <w:kinsoku/>
        <w:wordWrap/>
        <w:overflowPunct/>
        <w:topLinePunct/>
        <w:autoSpaceDE w:val="0"/>
        <w:autoSpaceDN w:val="0"/>
        <w:bidi w:val="0"/>
        <w:adjustRightInd/>
        <w:snapToGrid/>
        <w:ind w:firstLine="420" w:firstLineChars="200"/>
        <w:textAlignment w:val="auto"/>
        <w:rPr>
          <w:rFonts w:hint="eastAsia" w:ascii="宋体" w:hAnsi="宋体" w:eastAsia="宋体" w:cs="宋体"/>
          <w:color w:val="auto"/>
          <w:sz w:val="21"/>
          <w:szCs w:val="21"/>
          <w:highlight w:val="none"/>
        </w:rPr>
      </w:pPr>
    </w:p>
    <w:sectPr>
      <w:headerReference r:id="rId14" w:type="default"/>
      <w:footerReference r:id="rId15"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embedRegular r:id="rId1" w:fontKey="{4AF38F82-92C7-4DA5-8964-EA01978029C6}"/>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方正大标宋简体">
    <w:panose1 w:val="02000000000000000000"/>
    <w:charset w:val="86"/>
    <w:family w:val="script"/>
    <w:pitch w:val="default"/>
    <w:sig w:usb0="A00002BF" w:usb1="184F6CFA" w:usb2="00000012" w:usb3="00000000" w:csb0="00040001" w:csb1="00000000"/>
  </w:font>
  <w:font w:name="等线">
    <w:panose1 w:val="02010600030101010101"/>
    <w:charset w:val="86"/>
    <w:family w:val="auto"/>
    <w:pitch w:val="default"/>
    <w:sig w:usb0="A00002BF" w:usb1="38CF7CFA" w:usb2="00000016" w:usb3="00000000" w:csb0="0004000F" w:csb1="00000000"/>
  </w:font>
  <w:font w:name="方正小标宋简体">
    <w:panose1 w:val="02000000000000000000"/>
    <w:charset w:val="86"/>
    <w:family w:val="auto"/>
    <w:pitch w:val="default"/>
    <w:sig w:usb0="00000001" w:usb1="08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embedRegular r:id="rId2" w:fontKey="{95F8BDA7-A564-48C7-A901-7A1F1E18AB8C}"/>
  </w:font>
  <w:font w:name="华文中宋">
    <w:panose1 w:val="02010600040101010101"/>
    <w:charset w:val="86"/>
    <w:family w:val="auto"/>
    <w:pitch w:val="default"/>
    <w:sig w:usb0="00000287" w:usb1="080F0000" w:usb2="00000000" w:usb3="00000000" w:csb0="0004009F" w:csb1="DFD70000"/>
    <w:embedRegular r:id="rId3" w:fontKey="{563F0F05-921D-435D-BF7E-FC8CE6C2A0BC}"/>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D3337">
    <w:pP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D833D">
    <w:pPr>
      <w:pStyle w:val="20"/>
      <w:rPr>
        <w:rStyle w:val="30"/>
      </w:rPr>
    </w:pPr>
    <w:r>
      <w:fldChar w:fldCharType="begin"/>
    </w:r>
    <w:r>
      <w:rPr>
        <w:rStyle w:val="30"/>
      </w:rPr>
      <w:instrText xml:space="preserve">PAGE  </w:instrText>
    </w:r>
    <w:r>
      <w:fldChar w:fldCharType="end"/>
    </w:r>
  </w:p>
  <w:p w14:paraId="4BC01150">
    <w:pPr>
      <w:pStyle w:val="20"/>
    </w:pPr>
  </w:p>
  <w:p w14:paraId="5885796D"/>
  <w:p w14:paraId="31CCA289"/>
  <w:p w14:paraId="61CB7A28"/>
  <w:p w14:paraId="682F498C"/>
  <w:p w14:paraId="6B24F745"/>
  <w:p w14:paraId="5A411123"/>
  <w:p w14:paraId="07126CED"/>
  <w:p w14:paraId="7F3505F5"/>
  <w:p w14:paraId="67077729"/>
  <w:p w14:paraId="1685BD9B"/>
  <w:p w14:paraId="04220B0E"/>
  <w:p w14:paraId="7DC97824"/>
  <w:p w14:paraId="42C2C8A6"/>
  <w:p w14:paraId="55BEA72B"/>
  <w:p w14:paraId="2A48D3AF"/>
  <w:p w14:paraId="52E7C038"/>
  <w:p w14:paraId="4FFE2233"/>
  <w:p w14:paraId="0EB4BD7C"/>
  <w:p w14:paraId="40B70695"/>
  <w:p w14:paraId="55BF1B18"/>
  <w:p w14:paraId="6249EF60"/>
  <w:p w14:paraId="1EDD3351"/>
  <w:p w14:paraId="159A954B"/>
  <w:p w14:paraId="1553A1CF"/>
  <w:p w14:paraId="48864EDF"/>
  <w:p w14:paraId="0306D08E"/>
  <w:p w14:paraId="5CD6C9BB"/>
  <w:p w14:paraId="3BC44924"/>
  <w:p w14:paraId="23EE935E"/>
  <w:p w14:paraId="58113DB5"/>
  <w:p w14:paraId="5D373E59"/>
  <w:p w14:paraId="74809A73"/>
  <w:p w14:paraId="71989B1A"/>
  <w:p w14:paraId="16E55F31"/>
  <w:p w14:paraId="4E3EA88C"/>
  <w:p w14:paraId="734A1991"/>
  <w:p w14:paraId="0111B3FA"/>
  <w:p w14:paraId="47B6F135"/>
  <w:p w14:paraId="60B29694"/>
  <w:p w14:paraId="010F80A0"/>
  <w:p w14:paraId="7F827DDC"/>
  <w:p w14:paraId="7B0B1C07"/>
  <w:p w14:paraId="2DEC8C56"/>
  <w:p w14:paraId="4318ADFB"/>
  <w:p w14:paraId="7F22BB85"/>
  <w:p w14:paraId="3D284A5B"/>
  <w:p w14:paraId="33C78F07"/>
  <w:p w14:paraId="51CE38C3"/>
  <w:p w14:paraId="37E6F3CB"/>
  <w:p w14:paraId="6E049A2B"/>
  <w:p w14:paraId="49CAEB6A"/>
  <w:p w14:paraId="0E7AA2F8"/>
  <w:p w14:paraId="72127988"/>
  <w:p w14:paraId="391E782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E7443">
    <w:pPr>
      <w:rPr>
        <w:rFonts w:ascii="宋体" w:hAnsi="宋体"/>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87366">
    <w:pPr>
      <w:rPr>
        <w:rFonts w:ascii="宋体" w:hAnsi="宋体" w:cs="Times New Roman"/>
      </w:rPr>
    </w:pPr>
    <w:r>
      <w:rPr>
        <w:rFonts w:cs="Times New Roma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81A12B">
                          <w:pPr>
                            <w:widowControl w:val="0"/>
                            <w:topLinePunct/>
                            <w:autoSpaceDE w:val="0"/>
                            <w:autoSpaceDN w:val="0"/>
                            <w:snapToGrid w:val="0"/>
                            <w:spacing w:line="360" w:lineRule="auto"/>
                            <w:jc w:val="left"/>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t xml:space="preserve">第 </w:t>
                          </w: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9</w:t>
                          </w:r>
                          <w:r>
                            <w:rPr>
                              <w:rFonts w:ascii="Calibri" w:hAnsi="Calibri" w:eastAsia="宋体" w:cs="Times New Roman"/>
                              <w:kern w:val="2"/>
                              <w:sz w:val="18"/>
                              <w:szCs w:val="18"/>
                              <w:lang w:val="en-US" w:eastAsia="zh-CN" w:bidi="ar-SA"/>
                            </w:rPr>
                            <w:fldChar w:fldCharType="end"/>
                          </w:r>
                          <w:r>
                            <w:rPr>
                              <w:rFonts w:ascii="Calibri" w:hAnsi="Calibri" w:eastAsia="宋体"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0F81A12B">
                    <w:pPr>
                      <w:widowControl w:val="0"/>
                      <w:topLinePunct/>
                      <w:autoSpaceDE w:val="0"/>
                      <w:autoSpaceDN w:val="0"/>
                      <w:snapToGrid w:val="0"/>
                      <w:spacing w:line="360" w:lineRule="auto"/>
                      <w:jc w:val="left"/>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t xml:space="preserve">第 </w:t>
                    </w: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9</w:t>
                    </w:r>
                    <w:r>
                      <w:rPr>
                        <w:rFonts w:ascii="Calibri" w:hAnsi="Calibri" w:eastAsia="宋体" w:cs="Times New Roman"/>
                        <w:kern w:val="2"/>
                        <w:sz w:val="18"/>
                        <w:szCs w:val="18"/>
                        <w:lang w:val="en-US" w:eastAsia="zh-CN" w:bidi="ar-SA"/>
                      </w:rPr>
                      <w:fldChar w:fldCharType="end"/>
                    </w:r>
                    <w:r>
                      <w:rPr>
                        <w:rFonts w:ascii="Calibri" w:hAnsi="Calibri" w:eastAsia="宋体" w:cs="Times New Roman"/>
                        <w:kern w:val="2"/>
                        <w:sz w:val="18"/>
                        <w:szCs w:val="18"/>
                        <w:lang w:val="en-US" w:eastAsia="zh-CN" w:bidi="ar-SA"/>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92C62">
    <w:pPr>
      <w:rPr>
        <w:rFonts w:ascii="宋体" w:hAnsi="宋体" w:cs="Times New Roman"/>
      </w:rPr>
    </w:pPr>
    <w:r>
      <w:rPr>
        <w:rFonts w:cs="Times New Roma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59A0E20">
                          <w:pPr>
                            <w:widowControl w:val="0"/>
                            <w:topLinePunct/>
                            <w:autoSpaceDE w:val="0"/>
                            <w:autoSpaceDN w:val="0"/>
                            <w:snapToGrid w:val="0"/>
                            <w:spacing w:line="360" w:lineRule="auto"/>
                            <w:jc w:val="left"/>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t xml:space="preserve">第 </w:t>
                          </w: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1</w:t>
                          </w:r>
                          <w:r>
                            <w:rPr>
                              <w:rFonts w:ascii="Calibri" w:hAnsi="Calibri" w:eastAsia="宋体" w:cs="Times New Roman"/>
                              <w:kern w:val="2"/>
                              <w:sz w:val="18"/>
                              <w:szCs w:val="18"/>
                              <w:lang w:val="en-US" w:eastAsia="zh-CN" w:bidi="ar-SA"/>
                            </w:rPr>
                            <w:fldChar w:fldCharType="end"/>
                          </w:r>
                          <w:r>
                            <w:rPr>
                              <w:rFonts w:ascii="Calibri" w:hAnsi="Calibri" w:eastAsia="宋体"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559A0E20">
                    <w:pPr>
                      <w:widowControl w:val="0"/>
                      <w:topLinePunct/>
                      <w:autoSpaceDE w:val="0"/>
                      <w:autoSpaceDN w:val="0"/>
                      <w:snapToGrid w:val="0"/>
                      <w:spacing w:line="360" w:lineRule="auto"/>
                      <w:jc w:val="left"/>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t xml:space="preserve">第 </w:t>
                    </w: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en-US" w:eastAsia="zh-CN" w:bidi="ar-SA"/>
                      </w:rPr>
                      <w:t>1</w:t>
                    </w:r>
                    <w:r>
                      <w:rPr>
                        <w:rFonts w:ascii="Calibri" w:hAnsi="Calibri" w:eastAsia="宋体" w:cs="Times New Roman"/>
                        <w:kern w:val="2"/>
                        <w:sz w:val="18"/>
                        <w:szCs w:val="18"/>
                        <w:lang w:val="en-US" w:eastAsia="zh-CN" w:bidi="ar-SA"/>
                      </w:rPr>
                      <w:fldChar w:fldCharType="end"/>
                    </w:r>
                    <w:r>
                      <w:rPr>
                        <w:rFonts w:ascii="Calibri" w:hAnsi="Calibri" w:eastAsia="宋体" w:cs="Times New Roman"/>
                        <w:kern w:val="2"/>
                        <w:sz w:val="18"/>
                        <w:szCs w:val="18"/>
                        <w:lang w:val="en-US" w:eastAsia="zh-CN" w:bidi="ar-SA"/>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25D3F">
    <w:pPr>
      <w:rPr>
        <w:rFonts w:ascii="宋体" w:hAnsi="宋体"/>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48AB40">
                          <w:pPr>
                            <w:pStyle w:val="20"/>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948AB40">
                    <w:pPr>
                      <w:pStyle w:val="20"/>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63CA04">
    <w:pPr>
      <w:rPr>
        <w:rFonts w:ascii="宋体" w:hAnsi="宋体"/>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55DE6F">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E55DE6F">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298A4">
    <w:pPr>
      <w:pStyle w:val="2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9AF159">
                          <w:pPr>
                            <w:pStyle w:val="20"/>
                          </w:pPr>
                          <w:r>
                            <w:t xml:space="preserve">第 </w:t>
                          </w:r>
                          <w:r>
                            <w:fldChar w:fldCharType="begin"/>
                          </w:r>
                          <w:r>
                            <w:instrText xml:space="preserve"> PAGE  \* MERGEFORMAT </w:instrText>
                          </w:r>
                          <w:r>
                            <w:fldChar w:fldCharType="separate"/>
                          </w:r>
                          <w:r>
                            <w:t>32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99AF159">
                    <w:pPr>
                      <w:pStyle w:val="20"/>
                    </w:pPr>
                    <w:r>
                      <w:t xml:space="preserve">第 </w:t>
                    </w:r>
                    <w:r>
                      <w:fldChar w:fldCharType="begin"/>
                    </w:r>
                    <w:r>
                      <w:instrText xml:space="preserve"> PAGE  \* MERGEFORMAT </w:instrText>
                    </w:r>
                    <w:r>
                      <w:fldChar w:fldCharType="separate"/>
                    </w:r>
                    <w:r>
                      <w:t>32</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722BB">
    <w:pPr>
      <w:pStyle w:val="20"/>
      <w:jc w:val="center"/>
      <w:rPr>
        <w:b/>
        <w:i/>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ADC9B6">
                          <w:pPr>
                            <w:pStyle w:val="20"/>
                          </w:pPr>
                          <w:r>
                            <w:t xml:space="preserve">第 </w:t>
                          </w:r>
                          <w:r>
                            <w:fldChar w:fldCharType="begin"/>
                          </w:r>
                          <w:r>
                            <w:instrText xml:space="preserve"> PAGE  \* MERGEFORMAT </w:instrText>
                          </w:r>
                          <w:r>
                            <w:fldChar w:fldCharType="separate"/>
                          </w:r>
                          <w:r>
                            <w:t>90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BADC9B6">
                    <w:pPr>
                      <w:pStyle w:val="20"/>
                    </w:pPr>
                    <w:r>
                      <w:t xml:space="preserve">第 </w:t>
                    </w:r>
                    <w:r>
                      <w:fldChar w:fldCharType="begin"/>
                    </w:r>
                    <w:r>
                      <w:instrText xml:space="preserve"> PAGE  \* MERGEFORMAT </w:instrText>
                    </w:r>
                    <w:r>
                      <w:fldChar w:fldCharType="separate"/>
                    </w:r>
                    <w:r>
                      <w:t>90</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D138D"/>
  <w:p w14:paraId="43783F3E"/>
  <w:p w14:paraId="65636912"/>
  <w:p w14:paraId="65A50A6A"/>
  <w:p w14:paraId="75B7B847"/>
  <w:p w14:paraId="4E94B21A"/>
  <w:p w14:paraId="67FDF710"/>
  <w:p w14:paraId="11F2BFFD"/>
  <w:p w14:paraId="3B97D6FD"/>
  <w:p w14:paraId="77C52C35"/>
  <w:p w14:paraId="507D21BF"/>
  <w:p w14:paraId="5D4FC12B"/>
  <w:p w14:paraId="34324B73"/>
  <w:p w14:paraId="3445F364"/>
  <w:p w14:paraId="746D54D8"/>
  <w:p w14:paraId="46AC719E"/>
  <w:p w14:paraId="53EC9EB2"/>
  <w:p w14:paraId="3BDBAC45"/>
  <w:p w14:paraId="079118DF"/>
  <w:p w14:paraId="239736EA"/>
  <w:p w14:paraId="5781CE57"/>
  <w:p w14:paraId="1477228F"/>
  <w:p w14:paraId="19A35B9B"/>
  <w:p w14:paraId="2F35D834"/>
  <w:p w14:paraId="57E65922"/>
  <w:p w14:paraId="057DF2CB"/>
  <w:p w14:paraId="39D8D9E6"/>
  <w:p w14:paraId="2CF84160"/>
  <w:p w14:paraId="1B71E5CE"/>
  <w:p w14:paraId="5884D2BB"/>
  <w:p w14:paraId="774C40E9"/>
  <w:p w14:paraId="00BDF494"/>
  <w:p w14:paraId="46EAD961"/>
  <w:p w14:paraId="17D63D9C"/>
  <w:p w14:paraId="65EB8E66"/>
  <w:p w14:paraId="3FEF2C17"/>
  <w:p w14:paraId="43BDA1A7"/>
  <w:p w14:paraId="23ABF025"/>
  <w:p w14:paraId="304CBF88"/>
  <w:p w14:paraId="25F74217"/>
  <w:p w14:paraId="06AF4AA5"/>
  <w:p w14:paraId="3E4536E0"/>
  <w:p w14:paraId="6F8DB7B4"/>
  <w:p w14:paraId="7A551389"/>
  <w:p w14:paraId="4DDB62B4"/>
  <w:p w14:paraId="3AF47C28"/>
  <w:p w14:paraId="0C7C9C78"/>
  <w:p w14:paraId="413ADF69"/>
  <w:p w14:paraId="1C180135"/>
  <w:p w14:paraId="7077DED7"/>
  <w:p w14:paraId="5447787F"/>
  <w:p w14:paraId="363F94A8"/>
  <w:p w14:paraId="5C459DB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5C73A">
    <w:pPr>
      <w:pStyle w:val="2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46F158"/>
    <w:multiLevelType w:val="singleLevel"/>
    <w:tmpl w:val="0946F158"/>
    <w:lvl w:ilvl="0" w:tentative="0">
      <w:start w:val="1"/>
      <w:numFmt w:val="decimal"/>
      <w:pStyle w:val="3"/>
      <w:lvlText w:val="%1."/>
      <w:lvlJc w:val="left"/>
      <w:pPr>
        <w:tabs>
          <w:tab w:val="left" w:pos="780"/>
        </w:tabs>
        <w:ind w:left="780" w:hanging="360"/>
      </w:pPr>
    </w:lvl>
  </w:abstractNum>
  <w:abstractNum w:abstractNumId="1">
    <w:nsid w:val="13FE3E46"/>
    <w:multiLevelType w:val="multilevel"/>
    <w:tmpl w:val="13FE3E46"/>
    <w:lvl w:ilvl="0" w:tentative="0">
      <w:start w:val="4"/>
      <w:numFmt w:val="japaneseCounting"/>
      <w:pStyle w:val="61"/>
      <w:lvlText w:val="第%1章"/>
      <w:lvlJc w:val="left"/>
      <w:pPr>
        <w:tabs>
          <w:tab w:val="left" w:pos="1200"/>
        </w:tabs>
        <w:ind w:left="1200" w:hanging="120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1C14BBF4"/>
    <w:multiLevelType w:val="singleLevel"/>
    <w:tmpl w:val="1C14BBF4"/>
    <w:lvl w:ilvl="0" w:tentative="0">
      <w:start w:val="7"/>
      <w:numFmt w:val="chineseCounting"/>
      <w:suff w:val="nothing"/>
      <w:lvlText w:val="%1、"/>
      <w:lvlJc w:val="left"/>
      <w:rPr>
        <w:rFonts w:hint="eastAsia"/>
      </w:rPr>
    </w:lvl>
  </w:abstractNum>
  <w:abstractNum w:abstractNumId="3">
    <w:nsid w:val="3EBB3C91"/>
    <w:multiLevelType w:val="multilevel"/>
    <w:tmpl w:val="3EBB3C91"/>
    <w:lvl w:ilvl="0" w:tentative="0">
      <w:start w:val="1"/>
      <w:numFmt w:val="chineseCountingThousand"/>
      <w:pStyle w:val="63"/>
      <w:suff w:val="space"/>
      <w:lvlText w:val="%1. "/>
      <w:lvlJc w:val="left"/>
      <w:pPr>
        <w:ind w:left="907" w:hanging="907"/>
      </w:pPr>
      <w:rPr>
        <w:rFonts w:hint="eastAsia"/>
      </w:rPr>
    </w:lvl>
    <w:lvl w:ilvl="1" w:tentative="0">
      <w:start w:val="1"/>
      <w:numFmt w:val="decimal"/>
      <w:isLgl/>
      <w:suff w:val="space"/>
      <w:lvlText w:val="%1.%2 "/>
      <w:lvlJc w:val="left"/>
      <w:pPr>
        <w:ind w:left="794" w:hanging="794"/>
      </w:pPr>
      <w:rPr>
        <w:rFonts w:hint="eastAsia"/>
      </w:rPr>
    </w:lvl>
    <w:lvl w:ilvl="2" w:tentative="0">
      <w:start w:val="1"/>
      <w:numFmt w:val="decimal"/>
      <w:isLgl/>
      <w:suff w:val="space"/>
      <w:lvlText w:val="%1.%2.%3 "/>
      <w:lvlJc w:val="left"/>
      <w:pPr>
        <w:ind w:left="907" w:hanging="907"/>
      </w:pPr>
      <w:rPr>
        <w:rFonts w:hint="eastAsia"/>
      </w:rPr>
    </w:lvl>
    <w:lvl w:ilvl="3" w:tentative="0">
      <w:start w:val="1"/>
      <w:numFmt w:val="decimal"/>
      <w:isLgl/>
      <w:suff w:val="space"/>
      <w:lvlText w:val="%1.%2.%3.%4 "/>
      <w:lvlJc w:val="left"/>
      <w:pPr>
        <w:ind w:left="1021" w:hanging="1021"/>
      </w:pPr>
      <w:rPr>
        <w:b w:val="0"/>
        <w:bCs w:val="0"/>
        <w:i w:val="0"/>
        <w:iCs w:val="0"/>
        <w:caps w:val="0"/>
        <w:smallCaps w:val="0"/>
        <w:strike w:val="0"/>
        <w:dstrike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4" w:tentative="0">
      <w:start w:val="1"/>
      <w:numFmt w:val="decimal"/>
      <w:isLgl/>
      <w:suff w:val="space"/>
      <w:lvlText w:val="%1.%2.%3.%4.%5 "/>
      <w:lvlJc w:val="left"/>
      <w:pPr>
        <w:ind w:left="1134" w:hanging="1134"/>
      </w:pPr>
      <w:rPr>
        <w:rFonts w:hint="eastAsia"/>
      </w:rPr>
    </w:lvl>
    <w:lvl w:ilvl="5" w:tentative="0">
      <w:start w:val="1"/>
      <w:numFmt w:val="decimal"/>
      <w:isLgl/>
      <w:suff w:val="space"/>
      <w:lvlText w:val="%1.%2.%3.%4.%5.%6 "/>
      <w:lvlJc w:val="left"/>
      <w:pPr>
        <w:ind w:left="1247" w:hanging="1247"/>
      </w:pPr>
      <w:rPr>
        <w:rFonts w:hint="eastAsia"/>
      </w:rPr>
    </w:lvl>
    <w:lvl w:ilvl="6" w:tentative="0">
      <w:start w:val="1"/>
      <w:numFmt w:val="decimal"/>
      <w:lvlRestart w:val="1"/>
      <w:isLgl/>
      <w:suff w:val="space"/>
      <w:lvlText w:val="图 %1.%7 "/>
      <w:lvlJc w:val="left"/>
      <w:pPr>
        <w:ind w:left="0" w:firstLine="0"/>
      </w:pPr>
      <w:rPr>
        <w:rFonts w:hint="eastAsia"/>
      </w:rPr>
    </w:lvl>
    <w:lvl w:ilvl="7" w:tentative="0">
      <w:start w:val="1"/>
      <w:numFmt w:val="decimal"/>
      <w:lvlRestart w:val="1"/>
      <w:isLgl/>
      <w:suff w:val="space"/>
      <w:lvlText w:val="表 %1.%8 "/>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4">
    <w:nsid w:val="4EF2562B"/>
    <w:multiLevelType w:val="multilevel"/>
    <w:tmpl w:val="4EF2562B"/>
    <w:lvl w:ilvl="0" w:tentative="0">
      <w:start w:val="1"/>
      <w:numFmt w:val="decimal"/>
      <w:lvlText w:val="第%1章"/>
      <w:lvlJc w:val="left"/>
      <w:pPr>
        <w:ind w:left="2700" w:hanging="432"/>
      </w:pPr>
      <w:rPr>
        <w:rFonts w:hint="default" w:ascii="方正小标宋简体" w:hAnsi="宋体" w:eastAsia="方正小标宋简体" w:cs="宋体"/>
        <w:b w:val="0"/>
        <w:sz w:val="44"/>
        <w:szCs w:val="44"/>
      </w:rPr>
    </w:lvl>
    <w:lvl w:ilvl="1" w:tentative="0">
      <w:start w:val="1"/>
      <w:numFmt w:val="decimal"/>
      <w:pStyle w:val="66"/>
      <w:lvlText w:val="%1.%2"/>
      <w:lvlJc w:val="left"/>
      <w:pPr>
        <w:ind w:left="2276" w:hanging="575"/>
      </w:pPr>
      <w:rPr>
        <w:rFonts w:hint="eastAsia" w:ascii="楷体_GB2312" w:hAnsi="黑体" w:eastAsia="楷体_GB2312" w:cs="宋体"/>
        <w:sz w:val="32"/>
        <w:szCs w:val="32"/>
      </w:rPr>
    </w:lvl>
    <w:lvl w:ilvl="2" w:tentative="0">
      <w:start w:val="1"/>
      <w:numFmt w:val="decimal"/>
      <w:lvlText w:val="%1.%2.%3"/>
      <w:lvlJc w:val="left"/>
      <w:pPr>
        <w:ind w:left="1146" w:hanging="720"/>
      </w:pPr>
      <w:rPr>
        <w:rFonts w:hint="default" w:ascii="宋体" w:hAnsi="宋体" w:eastAsia="宋体" w:cs="宋体"/>
      </w:rPr>
    </w:lvl>
    <w:lvl w:ilvl="3" w:tentative="0">
      <w:start w:val="1"/>
      <w:numFmt w:val="decimal"/>
      <w:lvlText w:val="%1.%2.%3.%4"/>
      <w:lvlJc w:val="left"/>
      <w:pPr>
        <w:ind w:left="864" w:hanging="864"/>
      </w:pPr>
      <w:rPr>
        <w:rFonts w:hint="default" w:ascii="宋体" w:hAnsi="宋体" w:eastAsia="宋体" w:cs="宋体"/>
      </w:rPr>
    </w:lvl>
    <w:lvl w:ilvl="4" w:tentative="0">
      <w:start w:val="1"/>
      <w:numFmt w:val="decimal"/>
      <w:lvlText w:val="%1.%2.%3.%4.%5"/>
      <w:lvlJc w:val="left"/>
      <w:pPr>
        <w:ind w:left="1008" w:hanging="1008"/>
      </w:pPr>
      <w:rPr>
        <w:rFonts w:hint="default" w:ascii="宋体" w:hAnsi="宋体" w:eastAsia="宋体" w:cs="宋体"/>
      </w:rPr>
    </w:lvl>
    <w:lvl w:ilvl="5" w:tentative="0">
      <w:start w:val="1"/>
      <w:numFmt w:val="decimal"/>
      <w:lvlText w:val="%1.%2.%3.%4.%5.%6"/>
      <w:lvlJc w:val="left"/>
      <w:pPr>
        <w:ind w:left="1151" w:hanging="1151"/>
      </w:pPr>
      <w:rPr>
        <w:rFonts w:hint="default" w:ascii="宋体" w:hAnsi="宋体" w:eastAsia="宋体" w:cs="宋体"/>
      </w:rPr>
    </w:lvl>
    <w:lvl w:ilvl="6" w:tentative="0">
      <w:start w:val="1"/>
      <w:numFmt w:val="decimal"/>
      <w:lvlText w:val="%1.%2.%3.%4.%5.%6.%7"/>
      <w:lvlJc w:val="left"/>
      <w:pPr>
        <w:ind w:left="1296" w:hanging="1296"/>
      </w:pPr>
      <w:rPr>
        <w:rFonts w:hint="default" w:ascii="宋体" w:hAnsi="宋体" w:eastAsia="宋体" w:cs="宋体"/>
      </w:rPr>
    </w:lvl>
    <w:lvl w:ilvl="7" w:tentative="0">
      <w:start w:val="1"/>
      <w:numFmt w:val="decimal"/>
      <w:lvlText w:val="%1.%2.%3.%4.%5.%6.%7.%8"/>
      <w:lvlJc w:val="left"/>
      <w:pPr>
        <w:ind w:left="1440" w:hanging="1440"/>
      </w:pPr>
      <w:rPr>
        <w:rFonts w:hint="default" w:ascii="宋体" w:hAnsi="宋体" w:eastAsia="宋体" w:cs="宋体"/>
      </w:rPr>
    </w:lvl>
    <w:lvl w:ilvl="8" w:tentative="0">
      <w:start w:val="1"/>
      <w:numFmt w:val="decimal"/>
      <w:lvlText w:val="%1.%2.%3.%4.%5.%6.%7.%8.%9"/>
      <w:lvlJc w:val="left"/>
      <w:pPr>
        <w:ind w:left="1583" w:hanging="1583"/>
      </w:pPr>
      <w:rPr>
        <w:rFonts w:hint="default" w:ascii="宋体" w:hAnsi="宋体" w:eastAsia="宋体" w:cs="宋体"/>
      </w:rPr>
    </w:lvl>
  </w:abstractNum>
  <w:num w:numId="1">
    <w:abstractNumId w:val="0"/>
  </w:num>
  <w:num w:numId="2">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1OWE3NmRjMGQ4MjM1N2E3NzJlZmY4ZTE0ZTg1M2YifQ=="/>
    <w:docVar w:name="KSO_WPS_MARK_KEY" w:val="45cf0dbc-e198-4de6-8f2a-83f270988046"/>
  </w:docVars>
  <w:rsids>
    <w:rsidRoot w:val="66C2586D"/>
    <w:rsid w:val="00030ACA"/>
    <w:rsid w:val="00087090"/>
    <w:rsid w:val="00092E35"/>
    <w:rsid w:val="000A568B"/>
    <w:rsid w:val="000E514E"/>
    <w:rsid w:val="00103B93"/>
    <w:rsid w:val="00115933"/>
    <w:rsid w:val="00166435"/>
    <w:rsid w:val="00167170"/>
    <w:rsid w:val="001707C5"/>
    <w:rsid w:val="001952C0"/>
    <w:rsid w:val="001B5026"/>
    <w:rsid w:val="001C4F60"/>
    <w:rsid w:val="001D3D66"/>
    <w:rsid w:val="001D4631"/>
    <w:rsid w:val="00203583"/>
    <w:rsid w:val="002143A5"/>
    <w:rsid w:val="00216887"/>
    <w:rsid w:val="00223F83"/>
    <w:rsid w:val="00232D5A"/>
    <w:rsid w:val="00244775"/>
    <w:rsid w:val="00265260"/>
    <w:rsid w:val="00282532"/>
    <w:rsid w:val="00287505"/>
    <w:rsid w:val="002F4940"/>
    <w:rsid w:val="00322327"/>
    <w:rsid w:val="00326A5E"/>
    <w:rsid w:val="00354698"/>
    <w:rsid w:val="003A648E"/>
    <w:rsid w:val="003C35DA"/>
    <w:rsid w:val="003C5BFB"/>
    <w:rsid w:val="0040435B"/>
    <w:rsid w:val="004066ED"/>
    <w:rsid w:val="004352FE"/>
    <w:rsid w:val="004470CD"/>
    <w:rsid w:val="0045436D"/>
    <w:rsid w:val="00465A5D"/>
    <w:rsid w:val="004701A7"/>
    <w:rsid w:val="004867F0"/>
    <w:rsid w:val="004A6DB5"/>
    <w:rsid w:val="004B5B36"/>
    <w:rsid w:val="004C619E"/>
    <w:rsid w:val="004E0F5A"/>
    <w:rsid w:val="004E15BE"/>
    <w:rsid w:val="004F16DB"/>
    <w:rsid w:val="00510EE5"/>
    <w:rsid w:val="00532F68"/>
    <w:rsid w:val="00534C41"/>
    <w:rsid w:val="00537516"/>
    <w:rsid w:val="0055220F"/>
    <w:rsid w:val="0055761E"/>
    <w:rsid w:val="00571490"/>
    <w:rsid w:val="0057581D"/>
    <w:rsid w:val="0058315F"/>
    <w:rsid w:val="0059432E"/>
    <w:rsid w:val="005D135A"/>
    <w:rsid w:val="005F5603"/>
    <w:rsid w:val="006067AC"/>
    <w:rsid w:val="00606BE5"/>
    <w:rsid w:val="006209D4"/>
    <w:rsid w:val="0063168B"/>
    <w:rsid w:val="00681C66"/>
    <w:rsid w:val="00692D8E"/>
    <w:rsid w:val="00695A1E"/>
    <w:rsid w:val="006C49BB"/>
    <w:rsid w:val="006C5ECB"/>
    <w:rsid w:val="006D1E99"/>
    <w:rsid w:val="006D5A9E"/>
    <w:rsid w:val="0070746F"/>
    <w:rsid w:val="00713098"/>
    <w:rsid w:val="00713E3B"/>
    <w:rsid w:val="00722AA1"/>
    <w:rsid w:val="00733F8B"/>
    <w:rsid w:val="007402CA"/>
    <w:rsid w:val="00764157"/>
    <w:rsid w:val="00767AFA"/>
    <w:rsid w:val="00786803"/>
    <w:rsid w:val="007B1815"/>
    <w:rsid w:val="007C3967"/>
    <w:rsid w:val="007D12C3"/>
    <w:rsid w:val="008031D8"/>
    <w:rsid w:val="008211FC"/>
    <w:rsid w:val="008304C1"/>
    <w:rsid w:val="008307DD"/>
    <w:rsid w:val="0085075F"/>
    <w:rsid w:val="008A7F5A"/>
    <w:rsid w:val="008E1509"/>
    <w:rsid w:val="008F7F29"/>
    <w:rsid w:val="00927FCA"/>
    <w:rsid w:val="009377CD"/>
    <w:rsid w:val="0094785B"/>
    <w:rsid w:val="00970E80"/>
    <w:rsid w:val="009873B7"/>
    <w:rsid w:val="00996D6C"/>
    <w:rsid w:val="009A3103"/>
    <w:rsid w:val="009D0A15"/>
    <w:rsid w:val="009D6D7A"/>
    <w:rsid w:val="00A006FC"/>
    <w:rsid w:val="00A3647D"/>
    <w:rsid w:val="00A520BB"/>
    <w:rsid w:val="00A7577D"/>
    <w:rsid w:val="00A97069"/>
    <w:rsid w:val="00A97396"/>
    <w:rsid w:val="00AA0075"/>
    <w:rsid w:val="00AA0EF3"/>
    <w:rsid w:val="00AA2522"/>
    <w:rsid w:val="00AA2AA3"/>
    <w:rsid w:val="00AD6635"/>
    <w:rsid w:val="00AF57AC"/>
    <w:rsid w:val="00B019A1"/>
    <w:rsid w:val="00B20E07"/>
    <w:rsid w:val="00B35916"/>
    <w:rsid w:val="00B43DC5"/>
    <w:rsid w:val="00B44118"/>
    <w:rsid w:val="00B44853"/>
    <w:rsid w:val="00B47AB7"/>
    <w:rsid w:val="00B77DD1"/>
    <w:rsid w:val="00B82BAF"/>
    <w:rsid w:val="00B8404E"/>
    <w:rsid w:val="00B90396"/>
    <w:rsid w:val="00BC1D78"/>
    <w:rsid w:val="00C23940"/>
    <w:rsid w:val="00C34DAD"/>
    <w:rsid w:val="00C45C43"/>
    <w:rsid w:val="00C54EBB"/>
    <w:rsid w:val="00C70E02"/>
    <w:rsid w:val="00C95D9F"/>
    <w:rsid w:val="00C96433"/>
    <w:rsid w:val="00CD297C"/>
    <w:rsid w:val="00CE0D31"/>
    <w:rsid w:val="00CE5A79"/>
    <w:rsid w:val="00CE7113"/>
    <w:rsid w:val="00D10A7C"/>
    <w:rsid w:val="00D71881"/>
    <w:rsid w:val="00DA2FDC"/>
    <w:rsid w:val="00DA454C"/>
    <w:rsid w:val="00DB032B"/>
    <w:rsid w:val="00DB2356"/>
    <w:rsid w:val="00DE374C"/>
    <w:rsid w:val="00DF41A6"/>
    <w:rsid w:val="00E17508"/>
    <w:rsid w:val="00E2388E"/>
    <w:rsid w:val="00E27570"/>
    <w:rsid w:val="00E30495"/>
    <w:rsid w:val="00E32DD4"/>
    <w:rsid w:val="00E3708C"/>
    <w:rsid w:val="00E37E85"/>
    <w:rsid w:val="00E541EE"/>
    <w:rsid w:val="00E77793"/>
    <w:rsid w:val="00E87F70"/>
    <w:rsid w:val="00EF5BA2"/>
    <w:rsid w:val="00F10DDD"/>
    <w:rsid w:val="00F12F6C"/>
    <w:rsid w:val="00F13848"/>
    <w:rsid w:val="00F30018"/>
    <w:rsid w:val="00F90A76"/>
    <w:rsid w:val="00FA1294"/>
    <w:rsid w:val="00FD12CF"/>
    <w:rsid w:val="011E0656"/>
    <w:rsid w:val="011F70CB"/>
    <w:rsid w:val="0123584C"/>
    <w:rsid w:val="012670EA"/>
    <w:rsid w:val="012E069F"/>
    <w:rsid w:val="01347A59"/>
    <w:rsid w:val="01572564"/>
    <w:rsid w:val="016750FC"/>
    <w:rsid w:val="017A03BD"/>
    <w:rsid w:val="017E2A82"/>
    <w:rsid w:val="018F39C7"/>
    <w:rsid w:val="0196601E"/>
    <w:rsid w:val="01996D48"/>
    <w:rsid w:val="019B53E2"/>
    <w:rsid w:val="01A45DA3"/>
    <w:rsid w:val="01C012ED"/>
    <w:rsid w:val="01D60B10"/>
    <w:rsid w:val="01DA20AA"/>
    <w:rsid w:val="01E45891"/>
    <w:rsid w:val="0215078D"/>
    <w:rsid w:val="02155BEB"/>
    <w:rsid w:val="021E1DC6"/>
    <w:rsid w:val="022E6257"/>
    <w:rsid w:val="023047CD"/>
    <w:rsid w:val="026B3007"/>
    <w:rsid w:val="02796F29"/>
    <w:rsid w:val="027A76EE"/>
    <w:rsid w:val="02842793"/>
    <w:rsid w:val="02D50DC8"/>
    <w:rsid w:val="031F3C86"/>
    <w:rsid w:val="034A2E26"/>
    <w:rsid w:val="035B0276"/>
    <w:rsid w:val="035E4919"/>
    <w:rsid w:val="036D1DCA"/>
    <w:rsid w:val="039C5442"/>
    <w:rsid w:val="03C473E1"/>
    <w:rsid w:val="03CD4433"/>
    <w:rsid w:val="03D72C1C"/>
    <w:rsid w:val="04063010"/>
    <w:rsid w:val="040F1BAA"/>
    <w:rsid w:val="04105B72"/>
    <w:rsid w:val="043D1683"/>
    <w:rsid w:val="044A29D0"/>
    <w:rsid w:val="045B52FD"/>
    <w:rsid w:val="04754611"/>
    <w:rsid w:val="047B0AC4"/>
    <w:rsid w:val="049F51EA"/>
    <w:rsid w:val="04A15406"/>
    <w:rsid w:val="04AE367F"/>
    <w:rsid w:val="04E81BC9"/>
    <w:rsid w:val="04EB1481"/>
    <w:rsid w:val="05201F9D"/>
    <w:rsid w:val="052368DF"/>
    <w:rsid w:val="05286D15"/>
    <w:rsid w:val="052E5405"/>
    <w:rsid w:val="05314BDB"/>
    <w:rsid w:val="055C4DAB"/>
    <w:rsid w:val="056621AB"/>
    <w:rsid w:val="057C37CD"/>
    <w:rsid w:val="057C552B"/>
    <w:rsid w:val="05917228"/>
    <w:rsid w:val="059C1BC7"/>
    <w:rsid w:val="05A0330F"/>
    <w:rsid w:val="063940F0"/>
    <w:rsid w:val="06865D19"/>
    <w:rsid w:val="06A5588B"/>
    <w:rsid w:val="06CA7C28"/>
    <w:rsid w:val="06E65352"/>
    <w:rsid w:val="06FB69F5"/>
    <w:rsid w:val="06FC2DC7"/>
    <w:rsid w:val="074A6C5C"/>
    <w:rsid w:val="079A613C"/>
    <w:rsid w:val="079D081A"/>
    <w:rsid w:val="079F6588"/>
    <w:rsid w:val="07B2792A"/>
    <w:rsid w:val="07B56B19"/>
    <w:rsid w:val="07C70675"/>
    <w:rsid w:val="07E364A7"/>
    <w:rsid w:val="07EE68BA"/>
    <w:rsid w:val="07FE66CB"/>
    <w:rsid w:val="086C1DC8"/>
    <w:rsid w:val="087A147E"/>
    <w:rsid w:val="087B1976"/>
    <w:rsid w:val="08824CDD"/>
    <w:rsid w:val="088968DD"/>
    <w:rsid w:val="08955281"/>
    <w:rsid w:val="0898787A"/>
    <w:rsid w:val="08A917E1"/>
    <w:rsid w:val="08E51639"/>
    <w:rsid w:val="08EB30F3"/>
    <w:rsid w:val="08EC31B6"/>
    <w:rsid w:val="08F4008B"/>
    <w:rsid w:val="09511F69"/>
    <w:rsid w:val="095C020E"/>
    <w:rsid w:val="096B7D90"/>
    <w:rsid w:val="096C38BB"/>
    <w:rsid w:val="09992B4F"/>
    <w:rsid w:val="099D2F7B"/>
    <w:rsid w:val="09A0419A"/>
    <w:rsid w:val="09A61F5F"/>
    <w:rsid w:val="09A8203B"/>
    <w:rsid w:val="09BE5E69"/>
    <w:rsid w:val="09CD45A7"/>
    <w:rsid w:val="09D61B19"/>
    <w:rsid w:val="0A1348C9"/>
    <w:rsid w:val="0A1979FF"/>
    <w:rsid w:val="0A3B1293"/>
    <w:rsid w:val="0A4303CE"/>
    <w:rsid w:val="0A6952C4"/>
    <w:rsid w:val="0A6F7DD5"/>
    <w:rsid w:val="0A8921FE"/>
    <w:rsid w:val="0AAA0BDE"/>
    <w:rsid w:val="0AC04A07"/>
    <w:rsid w:val="0AC2744D"/>
    <w:rsid w:val="0ACE7AA4"/>
    <w:rsid w:val="0ACF1D78"/>
    <w:rsid w:val="0ADE5D3C"/>
    <w:rsid w:val="0AE56FF1"/>
    <w:rsid w:val="0AE918B4"/>
    <w:rsid w:val="0AF6057F"/>
    <w:rsid w:val="0B0E30C9"/>
    <w:rsid w:val="0B1D69B3"/>
    <w:rsid w:val="0B252F8B"/>
    <w:rsid w:val="0B2B7A6E"/>
    <w:rsid w:val="0B4403E5"/>
    <w:rsid w:val="0B4A40CF"/>
    <w:rsid w:val="0B5360F2"/>
    <w:rsid w:val="0B5D7A71"/>
    <w:rsid w:val="0B5E5F36"/>
    <w:rsid w:val="0B696551"/>
    <w:rsid w:val="0B6D7D67"/>
    <w:rsid w:val="0B8426A5"/>
    <w:rsid w:val="0BB91287"/>
    <w:rsid w:val="0BBE572F"/>
    <w:rsid w:val="0BE400A4"/>
    <w:rsid w:val="0BFF2A12"/>
    <w:rsid w:val="0C104C1F"/>
    <w:rsid w:val="0C1C1816"/>
    <w:rsid w:val="0C2801BA"/>
    <w:rsid w:val="0C30660E"/>
    <w:rsid w:val="0C430B50"/>
    <w:rsid w:val="0C4A0DFF"/>
    <w:rsid w:val="0C6F3B97"/>
    <w:rsid w:val="0C79771D"/>
    <w:rsid w:val="0C8909BE"/>
    <w:rsid w:val="0C8A03DE"/>
    <w:rsid w:val="0CA750F6"/>
    <w:rsid w:val="0CBE7383"/>
    <w:rsid w:val="0CC04897"/>
    <w:rsid w:val="0CC200B6"/>
    <w:rsid w:val="0CC63745"/>
    <w:rsid w:val="0CDA5ACB"/>
    <w:rsid w:val="0CFF0E63"/>
    <w:rsid w:val="0D1955FA"/>
    <w:rsid w:val="0D2B61B4"/>
    <w:rsid w:val="0D2E7A52"/>
    <w:rsid w:val="0D6227AF"/>
    <w:rsid w:val="0D671DC3"/>
    <w:rsid w:val="0D8B37B9"/>
    <w:rsid w:val="0DA864B6"/>
    <w:rsid w:val="0DB03D3B"/>
    <w:rsid w:val="0DC72296"/>
    <w:rsid w:val="0DCA16F2"/>
    <w:rsid w:val="0DDF22EF"/>
    <w:rsid w:val="0DED5218"/>
    <w:rsid w:val="0DEF0A31"/>
    <w:rsid w:val="0DF05DB8"/>
    <w:rsid w:val="0E032C8D"/>
    <w:rsid w:val="0E1A2B46"/>
    <w:rsid w:val="0E4A08BC"/>
    <w:rsid w:val="0E5E7EC3"/>
    <w:rsid w:val="0E752E33"/>
    <w:rsid w:val="0E76520D"/>
    <w:rsid w:val="0E773B7E"/>
    <w:rsid w:val="0E7C659C"/>
    <w:rsid w:val="0E8B643F"/>
    <w:rsid w:val="0EC71F0D"/>
    <w:rsid w:val="0ED463D8"/>
    <w:rsid w:val="0EE373B0"/>
    <w:rsid w:val="0EEA79A9"/>
    <w:rsid w:val="0EEE5E2D"/>
    <w:rsid w:val="0EF01344"/>
    <w:rsid w:val="0F095C17"/>
    <w:rsid w:val="0F0A5D32"/>
    <w:rsid w:val="0F4352F8"/>
    <w:rsid w:val="0F6D18F5"/>
    <w:rsid w:val="0F6E45A7"/>
    <w:rsid w:val="0F6F3994"/>
    <w:rsid w:val="0F747EB8"/>
    <w:rsid w:val="0F7B7252"/>
    <w:rsid w:val="0F8263B3"/>
    <w:rsid w:val="0F8438A8"/>
    <w:rsid w:val="0F912454"/>
    <w:rsid w:val="0FE663C2"/>
    <w:rsid w:val="0FFE1CCA"/>
    <w:rsid w:val="100A0A94"/>
    <w:rsid w:val="10116F37"/>
    <w:rsid w:val="1030763E"/>
    <w:rsid w:val="103C5FE2"/>
    <w:rsid w:val="103F3D25"/>
    <w:rsid w:val="104942F3"/>
    <w:rsid w:val="105F0EF9"/>
    <w:rsid w:val="10746B3D"/>
    <w:rsid w:val="107C0AD5"/>
    <w:rsid w:val="1083039F"/>
    <w:rsid w:val="10A0618C"/>
    <w:rsid w:val="10B24013"/>
    <w:rsid w:val="10C04C13"/>
    <w:rsid w:val="114B2987"/>
    <w:rsid w:val="11566AC8"/>
    <w:rsid w:val="11592BC4"/>
    <w:rsid w:val="116535C4"/>
    <w:rsid w:val="118839A1"/>
    <w:rsid w:val="119267A4"/>
    <w:rsid w:val="11BC7F56"/>
    <w:rsid w:val="11C36D21"/>
    <w:rsid w:val="11C636E6"/>
    <w:rsid w:val="11D24F16"/>
    <w:rsid w:val="11D44577"/>
    <w:rsid w:val="11DE1FA0"/>
    <w:rsid w:val="11F732B4"/>
    <w:rsid w:val="11FA4EAF"/>
    <w:rsid w:val="121D44A7"/>
    <w:rsid w:val="12241424"/>
    <w:rsid w:val="1246139A"/>
    <w:rsid w:val="12864305"/>
    <w:rsid w:val="12884889"/>
    <w:rsid w:val="129A5E9F"/>
    <w:rsid w:val="12AE5090"/>
    <w:rsid w:val="12DF3FD1"/>
    <w:rsid w:val="12F34DC7"/>
    <w:rsid w:val="132F62D2"/>
    <w:rsid w:val="133C4D10"/>
    <w:rsid w:val="13460D42"/>
    <w:rsid w:val="13481011"/>
    <w:rsid w:val="134E6759"/>
    <w:rsid w:val="136D62B3"/>
    <w:rsid w:val="13854144"/>
    <w:rsid w:val="13905E32"/>
    <w:rsid w:val="13D749A0"/>
    <w:rsid w:val="1441006B"/>
    <w:rsid w:val="144E2788"/>
    <w:rsid w:val="145E3D95"/>
    <w:rsid w:val="1468384A"/>
    <w:rsid w:val="148079DA"/>
    <w:rsid w:val="149634DA"/>
    <w:rsid w:val="14A47E7A"/>
    <w:rsid w:val="14C61346"/>
    <w:rsid w:val="14CC49CD"/>
    <w:rsid w:val="14DA14AD"/>
    <w:rsid w:val="14DB3BB7"/>
    <w:rsid w:val="15107A3E"/>
    <w:rsid w:val="15115C90"/>
    <w:rsid w:val="151614F8"/>
    <w:rsid w:val="152534E9"/>
    <w:rsid w:val="152C0FBD"/>
    <w:rsid w:val="152F690A"/>
    <w:rsid w:val="15362195"/>
    <w:rsid w:val="154A5183"/>
    <w:rsid w:val="15735597"/>
    <w:rsid w:val="157C5D12"/>
    <w:rsid w:val="158226E9"/>
    <w:rsid w:val="15970F61"/>
    <w:rsid w:val="15BF393E"/>
    <w:rsid w:val="15C03212"/>
    <w:rsid w:val="15FD7F60"/>
    <w:rsid w:val="16045216"/>
    <w:rsid w:val="161F262E"/>
    <w:rsid w:val="16296DE9"/>
    <w:rsid w:val="16361C39"/>
    <w:rsid w:val="163B35DF"/>
    <w:rsid w:val="16704C38"/>
    <w:rsid w:val="16774218"/>
    <w:rsid w:val="167B36BE"/>
    <w:rsid w:val="16B1077C"/>
    <w:rsid w:val="16B77C43"/>
    <w:rsid w:val="16BB21E8"/>
    <w:rsid w:val="16CC2A25"/>
    <w:rsid w:val="16D40834"/>
    <w:rsid w:val="16DA5DE3"/>
    <w:rsid w:val="16DB7EC5"/>
    <w:rsid w:val="16E236D1"/>
    <w:rsid w:val="16E66671"/>
    <w:rsid w:val="16E76CB8"/>
    <w:rsid w:val="16E86EC4"/>
    <w:rsid w:val="17004A3B"/>
    <w:rsid w:val="17103D25"/>
    <w:rsid w:val="171750B3"/>
    <w:rsid w:val="171A4BA4"/>
    <w:rsid w:val="171C4DC0"/>
    <w:rsid w:val="17421DB0"/>
    <w:rsid w:val="174F05A1"/>
    <w:rsid w:val="17531564"/>
    <w:rsid w:val="17A5541F"/>
    <w:rsid w:val="17A92404"/>
    <w:rsid w:val="17B12EED"/>
    <w:rsid w:val="17B22E59"/>
    <w:rsid w:val="17B70A56"/>
    <w:rsid w:val="17E4463B"/>
    <w:rsid w:val="17EE6794"/>
    <w:rsid w:val="17F51899"/>
    <w:rsid w:val="17FB6783"/>
    <w:rsid w:val="181B0BD3"/>
    <w:rsid w:val="18300B23"/>
    <w:rsid w:val="18552337"/>
    <w:rsid w:val="185B390E"/>
    <w:rsid w:val="185D61F6"/>
    <w:rsid w:val="18932E60"/>
    <w:rsid w:val="18AD3B2E"/>
    <w:rsid w:val="18B63DAD"/>
    <w:rsid w:val="18BB3A78"/>
    <w:rsid w:val="18C4126B"/>
    <w:rsid w:val="18F30924"/>
    <w:rsid w:val="19053D5D"/>
    <w:rsid w:val="192C753C"/>
    <w:rsid w:val="193F1ADB"/>
    <w:rsid w:val="19470720"/>
    <w:rsid w:val="1954439D"/>
    <w:rsid w:val="1955664B"/>
    <w:rsid w:val="196D0A14"/>
    <w:rsid w:val="19741A2A"/>
    <w:rsid w:val="19A31CEF"/>
    <w:rsid w:val="19B23A63"/>
    <w:rsid w:val="19BE3EE6"/>
    <w:rsid w:val="19C21FF7"/>
    <w:rsid w:val="19D003A2"/>
    <w:rsid w:val="19EE2A43"/>
    <w:rsid w:val="19F16504"/>
    <w:rsid w:val="1A127B4E"/>
    <w:rsid w:val="1A4662CF"/>
    <w:rsid w:val="1A7171D0"/>
    <w:rsid w:val="1A7B44E3"/>
    <w:rsid w:val="1A7E49B9"/>
    <w:rsid w:val="1A8A3DEE"/>
    <w:rsid w:val="1AB8095B"/>
    <w:rsid w:val="1AC65852"/>
    <w:rsid w:val="1AD27C6F"/>
    <w:rsid w:val="1ADC0675"/>
    <w:rsid w:val="1AF916A0"/>
    <w:rsid w:val="1B025F95"/>
    <w:rsid w:val="1B032B46"/>
    <w:rsid w:val="1B056076"/>
    <w:rsid w:val="1B261D69"/>
    <w:rsid w:val="1B394EB9"/>
    <w:rsid w:val="1B3A1A0A"/>
    <w:rsid w:val="1B4649C2"/>
    <w:rsid w:val="1B4D72F6"/>
    <w:rsid w:val="1B580029"/>
    <w:rsid w:val="1B634D6B"/>
    <w:rsid w:val="1B676DD1"/>
    <w:rsid w:val="1B7156DA"/>
    <w:rsid w:val="1BA54A74"/>
    <w:rsid w:val="1BA623D2"/>
    <w:rsid w:val="1BA85BEE"/>
    <w:rsid w:val="1BB934AF"/>
    <w:rsid w:val="1BC616CD"/>
    <w:rsid w:val="1BD539E3"/>
    <w:rsid w:val="1BF80647"/>
    <w:rsid w:val="1BF84456"/>
    <w:rsid w:val="1BF9122C"/>
    <w:rsid w:val="1C0F2757"/>
    <w:rsid w:val="1C0F7AD4"/>
    <w:rsid w:val="1C1269DA"/>
    <w:rsid w:val="1C134558"/>
    <w:rsid w:val="1C26503A"/>
    <w:rsid w:val="1C275D99"/>
    <w:rsid w:val="1C2F2C09"/>
    <w:rsid w:val="1C3B3D2A"/>
    <w:rsid w:val="1C3F4F19"/>
    <w:rsid w:val="1C43426C"/>
    <w:rsid w:val="1C4C111F"/>
    <w:rsid w:val="1C7F5BD5"/>
    <w:rsid w:val="1C986C96"/>
    <w:rsid w:val="1CB17D58"/>
    <w:rsid w:val="1CBB4733"/>
    <w:rsid w:val="1D552DD9"/>
    <w:rsid w:val="1D5B4D9F"/>
    <w:rsid w:val="1D6133EA"/>
    <w:rsid w:val="1D7B4D77"/>
    <w:rsid w:val="1DA84CB7"/>
    <w:rsid w:val="1DAD4148"/>
    <w:rsid w:val="1DEB516C"/>
    <w:rsid w:val="1DF87397"/>
    <w:rsid w:val="1E060945"/>
    <w:rsid w:val="1E396257"/>
    <w:rsid w:val="1E431E06"/>
    <w:rsid w:val="1E454BFC"/>
    <w:rsid w:val="1E6A1EE5"/>
    <w:rsid w:val="1E6F3A27"/>
    <w:rsid w:val="1E7161AD"/>
    <w:rsid w:val="1E791917"/>
    <w:rsid w:val="1E7F17AF"/>
    <w:rsid w:val="1E917E41"/>
    <w:rsid w:val="1EA506BB"/>
    <w:rsid w:val="1ED16490"/>
    <w:rsid w:val="1ED551F2"/>
    <w:rsid w:val="1EEF7986"/>
    <w:rsid w:val="1EF0503A"/>
    <w:rsid w:val="1F10271A"/>
    <w:rsid w:val="1F1F6DFB"/>
    <w:rsid w:val="1F213C58"/>
    <w:rsid w:val="1F2C1918"/>
    <w:rsid w:val="1F353696"/>
    <w:rsid w:val="1F444EB4"/>
    <w:rsid w:val="1F446843"/>
    <w:rsid w:val="1F637AFA"/>
    <w:rsid w:val="1F7C1FE3"/>
    <w:rsid w:val="1F974FE3"/>
    <w:rsid w:val="1FA40E26"/>
    <w:rsid w:val="1FAF67D1"/>
    <w:rsid w:val="1FB05EFE"/>
    <w:rsid w:val="1FB8460B"/>
    <w:rsid w:val="1FC87893"/>
    <w:rsid w:val="1FEA5A5B"/>
    <w:rsid w:val="1FF16DE9"/>
    <w:rsid w:val="1FF363D3"/>
    <w:rsid w:val="1FF561F6"/>
    <w:rsid w:val="2004325A"/>
    <w:rsid w:val="200B6267"/>
    <w:rsid w:val="20166850"/>
    <w:rsid w:val="20310871"/>
    <w:rsid w:val="2053675E"/>
    <w:rsid w:val="205E6712"/>
    <w:rsid w:val="207D68CF"/>
    <w:rsid w:val="20860B1C"/>
    <w:rsid w:val="208F215E"/>
    <w:rsid w:val="209B5C02"/>
    <w:rsid w:val="20B215A3"/>
    <w:rsid w:val="20B812A7"/>
    <w:rsid w:val="20B91DD9"/>
    <w:rsid w:val="20C93D15"/>
    <w:rsid w:val="20E32AC3"/>
    <w:rsid w:val="20EC00BD"/>
    <w:rsid w:val="20F93D60"/>
    <w:rsid w:val="20FD17BE"/>
    <w:rsid w:val="21093CBF"/>
    <w:rsid w:val="211F1734"/>
    <w:rsid w:val="214271D1"/>
    <w:rsid w:val="214D5A81"/>
    <w:rsid w:val="215D3278"/>
    <w:rsid w:val="216D6C10"/>
    <w:rsid w:val="2183579A"/>
    <w:rsid w:val="21A25DD1"/>
    <w:rsid w:val="21AB0B04"/>
    <w:rsid w:val="21AE5FCC"/>
    <w:rsid w:val="21BE7122"/>
    <w:rsid w:val="21FC2122"/>
    <w:rsid w:val="21FD0A6C"/>
    <w:rsid w:val="22266DCE"/>
    <w:rsid w:val="22470722"/>
    <w:rsid w:val="224F1BA5"/>
    <w:rsid w:val="22A6346B"/>
    <w:rsid w:val="22DB3012"/>
    <w:rsid w:val="22EE601C"/>
    <w:rsid w:val="232C0150"/>
    <w:rsid w:val="232F12BD"/>
    <w:rsid w:val="234015A5"/>
    <w:rsid w:val="23594904"/>
    <w:rsid w:val="239D184B"/>
    <w:rsid w:val="23A003EA"/>
    <w:rsid w:val="23A24DDB"/>
    <w:rsid w:val="23A8387B"/>
    <w:rsid w:val="23AB72AF"/>
    <w:rsid w:val="23BA55BD"/>
    <w:rsid w:val="23C06992"/>
    <w:rsid w:val="23C67966"/>
    <w:rsid w:val="23CA1D64"/>
    <w:rsid w:val="23ED78C8"/>
    <w:rsid w:val="24005694"/>
    <w:rsid w:val="240B669A"/>
    <w:rsid w:val="2421612D"/>
    <w:rsid w:val="245B0CD5"/>
    <w:rsid w:val="24654ECD"/>
    <w:rsid w:val="24A87C93"/>
    <w:rsid w:val="24B2466D"/>
    <w:rsid w:val="24BD373E"/>
    <w:rsid w:val="2500285A"/>
    <w:rsid w:val="252250D7"/>
    <w:rsid w:val="25252239"/>
    <w:rsid w:val="252A72C7"/>
    <w:rsid w:val="2538684B"/>
    <w:rsid w:val="253A6130"/>
    <w:rsid w:val="254C7181"/>
    <w:rsid w:val="25504AA5"/>
    <w:rsid w:val="25537BFE"/>
    <w:rsid w:val="257A33DD"/>
    <w:rsid w:val="25873D4C"/>
    <w:rsid w:val="25C5161B"/>
    <w:rsid w:val="25D04815"/>
    <w:rsid w:val="25FC4352"/>
    <w:rsid w:val="2641237E"/>
    <w:rsid w:val="26445859"/>
    <w:rsid w:val="26584959"/>
    <w:rsid w:val="265E4AAD"/>
    <w:rsid w:val="268F61C4"/>
    <w:rsid w:val="268F7404"/>
    <w:rsid w:val="26B52A14"/>
    <w:rsid w:val="26C80178"/>
    <w:rsid w:val="26EA3185"/>
    <w:rsid w:val="26F747B3"/>
    <w:rsid w:val="2720427C"/>
    <w:rsid w:val="272E2B2B"/>
    <w:rsid w:val="273C42C6"/>
    <w:rsid w:val="275B57D7"/>
    <w:rsid w:val="275E2684"/>
    <w:rsid w:val="27701E0F"/>
    <w:rsid w:val="277225FF"/>
    <w:rsid w:val="279E52B8"/>
    <w:rsid w:val="27A72484"/>
    <w:rsid w:val="27A93D9C"/>
    <w:rsid w:val="27D65BFF"/>
    <w:rsid w:val="27E912C3"/>
    <w:rsid w:val="284112E9"/>
    <w:rsid w:val="284E63A7"/>
    <w:rsid w:val="28577A06"/>
    <w:rsid w:val="28584889"/>
    <w:rsid w:val="285D5793"/>
    <w:rsid w:val="28754330"/>
    <w:rsid w:val="28853AA6"/>
    <w:rsid w:val="28926AA7"/>
    <w:rsid w:val="28B409B4"/>
    <w:rsid w:val="28C35CBF"/>
    <w:rsid w:val="28CD76CA"/>
    <w:rsid w:val="28D56B7C"/>
    <w:rsid w:val="28D728F5"/>
    <w:rsid w:val="28E514B5"/>
    <w:rsid w:val="28FB3B58"/>
    <w:rsid w:val="29033E6C"/>
    <w:rsid w:val="29323FCF"/>
    <w:rsid w:val="29567CBD"/>
    <w:rsid w:val="29615D81"/>
    <w:rsid w:val="29866550"/>
    <w:rsid w:val="298A42ED"/>
    <w:rsid w:val="298F4F7D"/>
    <w:rsid w:val="299D58EC"/>
    <w:rsid w:val="29AD75B4"/>
    <w:rsid w:val="29CD6EF7"/>
    <w:rsid w:val="29DF6F48"/>
    <w:rsid w:val="29E25DE4"/>
    <w:rsid w:val="2A0E2346"/>
    <w:rsid w:val="2A133E00"/>
    <w:rsid w:val="2A261D85"/>
    <w:rsid w:val="2A266137"/>
    <w:rsid w:val="2A3B5CD1"/>
    <w:rsid w:val="2A601415"/>
    <w:rsid w:val="2A68653B"/>
    <w:rsid w:val="2A7725E1"/>
    <w:rsid w:val="2A7E3F8D"/>
    <w:rsid w:val="2A954815"/>
    <w:rsid w:val="2A9D4760"/>
    <w:rsid w:val="2AB1611B"/>
    <w:rsid w:val="2AB54CC3"/>
    <w:rsid w:val="2AC84BEB"/>
    <w:rsid w:val="2AE2296D"/>
    <w:rsid w:val="2AEF4847"/>
    <w:rsid w:val="2B053749"/>
    <w:rsid w:val="2B1207FB"/>
    <w:rsid w:val="2B1F4551"/>
    <w:rsid w:val="2B2858D7"/>
    <w:rsid w:val="2B2C517A"/>
    <w:rsid w:val="2B3836F1"/>
    <w:rsid w:val="2B410523"/>
    <w:rsid w:val="2B41433A"/>
    <w:rsid w:val="2B5213D0"/>
    <w:rsid w:val="2B577004"/>
    <w:rsid w:val="2B6964A5"/>
    <w:rsid w:val="2B7A3C88"/>
    <w:rsid w:val="2B836D64"/>
    <w:rsid w:val="2B9929BC"/>
    <w:rsid w:val="2BC52ED8"/>
    <w:rsid w:val="2BC74EA2"/>
    <w:rsid w:val="2BD9167C"/>
    <w:rsid w:val="2BE77E0C"/>
    <w:rsid w:val="2BF51BDD"/>
    <w:rsid w:val="2C1A1476"/>
    <w:rsid w:val="2C29790B"/>
    <w:rsid w:val="2C502E02"/>
    <w:rsid w:val="2C6E17C2"/>
    <w:rsid w:val="2C730B86"/>
    <w:rsid w:val="2C7F45DC"/>
    <w:rsid w:val="2C896276"/>
    <w:rsid w:val="2C903804"/>
    <w:rsid w:val="2CBE44F7"/>
    <w:rsid w:val="2CD8089D"/>
    <w:rsid w:val="2CF3042E"/>
    <w:rsid w:val="2D0431BD"/>
    <w:rsid w:val="2D0F4D53"/>
    <w:rsid w:val="2D3F7BCD"/>
    <w:rsid w:val="2D406CBA"/>
    <w:rsid w:val="2D422B73"/>
    <w:rsid w:val="2D4D587B"/>
    <w:rsid w:val="2D6E5C29"/>
    <w:rsid w:val="2D7A0E38"/>
    <w:rsid w:val="2D8A262B"/>
    <w:rsid w:val="2D937732"/>
    <w:rsid w:val="2D9BAD93"/>
    <w:rsid w:val="2DA04D13"/>
    <w:rsid w:val="2DB12125"/>
    <w:rsid w:val="2DBD47AF"/>
    <w:rsid w:val="2DE6567B"/>
    <w:rsid w:val="2DE94C01"/>
    <w:rsid w:val="2DEC4DBD"/>
    <w:rsid w:val="2DEF7EA9"/>
    <w:rsid w:val="2E1C6F1F"/>
    <w:rsid w:val="2E447804"/>
    <w:rsid w:val="2E485CF9"/>
    <w:rsid w:val="2E486632"/>
    <w:rsid w:val="2E4E18AB"/>
    <w:rsid w:val="2E5102CF"/>
    <w:rsid w:val="2E7E2A45"/>
    <w:rsid w:val="2EA022BE"/>
    <w:rsid w:val="2EB44432"/>
    <w:rsid w:val="2EDA33B1"/>
    <w:rsid w:val="2EE53597"/>
    <w:rsid w:val="2EF00E7B"/>
    <w:rsid w:val="2EFF3E19"/>
    <w:rsid w:val="2F1367D8"/>
    <w:rsid w:val="2F171200"/>
    <w:rsid w:val="2F300340"/>
    <w:rsid w:val="2F3364D9"/>
    <w:rsid w:val="2F4A0564"/>
    <w:rsid w:val="2FA5374C"/>
    <w:rsid w:val="2FCA31B3"/>
    <w:rsid w:val="2FE57FF7"/>
    <w:rsid w:val="2FF454FB"/>
    <w:rsid w:val="2FFFC55A"/>
    <w:rsid w:val="30007F1B"/>
    <w:rsid w:val="301D32E3"/>
    <w:rsid w:val="302A5A00"/>
    <w:rsid w:val="30521681"/>
    <w:rsid w:val="30536445"/>
    <w:rsid w:val="305C1FCD"/>
    <w:rsid w:val="306004CF"/>
    <w:rsid w:val="30652CB9"/>
    <w:rsid w:val="30A00BC4"/>
    <w:rsid w:val="30C96FC7"/>
    <w:rsid w:val="30D51E0F"/>
    <w:rsid w:val="30E06FD0"/>
    <w:rsid w:val="31083F93"/>
    <w:rsid w:val="31295CB7"/>
    <w:rsid w:val="313344D4"/>
    <w:rsid w:val="313C445F"/>
    <w:rsid w:val="3150593A"/>
    <w:rsid w:val="31653193"/>
    <w:rsid w:val="31666A45"/>
    <w:rsid w:val="3167147E"/>
    <w:rsid w:val="316C293A"/>
    <w:rsid w:val="31744937"/>
    <w:rsid w:val="317C228B"/>
    <w:rsid w:val="317E0EAA"/>
    <w:rsid w:val="319C46DB"/>
    <w:rsid w:val="31AD27C6"/>
    <w:rsid w:val="31AD4B3A"/>
    <w:rsid w:val="31E567F4"/>
    <w:rsid w:val="32021A67"/>
    <w:rsid w:val="32116E11"/>
    <w:rsid w:val="32166D57"/>
    <w:rsid w:val="32430DB5"/>
    <w:rsid w:val="32696CB3"/>
    <w:rsid w:val="326C6C87"/>
    <w:rsid w:val="32777D59"/>
    <w:rsid w:val="32AC094E"/>
    <w:rsid w:val="32E504C8"/>
    <w:rsid w:val="32FC7B27"/>
    <w:rsid w:val="33052CF8"/>
    <w:rsid w:val="33096E5B"/>
    <w:rsid w:val="330D3AE3"/>
    <w:rsid w:val="330F7979"/>
    <w:rsid w:val="331F00A1"/>
    <w:rsid w:val="33512084"/>
    <w:rsid w:val="335E14B8"/>
    <w:rsid w:val="336D5CF8"/>
    <w:rsid w:val="33757C6F"/>
    <w:rsid w:val="33B04773"/>
    <w:rsid w:val="33B421B0"/>
    <w:rsid w:val="33BB6C54"/>
    <w:rsid w:val="33C30645"/>
    <w:rsid w:val="33FB4C99"/>
    <w:rsid w:val="33FF05DF"/>
    <w:rsid w:val="34140856"/>
    <w:rsid w:val="3417570C"/>
    <w:rsid w:val="341C6A61"/>
    <w:rsid w:val="343A5041"/>
    <w:rsid w:val="3451505E"/>
    <w:rsid w:val="348222AE"/>
    <w:rsid w:val="349274D6"/>
    <w:rsid w:val="34991F48"/>
    <w:rsid w:val="349D7EBA"/>
    <w:rsid w:val="34AD2FF6"/>
    <w:rsid w:val="34B47F8E"/>
    <w:rsid w:val="34FA7863"/>
    <w:rsid w:val="3513553E"/>
    <w:rsid w:val="351849C1"/>
    <w:rsid w:val="351A4061"/>
    <w:rsid w:val="352944D8"/>
    <w:rsid w:val="353416CB"/>
    <w:rsid w:val="35550A91"/>
    <w:rsid w:val="357E0CC8"/>
    <w:rsid w:val="358549A8"/>
    <w:rsid w:val="3595581D"/>
    <w:rsid w:val="359E083B"/>
    <w:rsid w:val="35A16764"/>
    <w:rsid w:val="35A77929"/>
    <w:rsid w:val="35CE6E2D"/>
    <w:rsid w:val="35D06983"/>
    <w:rsid w:val="35DF76EE"/>
    <w:rsid w:val="35E24CAE"/>
    <w:rsid w:val="35F20D68"/>
    <w:rsid w:val="35FC2119"/>
    <w:rsid w:val="36006240"/>
    <w:rsid w:val="36140CE4"/>
    <w:rsid w:val="36154FC6"/>
    <w:rsid w:val="362163B6"/>
    <w:rsid w:val="362C50F3"/>
    <w:rsid w:val="36320523"/>
    <w:rsid w:val="36352D97"/>
    <w:rsid w:val="3652180C"/>
    <w:rsid w:val="367E0853"/>
    <w:rsid w:val="36B14785"/>
    <w:rsid w:val="36B81FB7"/>
    <w:rsid w:val="36BB51B1"/>
    <w:rsid w:val="36C3270A"/>
    <w:rsid w:val="36CA1079"/>
    <w:rsid w:val="36EA5ECB"/>
    <w:rsid w:val="36F6488E"/>
    <w:rsid w:val="371B281A"/>
    <w:rsid w:val="37233390"/>
    <w:rsid w:val="37323DD6"/>
    <w:rsid w:val="37437D9E"/>
    <w:rsid w:val="3755798B"/>
    <w:rsid w:val="375D15A6"/>
    <w:rsid w:val="37785D74"/>
    <w:rsid w:val="37A10C9D"/>
    <w:rsid w:val="37B34552"/>
    <w:rsid w:val="37B90A7D"/>
    <w:rsid w:val="37BD79ED"/>
    <w:rsid w:val="37C07C57"/>
    <w:rsid w:val="37DB1E0D"/>
    <w:rsid w:val="37DE77FC"/>
    <w:rsid w:val="37FF25AA"/>
    <w:rsid w:val="3810197F"/>
    <w:rsid w:val="381026ED"/>
    <w:rsid w:val="38170F5F"/>
    <w:rsid w:val="3825367C"/>
    <w:rsid w:val="38446F93"/>
    <w:rsid w:val="386A108F"/>
    <w:rsid w:val="3876776F"/>
    <w:rsid w:val="387C703E"/>
    <w:rsid w:val="387E2514"/>
    <w:rsid w:val="387E2D8D"/>
    <w:rsid w:val="388B1145"/>
    <w:rsid w:val="388D5718"/>
    <w:rsid w:val="389D23E4"/>
    <w:rsid w:val="38A02D03"/>
    <w:rsid w:val="38A807EC"/>
    <w:rsid w:val="38B3769A"/>
    <w:rsid w:val="38C20ECB"/>
    <w:rsid w:val="38D8249D"/>
    <w:rsid w:val="38F36360"/>
    <w:rsid w:val="39056930"/>
    <w:rsid w:val="391A2AB5"/>
    <w:rsid w:val="39307D7D"/>
    <w:rsid w:val="39395EDE"/>
    <w:rsid w:val="39405F0D"/>
    <w:rsid w:val="39503816"/>
    <w:rsid w:val="395826F6"/>
    <w:rsid w:val="396D3F6B"/>
    <w:rsid w:val="398B11BE"/>
    <w:rsid w:val="39981DA2"/>
    <w:rsid w:val="39A24859"/>
    <w:rsid w:val="39A405D1"/>
    <w:rsid w:val="39B53613"/>
    <w:rsid w:val="39B96732"/>
    <w:rsid w:val="39F2105F"/>
    <w:rsid w:val="3A076EAD"/>
    <w:rsid w:val="3A164EE9"/>
    <w:rsid w:val="3A3BFE56"/>
    <w:rsid w:val="3A476E1E"/>
    <w:rsid w:val="3A4D6EBA"/>
    <w:rsid w:val="3A4F1E66"/>
    <w:rsid w:val="3A534238"/>
    <w:rsid w:val="3A7C40BB"/>
    <w:rsid w:val="3AA34D2C"/>
    <w:rsid w:val="3AA40DF1"/>
    <w:rsid w:val="3AB0617C"/>
    <w:rsid w:val="3AD038A8"/>
    <w:rsid w:val="3ADD6894"/>
    <w:rsid w:val="3ADF03D0"/>
    <w:rsid w:val="3AE53E91"/>
    <w:rsid w:val="3B3D0D0E"/>
    <w:rsid w:val="3B4258FF"/>
    <w:rsid w:val="3B4262F3"/>
    <w:rsid w:val="3B4309FB"/>
    <w:rsid w:val="3B907E3F"/>
    <w:rsid w:val="3B9B0BE9"/>
    <w:rsid w:val="3BA03FBE"/>
    <w:rsid w:val="3BA37AEF"/>
    <w:rsid w:val="3BB356E8"/>
    <w:rsid w:val="3BB47700"/>
    <w:rsid w:val="3BCA4329"/>
    <w:rsid w:val="3BD3108F"/>
    <w:rsid w:val="3BD71888"/>
    <w:rsid w:val="3BFB202C"/>
    <w:rsid w:val="3C1063F2"/>
    <w:rsid w:val="3C187054"/>
    <w:rsid w:val="3C2551A9"/>
    <w:rsid w:val="3C3A2710"/>
    <w:rsid w:val="3C3C7B42"/>
    <w:rsid w:val="3C463BC1"/>
    <w:rsid w:val="3C805BDF"/>
    <w:rsid w:val="3C930C13"/>
    <w:rsid w:val="3CD236A7"/>
    <w:rsid w:val="3CE02A53"/>
    <w:rsid w:val="3D011DE7"/>
    <w:rsid w:val="3D0F7BEB"/>
    <w:rsid w:val="3D1837B0"/>
    <w:rsid w:val="3D2F5FD0"/>
    <w:rsid w:val="3D345D45"/>
    <w:rsid w:val="3D4070E8"/>
    <w:rsid w:val="3D67533A"/>
    <w:rsid w:val="3D6A733F"/>
    <w:rsid w:val="3D7A4D52"/>
    <w:rsid w:val="3D8E75CE"/>
    <w:rsid w:val="3D914C3B"/>
    <w:rsid w:val="3D9440AC"/>
    <w:rsid w:val="3D962926"/>
    <w:rsid w:val="3DB55BBE"/>
    <w:rsid w:val="3DBB57DA"/>
    <w:rsid w:val="3DC90D6A"/>
    <w:rsid w:val="3DDB9F05"/>
    <w:rsid w:val="3DEFC96B"/>
    <w:rsid w:val="3E173A67"/>
    <w:rsid w:val="3E342D63"/>
    <w:rsid w:val="3E56515A"/>
    <w:rsid w:val="3E596976"/>
    <w:rsid w:val="3E5E1696"/>
    <w:rsid w:val="3E777DB6"/>
    <w:rsid w:val="3E781D6D"/>
    <w:rsid w:val="3E7D047A"/>
    <w:rsid w:val="3E8054BF"/>
    <w:rsid w:val="3E9926CE"/>
    <w:rsid w:val="3EA246A2"/>
    <w:rsid w:val="3EB219E2"/>
    <w:rsid w:val="3EC05EAD"/>
    <w:rsid w:val="3ECD2378"/>
    <w:rsid w:val="3ECF60F0"/>
    <w:rsid w:val="3EE37DED"/>
    <w:rsid w:val="3EF40D1B"/>
    <w:rsid w:val="3F073ADC"/>
    <w:rsid w:val="3F1B1335"/>
    <w:rsid w:val="3F1E7077"/>
    <w:rsid w:val="3F283A52"/>
    <w:rsid w:val="3F2971A4"/>
    <w:rsid w:val="3F491C06"/>
    <w:rsid w:val="3F4F0FDF"/>
    <w:rsid w:val="3F5122CB"/>
    <w:rsid w:val="3F5F19E8"/>
    <w:rsid w:val="3F6A406B"/>
    <w:rsid w:val="3F8F45C2"/>
    <w:rsid w:val="3F995FF5"/>
    <w:rsid w:val="3F9E5AC2"/>
    <w:rsid w:val="3FCA0090"/>
    <w:rsid w:val="3FFA14F4"/>
    <w:rsid w:val="3FFB6CA2"/>
    <w:rsid w:val="3FFC7822"/>
    <w:rsid w:val="403445DA"/>
    <w:rsid w:val="40423CBF"/>
    <w:rsid w:val="405909D6"/>
    <w:rsid w:val="40630F8D"/>
    <w:rsid w:val="407D217D"/>
    <w:rsid w:val="409D65E2"/>
    <w:rsid w:val="40A9471F"/>
    <w:rsid w:val="40AC3184"/>
    <w:rsid w:val="40B732E0"/>
    <w:rsid w:val="40BA2F6D"/>
    <w:rsid w:val="40BE3E2F"/>
    <w:rsid w:val="40CE42E8"/>
    <w:rsid w:val="40D93256"/>
    <w:rsid w:val="40E7014E"/>
    <w:rsid w:val="4105722A"/>
    <w:rsid w:val="41273B47"/>
    <w:rsid w:val="41287D39"/>
    <w:rsid w:val="412C4E1C"/>
    <w:rsid w:val="413C57C4"/>
    <w:rsid w:val="417E6C09"/>
    <w:rsid w:val="41845BCF"/>
    <w:rsid w:val="41874E7F"/>
    <w:rsid w:val="41885973"/>
    <w:rsid w:val="419929E9"/>
    <w:rsid w:val="41B164DA"/>
    <w:rsid w:val="41B25E54"/>
    <w:rsid w:val="41CF046D"/>
    <w:rsid w:val="422C3859"/>
    <w:rsid w:val="42334364"/>
    <w:rsid w:val="42434732"/>
    <w:rsid w:val="424F6DDF"/>
    <w:rsid w:val="426C1EA8"/>
    <w:rsid w:val="427A6373"/>
    <w:rsid w:val="427B63DD"/>
    <w:rsid w:val="42945FE3"/>
    <w:rsid w:val="429C1757"/>
    <w:rsid w:val="42AA345D"/>
    <w:rsid w:val="42AF58B8"/>
    <w:rsid w:val="42B527A9"/>
    <w:rsid w:val="42C64119"/>
    <w:rsid w:val="42DA32B5"/>
    <w:rsid w:val="42DA5063"/>
    <w:rsid w:val="42DF3DF1"/>
    <w:rsid w:val="42E305BD"/>
    <w:rsid w:val="42FA621E"/>
    <w:rsid w:val="43066B41"/>
    <w:rsid w:val="433429C6"/>
    <w:rsid w:val="43782954"/>
    <w:rsid w:val="437C3F06"/>
    <w:rsid w:val="4383401D"/>
    <w:rsid w:val="43931DE2"/>
    <w:rsid w:val="43A52B06"/>
    <w:rsid w:val="43B82D57"/>
    <w:rsid w:val="43C53F65"/>
    <w:rsid w:val="43D30430"/>
    <w:rsid w:val="43E17E66"/>
    <w:rsid w:val="43EF5891"/>
    <w:rsid w:val="43FD255B"/>
    <w:rsid w:val="442A45F5"/>
    <w:rsid w:val="442C5D93"/>
    <w:rsid w:val="4437331F"/>
    <w:rsid w:val="443C4228"/>
    <w:rsid w:val="443E69A3"/>
    <w:rsid w:val="44457405"/>
    <w:rsid w:val="444A036D"/>
    <w:rsid w:val="444C01E3"/>
    <w:rsid w:val="44557E5D"/>
    <w:rsid w:val="44687464"/>
    <w:rsid w:val="447A4D50"/>
    <w:rsid w:val="449750E1"/>
    <w:rsid w:val="449D2AF0"/>
    <w:rsid w:val="449E165D"/>
    <w:rsid w:val="449F1AC9"/>
    <w:rsid w:val="44B757CD"/>
    <w:rsid w:val="44BF2B1E"/>
    <w:rsid w:val="44C466A7"/>
    <w:rsid w:val="45013B88"/>
    <w:rsid w:val="4515296F"/>
    <w:rsid w:val="453B44DF"/>
    <w:rsid w:val="45637592"/>
    <w:rsid w:val="457F248F"/>
    <w:rsid w:val="45877724"/>
    <w:rsid w:val="45A82A5B"/>
    <w:rsid w:val="45DA1917"/>
    <w:rsid w:val="45EC4E4B"/>
    <w:rsid w:val="45EF7078"/>
    <w:rsid w:val="461E4B14"/>
    <w:rsid w:val="462E582F"/>
    <w:rsid w:val="46410CAA"/>
    <w:rsid w:val="46621838"/>
    <w:rsid w:val="46703FF5"/>
    <w:rsid w:val="46830CE4"/>
    <w:rsid w:val="46D06CAA"/>
    <w:rsid w:val="46D361A6"/>
    <w:rsid w:val="46E3661F"/>
    <w:rsid w:val="46EA55C7"/>
    <w:rsid w:val="46EC503A"/>
    <w:rsid w:val="46FD3A13"/>
    <w:rsid w:val="46FE4AA7"/>
    <w:rsid w:val="47222197"/>
    <w:rsid w:val="47267AEE"/>
    <w:rsid w:val="47276FF8"/>
    <w:rsid w:val="472F6F11"/>
    <w:rsid w:val="47370CD6"/>
    <w:rsid w:val="4753594B"/>
    <w:rsid w:val="47596E9F"/>
    <w:rsid w:val="475F7720"/>
    <w:rsid w:val="476A74A7"/>
    <w:rsid w:val="47764DA8"/>
    <w:rsid w:val="47767A51"/>
    <w:rsid w:val="478B3523"/>
    <w:rsid w:val="47900E67"/>
    <w:rsid w:val="47945FD6"/>
    <w:rsid w:val="47A65F21"/>
    <w:rsid w:val="47E4372E"/>
    <w:rsid w:val="47EB50F1"/>
    <w:rsid w:val="47FC58CE"/>
    <w:rsid w:val="4806148B"/>
    <w:rsid w:val="48166B3E"/>
    <w:rsid w:val="481E3C44"/>
    <w:rsid w:val="4820176A"/>
    <w:rsid w:val="48315726"/>
    <w:rsid w:val="48534885"/>
    <w:rsid w:val="486477DB"/>
    <w:rsid w:val="48671147"/>
    <w:rsid w:val="48B8316C"/>
    <w:rsid w:val="48BB0BAF"/>
    <w:rsid w:val="48DA08FB"/>
    <w:rsid w:val="48FE32BE"/>
    <w:rsid w:val="49290AF3"/>
    <w:rsid w:val="493F3E72"/>
    <w:rsid w:val="496D564C"/>
    <w:rsid w:val="497E5947"/>
    <w:rsid w:val="498107EA"/>
    <w:rsid w:val="49816239"/>
    <w:rsid w:val="498945EE"/>
    <w:rsid w:val="49A56CED"/>
    <w:rsid w:val="49B4660E"/>
    <w:rsid w:val="49BE748D"/>
    <w:rsid w:val="49FA46A4"/>
    <w:rsid w:val="4A3F0DCB"/>
    <w:rsid w:val="4A560560"/>
    <w:rsid w:val="4A5C4EB0"/>
    <w:rsid w:val="4A84290C"/>
    <w:rsid w:val="4A895CED"/>
    <w:rsid w:val="4ACA0062"/>
    <w:rsid w:val="4B2F1571"/>
    <w:rsid w:val="4B383405"/>
    <w:rsid w:val="4B5043C0"/>
    <w:rsid w:val="4B711A6D"/>
    <w:rsid w:val="4B7867DC"/>
    <w:rsid w:val="4BB072A9"/>
    <w:rsid w:val="4BB2358E"/>
    <w:rsid w:val="4BC263A1"/>
    <w:rsid w:val="4BDC6874"/>
    <w:rsid w:val="4BE82F6C"/>
    <w:rsid w:val="4BF21670"/>
    <w:rsid w:val="4BF76C86"/>
    <w:rsid w:val="4C064331"/>
    <w:rsid w:val="4C352402"/>
    <w:rsid w:val="4C4062D0"/>
    <w:rsid w:val="4C63431C"/>
    <w:rsid w:val="4C691017"/>
    <w:rsid w:val="4C6F6E0F"/>
    <w:rsid w:val="4C70692F"/>
    <w:rsid w:val="4C76140F"/>
    <w:rsid w:val="4C7D277D"/>
    <w:rsid w:val="4CA97768"/>
    <w:rsid w:val="4CB65EAE"/>
    <w:rsid w:val="4CBB5543"/>
    <w:rsid w:val="4CC313F2"/>
    <w:rsid w:val="4CC3507C"/>
    <w:rsid w:val="4CF9478D"/>
    <w:rsid w:val="4D01600E"/>
    <w:rsid w:val="4D057181"/>
    <w:rsid w:val="4D1B4A8C"/>
    <w:rsid w:val="4D2B3D75"/>
    <w:rsid w:val="4D3161C8"/>
    <w:rsid w:val="4D573E80"/>
    <w:rsid w:val="4D747DC0"/>
    <w:rsid w:val="4D783DF7"/>
    <w:rsid w:val="4D7F519D"/>
    <w:rsid w:val="4D815253"/>
    <w:rsid w:val="4D827600"/>
    <w:rsid w:val="4D964642"/>
    <w:rsid w:val="4DC85752"/>
    <w:rsid w:val="4DE374C2"/>
    <w:rsid w:val="4DE959AE"/>
    <w:rsid w:val="4DEC63DC"/>
    <w:rsid w:val="4DF8316F"/>
    <w:rsid w:val="4E014414"/>
    <w:rsid w:val="4E0A61C2"/>
    <w:rsid w:val="4E196979"/>
    <w:rsid w:val="4E197388"/>
    <w:rsid w:val="4E323FA5"/>
    <w:rsid w:val="4E3C3C6E"/>
    <w:rsid w:val="4E5B79A0"/>
    <w:rsid w:val="4E6A373F"/>
    <w:rsid w:val="4E6D21C3"/>
    <w:rsid w:val="4E7066BD"/>
    <w:rsid w:val="4E731676"/>
    <w:rsid w:val="4E7A0566"/>
    <w:rsid w:val="4E964B77"/>
    <w:rsid w:val="4EB957EF"/>
    <w:rsid w:val="4EC56BC8"/>
    <w:rsid w:val="4ECB3051"/>
    <w:rsid w:val="4ED239D9"/>
    <w:rsid w:val="4ED432AF"/>
    <w:rsid w:val="4EE50468"/>
    <w:rsid w:val="4EE845D2"/>
    <w:rsid w:val="4F10560D"/>
    <w:rsid w:val="4F251D5C"/>
    <w:rsid w:val="4F251E8E"/>
    <w:rsid w:val="4F2B386A"/>
    <w:rsid w:val="4F496C50"/>
    <w:rsid w:val="4F4F0A39"/>
    <w:rsid w:val="4F5303E4"/>
    <w:rsid w:val="4F532821"/>
    <w:rsid w:val="4F7A4467"/>
    <w:rsid w:val="4F950B6A"/>
    <w:rsid w:val="4FA2337C"/>
    <w:rsid w:val="4FB61816"/>
    <w:rsid w:val="4FF35CFE"/>
    <w:rsid w:val="5001388B"/>
    <w:rsid w:val="501F5AE2"/>
    <w:rsid w:val="504917BB"/>
    <w:rsid w:val="50554BBD"/>
    <w:rsid w:val="505B3C87"/>
    <w:rsid w:val="50830E32"/>
    <w:rsid w:val="50A70DAB"/>
    <w:rsid w:val="50C80BF1"/>
    <w:rsid w:val="50EA52AF"/>
    <w:rsid w:val="50ED0658"/>
    <w:rsid w:val="50EE2C05"/>
    <w:rsid w:val="50F76EB5"/>
    <w:rsid w:val="50FB18B4"/>
    <w:rsid w:val="50FC089B"/>
    <w:rsid w:val="51055048"/>
    <w:rsid w:val="511B79AD"/>
    <w:rsid w:val="511E071E"/>
    <w:rsid w:val="512342EC"/>
    <w:rsid w:val="5133133C"/>
    <w:rsid w:val="513368EC"/>
    <w:rsid w:val="51461A2F"/>
    <w:rsid w:val="514B09AA"/>
    <w:rsid w:val="51556929"/>
    <w:rsid w:val="51886E33"/>
    <w:rsid w:val="519624FD"/>
    <w:rsid w:val="51C74F23"/>
    <w:rsid w:val="51FA1D81"/>
    <w:rsid w:val="51FF1878"/>
    <w:rsid w:val="52065E75"/>
    <w:rsid w:val="520B64F3"/>
    <w:rsid w:val="520D0FB1"/>
    <w:rsid w:val="52120376"/>
    <w:rsid w:val="52137DDB"/>
    <w:rsid w:val="522003B6"/>
    <w:rsid w:val="52235FC4"/>
    <w:rsid w:val="522C04D1"/>
    <w:rsid w:val="522F3899"/>
    <w:rsid w:val="5246793E"/>
    <w:rsid w:val="524B2D80"/>
    <w:rsid w:val="524E3378"/>
    <w:rsid w:val="524E5126"/>
    <w:rsid w:val="52540FBB"/>
    <w:rsid w:val="5288688A"/>
    <w:rsid w:val="529A1DA4"/>
    <w:rsid w:val="529C40E3"/>
    <w:rsid w:val="52B257AF"/>
    <w:rsid w:val="52B4767F"/>
    <w:rsid w:val="52C5188C"/>
    <w:rsid w:val="52E159FE"/>
    <w:rsid w:val="52EB05A3"/>
    <w:rsid w:val="53015344"/>
    <w:rsid w:val="53125328"/>
    <w:rsid w:val="53165C44"/>
    <w:rsid w:val="5316658C"/>
    <w:rsid w:val="531712D5"/>
    <w:rsid w:val="5319504B"/>
    <w:rsid w:val="5371722A"/>
    <w:rsid w:val="53764934"/>
    <w:rsid w:val="53B7522D"/>
    <w:rsid w:val="53B8319F"/>
    <w:rsid w:val="53BC0888"/>
    <w:rsid w:val="53C75DD2"/>
    <w:rsid w:val="53CF0FF2"/>
    <w:rsid w:val="54092EF7"/>
    <w:rsid w:val="540C2F22"/>
    <w:rsid w:val="544046FD"/>
    <w:rsid w:val="54414F42"/>
    <w:rsid w:val="54553953"/>
    <w:rsid w:val="5463310B"/>
    <w:rsid w:val="546B29F2"/>
    <w:rsid w:val="548503DC"/>
    <w:rsid w:val="54A5055A"/>
    <w:rsid w:val="54A930AA"/>
    <w:rsid w:val="54BA7B42"/>
    <w:rsid w:val="54D71E98"/>
    <w:rsid w:val="54EB4EAE"/>
    <w:rsid w:val="552E77AE"/>
    <w:rsid w:val="55332D15"/>
    <w:rsid w:val="553B5E36"/>
    <w:rsid w:val="5549079E"/>
    <w:rsid w:val="554C696B"/>
    <w:rsid w:val="555E1B24"/>
    <w:rsid w:val="55747599"/>
    <w:rsid w:val="557A3CDC"/>
    <w:rsid w:val="55823A64"/>
    <w:rsid w:val="559E0C2F"/>
    <w:rsid w:val="55BA11BE"/>
    <w:rsid w:val="55BF0815"/>
    <w:rsid w:val="55C35EAF"/>
    <w:rsid w:val="55D23211"/>
    <w:rsid w:val="55D416E8"/>
    <w:rsid w:val="55D73182"/>
    <w:rsid w:val="55E52FC3"/>
    <w:rsid w:val="55E94D5A"/>
    <w:rsid w:val="55F14912"/>
    <w:rsid w:val="560B1CAC"/>
    <w:rsid w:val="56126D0B"/>
    <w:rsid w:val="5621598F"/>
    <w:rsid w:val="562B5C98"/>
    <w:rsid w:val="565A22EB"/>
    <w:rsid w:val="566B62A7"/>
    <w:rsid w:val="568A5B5D"/>
    <w:rsid w:val="568F7D21"/>
    <w:rsid w:val="56913258"/>
    <w:rsid w:val="5697353F"/>
    <w:rsid w:val="56AB6FEB"/>
    <w:rsid w:val="56D24578"/>
    <w:rsid w:val="56F3072E"/>
    <w:rsid w:val="57007337"/>
    <w:rsid w:val="57165D01"/>
    <w:rsid w:val="57295226"/>
    <w:rsid w:val="574711BF"/>
    <w:rsid w:val="5797131D"/>
    <w:rsid w:val="57A9177C"/>
    <w:rsid w:val="57AE2A5C"/>
    <w:rsid w:val="57BE4AFC"/>
    <w:rsid w:val="57EE34E3"/>
    <w:rsid w:val="57F23F1A"/>
    <w:rsid w:val="58025D01"/>
    <w:rsid w:val="580D0BE6"/>
    <w:rsid w:val="58207235"/>
    <w:rsid w:val="58296419"/>
    <w:rsid w:val="586545D2"/>
    <w:rsid w:val="58705DF6"/>
    <w:rsid w:val="5889522F"/>
    <w:rsid w:val="58A40196"/>
    <w:rsid w:val="58C27C50"/>
    <w:rsid w:val="58C77AEB"/>
    <w:rsid w:val="58DA3BB7"/>
    <w:rsid w:val="58E52DE8"/>
    <w:rsid w:val="59107553"/>
    <w:rsid w:val="592C7308"/>
    <w:rsid w:val="593F084E"/>
    <w:rsid w:val="59513953"/>
    <w:rsid w:val="5955323E"/>
    <w:rsid w:val="595E6596"/>
    <w:rsid w:val="5966544B"/>
    <w:rsid w:val="597C597D"/>
    <w:rsid w:val="59A0095D"/>
    <w:rsid w:val="59B256F7"/>
    <w:rsid w:val="59BA19E4"/>
    <w:rsid w:val="59CC65A5"/>
    <w:rsid w:val="59E76027"/>
    <w:rsid w:val="59F4590F"/>
    <w:rsid w:val="5A1B2D58"/>
    <w:rsid w:val="5A207561"/>
    <w:rsid w:val="5A2A0227"/>
    <w:rsid w:val="5A650FE0"/>
    <w:rsid w:val="5A723F57"/>
    <w:rsid w:val="5A90452E"/>
    <w:rsid w:val="5AA0539D"/>
    <w:rsid w:val="5AB2259A"/>
    <w:rsid w:val="5AB43F3C"/>
    <w:rsid w:val="5ABF6CAF"/>
    <w:rsid w:val="5ACB5DBF"/>
    <w:rsid w:val="5ADC7773"/>
    <w:rsid w:val="5AE900E2"/>
    <w:rsid w:val="5AFD593B"/>
    <w:rsid w:val="5B03608E"/>
    <w:rsid w:val="5B242EC8"/>
    <w:rsid w:val="5B2D66BE"/>
    <w:rsid w:val="5B391E36"/>
    <w:rsid w:val="5B3D64AA"/>
    <w:rsid w:val="5B46508D"/>
    <w:rsid w:val="5B613845"/>
    <w:rsid w:val="5B70610D"/>
    <w:rsid w:val="5B843380"/>
    <w:rsid w:val="5B843E3C"/>
    <w:rsid w:val="5B85605C"/>
    <w:rsid w:val="5BCC6925"/>
    <w:rsid w:val="5C0B5506"/>
    <w:rsid w:val="5C207B33"/>
    <w:rsid w:val="5C341831"/>
    <w:rsid w:val="5C491761"/>
    <w:rsid w:val="5C855BE8"/>
    <w:rsid w:val="5CA73DB1"/>
    <w:rsid w:val="5CC95946"/>
    <w:rsid w:val="5CD26B30"/>
    <w:rsid w:val="5D00525C"/>
    <w:rsid w:val="5D116A2E"/>
    <w:rsid w:val="5D301FF8"/>
    <w:rsid w:val="5D3D1914"/>
    <w:rsid w:val="5D477E72"/>
    <w:rsid w:val="5D494E68"/>
    <w:rsid w:val="5D571B83"/>
    <w:rsid w:val="5D6677C8"/>
    <w:rsid w:val="5DB93817"/>
    <w:rsid w:val="5DC736FE"/>
    <w:rsid w:val="5DD72473"/>
    <w:rsid w:val="5DD95318"/>
    <w:rsid w:val="5DEA49EE"/>
    <w:rsid w:val="5E1D792F"/>
    <w:rsid w:val="5E30640E"/>
    <w:rsid w:val="5E3B61E4"/>
    <w:rsid w:val="5E5534AE"/>
    <w:rsid w:val="5E765DF7"/>
    <w:rsid w:val="5E780323"/>
    <w:rsid w:val="5EAF427E"/>
    <w:rsid w:val="5EBB7FE7"/>
    <w:rsid w:val="5EC00903"/>
    <w:rsid w:val="5EC05B97"/>
    <w:rsid w:val="5EC92704"/>
    <w:rsid w:val="5EC944B2"/>
    <w:rsid w:val="5ED67504"/>
    <w:rsid w:val="5F1A3284"/>
    <w:rsid w:val="5F2506A6"/>
    <w:rsid w:val="5F2F6BBC"/>
    <w:rsid w:val="5F3A0F0C"/>
    <w:rsid w:val="5F3D7AF9"/>
    <w:rsid w:val="5F47605D"/>
    <w:rsid w:val="5F610B8F"/>
    <w:rsid w:val="5F866A73"/>
    <w:rsid w:val="5F8E7B88"/>
    <w:rsid w:val="5FA647F3"/>
    <w:rsid w:val="5FF27A39"/>
    <w:rsid w:val="5FF437B1"/>
    <w:rsid w:val="5FFFB703"/>
    <w:rsid w:val="600B4656"/>
    <w:rsid w:val="602A0F80"/>
    <w:rsid w:val="602F5097"/>
    <w:rsid w:val="60323EA8"/>
    <w:rsid w:val="603A7CF1"/>
    <w:rsid w:val="604D2EC1"/>
    <w:rsid w:val="605B0AB8"/>
    <w:rsid w:val="605F0454"/>
    <w:rsid w:val="60793CB6"/>
    <w:rsid w:val="6098238E"/>
    <w:rsid w:val="60BB38C9"/>
    <w:rsid w:val="60C4083A"/>
    <w:rsid w:val="60CE2F05"/>
    <w:rsid w:val="60D42588"/>
    <w:rsid w:val="60EC2C1E"/>
    <w:rsid w:val="61177EBB"/>
    <w:rsid w:val="61182145"/>
    <w:rsid w:val="61333066"/>
    <w:rsid w:val="61423A1E"/>
    <w:rsid w:val="614442C4"/>
    <w:rsid w:val="616D72C5"/>
    <w:rsid w:val="61761EAA"/>
    <w:rsid w:val="61891CD7"/>
    <w:rsid w:val="61970898"/>
    <w:rsid w:val="61D52C6A"/>
    <w:rsid w:val="62047B73"/>
    <w:rsid w:val="621C06BE"/>
    <w:rsid w:val="622442CD"/>
    <w:rsid w:val="62610AFD"/>
    <w:rsid w:val="626F1B98"/>
    <w:rsid w:val="627C4CDF"/>
    <w:rsid w:val="628B3712"/>
    <w:rsid w:val="62C721ED"/>
    <w:rsid w:val="62E328C2"/>
    <w:rsid w:val="62E47B0C"/>
    <w:rsid w:val="62F775D9"/>
    <w:rsid w:val="63091321"/>
    <w:rsid w:val="631303F2"/>
    <w:rsid w:val="6314706E"/>
    <w:rsid w:val="631A3E21"/>
    <w:rsid w:val="63512CC8"/>
    <w:rsid w:val="6356208C"/>
    <w:rsid w:val="637D5A51"/>
    <w:rsid w:val="63966A93"/>
    <w:rsid w:val="63984453"/>
    <w:rsid w:val="63BE035D"/>
    <w:rsid w:val="63BE2143"/>
    <w:rsid w:val="63F21E60"/>
    <w:rsid w:val="63F43D7F"/>
    <w:rsid w:val="63FAE9DE"/>
    <w:rsid w:val="64095C1A"/>
    <w:rsid w:val="640B10C9"/>
    <w:rsid w:val="640F6E0B"/>
    <w:rsid w:val="64376A68"/>
    <w:rsid w:val="64534A90"/>
    <w:rsid w:val="646D1D84"/>
    <w:rsid w:val="647664C4"/>
    <w:rsid w:val="64796354"/>
    <w:rsid w:val="648C5C90"/>
    <w:rsid w:val="649B41FB"/>
    <w:rsid w:val="64A75ABD"/>
    <w:rsid w:val="64AA5AF1"/>
    <w:rsid w:val="64BD0615"/>
    <w:rsid w:val="64DB4F3F"/>
    <w:rsid w:val="64E262CE"/>
    <w:rsid w:val="64FE5585"/>
    <w:rsid w:val="650C0D1B"/>
    <w:rsid w:val="650E1700"/>
    <w:rsid w:val="65383451"/>
    <w:rsid w:val="65384E94"/>
    <w:rsid w:val="655D763C"/>
    <w:rsid w:val="65684641"/>
    <w:rsid w:val="65715B3C"/>
    <w:rsid w:val="65790209"/>
    <w:rsid w:val="659155FE"/>
    <w:rsid w:val="65C10816"/>
    <w:rsid w:val="65C6174B"/>
    <w:rsid w:val="65D63401"/>
    <w:rsid w:val="65EF70C7"/>
    <w:rsid w:val="65F163AB"/>
    <w:rsid w:val="65F264CF"/>
    <w:rsid w:val="65F7485F"/>
    <w:rsid w:val="66266798"/>
    <w:rsid w:val="66694B3A"/>
    <w:rsid w:val="66A22C31"/>
    <w:rsid w:val="66A55805"/>
    <w:rsid w:val="66B43C9A"/>
    <w:rsid w:val="66C03831"/>
    <w:rsid w:val="66C2586D"/>
    <w:rsid w:val="66D52837"/>
    <w:rsid w:val="66DE2AC5"/>
    <w:rsid w:val="66EA1172"/>
    <w:rsid w:val="66EF2B81"/>
    <w:rsid w:val="66EF7DB3"/>
    <w:rsid w:val="66FD0893"/>
    <w:rsid w:val="67117FE8"/>
    <w:rsid w:val="671921E6"/>
    <w:rsid w:val="671A49C9"/>
    <w:rsid w:val="672030DD"/>
    <w:rsid w:val="673821D5"/>
    <w:rsid w:val="674D024D"/>
    <w:rsid w:val="6756222E"/>
    <w:rsid w:val="676B4053"/>
    <w:rsid w:val="677246CE"/>
    <w:rsid w:val="67753429"/>
    <w:rsid w:val="67792C84"/>
    <w:rsid w:val="677C5FDE"/>
    <w:rsid w:val="67C77F61"/>
    <w:rsid w:val="67E777BA"/>
    <w:rsid w:val="67E96874"/>
    <w:rsid w:val="67EE6D37"/>
    <w:rsid w:val="68091DC3"/>
    <w:rsid w:val="68106E07"/>
    <w:rsid w:val="681842A4"/>
    <w:rsid w:val="683749A8"/>
    <w:rsid w:val="686428B4"/>
    <w:rsid w:val="6865402F"/>
    <w:rsid w:val="686D2352"/>
    <w:rsid w:val="688128E0"/>
    <w:rsid w:val="68831B76"/>
    <w:rsid w:val="68C869CA"/>
    <w:rsid w:val="68E92207"/>
    <w:rsid w:val="68F63DD9"/>
    <w:rsid w:val="69116A62"/>
    <w:rsid w:val="691B590A"/>
    <w:rsid w:val="69381A27"/>
    <w:rsid w:val="695232F6"/>
    <w:rsid w:val="696600D5"/>
    <w:rsid w:val="697A2F79"/>
    <w:rsid w:val="698A0CE2"/>
    <w:rsid w:val="69981563"/>
    <w:rsid w:val="699B7AB7"/>
    <w:rsid w:val="69DD291F"/>
    <w:rsid w:val="69E71C90"/>
    <w:rsid w:val="6A325601"/>
    <w:rsid w:val="6A6C2F94"/>
    <w:rsid w:val="6AB906B6"/>
    <w:rsid w:val="6AE329B7"/>
    <w:rsid w:val="6B0F14E0"/>
    <w:rsid w:val="6B1747F7"/>
    <w:rsid w:val="6B1749FA"/>
    <w:rsid w:val="6B186AE4"/>
    <w:rsid w:val="6B2927C0"/>
    <w:rsid w:val="6B382482"/>
    <w:rsid w:val="6B680B28"/>
    <w:rsid w:val="6BA511AC"/>
    <w:rsid w:val="6BB362CE"/>
    <w:rsid w:val="6BC32289"/>
    <w:rsid w:val="6BE50451"/>
    <w:rsid w:val="6BF0487F"/>
    <w:rsid w:val="6BFA7FB6"/>
    <w:rsid w:val="6BFE15D1"/>
    <w:rsid w:val="6C0034B9"/>
    <w:rsid w:val="6C0B5D4D"/>
    <w:rsid w:val="6C156F89"/>
    <w:rsid w:val="6C5D16A6"/>
    <w:rsid w:val="6C727F37"/>
    <w:rsid w:val="6C823EF2"/>
    <w:rsid w:val="6C8D2694"/>
    <w:rsid w:val="6C9A56E0"/>
    <w:rsid w:val="6CB12777"/>
    <w:rsid w:val="6CBA549A"/>
    <w:rsid w:val="6CC83FFB"/>
    <w:rsid w:val="6CD57DDC"/>
    <w:rsid w:val="6CF46B9E"/>
    <w:rsid w:val="6D0065A8"/>
    <w:rsid w:val="6D033285"/>
    <w:rsid w:val="6D123E74"/>
    <w:rsid w:val="6D1D221E"/>
    <w:rsid w:val="6D3B623B"/>
    <w:rsid w:val="6D4F2026"/>
    <w:rsid w:val="6D6431F2"/>
    <w:rsid w:val="6D730752"/>
    <w:rsid w:val="6D8141AA"/>
    <w:rsid w:val="6D9B3AD4"/>
    <w:rsid w:val="6D9B7A83"/>
    <w:rsid w:val="6D9C4F4D"/>
    <w:rsid w:val="6DA57E98"/>
    <w:rsid w:val="6DC01106"/>
    <w:rsid w:val="6DFB5D0A"/>
    <w:rsid w:val="6E162B44"/>
    <w:rsid w:val="6E164755"/>
    <w:rsid w:val="6E36354F"/>
    <w:rsid w:val="6E3814BC"/>
    <w:rsid w:val="6E3D27C7"/>
    <w:rsid w:val="6E492F1A"/>
    <w:rsid w:val="6E5779AC"/>
    <w:rsid w:val="6E583F4A"/>
    <w:rsid w:val="6E676DAF"/>
    <w:rsid w:val="6E7F4B8D"/>
    <w:rsid w:val="6E8E16D5"/>
    <w:rsid w:val="6E950DA2"/>
    <w:rsid w:val="6EA6036C"/>
    <w:rsid w:val="6EBB7166"/>
    <w:rsid w:val="6EBC05C7"/>
    <w:rsid w:val="6EC73F38"/>
    <w:rsid w:val="6ECC208E"/>
    <w:rsid w:val="6EDB585E"/>
    <w:rsid w:val="6EED7D49"/>
    <w:rsid w:val="6EFA3169"/>
    <w:rsid w:val="6F0231E0"/>
    <w:rsid w:val="6F036E4F"/>
    <w:rsid w:val="6F135232"/>
    <w:rsid w:val="6F3A144E"/>
    <w:rsid w:val="6F485155"/>
    <w:rsid w:val="6F840319"/>
    <w:rsid w:val="6FA50623"/>
    <w:rsid w:val="6FAD223C"/>
    <w:rsid w:val="6FB571E6"/>
    <w:rsid w:val="6FB8326C"/>
    <w:rsid w:val="6FC7059A"/>
    <w:rsid w:val="6FDB4559"/>
    <w:rsid w:val="6FDDAD94"/>
    <w:rsid w:val="6FF33B8E"/>
    <w:rsid w:val="70050700"/>
    <w:rsid w:val="702B7736"/>
    <w:rsid w:val="7034007C"/>
    <w:rsid w:val="703B0F88"/>
    <w:rsid w:val="705B0CE2"/>
    <w:rsid w:val="7087418A"/>
    <w:rsid w:val="70A80390"/>
    <w:rsid w:val="70D35A4A"/>
    <w:rsid w:val="70E7203A"/>
    <w:rsid w:val="710B6BAC"/>
    <w:rsid w:val="710B7D01"/>
    <w:rsid w:val="71324139"/>
    <w:rsid w:val="715E58DA"/>
    <w:rsid w:val="716C74A1"/>
    <w:rsid w:val="717D4566"/>
    <w:rsid w:val="718235A9"/>
    <w:rsid w:val="718C7C25"/>
    <w:rsid w:val="719721EE"/>
    <w:rsid w:val="71A138D8"/>
    <w:rsid w:val="71B21F4E"/>
    <w:rsid w:val="71B621C4"/>
    <w:rsid w:val="71BB58C2"/>
    <w:rsid w:val="71BD0572"/>
    <w:rsid w:val="71BE59CD"/>
    <w:rsid w:val="71C11019"/>
    <w:rsid w:val="71C41DB6"/>
    <w:rsid w:val="71D523D1"/>
    <w:rsid w:val="721814EF"/>
    <w:rsid w:val="722B3D97"/>
    <w:rsid w:val="722C2651"/>
    <w:rsid w:val="72322402"/>
    <w:rsid w:val="72493B56"/>
    <w:rsid w:val="7258496F"/>
    <w:rsid w:val="726B5B54"/>
    <w:rsid w:val="72776FBC"/>
    <w:rsid w:val="72866B5D"/>
    <w:rsid w:val="72873A27"/>
    <w:rsid w:val="72A946A6"/>
    <w:rsid w:val="72AE85E2"/>
    <w:rsid w:val="72BA5965"/>
    <w:rsid w:val="72C25048"/>
    <w:rsid w:val="72CC4119"/>
    <w:rsid w:val="731D6723"/>
    <w:rsid w:val="731F249B"/>
    <w:rsid w:val="73310A7E"/>
    <w:rsid w:val="73406ADE"/>
    <w:rsid w:val="73471D8B"/>
    <w:rsid w:val="73777D21"/>
    <w:rsid w:val="738B3CDF"/>
    <w:rsid w:val="73AA1159"/>
    <w:rsid w:val="73BFACEE"/>
    <w:rsid w:val="73DC4ACC"/>
    <w:rsid w:val="740A4EF9"/>
    <w:rsid w:val="741B5A7C"/>
    <w:rsid w:val="74281DAE"/>
    <w:rsid w:val="74416CEC"/>
    <w:rsid w:val="7442761D"/>
    <w:rsid w:val="74480467"/>
    <w:rsid w:val="74584EC4"/>
    <w:rsid w:val="745D1B35"/>
    <w:rsid w:val="746F7452"/>
    <w:rsid w:val="748F3650"/>
    <w:rsid w:val="74915F75"/>
    <w:rsid w:val="749A44CF"/>
    <w:rsid w:val="749B5C86"/>
    <w:rsid w:val="74A366A4"/>
    <w:rsid w:val="74B23B3D"/>
    <w:rsid w:val="74B4029F"/>
    <w:rsid w:val="74BA308E"/>
    <w:rsid w:val="74D1142B"/>
    <w:rsid w:val="74E47E40"/>
    <w:rsid w:val="74E93533"/>
    <w:rsid w:val="74F115FE"/>
    <w:rsid w:val="74F97CD5"/>
    <w:rsid w:val="75004CFB"/>
    <w:rsid w:val="7537041A"/>
    <w:rsid w:val="755843BE"/>
    <w:rsid w:val="7560433E"/>
    <w:rsid w:val="75782441"/>
    <w:rsid w:val="757F418C"/>
    <w:rsid w:val="759729B8"/>
    <w:rsid w:val="75A2289F"/>
    <w:rsid w:val="75B847F8"/>
    <w:rsid w:val="75BF1D13"/>
    <w:rsid w:val="75F31924"/>
    <w:rsid w:val="75F6724B"/>
    <w:rsid w:val="761756AB"/>
    <w:rsid w:val="764E2556"/>
    <w:rsid w:val="76500BBD"/>
    <w:rsid w:val="76557EC3"/>
    <w:rsid w:val="768576B5"/>
    <w:rsid w:val="76863238"/>
    <w:rsid w:val="768E0063"/>
    <w:rsid w:val="76982C90"/>
    <w:rsid w:val="76A35191"/>
    <w:rsid w:val="76A52432"/>
    <w:rsid w:val="76CE0460"/>
    <w:rsid w:val="76D01EA6"/>
    <w:rsid w:val="76D9215D"/>
    <w:rsid w:val="76DF3F22"/>
    <w:rsid w:val="771B741D"/>
    <w:rsid w:val="77330D47"/>
    <w:rsid w:val="7733375C"/>
    <w:rsid w:val="774626EC"/>
    <w:rsid w:val="774A6A0F"/>
    <w:rsid w:val="775B9431"/>
    <w:rsid w:val="77677682"/>
    <w:rsid w:val="77876861"/>
    <w:rsid w:val="77A67671"/>
    <w:rsid w:val="77BBD7AE"/>
    <w:rsid w:val="77CC0D13"/>
    <w:rsid w:val="77CC4755"/>
    <w:rsid w:val="77E31CE9"/>
    <w:rsid w:val="77E34CEF"/>
    <w:rsid w:val="77EF6615"/>
    <w:rsid w:val="77F02ACA"/>
    <w:rsid w:val="78325A70"/>
    <w:rsid w:val="785D1817"/>
    <w:rsid w:val="787714DD"/>
    <w:rsid w:val="78825EA9"/>
    <w:rsid w:val="788449C2"/>
    <w:rsid w:val="788473F0"/>
    <w:rsid w:val="788A3163"/>
    <w:rsid w:val="7890623E"/>
    <w:rsid w:val="78911745"/>
    <w:rsid w:val="789B7CAB"/>
    <w:rsid w:val="78B15C6F"/>
    <w:rsid w:val="78B705EE"/>
    <w:rsid w:val="78E20A03"/>
    <w:rsid w:val="78EF0B61"/>
    <w:rsid w:val="78EF46BD"/>
    <w:rsid w:val="79047BAE"/>
    <w:rsid w:val="79052133"/>
    <w:rsid w:val="79082865"/>
    <w:rsid w:val="79432C75"/>
    <w:rsid w:val="79456911"/>
    <w:rsid w:val="795A247F"/>
    <w:rsid w:val="795D1F6F"/>
    <w:rsid w:val="797B6A98"/>
    <w:rsid w:val="797F124D"/>
    <w:rsid w:val="798321BB"/>
    <w:rsid w:val="798D338A"/>
    <w:rsid w:val="79A91E39"/>
    <w:rsid w:val="79AA72E3"/>
    <w:rsid w:val="79AE27CB"/>
    <w:rsid w:val="79B364D2"/>
    <w:rsid w:val="79B576B5"/>
    <w:rsid w:val="79CE7BE3"/>
    <w:rsid w:val="79D00993"/>
    <w:rsid w:val="7A063487"/>
    <w:rsid w:val="7A243966"/>
    <w:rsid w:val="7A2B7583"/>
    <w:rsid w:val="7A4914C2"/>
    <w:rsid w:val="7A4E0954"/>
    <w:rsid w:val="7A511BB6"/>
    <w:rsid w:val="7A5C6356"/>
    <w:rsid w:val="7A786734"/>
    <w:rsid w:val="7A8A0002"/>
    <w:rsid w:val="7AA15E8B"/>
    <w:rsid w:val="7AA21597"/>
    <w:rsid w:val="7B000F99"/>
    <w:rsid w:val="7B2D1F7E"/>
    <w:rsid w:val="7B2E5971"/>
    <w:rsid w:val="7B2F52FF"/>
    <w:rsid w:val="7B4534EB"/>
    <w:rsid w:val="7B623FD3"/>
    <w:rsid w:val="7B6D6969"/>
    <w:rsid w:val="7B8E776C"/>
    <w:rsid w:val="7B8F0A21"/>
    <w:rsid w:val="7BB86445"/>
    <w:rsid w:val="7BC45567"/>
    <w:rsid w:val="7BD063E4"/>
    <w:rsid w:val="7BDD6ECF"/>
    <w:rsid w:val="7BE35097"/>
    <w:rsid w:val="7BE97508"/>
    <w:rsid w:val="7BFE1DCE"/>
    <w:rsid w:val="7C2F6807"/>
    <w:rsid w:val="7C325E75"/>
    <w:rsid w:val="7C564BDE"/>
    <w:rsid w:val="7C5F1B5A"/>
    <w:rsid w:val="7C760124"/>
    <w:rsid w:val="7C7724CA"/>
    <w:rsid w:val="7C7A0890"/>
    <w:rsid w:val="7C9D00CE"/>
    <w:rsid w:val="7CA25995"/>
    <w:rsid w:val="7CAD0B17"/>
    <w:rsid w:val="7CD807D5"/>
    <w:rsid w:val="7CE02C9B"/>
    <w:rsid w:val="7CE223D5"/>
    <w:rsid w:val="7CFE46A2"/>
    <w:rsid w:val="7D0270B5"/>
    <w:rsid w:val="7D106133"/>
    <w:rsid w:val="7D213631"/>
    <w:rsid w:val="7D3B25C7"/>
    <w:rsid w:val="7D4F0C75"/>
    <w:rsid w:val="7D527FE7"/>
    <w:rsid w:val="7D76364F"/>
    <w:rsid w:val="7D787377"/>
    <w:rsid w:val="7D957F29"/>
    <w:rsid w:val="7D965A4F"/>
    <w:rsid w:val="7DB0023B"/>
    <w:rsid w:val="7DB16EAB"/>
    <w:rsid w:val="7DDD3C4A"/>
    <w:rsid w:val="7DE0510C"/>
    <w:rsid w:val="7DE762AB"/>
    <w:rsid w:val="7DE92023"/>
    <w:rsid w:val="7DF82266"/>
    <w:rsid w:val="7E074257"/>
    <w:rsid w:val="7E1536A4"/>
    <w:rsid w:val="7E1F6B85"/>
    <w:rsid w:val="7E231196"/>
    <w:rsid w:val="7E2D1F10"/>
    <w:rsid w:val="7E367962"/>
    <w:rsid w:val="7E3A3D09"/>
    <w:rsid w:val="7E4D4360"/>
    <w:rsid w:val="7E5A50AE"/>
    <w:rsid w:val="7E7876FC"/>
    <w:rsid w:val="7E7A06EA"/>
    <w:rsid w:val="7E891110"/>
    <w:rsid w:val="7EB201FD"/>
    <w:rsid w:val="7EC93128"/>
    <w:rsid w:val="7ED91E5E"/>
    <w:rsid w:val="7EDA196C"/>
    <w:rsid w:val="7EFC752E"/>
    <w:rsid w:val="7EFDC3C7"/>
    <w:rsid w:val="7F1A3925"/>
    <w:rsid w:val="7F372BC2"/>
    <w:rsid w:val="7F475253"/>
    <w:rsid w:val="7F6851CA"/>
    <w:rsid w:val="7F720CB7"/>
    <w:rsid w:val="7F8042C1"/>
    <w:rsid w:val="7F9008AF"/>
    <w:rsid w:val="7F9B153D"/>
    <w:rsid w:val="7F9D45ED"/>
    <w:rsid w:val="7FB126CD"/>
    <w:rsid w:val="7FBE4DEA"/>
    <w:rsid w:val="7FCA19E0"/>
    <w:rsid w:val="7FCB7B83"/>
    <w:rsid w:val="7FDD34C2"/>
    <w:rsid w:val="7FE7556D"/>
    <w:rsid w:val="7FFF2E9C"/>
    <w:rsid w:val="9DFFBF41"/>
    <w:rsid w:val="ABFFE602"/>
    <w:rsid w:val="AF9FC792"/>
    <w:rsid w:val="B199EDFC"/>
    <w:rsid w:val="B7FF41D0"/>
    <w:rsid w:val="B9FD8623"/>
    <w:rsid w:val="BF7FEEA2"/>
    <w:rsid w:val="C7955140"/>
    <w:rsid w:val="CCB5BAA8"/>
    <w:rsid w:val="D7B7CA1A"/>
    <w:rsid w:val="DB37DB32"/>
    <w:rsid w:val="DB9F33B6"/>
    <w:rsid w:val="DCA74AE7"/>
    <w:rsid w:val="DFBF2686"/>
    <w:rsid w:val="E58F188D"/>
    <w:rsid w:val="ECFF03B2"/>
    <w:rsid w:val="EF9DBC7F"/>
    <w:rsid w:val="F6FAA672"/>
    <w:rsid w:val="F9FFFBF5"/>
    <w:rsid w:val="FBD54E4E"/>
    <w:rsid w:val="FBF7811C"/>
    <w:rsid w:val="FCFA4ECE"/>
    <w:rsid w:val="FDFB98B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topLinePunct/>
      <w:autoSpaceDE w:val="0"/>
      <w:autoSpaceDN w:val="0"/>
      <w:spacing w:line="360" w:lineRule="auto"/>
      <w:jc w:val="both"/>
    </w:pPr>
    <w:rPr>
      <w:rFonts w:ascii="Calibri" w:hAnsi="Calibri" w:eastAsia="宋体" w:cs="Times New Roman"/>
      <w:kern w:val="2"/>
      <w:sz w:val="21"/>
      <w:szCs w:val="22"/>
      <w:lang w:val="en-US" w:eastAsia="zh-CN" w:bidi="ar-SA"/>
    </w:rPr>
  </w:style>
  <w:style w:type="paragraph" w:styleId="5">
    <w:name w:val="heading 1"/>
    <w:basedOn w:val="1"/>
    <w:next w:val="1"/>
    <w:link w:val="52"/>
    <w:qFormat/>
    <w:uiPriority w:val="0"/>
    <w:pPr>
      <w:keepNext/>
      <w:keepLines/>
      <w:spacing w:before="340" w:after="330" w:line="578" w:lineRule="auto"/>
      <w:outlineLvl w:val="0"/>
    </w:pPr>
    <w:rPr>
      <w:rFonts w:cs="Calibri"/>
      <w:b/>
      <w:bCs/>
      <w:kern w:val="44"/>
      <w:sz w:val="44"/>
      <w:szCs w:val="44"/>
    </w:rPr>
  </w:style>
  <w:style w:type="paragraph" w:styleId="6">
    <w:name w:val="heading 2"/>
    <w:basedOn w:val="1"/>
    <w:next w:val="1"/>
    <w:link w:val="53"/>
    <w:qFormat/>
    <w:uiPriority w:val="0"/>
    <w:pPr>
      <w:spacing w:before="100" w:beforeAutospacing="1" w:after="100" w:afterAutospacing="1"/>
      <w:jc w:val="left"/>
      <w:outlineLvl w:val="1"/>
    </w:pPr>
    <w:rPr>
      <w:rFonts w:hint="eastAsia" w:ascii="宋体" w:hAnsi="宋体"/>
      <w:b/>
      <w:bCs/>
      <w:kern w:val="0"/>
      <w:sz w:val="36"/>
      <w:szCs w:val="36"/>
    </w:rPr>
  </w:style>
  <w:style w:type="paragraph" w:styleId="7">
    <w:name w:val="heading 3"/>
    <w:basedOn w:val="1"/>
    <w:next w:val="1"/>
    <w:link w:val="54"/>
    <w:unhideWhenUsed/>
    <w:qFormat/>
    <w:uiPriority w:val="0"/>
    <w:pPr>
      <w:keepNext/>
      <w:keepLines/>
      <w:spacing w:line="413" w:lineRule="auto"/>
      <w:outlineLvl w:val="2"/>
    </w:pPr>
    <w:rPr>
      <w:b/>
      <w:sz w:val="32"/>
    </w:rPr>
  </w:style>
  <w:style w:type="paragraph" w:styleId="8">
    <w:name w:val="heading 4"/>
    <w:basedOn w:val="1"/>
    <w:next w:val="1"/>
    <w:link w:val="55"/>
    <w:qFormat/>
    <w:uiPriority w:val="0"/>
    <w:pPr>
      <w:keepNext/>
      <w:keepLines/>
      <w:spacing w:line="372" w:lineRule="auto"/>
      <w:outlineLvl w:val="3"/>
    </w:pPr>
    <w:rPr>
      <w:rFonts w:ascii="Arial" w:hAnsi="Arial" w:eastAsia="黑体"/>
      <w:b/>
      <w:sz w:val="28"/>
    </w:rPr>
  </w:style>
  <w:style w:type="paragraph" w:styleId="2">
    <w:name w:val="heading 5"/>
    <w:basedOn w:val="3"/>
    <w:next w:val="4"/>
    <w:qFormat/>
    <w:uiPriority w:val="9"/>
    <w:pPr>
      <w:keepNext/>
      <w:keepLines/>
      <w:tabs>
        <w:tab w:val="left" w:pos="780"/>
      </w:tabs>
      <w:spacing w:before="280" w:after="290" w:line="377" w:lineRule="auto"/>
      <w:ind w:firstLine="200" w:firstLineChars="200"/>
      <w:outlineLvl w:val="4"/>
    </w:pPr>
    <w:rPr>
      <w:rFonts w:ascii="Times New Roman" w:hAnsi="Times New Roman" w:eastAsia="仿宋_GB2312"/>
      <w:bCs/>
      <w:szCs w:val="28"/>
    </w:rPr>
  </w:style>
  <w:style w:type="paragraph" w:styleId="9">
    <w:name w:val="heading 6"/>
    <w:basedOn w:val="1"/>
    <w:next w:val="1"/>
    <w:qFormat/>
    <w:uiPriority w:val="0"/>
    <w:pPr>
      <w:keepNext/>
      <w:keepLines/>
      <w:spacing w:line="319" w:lineRule="auto"/>
      <w:outlineLvl w:val="5"/>
    </w:pPr>
    <w:rPr>
      <w:rFonts w:ascii="Calibri Light" w:hAnsi="Calibri Light"/>
      <w:b/>
      <w:bCs/>
      <w:sz w:val="24"/>
      <w:szCs w:val="24"/>
    </w:rPr>
  </w:style>
  <w:style w:type="paragraph" w:styleId="10">
    <w:name w:val="heading 7"/>
    <w:basedOn w:val="1"/>
    <w:next w:val="1"/>
    <w:qFormat/>
    <w:uiPriority w:val="0"/>
    <w:pPr>
      <w:keepNext/>
      <w:keepLines/>
      <w:spacing w:line="319" w:lineRule="auto"/>
      <w:outlineLvl w:val="6"/>
    </w:pPr>
    <w:rPr>
      <w:b/>
      <w:bCs/>
      <w:kern w:val="0"/>
      <w:sz w:val="24"/>
      <w:szCs w:val="24"/>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3">
    <w:name w:val="List Number 2"/>
    <w:basedOn w:val="1"/>
    <w:qFormat/>
    <w:uiPriority w:val="0"/>
    <w:pPr>
      <w:numPr>
        <w:ilvl w:val="0"/>
        <w:numId w:val="1"/>
      </w:numPr>
    </w:pPr>
  </w:style>
  <w:style w:type="paragraph" w:styleId="4">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1">
    <w:name w:val="Normal Indent"/>
    <w:basedOn w:val="1"/>
    <w:qFormat/>
    <w:uiPriority w:val="0"/>
    <w:pPr>
      <w:spacing w:before="100" w:beforeAutospacing="1" w:after="100" w:afterAutospacing="1"/>
      <w:ind w:firstLine="482"/>
    </w:pPr>
    <w:rPr>
      <w:sz w:val="24"/>
    </w:rPr>
  </w:style>
  <w:style w:type="paragraph" w:styleId="12">
    <w:name w:val="toa heading"/>
    <w:basedOn w:val="1"/>
    <w:next w:val="1"/>
    <w:semiHidden/>
    <w:qFormat/>
    <w:uiPriority w:val="0"/>
    <w:pPr>
      <w:spacing w:before="120"/>
    </w:pPr>
    <w:rPr>
      <w:rFonts w:ascii="Arial" w:hAnsi="Arial" w:cs="Arial"/>
      <w:sz w:val="24"/>
      <w:szCs w:val="24"/>
    </w:rPr>
  </w:style>
  <w:style w:type="paragraph" w:styleId="13">
    <w:name w:val="annotation text"/>
    <w:basedOn w:val="1"/>
    <w:link w:val="50"/>
    <w:qFormat/>
    <w:uiPriority w:val="0"/>
    <w:pPr>
      <w:jc w:val="left"/>
    </w:pPr>
  </w:style>
  <w:style w:type="paragraph" w:styleId="14">
    <w:name w:val="Body Text"/>
    <w:basedOn w:val="1"/>
    <w:next w:val="1"/>
    <w:qFormat/>
    <w:uiPriority w:val="1"/>
    <w:rPr>
      <w:b/>
      <w:szCs w:val="24"/>
    </w:rPr>
  </w:style>
  <w:style w:type="paragraph" w:styleId="15">
    <w:name w:val="toc 5"/>
    <w:basedOn w:val="1"/>
    <w:next w:val="1"/>
    <w:qFormat/>
    <w:uiPriority w:val="0"/>
    <w:pPr>
      <w:ind w:left="1680" w:leftChars="800"/>
    </w:pPr>
  </w:style>
  <w:style w:type="paragraph" w:styleId="16">
    <w:name w:val="toc 3"/>
    <w:basedOn w:val="1"/>
    <w:next w:val="1"/>
    <w:qFormat/>
    <w:uiPriority w:val="0"/>
    <w:pPr>
      <w:ind w:left="840" w:leftChars="400"/>
    </w:pPr>
  </w:style>
  <w:style w:type="paragraph" w:styleId="17">
    <w:name w:val="Plain Text"/>
    <w:basedOn w:val="1"/>
    <w:link w:val="56"/>
    <w:unhideWhenUsed/>
    <w:qFormat/>
    <w:uiPriority w:val="0"/>
    <w:rPr>
      <w:rFonts w:ascii="宋体" w:hAnsi="Courier New" w:cs="Courier New"/>
      <w:szCs w:val="21"/>
    </w:rPr>
  </w:style>
  <w:style w:type="paragraph" w:styleId="18">
    <w:name w:val="endnote text"/>
    <w:basedOn w:val="1"/>
    <w:qFormat/>
    <w:uiPriority w:val="0"/>
    <w:pPr>
      <w:snapToGrid w:val="0"/>
      <w:jc w:val="left"/>
    </w:pPr>
  </w:style>
  <w:style w:type="paragraph" w:styleId="19">
    <w:name w:val="Balloon Text"/>
    <w:basedOn w:val="1"/>
    <w:link w:val="47"/>
    <w:qFormat/>
    <w:uiPriority w:val="0"/>
    <w:rPr>
      <w:sz w:val="18"/>
      <w:szCs w:val="18"/>
    </w:rPr>
  </w:style>
  <w:style w:type="paragraph" w:styleId="20">
    <w:name w:val="footer"/>
    <w:basedOn w:val="1"/>
    <w:link w:val="57"/>
    <w:unhideWhenUsed/>
    <w:qFormat/>
    <w:uiPriority w:val="0"/>
    <w:pPr>
      <w:tabs>
        <w:tab w:val="center" w:pos="4153"/>
        <w:tab w:val="right" w:pos="8306"/>
      </w:tabs>
      <w:snapToGrid w:val="0"/>
      <w:jc w:val="left"/>
    </w:pPr>
    <w:rPr>
      <w:sz w:val="18"/>
      <w:szCs w:val="18"/>
    </w:rPr>
  </w:style>
  <w:style w:type="paragraph" w:styleId="21">
    <w:name w:val="header"/>
    <w:basedOn w:val="1"/>
    <w:link w:val="5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2">
    <w:name w:val="toc 1"/>
    <w:basedOn w:val="1"/>
    <w:next w:val="1"/>
    <w:unhideWhenUsed/>
    <w:qFormat/>
    <w:uiPriority w:val="39"/>
  </w:style>
  <w:style w:type="paragraph" w:styleId="23">
    <w:name w:val="toc 4"/>
    <w:basedOn w:val="1"/>
    <w:next w:val="1"/>
    <w:qFormat/>
    <w:uiPriority w:val="0"/>
    <w:pPr>
      <w:ind w:left="1260" w:leftChars="600"/>
    </w:pPr>
  </w:style>
  <w:style w:type="paragraph" w:styleId="24">
    <w:name w:val="toc 2"/>
    <w:basedOn w:val="1"/>
    <w:next w:val="1"/>
    <w:unhideWhenUsed/>
    <w:qFormat/>
    <w:uiPriority w:val="39"/>
    <w:pPr>
      <w:ind w:left="420" w:leftChars="200"/>
    </w:pPr>
  </w:style>
  <w:style w:type="paragraph" w:styleId="25">
    <w:name w:val="Title"/>
    <w:basedOn w:val="1"/>
    <w:next w:val="1"/>
    <w:qFormat/>
    <w:uiPriority w:val="0"/>
    <w:pPr>
      <w:spacing w:before="240" w:after="60"/>
      <w:jc w:val="center"/>
      <w:outlineLvl w:val="0"/>
    </w:pPr>
    <w:rPr>
      <w:rFonts w:ascii="Arial" w:hAnsi="Arial" w:cs="Arial"/>
      <w:b/>
      <w:bCs/>
      <w:sz w:val="32"/>
      <w:szCs w:val="32"/>
    </w:rPr>
  </w:style>
  <w:style w:type="paragraph" w:styleId="26">
    <w:name w:val="annotation subject"/>
    <w:basedOn w:val="13"/>
    <w:next w:val="13"/>
    <w:link w:val="51"/>
    <w:qFormat/>
    <w:uiPriority w:val="0"/>
    <w:rPr>
      <w:b/>
      <w:bCs/>
    </w:rPr>
  </w:style>
  <w:style w:type="table" w:styleId="28">
    <w:name w:val="Table Grid"/>
    <w:basedOn w:val="2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page number"/>
    <w:basedOn w:val="29"/>
    <w:qFormat/>
    <w:uiPriority w:val="0"/>
  </w:style>
  <w:style w:type="character" w:styleId="31">
    <w:name w:val="FollowedHyperlink"/>
    <w:basedOn w:val="29"/>
    <w:qFormat/>
    <w:uiPriority w:val="0"/>
    <w:rPr>
      <w:color w:val="800080"/>
      <w:u w:val="single"/>
    </w:rPr>
  </w:style>
  <w:style w:type="character" w:styleId="32">
    <w:name w:val="Hyperlink"/>
    <w:unhideWhenUsed/>
    <w:qFormat/>
    <w:uiPriority w:val="99"/>
    <w:rPr>
      <w:color w:val="0000FF"/>
      <w:u w:val="single"/>
    </w:rPr>
  </w:style>
  <w:style w:type="character" w:styleId="33">
    <w:name w:val="annotation reference"/>
    <w:qFormat/>
    <w:uiPriority w:val="0"/>
    <w:rPr>
      <w:sz w:val="21"/>
      <w:szCs w:val="21"/>
    </w:rPr>
  </w:style>
  <w:style w:type="paragraph" w:customStyle="1" w:styleId="34">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
    <w:name w:val="Normal Indent1"/>
    <w:qFormat/>
    <w:uiPriority w:val="0"/>
    <w:pPr>
      <w:spacing w:afterLines="50" w:line="360" w:lineRule="auto"/>
      <w:ind w:firstLine="420" w:firstLineChars="200"/>
    </w:pPr>
    <w:rPr>
      <w:rFonts w:ascii="Times New Roman" w:hAnsi="Times New Roman" w:eastAsia="宋体" w:cs="Times New Roman"/>
      <w:lang w:val="en-US" w:eastAsia="zh-CN" w:bidi="ar-SA"/>
    </w:rPr>
  </w:style>
  <w:style w:type="paragraph" w:styleId="36">
    <w:name w:val="List Paragraph"/>
    <w:basedOn w:val="1"/>
    <w:qFormat/>
    <w:uiPriority w:val="0"/>
    <w:pPr>
      <w:ind w:firstLine="420" w:firstLineChars="200"/>
    </w:pPr>
    <w:rPr>
      <w:kern w:val="0"/>
      <w:sz w:val="20"/>
      <w:szCs w:val="20"/>
    </w:rPr>
  </w:style>
  <w:style w:type="paragraph" w:customStyle="1" w:styleId="37">
    <w:name w:val="列表段落1"/>
    <w:basedOn w:val="1"/>
    <w:qFormat/>
    <w:uiPriority w:val="0"/>
    <w:pPr>
      <w:ind w:firstLine="420" w:firstLineChars="200"/>
    </w:pPr>
  </w:style>
  <w:style w:type="paragraph" w:customStyle="1" w:styleId="38">
    <w:name w:val="List Paragraph1"/>
    <w:basedOn w:val="1"/>
    <w:qFormat/>
    <w:uiPriority w:val="0"/>
    <w:pPr>
      <w:ind w:firstLine="420" w:firstLineChars="200"/>
    </w:pPr>
  </w:style>
  <w:style w:type="paragraph" w:customStyle="1" w:styleId="39">
    <w:name w:val="null3"/>
    <w:qFormat/>
    <w:uiPriority w:val="0"/>
    <w:rPr>
      <w:rFonts w:hint="eastAsia" w:ascii="Calibri" w:hAnsi="Calibri" w:eastAsia="宋体" w:cs="Times New Roman"/>
      <w:lang w:val="en-US" w:eastAsia="zh-CN" w:bidi="ar-SA"/>
    </w:rPr>
  </w:style>
  <w:style w:type="paragraph" w:customStyle="1" w:styleId="40">
    <w:name w:val="样式1"/>
    <w:basedOn w:val="1"/>
    <w:qFormat/>
    <w:uiPriority w:val="0"/>
    <w:pPr>
      <w:jc w:val="center"/>
    </w:pPr>
    <w:rPr>
      <w:rFonts w:eastAsia="方正大标宋简体"/>
      <w:sz w:val="52"/>
    </w:rPr>
  </w:style>
  <w:style w:type="paragraph" w:customStyle="1" w:styleId="41">
    <w:name w:val="列出段落1"/>
    <w:basedOn w:val="1"/>
    <w:next w:val="1"/>
    <w:qFormat/>
    <w:uiPriority w:val="0"/>
    <w:pPr>
      <w:ind w:firstLine="420" w:firstLineChars="200"/>
    </w:pPr>
  </w:style>
  <w:style w:type="paragraph" w:customStyle="1" w:styleId="42">
    <w:name w:val="正文（缩进）"/>
    <w:basedOn w:val="1"/>
    <w:qFormat/>
    <w:uiPriority w:val="0"/>
    <w:pPr>
      <w:ind w:firstLine="480" w:firstLineChars="200"/>
    </w:pPr>
  </w:style>
  <w:style w:type="paragraph" w:customStyle="1" w:styleId="43">
    <w:name w:val="纯文本1"/>
    <w:basedOn w:val="1"/>
    <w:qFormat/>
    <w:uiPriority w:val="0"/>
    <w:rPr>
      <w:rFonts w:ascii="宋体" w:hAnsi="Courier New"/>
      <w:kern w:val="0"/>
      <w:sz w:val="20"/>
      <w:szCs w:val="21"/>
    </w:rPr>
  </w:style>
  <w:style w:type="character" w:customStyle="1" w:styleId="44">
    <w:name w:val="font31"/>
    <w:basedOn w:val="29"/>
    <w:qFormat/>
    <w:uiPriority w:val="0"/>
    <w:rPr>
      <w:rFonts w:hint="eastAsia" w:ascii="宋体" w:hAnsi="宋体" w:eastAsia="宋体" w:cs="宋体"/>
      <w:color w:val="000000"/>
      <w:sz w:val="18"/>
      <w:szCs w:val="18"/>
      <w:u w:val="none"/>
    </w:rPr>
  </w:style>
  <w:style w:type="character" w:customStyle="1" w:styleId="45">
    <w:name w:val="font21"/>
    <w:basedOn w:val="29"/>
    <w:qFormat/>
    <w:uiPriority w:val="0"/>
    <w:rPr>
      <w:rFonts w:hint="eastAsia" w:ascii="宋体" w:hAnsi="宋体" w:eastAsia="宋体" w:cs="宋体"/>
      <w:color w:val="000000"/>
      <w:sz w:val="18"/>
      <w:szCs w:val="18"/>
      <w:u w:val="none"/>
    </w:rPr>
  </w:style>
  <w:style w:type="paragraph" w:customStyle="1" w:styleId="46">
    <w:name w:val="纯文本2"/>
    <w:basedOn w:val="1"/>
    <w:qFormat/>
    <w:uiPriority w:val="0"/>
    <w:rPr>
      <w:rFonts w:hint="eastAsia" w:ascii="宋体" w:hAnsi="Courier New"/>
      <w:szCs w:val="21"/>
    </w:rPr>
  </w:style>
  <w:style w:type="character" w:customStyle="1" w:styleId="47">
    <w:name w:val="批注框文本 Char"/>
    <w:basedOn w:val="29"/>
    <w:link w:val="19"/>
    <w:qFormat/>
    <w:uiPriority w:val="0"/>
    <w:rPr>
      <w:rFonts w:ascii="Calibri" w:hAnsi="Calibri"/>
      <w:kern w:val="2"/>
      <w:sz w:val="18"/>
      <w:szCs w:val="18"/>
    </w:rPr>
  </w:style>
  <w:style w:type="paragraph" w:customStyle="1" w:styleId="48">
    <w:name w:val="纯文本3"/>
    <w:basedOn w:val="1"/>
    <w:qFormat/>
    <w:uiPriority w:val="0"/>
    <w:rPr>
      <w:rFonts w:ascii="宋体" w:hAnsi="Courier New"/>
      <w:kern w:val="0"/>
      <w:sz w:val="20"/>
      <w:szCs w:val="21"/>
    </w:rPr>
  </w:style>
  <w:style w:type="paragraph" w:customStyle="1" w:styleId="49">
    <w:name w:val="ITS 正文"/>
    <w:basedOn w:val="1"/>
    <w:qFormat/>
    <w:uiPriority w:val="0"/>
    <w:pPr>
      <w:ind w:firstLine="480" w:firstLineChars="200"/>
    </w:pPr>
    <w:rPr>
      <w:rFonts w:ascii="等线" w:hAnsi="等线" w:eastAsia="等线"/>
      <w:bCs/>
    </w:rPr>
  </w:style>
  <w:style w:type="character" w:customStyle="1" w:styleId="50">
    <w:name w:val="批注文字 Char"/>
    <w:basedOn w:val="29"/>
    <w:link w:val="13"/>
    <w:qFormat/>
    <w:uiPriority w:val="0"/>
    <w:rPr>
      <w:rFonts w:ascii="Calibri" w:hAnsi="Calibri"/>
      <w:kern w:val="2"/>
      <w:sz w:val="21"/>
      <w:szCs w:val="22"/>
    </w:rPr>
  </w:style>
  <w:style w:type="character" w:customStyle="1" w:styleId="51">
    <w:name w:val="批注主题 Char"/>
    <w:basedOn w:val="50"/>
    <w:link w:val="26"/>
    <w:qFormat/>
    <w:uiPriority w:val="0"/>
    <w:rPr>
      <w:rFonts w:ascii="Calibri" w:hAnsi="Calibri"/>
      <w:b/>
      <w:bCs/>
      <w:kern w:val="2"/>
      <w:sz w:val="21"/>
      <w:szCs w:val="22"/>
    </w:rPr>
  </w:style>
  <w:style w:type="character" w:customStyle="1" w:styleId="52">
    <w:name w:val="标题 1 Char"/>
    <w:basedOn w:val="29"/>
    <w:link w:val="5"/>
    <w:qFormat/>
    <w:uiPriority w:val="0"/>
    <w:rPr>
      <w:rFonts w:ascii="Calibri" w:hAnsi="Calibri" w:cs="Calibri"/>
      <w:b/>
      <w:bCs/>
      <w:kern w:val="44"/>
      <w:sz w:val="44"/>
      <w:szCs w:val="44"/>
    </w:rPr>
  </w:style>
  <w:style w:type="character" w:customStyle="1" w:styleId="53">
    <w:name w:val="标题 2 Char"/>
    <w:basedOn w:val="29"/>
    <w:link w:val="6"/>
    <w:qFormat/>
    <w:uiPriority w:val="0"/>
    <w:rPr>
      <w:rFonts w:ascii="宋体" w:hAnsi="宋体"/>
      <w:b/>
      <w:bCs/>
      <w:sz w:val="36"/>
      <w:szCs w:val="36"/>
    </w:rPr>
  </w:style>
  <w:style w:type="character" w:customStyle="1" w:styleId="54">
    <w:name w:val="标题 3 Char"/>
    <w:basedOn w:val="29"/>
    <w:link w:val="7"/>
    <w:qFormat/>
    <w:uiPriority w:val="0"/>
    <w:rPr>
      <w:rFonts w:ascii="Calibri" w:hAnsi="Calibri"/>
      <w:b/>
      <w:kern w:val="2"/>
      <w:sz w:val="32"/>
      <w:szCs w:val="22"/>
    </w:rPr>
  </w:style>
  <w:style w:type="character" w:customStyle="1" w:styleId="55">
    <w:name w:val="标题 4 Char"/>
    <w:basedOn w:val="29"/>
    <w:link w:val="8"/>
    <w:qFormat/>
    <w:uiPriority w:val="0"/>
    <w:rPr>
      <w:rFonts w:ascii="Arial" w:hAnsi="Arial" w:eastAsia="黑体"/>
      <w:b/>
      <w:kern w:val="2"/>
      <w:sz w:val="28"/>
      <w:szCs w:val="22"/>
    </w:rPr>
  </w:style>
  <w:style w:type="character" w:customStyle="1" w:styleId="56">
    <w:name w:val="纯文本 Char"/>
    <w:basedOn w:val="29"/>
    <w:link w:val="17"/>
    <w:qFormat/>
    <w:uiPriority w:val="0"/>
    <w:rPr>
      <w:rFonts w:ascii="宋体" w:hAnsi="Courier New" w:cs="Courier New"/>
      <w:kern w:val="2"/>
      <w:sz w:val="21"/>
      <w:szCs w:val="21"/>
    </w:rPr>
  </w:style>
  <w:style w:type="character" w:customStyle="1" w:styleId="57">
    <w:name w:val="页脚 Char"/>
    <w:basedOn w:val="29"/>
    <w:link w:val="20"/>
    <w:qFormat/>
    <w:uiPriority w:val="0"/>
    <w:rPr>
      <w:rFonts w:ascii="Calibri" w:hAnsi="Calibri"/>
      <w:kern w:val="2"/>
      <w:sz w:val="18"/>
      <w:szCs w:val="18"/>
    </w:rPr>
  </w:style>
  <w:style w:type="character" w:customStyle="1" w:styleId="58">
    <w:name w:val="页眉 Char"/>
    <w:basedOn w:val="29"/>
    <w:link w:val="21"/>
    <w:qFormat/>
    <w:uiPriority w:val="0"/>
    <w:rPr>
      <w:rFonts w:ascii="Calibri" w:hAnsi="Calibri"/>
      <w:kern w:val="2"/>
      <w:sz w:val="18"/>
      <w:szCs w:val="22"/>
    </w:rPr>
  </w:style>
  <w:style w:type="paragraph" w:customStyle="1" w:styleId="59">
    <w:name w:val="纯文本4"/>
    <w:basedOn w:val="1"/>
    <w:qFormat/>
    <w:uiPriority w:val="0"/>
    <w:rPr>
      <w:rFonts w:ascii="宋体" w:hAnsi="Courier New"/>
      <w:kern w:val="0"/>
      <w:sz w:val="20"/>
      <w:szCs w:val="21"/>
    </w:rPr>
  </w:style>
  <w:style w:type="paragraph" w:customStyle="1" w:styleId="60">
    <w:name w:val="修订1"/>
    <w:hidden/>
    <w:semiHidden/>
    <w:qFormat/>
    <w:uiPriority w:val="99"/>
    <w:rPr>
      <w:rFonts w:ascii="Calibri" w:hAnsi="Calibri" w:eastAsia="宋体" w:cs="Times New Roman"/>
      <w:kern w:val="2"/>
      <w:sz w:val="21"/>
      <w:szCs w:val="22"/>
      <w:lang w:val="en-US" w:eastAsia="zh-CN" w:bidi="ar-SA"/>
    </w:rPr>
  </w:style>
  <w:style w:type="paragraph" w:customStyle="1" w:styleId="61">
    <w:name w:val="二级目录"/>
    <w:next w:val="1"/>
    <w:qFormat/>
    <w:uiPriority w:val="0"/>
    <w:pPr>
      <w:numPr>
        <w:ilvl w:val="0"/>
        <w:numId w:val="2"/>
      </w:numPr>
      <w:tabs>
        <w:tab w:val="left" w:pos="720"/>
      </w:tabs>
      <w:jc w:val="both"/>
      <w:outlineLvl w:val="1"/>
    </w:pPr>
    <w:rPr>
      <w:rFonts w:ascii="Times New Roman" w:hAnsi="Times New Roman" w:eastAsia="宋体" w:cs="Times New Roman"/>
      <w:b/>
      <w:kern w:val="2"/>
      <w:sz w:val="30"/>
      <w:szCs w:val="28"/>
      <w:lang w:val="en-US" w:eastAsia="zh-CN" w:bidi="ar-SA"/>
    </w:rPr>
  </w:style>
  <w:style w:type="paragraph" w:customStyle="1" w:styleId="62">
    <w:name w:val="_正文"/>
    <w:qFormat/>
    <w:uiPriority w:val="0"/>
    <w:pPr>
      <w:overflowPunct w:val="0"/>
      <w:autoSpaceDE w:val="0"/>
      <w:autoSpaceDN w:val="0"/>
      <w:adjustRightInd w:val="0"/>
      <w:snapToGrid w:val="0"/>
      <w:spacing w:line="360" w:lineRule="auto"/>
      <w:ind w:firstLine="200" w:firstLineChars="200"/>
      <w:jc w:val="both"/>
      <w:textAlignment w:val="baseline"/>
    </w:pPr>
    <w:rPr>
      <w:rFonts w:ascii="Times New Roman" w:hAnsi="Times New Roman" w:eastAsia="仿宋" w:cs="Times New Roman"/>
      <w:sz w:val="24"/>
      <w:szCs w:val="22"/>
      <w:lang w:val="en-US" w:eastAsia="zh-CN" w:bidi="ar-SA"/>
    </w:rPr>
  </w:style>
  <w:style w:type="paragraph" w:customStyle="1" w:styleId="63">
    <w:name w:val="标题 2（安华金和）"/>
    <w:basedOn w:val="6"/>
    <w:next w:val="1"/>
    <w:qFormat/>
    <w:uiPriority w:val="0"/>
    <w:pPr>
      <w:keepNext/>
      <w:keepLines/>
      <w:numPr>
        <w:ilvl w:val="0"/>
        <w:numId w:val="3"/>
      </w:numPr>
      <w:spacing w:before="260" w:after="260" w:line="415" w:lineRule="auto"/>
    </w:pPr>
    <w:rPr>
      <w:kern w:val="2"/>
      <w:sz w:val="32"/>
      <w:szCs w:val="32"/>
    </w:rPr>
  </w:style>
  <w:style w:type="character" w:customStyle="1" w:styleId="64">
    <w:name w:val="NormalCharacter"/>
    <w:qFormat/>
    <w:uiPriority w:val="0"/>
  </w:style>
  <w:style w:type="paragraph" w:customStyle="1" w:styleId="65">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customStyle="1" w:styleId="66">
    <w:name w:val="Heading 2_0"/>
    <w:basedOn w:val="1"/>
    <w:next w:val="67"/>
    <w:qFormat/>
    <w:uiPriority w:val="0"/>
    <w:pPr>
      <w:keepNext/>
      <w:keepLines/>
      <w:numPr>
        <w:ilvl w:val="1"/>
        <w:numId w:val="4"/>
      </w:numPr>
      <w:tabs>
        <w:tab w:val="left" w:pos="0"/>
      </w:tabs>
      <w:spacing w:line="560" w:lineRule="exact"/>
      <w:outlineLvl w:val="1"/>
    </w:pPr>
    <w:rPr>
      <w:rFonts w:ascii="宋体" w:hAnsi="宋体"/>
      <w:b/>
      <w:sz w:val="32"/>
      <w:szCs w:val="24"/>
    </w:rPr>
  </w:style>
  <w:style w:type="paragraph" w:customStyle="1" w:styleId="67">
    <w:name w:val="Normal_0"/>
    <w:next w:val="68"/>
    <w:qFormat/>
    <w:uiPriority w:val="0"/>
    <w:pPr>
      <w:widowControl w:val="0"/>
      <w:spacing w:after="160" w:line="360" w:lineRule="auto"/>
      <w:ind w:firstLine="883" w:firstLineChars="200"/>
      <w:jc w:val="both"/>
    </w:pPr>
    <w:rPr>
      <w:rFonts w:ascii="仿宋_GB2312" w:hAnsi="仿宋_GB2312" w:eastAsia="仿宋_GB2312" w:cs="Times New Roman"/>
      <w:kern w:val="2"/>
      <w:sz w:val="32"/>
      <w:szCs w:val="24"/>
      <w:lang w:val="en-US" w:eastAsia="zh-CN" w:bidi="ar-SA"/>
    </w:rPr>
  </w:style>
  <w:style w:type="paragraph" w:customStyle="1" w:styleId="68">
    <w:name w:val="Normal Indent1_0"/>
    <w:qFormat/>
    <w:uiPriority w:val="0"/>
    <w:pPr>
      <w:spacing w:after="160" w:afterLines="50" w:line="360" w:lineRule="auto"/>
      <w:ind w:firstLine="420" w:firstLineChars="200"/>
    </w:pPr>
    <w:rPr>
      <w:rFonts w:ascii="Times New Roman" w:hAnsi="Times New Roman" w:eastAsia="宋体" w:cs="Times New Roman"/>
      <w:lang w:val="en-US" w:eastAsia="zh-CN" w:bidi="ar-SA"/>
    </w:rPr>
  </w:style>
  <w:style w:type="paragraph" w:customStyle="1" w:styleId="69">
    <w:name w:val="正文2"/>
    <w:qFormat/>
    <w:uiPriority w:val="0"/>
    <w:pPr>
      <w:widowControl w:val="0"/>
      <w:spacing w:after="160" w:line="259" w:lineRule="auto"/>
      <w:jc w:val="both"/>
    </w:pPr>
    <w:rPr>
      <w:rFonts w:ascii="Times New Roman" w:hAnsi="Times New Roman" w:eastAsia="宋体" w:cs="Times New Roman"/>
      <w:kern w:val="2"/>
      <w:sz w:val="24"/>
      <w:lang w:val="en-US" w:eastAsia="zh-CN" w:bidi="ar-SA"/>
    </w:rPr>
  </w:style>
  <w:style w:type="paragraph" w:customStyle="1" w:styleId="70">
    <w:name w:val="BodyText1I"/>
    <w:basedOn w:val="71"/>
    <w:next w:val="1"/>
    <w:qFormat/>
    <w:uiPriority w:val="0"/>
    <w:pPr>
      <w:spacing w:after="120"/>
      <w:ind w:firstLine="420" w:firstLineChars="100"/>
    </w:pPr>
    <w:rPr>
      <w:sz w:val="24"/>
    </w:rPr>
  </w:style>
  <w:style w:type="paragraph" w:customStyle="1" w:styleId="71">
    <w:name w:val="BodyText"/>
    <w:basedOn w:val="1"/>
    <w:qFormat/>
    <w:uiPriority w:val="0"/>
    <w:rPr>
      <w:sz w:val="32"/>
    </w:rPr>
  </w:style>
  <w:style w:type="paragraph" w:customStyle="1" w:styleId="72">
    <w:name w:val="首行缩进"/>
    <w:basedOn w:val="1"/>
    <w:qFormat/>
    <w:uiPriority w:val="0"/>
    <w:pPr>
      <w:spacing w:line="360" w:lineRule="auto"/>
      <w:ind w:firstLine="420"/>
    </w:pPr>
    <w:rPr>
      <w:sz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9.xml"/><Relationship Id="rId14" Type="http://schemas.openxmlformats.org/officeDocument/2006/relationships/header" Target="header2.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c130a015-ec54-441c-9860-dc4cbfda3ad8</errorID>
      <errorWord>[2026]0807号</errorWord>
      <group>L1_Knowledge</group>
      <groupName>知识性问题</groupName>
      <ability>L2_Knowledge</ability>
      <abilityName>其他知识</abilityName>
      <candidateList>
        <item>〔2026〕807号</item>
      </candidateList>
      <explain>发文字号格式错误。</explain>
      <paraID>2322A649</paraID>
      <start>13</start>
      <end>24</end>
      <status>unmodified</status>
      <modifiedWord/>
      <trackRevisions>false</trackRevisions>
    </reviewItem>
    <reviewItem>
      <errorID>2fb5c84f-3696-462c-b6b7-5d3a6486ec58</errorID>
      <errorWord>[2026]0807号</errorWord>
      <group>L1_Knowledge</group>
      <groupName>知识性问题</groupName>
      <ability>L2_Knowledge</ability>
      <abilityName>其他知识</abilityName>
      <candidateList>
        <item>〔2026〕807号</item>
      </candidateList>
      <explain>发文字号格式错误。</explain>
      <paraID>6613197A</paraID>
      <start>13</start>
      <end>24</end>
      <status>unmodified</status>
      <modifiedWord/>
      <trackRevisions>false</trackRevisions>
    </reviewItem>
    <reviewItem>
      <errorID>f7c116ed-7f8d-49ab-be42-a9101aeb783d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1C91E910</paraID>
      <start>82</start>
      <end>85</end>
      <status>unmodified</status>
      <modifiedWord/>
      <trackRevisions>false</trackRevisions>
    </reviewItem>
    <reviewItem>
      <errorID>0db8b6e6-4ab4-461e-9458-7cb9e7052e00</errorID>
      <errorWord>站</errorWord>
      <group>L1_Word</group>
      <groupName>字词问题</groupName>
      <ability>L2_Typo</ability>
      <abilityName>字词错误</abilityName>
      <candidateList>
        <item>站等</item>
      </candidateList>
      <explain/>
      <paraID>1C91E910</paraID>
      <start>91</start>
      <end>92</end>
      <status>unmodified</status>
      <modifiedWord/>
      <trackRevisions>false</trackRevisions>
    </reviewItem>
    <reviewItem>
      <errorID>bbf00535-1133-4372-a97b-b13db65c9921</errorID>
      <errorWord>日至2026年</errorWord>
      <group>L1_Word</group>
      <groupName>字词问题</groupName>
      <ability>L2_Typo</ability>
      <abilityName>字词错误</abilityName>
      <candidateList>
        <item>日起至2026年</item>
      </candidateList>
      <explain/>
      <paraID>362B6196</paraID>
      <start>13</start>
      <end>20</end>
      <status>unmodified</status>
      <modifiedWord/>
      <trackRevisions>false</trackRevisions>
    </reviewItem>
    <reviewItem>
      <errorID>3a2fbee9-6062-4f24-8c43-2cdcb3656780</errorID>
      <errorWord>下午14:30</errorWord>
      <group>L1_Knowledge</group>
      <groupName>知识性问题</groupName>
      <ability>L2_Time</ability>
      <abilityName>日期时间</abilityName>
      <candidateList>
        <item>14:30</item>
      </candidateList>
      <explain>24小时制的时间，不需要强调“下午”。</explain>
      <paraID>362B6196</paraID>
      <start>43</start>
      <end>50</end>
      <status>unmodified</status>
      <modifiedWord/>
      <trackRevisions>false</trackRevisions>
    </reviewItem>
    <reviewItem>
      <errorID>2e97157a-25a1-4a14-8ca2-ab310ec727c0</errorID>
      <errorWord>[2026]0807号</errorWord>
      <group>L1_Knowledge</group>
      <groupName>知识性问题</groupName>
      <ability>L2_Knowledge</ability>
      <abilityName>其他知识</abilityName>
      <candidateList>
        <item>〔2026〕807号</item>
      </candidateList>
      <explain>发文字号格式错误。</explain>
      <paraID>29E96038</paraID>
      <start>13</start>
      <end>24</end>
      <status>unmodified</status>
      <modifiedWord/>
      <trackRevisions>false</trackRevisions>
    </reviewItem>
    <reviewItem>
      <errorID>e6d2276a-865c-48d6-9909-73932fe7823b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3E535D6C</paraID>
      <start>82</start>
      <end>85</end>
      <status>unmodified</status>
      <modifiedWord/>
      <trackRevisions>false</trackRevisions>
    </reviewItem>
    <reviewItem>
      <errorID>58b12bc3-58e7-4392-9fe6-b6ab6fe3e8e9</errorID>
      <errorWord>站</errorWord>
      <group>L1_Word</group>
      <groupName>字词问题</groupName>
      <ability>L2_Typo</ability>
      <abilityName>字词错误</abilityName>
      <candidateList>
        <item>站等</item>
      </candidateList>
      <explain/>
      <paraID>3E535D6C</paraID>
      <start>91</start>
      <end>92</end>
      <status>unmodified</status>
      <modifiedWord/>
      <trackRevisions>false</trackRevisions>
    </reviewItem>
    <reviewItem>
      <errorID>2b001b1f-812a-45af-b88f-30e0c19d1af3</errorID>
      <errorWord>日至2026年</errorWord>
      <group>L1_Word</group>
      <groupName>字词问题</groupName>
      <ability>L2_Typo</ability>
      <abilityName>字词错误</abilityName>
      <candidateList>
        <item>日起至2026年</item>
      </candidateList>
      <explain/>
      <paraID>65154308</paraID>
      <start>15</start>
      <end>22</end>
      <status>unmodified</status>
      <modifiedWord/>
      <trackRevisions>false</trackRevisions>
    </reviewItem>
    <reviewItem>
      <errorID>68000c1d-8910-413f-b10c-c6b87b13042f</errorID>
      <errorWord>下午14:30</errorWord>
      <group>L1_Knowledge</group>
      <groupName>知识性问题</groupName>
      <ability>L2_Time</ability>
      <abilityName>日期时间</abilityName>
      <candidateList>
        <item>14:30</item>
      </candidateList>
      <explain>24小时制的时间，不需要强调“下午”。</explain>
      <paraID>65154308</paraID>
      <start>45</start>
      <end>52</end>
      <status>unmodified</status>
      <modifiedWord/>
      <trackRevisions>false</trackRevisions>
    </reviewItem>
    <reviewItem>
      <errorID>0337beb1-c430-4c17-86b9-cd630f90b7c3</errorID>
      <errorWord>(</errorWord>
      <group>L1_Format</group>
      <groupName>格式问题</groupName>
      <ability>L2_HalfPunc_CN</ability>
      <abilityName>全半角问题</abilityName>
      <candidateList>
        <item>（</item>
      </candidateList>
      <explain>文本全半角错误。</explain>
      <paraID> 5CA13E7</paraID>
      <start>9</start>
      <end>10</end>
      <status>unmodified</status>
      <modifiedWord/>
      <trackRevisions>false</trackRevisions>
    </reviewItem>
    <reviewItem>
      <errorID>d0cad903-c71b-4fd2-a815-8db65150df44</errorID>
      <errorWord>)</errorWord>
      <group>L1_Format</group>
      <groupName>格式问题</groupName>
      <ability>L2_HalfPunc_CN</ability>
      <abilityName>全半角问题</abilityName>
      <candidateList>
        <item>）</item>
      </candidateList>
      <explain>文本全半角错误。</explain>
      <paraID> 5CA13E7</paraID>
      <start>49</start>
      <end>50</end>
      <status>unmodified</status>
      <modifiedWord/>
      <trackRevisions>false</trackRevisions>
    </reviewItem>
    <reviewItem>
      <errorID>21ced3c8-28b8-4a6f-91f3-7cd4d816cdb3</errorID>
      <errorWord>：/</errorWord>
      <group>L1_Punc</group>
      <groupName>标点问题</groupName>
      <ability>L2_Punc_CN</ability>
      <abilityName>标点符号问题</abilityName>
      <candidateList>
        <item>：</item>
      </candidateList>
      <explain/>
      <paraID>12468E9A</paraID>
      <start>14</start>
      <end>16</end>
      <status>unmodified</status>
      <modifiedWord/>
      <trackRevisions>false</trackRevisions>
    </reviewItem>
    <reviewItem>
      <errorID>1dd97ef9-c01f-44bd-b71b-76958ae38b0f</errorID>
      <errorWord>截止到</errorWord>
      <group>L1_Grammar</group>
      <groupName>语法问题</groupName>
      <ability>L2_Grammar</ability>
      <abilityName>语法错误</abilityName>
      <candidateList>
        <item>截止</item>
      </candidateList>
      <explain>该表达中的“截止到”存在语义重复。【词汇解析】截止：到……为止,有明确的终止、结束含义。包含了“到”的意思。</explain>
      <paraID>354689D6</paraID>
      <start>170</start>
      <end>173</end>
      <status>unmodified</status>
      <modifiedWord/>
      <trackRevisions>false</trackRevisions>
    </reviewItem>
    <reviewItem>
      <errorID>a3eff838-b6d3-4cbe-8bdc-3b10d6644e28</errorID>
      <errorWord>（2022）19号</errorWord>
      <group>L1_Knowledge</group>
      <groupName>知识性问题</groupName>
      <ability>L2_Knowledge</ability>
      <abilityName>其他知识</abilityName>
      <candidateList>
        <item>〔2022〕19号</item>
      </candidateList>
      <explain>发文字号格式错误。</explain>
      <paraID>2C0FB9E3</paraID>
      <start>61</start>
      <end>70</end>
      <status>unmodified</status>
      <modifiedWord/>
      <trackRevisions>false</trackRevisions>
    </reviewItem>
    <reviewItem>
      <errorID>90dd31cf-1d6c-4e71-b710-02417de803bf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2B25C3AE</paraID>
      <start>15</start>
      <end>16</end>
      <status>unmodified</status>
      <modifiedWord/>
      <trackRevisions>false</trackRevisions>
    </reviewItem>
    <reviewItem>
      <errorID>a9f49d6b-9813-4fba-8bbb-c214a93479d6</errorID>
      <errorWord>：/。</errorWord>
      <group>L1_Punc</group>
      <groupName>标点问题</groupName>
      <ability>L2_Punc_CN</ability>
      <abilityName>标点符号问题</abilityName>
      <candidateList>
        <item>：</item>
      </candidateList>
      <explain/>
      <paraID>45A65229</paraID>
      <start>3</start>
      <end>6</end>
      <status>unmodified</status>
      <modifiedWord/>
      <trackRevisions>false</trackRevisions>
    </reviewItem>
    <reviewItem>
      <errorID>34d0a348-47d5-4e70-94be-b71313962fbe</errorID>
      <errorWord>：/。</errorWord>
      <group>L1_Punc</group>
      <groupName>标点问题</groupName>
      <ability>L2_Punc_CN</ability>
      <abilityName>标点符号问题</abilityName>
      <candidateList>
        <item>：</item>
      </candidateList>
      <explain/>
      <paraID>1BB4C38F</paraID>
      <start>3</start>
      <end>6</end>
      <status>unmodified</status>
      <modifiedWord/>
      <trackRevisions>false</trackRevisions>
    </reviewItem>
    <reviewItem>
      <errorID>20b1cef9-835e-4488-8ba4-0329c9915be9</errorID>
      <errorWord>产品需为</errorWord>
      <group>L1_Word</group>
      <groupName>字词问题</groupName>
      <ability>L2_Typo</ability>
      <abilityName>字词错误</abilityName>
      <candidateList>
        <item>产品须为</item>
      </candidateList>
      <explain/>
      <paraID> F466065</paraID>
      <start>9</start>
      <end>13</end>
      <status>unmodified</status>
      <modifiedWord/>
      <trackRevisions>false</trackRevisions>
    </reviewItem>
    <reviewItem>
      <errorID>ca99b9f7-91cb-4ca3-ab85-a37441c2f9e8</errorID>
      <errorWord>：/。</errorWord>
      <group>L1_Punc</group>
      <groupName>标点问题</groupName>
      <ability>L2_Punc_CN</ability>
      <abilityName>标点符号问题</abilityName>
      <candidateList>
        <item>：</item>
      </candidateList>
      <explain/>
      <paraID>2979BF0D</paraID>
      <start>3</start>
      <end>6</end>
      <status>unmodified</status>
      <modifiedWord/>
      <trackRevisions>false</trackRevisions>
    </reviewItem>
    <reviewItem>
      <errorID>95dcff9b-bce3-4ef5-9fa7-91b232259826</errorID>
      <errorWord>[2002]1980号</errorWord>
      <group>L1_Knowledge</group>
      <groupName>知识性问题</groupName>
      <ability>L2_Knowledge</ability>
      <abilityName>其他知识</abilityName>
      <candidateList>
        <item>〔2002〕1980号</item>
      </candidateList>
      <explain>发文字号格式错误。</explain>
      <paraID> F4C6FE4</paraID>
      <start>25</start>
      <end>36</end>
      <status>unmodified</status>
      <modifiedWord/>
      <trackRevisions>false</trackRevisions>
    </reviewItem>
    <reviewItem>
      <errorID>dc390329-8147-4dc9-ad59-f9775feb9ea0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56A836CD</paraID>
      <start>12</start>
      <end>17</end>
      <status>unmodified</status>
      <modifiedWord/>
      <trackRevisions>false</trackRevisions>
    </reviewItem>
    <reviewItem>
      <errorID>fb88531e-26cb-48ba-b9f3-24466d92fafc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56A836CD</paraID>
      <start>43</start>
      <end>46</end>
      <status>unmodified</status>
      <modifiedWord/>
      <trackRevisions>false</trackRevisions>
    </reviewItem>
    <reviewItem>
      <errorID>0cee05c5-8521-47f8-8cc7-168cd020d8f5</errorID>
      <errorWord>法律、法规</errorWord>
      <group>L1_Word</group>
      <groupName>字词问题</groupName>
      <ability>L2_Typo</ability>
      <abilityName>字词错误</abilityName>
      <candidateList>
        <item>法律法规</item>
      </candidateList>
      <explain/>
      <paraID>56A836CD</paraID>
      <start>77</start>
      <end>82</end>
      <status>unmodified</status>
      <modifiedWord/>
      <trackRevisions>false</trackRevisions>
    </reviewItem>
    <reviewItem>
      <errorID>de551ca0-e542-44d4-8817-4283f1121d65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61DB3CF6</paraID>
      <start>0</start>
      <end>2</end>
      <status>unmodified</status>
      <modifiedWord/>
      <trackRevisions>false</trackRevisions>
    </reviewItem>
    <reviewItem>
      <errorID>de558d1c-7db5-47e5-b831-bbe55011616d</errorID>
      <errorWord>&lt;</errorWord>
      <group>L1_Format</group>
      <groupName>格式问题</groupName>
      <ability>L2_HalfPunc_CN</ability>
      <abilityName>全半角问题</abilityName>
      <candidateList>
        <item>〈</item>
      </candidateList>
      <explain>文本全半角错误。</explain>
      <paraID> 33CEE94</paraID>
      <start>51</start>
      <end>52</end>
      <status>unmodified</status>
      <modifiedWord/>
      <trackRevisions>false</trackRevisions>
    </reviewItem>
    <reviewItem>
      <errorID>0d624636-8aba-4618-85a7-60c3cedba79c</errorID>
      <errorWord>&lt;</errorWord>
      <group>L1_Format</group>
      <groupName>格式问题</groupName>
      <ability>L2_HalfPunc_CN</ability>
      <abilityName>全半角问题</abilityName>
      <candidateList>
        <item>〈</item>
      </candidateList>
      <explain>文本全半角错误。</explain>
      <paraID>19995CDC</paraID>
      <start>51</start>
      <end>52</end>
      <status>unmodified</status>
      <modifiedWord/>
      <trackRevisions>false</trackRevisions>
    </reviewItem>
    <reviewItem>
      <errorID>76464fa3-8a36-472a-ac52-258790a35666</errorID>
      <errorWord>&lt;</errorWord>
      <group>L1_Format</group>
      <groupName>格式问题</groupName>
      <ability>L2_HalfPunc_CN</ability>
      <abilityName>全半角问题</abilityName>
      <candidateList>
        <item>〈</item>
      </candidateList>
      <explain>文本全半角错误。</explain>
      <paraID>1AABD395</paraID>
      <start>36</start>
      <end>37</end>
      <status>unmodified</status>
      <modifiedWord/>
      <trackRevisions>false</trackRevisions>
    </reviewItem>
    <reviewItem>
      <errorID>840c03d1-751d-4f7c-a362-aeae8f8fe29a</errorID>
      <errorWord>(</errorWord>
      <group>L1_Format</group>
      <groupName>格式问题</groupName>
      <ability>L2_HalfPunc_CN</ability>
      <abilityName>全半角问题</abilityName>
      <candidateList>
        <item>（</item>
      </candidateList>
      <explain>文本全半角错误。</explain>
      <paraID>2B252EA6</paraID>
      <start>19</start>
      <end>20</end>
      <status>unmodified</status>
      <modifiedWord/>
      <trackRevisions>false</trackRevisions>
    </reviewItem>
    <reviewItem>
      <errorID>29d21d23-62f4-413c-978a-8a478709ff54</errorID>
      <errorWord>)</errorWord>
      <group>L1_Format</group>
      <groupName>格式问题</groupName>
      <ability>L2_HalfPunc_CN</ability>
      <abilityName>全半角问题</abilityName>
      <candidateList>
        <item>）</item>
      </candidateList>
      <explain>文本全半角错误。</explain>
      <paraID>2B252EA6</paraID>
      <start>22</start>
      <end>23</end>
      <status>unmodified</status>
      <modifiedWord/>
      <trackRevisions>false</trackRevisions>
    </reviewItem>
    <reviewItem>
      <errorID>94388eed-4796-4b7e-9281-84cce94b6500</errorID>
      <errorWord>(</errorWord>
      <group>L1_Format</group>
      <groupName>格式问题</groupName>
      <ability>L2_HalfPunc_CN</ability>
      <abilityName>全半角问题</abilityName>
      <candidateList>
        <item>（</item>
      </candidateList>
      <explain>文本全半角错误。</explain>
      <paraID>2B252EA6</paraID>
      <start>62</start>
      <end>63</end>
      <status>unmodified</status>
      <modifiedWord/>
      <trackRevisions>false</trackRevisions>
    </reviewItem>
    <reviewItem>
      <errorID>c8a80fb1-538b-450a-b4df-0e35c1fca341</errorID>
      <errorWord>)</errorWord>
      <group>L1_Format</group>
      <groupName>格式问题</groupName>
      <ability>L2_HalfPunc_CN</ability>
      <abilityName>全半角问题</abilityName>
      <candidateList>
        <item>）</item>
      </candidateList>
      <explain>文本全半角错误。</explain>
      <paraID>2B252EA6</paraID>
      <start>65</start>
      <end>66</end>
      <status>unmodified</status>
      <modifiedWord/>
      <trackRevisions>false</trackRevisions>
    </reviewItem>
    <reviewItem>
      <errorID>23d19bf7-9039-4d25-bb01-73cbeec84523</errorID>
      <errorWord>，</errorWord>
      <group>L1_Word</group>
      <groupName>字词问题</groupName>
      <ability>L2_Typo</ability>
      <abilityName>字词错误</abilityName>
      <candidateList>
        <item>，并</item>
      </candidateList>
      <explain/>
      <paraID>2B252EA6</paraID>
      <start>72</start>
      <end>73</end>
      <status>unmodified</status>
      <modifiedWord/>
      <trackRevisions>false</trackRevisions>
    </reviewItem>
    <reviewItem>
      <errorID>e940e4e2-83c1-483f-a217-c98917803d47</errorID>
      <errorWord>)</errorWord>
      <group>L1_Format</group>
      <groupName>格式问题</groupName>
      <ability>L2_HalfPunc_CN</ability>
      <abilityName>全半角问题</abilityName>
      <candidateList>
        <item>）</item>
      </candidateList>
      <explain>文本全半角错误。</explain>
      <paraID>2B252EA6</paraID>
      <start>166</start>
      <end>167</end>
      <status>unmodified</status>
      <modifiedWord/>
      <trackRevisions>false</trackRevisions>
    </reviewItem>
    <reviewItem>
      <errorID>f6f47ce7-b997-40ce-8ca9-7db709179d46</errorID>
      <errorWord>(</errorWord>
      <group>L1_Format</group>
      <groupName>格式问题</groupName>
      <ability>L2_HalfPunc_CN</ability>
      <abilityName>全半角问题</abilityName>
      <candidateList>
        <item>（</item>
      </candidateList>
      <explain>文本全半角错误。</explain>
      <paraID>2B252EA6</paraID>
      <start>177</start>
      <end>178</end>
      <status>unmodified</status>
      <modifiedWord/>
      <trackRevisions>false</trackRevisions>
    </reviewItem>
    <reviewItem>
      <errorID>c936c131-1327-4353-b2b7-bbe9f863d610</errorID>
      <errorWord>)</errorWord>
      <group>L1_Format</group>
      <groupName>格式问题</groupName>
      <ability>L2_HalfPunc_CN</ability>
      <abilityName>全半角问题</abilityName>
      <candidateList>
        <item>）</item>
      </candidateList>
      <explain>文本全半角错误。</explain>
      <paraID>2B252EA6</paraID>
      <start>180</start>
      <end>181</end>
      <status>unmodified</status>
      <modifiedWord/>
      <trackRevisions>false</trackRevisions>
    </reviewItem>
    <reviewItem>
      <errorID>d16ab7a0-f4a2-42ad-8823-0c9dd7097bb5</errorID>
      <errorWord>(</errorWord>
      <group>L1_Format</group>
      <groupName>格式问题</groupName>
      <ability>L2_HalfPunc_CN</ability>
      <abilityName>全半角问题</abilityName>
      <candidateList>
        <item>（</item>
      </candidateList>
      <explain>文本全半角错误。</explain>
      <paraID>3B7E60FB</paraID>
      <start>20</start>
      <end>21</end>
      <status>unmodified</status>
      <modifiedWord/>
      <trackRevisions>false</trackRevisions>
    </reviewItem>
    <reviewItem>
      <errorID>91841b8a-65b2-4290-b603-739c18e5c06e</errorID>
      <errorWord>)</errorWord>
      <group>L1_Format</group>
      <groupName>格式问题</groupName>
      <ability>L2_HalfPunc_CN</ability>
      <abilityName>全半角问题</abilityName>
      <candidateList>
        <item>）</item>
      </candidateList>
      <explain>文本全半角错误。</explain>
      <paraID>3B7E60FB</paraID>
      <start>23</start>
      <end>24</end>
      <status>unmodified</status>
      <modifiedWord/>
      <trackRevisions>false</trackRevisions>
    </reviewItem>
    <reviewItem>
      <errorID>997658e0-0eeb-4323-91ef-2fd21a64e2ac</errorID>
      <errorWord>(</errorWord>
      <group>L1_Format</group>
      <groupName>格式问题</groupName>
      <ability>L2_HalfPunc_CN</ability>
      <abilityName>全半角问题</abilityName>
      <candidateList>
        <item>（</item>
      </candidateList>
      <explain>文本全半角错误。</explain>
      <paraID>3B7E60FB</paraID>
      <start>85</start>
      <end>86</end>
      <status>unmodified</status>
      <modifiedWord/>
      <trackRevisions>false</trackRevisions>
    </reviewItem>
    <reviewItem>
      <errorID>db810381-ea3d-41f3-a88a-15fbb8753697</errorID>
      <errorWord>)</errorWord>
      <group>L1_Format</group>
      <groupName>格式问题</groupName>
      <ability>L2_HalfPunc_CN</ability>
      <abilityName>全半角问题</abilityName>
      <candidateList>
        <item>）</item>
      </candidateList>
      <explain>文本全半角错误。</explain>
      <paraID>3B7E60FB</paraID>
      <start>88</start>
      <end>89</end>
      <status>unmodified</status>
      <modifiedWord/>
      <trackRevisions>false</trackRevisions>
    </reviewItem>
    <reviewItem>
      <errorID>df528233-197f-4e89-8aa1-9c1f1a9b4384</errorID>
      <errorWord>(</errorWord>
      <group>L1_Format</group>
      <groupName>格式问题</groupName>
      <ability>L2_HalfPunc_CN</ability>
      <abilityName>全半角问题</abilityName>
      <candidateList>
        <item>（</item>
      </candidateList>
      <explain>文本全半角错误。</explain>
      <paraID>3B7E60FB</paraID>
      <start>147</start>
      <end>148</end>
      <status>unmodified</status>
      <modifiedWord/>
      <trackRevisions>false</trackRevisions>
    </reviewItem>
    <reviewItem>
      <errorID>a5113750-6aea-467b-a3af-08458a55a734</errorID>
      <errorWord>)</errorWord>
      <group>L1_Format</group>
      <groupName>格式问题</groupName>
      <ability>L2_HalfPunc_CN</ability>
      <abilityName>全半角问题</abilityName>
      <candidateList>
        <item>）</item>
      </candidateList>
      <explain>文本全半角错误。</explain>
      <paraID>3B7E60FB</paraID>
      <start>150</start>
      <end>151</end>
      <status>unmodified</status>
      <modifiedWord/>
      <trackRevisions>false</trackRevisions>
    </reviewItem>
    <reviewItem>
      <errorID>13a6f2e8-0be5-45fd-b78e-60619d7c0038</errorID>
      <errorWord>(</errorWord>
      <group>L1_Format</group>
      <groupName>格式问题</groupName>
      <ability>L2_HalfPunc_CN</ability>
      <abilityName>全半角问题</abilityName>
      <candidateList>
        <item>（</item>
      </candidateList>
      <explain>文本全半角错误。</explain>
      <paraID> 309C94C</paraID>
      <start>33</start>
      <end>34</end>
      <status>unmodified</status>
      <modifiedWord/>
      <trackRevisions>false</trackRevisions>
    </reviewItem>
    <reviewItem>
      <errorID>5be0a779-667d-4637-be18-e174c6d032ce</errorID>
      <errorWord>)</errorWord>
      <group>L1_Format</group>
      <groupName>格式问题</groupName>
      <ability>L2_HalfPunc_CN</ability>
      <abilityName>全半角问题</abilityName>
      <candidateList>
        <item>）</item>
      </candidateList>
      <explain>文本全半角错误。</explain>
      <paraID> 309C94C</paraID>
      <start>36</start>
      <end>37</end>
      <status>unmodified</status>
      <modifiedWord/>
      <trackRevisions>false</trackRevisions>
    </reviewItem>
    <reviewItem>
      <errorID>9736c1e3-b4a2-44a4-82e7-926cf373a5c7</errorID>
      <errorWord>(</errorWord>
      <group>L1_Format</group>
      <groupName>格式问题</groupName>
      <ability>L2_HalfPunc_CN</ability>
      <abilityName>全半角问题</abilityName>
      <candidateList>
        <item>（</item>
      </candidateList>
      <explain>文本全半角错误。</explain>
      <paraID>27789A03</paraID>
      <start>6</start>
      <end>7</end>
      <status>unmodified</status>
      <modifiedWord/>
      <trackRevisions>false</trackRevisions>
    </reviewItem>
    <reviewItem>
      <errorID>1758a18d-9c2d-4941-8e82-8d12725c2c6b</errorID>
      <errorWord>)</errorWord>
      <group>L1_Format</group>
      <groupName>格式问题</groupName>
      <ability>L2_HalfPunc_CN</ability>
      <abilityName>全半角问题</abilityName>
      <candidateList>
        <item>）</item>
      </candidateList>
      <explain>文本全半角错误。</explain>
      <paraID>27789A03</paraID>
      <start>9</start>
      <end>10</end>
      <status>unmodified</status>
      <modifiedWord/>
      <trackRevisions>false</trackRevisions>
    </reviewItem>
    <reviewItem>
      <errorID>7a1efbc6-6cd4-42b0-92f7-bf8ad30bfe05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6E5EAB72</paraID>
      <start>36</start>
      <end>39</end>
      <status>unmodified</status>
      <modifiedWord/>
      <trackRevisions>false</trackRevisions>
    </reviewItem>
    <reviewItem>
      <errorID>8d78d362-f489-4cc1-83f2-2f0964f9dd1e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C9F9A5C</paraID>
      <start>0</start>
      <end>3</end>
      <status>unmodified</status>
      <modifiedWord/>
      <trackRevisions>false</trackRevisions>
    </reviewItem>
    <reviewItem>
      <errorID>0aadebd3-357d-4909-9ed0-fdc0161ad0f9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331643A6</paraID>
      <start>0</start>
      <end>3</end>
      <status>unmodified</status>
      <modifiedWord/>
      <trackRevisions>false</trackRevisions>
    </reviewItem>
    <reviewItem>
      <errorID>66a93d56-ba77-45e1-b6df-c67607a56660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36A0F998</paraID>
      <start>0</start>
      <end>3</end>
      <status>unmodified</status>
      <modifiedWord/>
      <trackRevisions>false</trackRevisions>
    </reviewItem>
    <reviewItem>
      <errorID>3dec0ad0-1a5a-41b0-9286-6b130b510a7b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14CA7C97</paraID>
      <start>0</start>
      <end>3</end>
      <status>unmodified</status>
      <modifiedWord/>
      <trackRevisions>false</trackRevisions>
    </reviewItem>
    <reviewItem>
      <errorID>b6240fb1-805c-48fd-a69b-6ee16b101cb0</errorID>
      <errorWord>包括评标委员会的组成</errorWord>
      <group>L1_Grammar</group>
      <groupName>语法问题</groupName>
      <ability>L2_Grammar</ability>
      <abilityName>语法错误</abilityName>
      <candidateList>
        <item>包括评标委员会</item>
      </candidateList>
      <explain>该表达中的“包括评标委员会的组成”存在语义重复。</explain>
      <paraID>16B47C22</paraID>
      <start>15</start>
      <end>25</end>
      <status>unmodified</status>
      <modifiedWord/>
      <trackRevisions>false</trackRevisions>
    </reviewItem>
    <reviewItem>
      <errorID>63439099-5b06-4d4a-9f66-f166b513ad4c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3A43913E</paraID>
      <start>0</start>
      <end>3</end>
      <status>unmodified</status>
      <modifiedWord/>
      <trackRevisions>false</trackRevisions>
    </reviewItem>
    <reviewItem>
      <errorID>50225c2f-2660-466e-86d0-6c7c9bec8916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6FF02CA5</paraID>
      <start>0</start>
      <end>3</end>
      <status>unmodified</status>
      <modifiedWord/>
      <trackRevisions>false</trackRevisions>
    </reviewItem>
    <reviewItem>
      <errorID>9e957988-10ec-49b2-8bff-8edb5527b8d6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1D958FB9</paraID>
      <start>0</start>
      <end>3</end>
      <status>unmodified</status>
      <modifiedWord/>
      <trackRevisions>false</trackRevisions>
    </reviewItem>
    <reviewItem>
      <errorID>ba3fe92d-6007-4364-a499-400c51a5a180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2C9B4D85</paraID>
      <start>0</start>
      <end>3</end>
      <status>unmodified</status>
      <modifiedWord/>
      <trackRevisions>false</trackRevisions>
    </reviewItem>
    <reviewItem>
      <errorID>a6f66de4-d375-4007-8465-6731a7f0a78d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5E18F376</paraID>
      <start>0</start>
      <end>3</end>
      <status>unmodified</status>
      <modifiedWord/>
      <trackRevisions>false</trackRevisions>
    </reviewItem>
    <reviewItem>
      <errorID>3f054780-3451-4c6b-a0e6-eae708aa150f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7AF34DBA</paraID>
      <start>0</start>
      <end>3</end>
      <status>unmodified</status>
      <modifiedWord/>
      <trackRevisions>false</trackRevisions>
    </reviewItem>
    <reviewItem>
      <errorID>11b0ecb5-4f40-4af3-bdd9-f40cae76e8f0</errorID>
      <errorWord>法律、法规</errorWord>
      <group>L1_Word</group>
      <groupName>字词问题</groupName>
      <ability>L2_Typo</ability>
      <abilityName>字词错误</abilityName>
      <candidateList>
        <item>法律法规</item>
      </candidateList>
      <explain/>
      <paraID>2884A58E</paraID>
      <start>4</start>
      <end>9</end>
      <status>unmodified</status>
      <modifiedWord/>
      <trackRevisions>false</trackRevisions>
    </reviewItem>
    <reviewItem>
      <errorID>c679e4a7-d160-43ce-b96e-7d1c3ab175d8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6299B4F0</paraID>
      <start>0</start>
      <end>3</end>
      <status>unmodified</status>
      <modifiedWord/>
      <trackRevisions>false</trackRevisions>
    </reviewItem>
    <reviewItem>
      <errorID>aad76042-41b9-4c3d-bf1d-ade5e73b85d6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10499D76</paraID>
      <start>78</start>
      <end>81</end>
      <status>unmodified</status>
      <modifiedWord/>
      <trackRevisions>false</trackRevisions>
    </reviewItem>
    <reviewItem>
      <errorID>508de72c-ddb5-4d1d-aa10-5fa36d6c214b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10499D76</paraID>
      <start>89</start>
      <end>92</end>
      <status>unmodified</status>
      <modifiedWord/>
      <trackRevisions>false</trackRevisions>
    </reviewItem>
    <reviewItem>
      <errorID>a3c71943-b57d-489f-9eb2-74130b162a2d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3B70E52D</paraID>
      <start>0</start>
      <end>3</end>
      <status>unmodified</status>
      <modifiedWord/>
      <trackRevisions>false</trackRevisions>
    </reviewItem>
    <reviewItem>
      <errorID>4f11a1bc-3a41-46e6-a1f1-15a795013f13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6138C66</paraID>
      <start>0</start>
      <end>3</end>
      <status>unmodified</status>
      <modifiedWord/>
      <trackRevisions>false</trackRevisions>
    </reviewItem>
    <reviewItem>
      <errorID>1ac4b761-af35-431b-9488-7454a1428db6</errorID>
      <errorWord>５</errorWord>
      <group>L1_Format</group>
      <groupName>格式问题</groupName>
      <ability>L2_HalfPunc_CN</ability>
      <abilityName>全半角问题</abilityName>
      <candidateList>
        <item>5</item>
      </candidateList>
      <explain>文本全半角错误。</explain>
      <paraID> 9DD584B</paraID>
      <start>49</start>
      <end>50</end>
      <status>unmodified</status>
      <modifiedWord/>
      <trackRevisions>false</trackRevisions>
    </reviewItem>
    <reviewItem>
      <errorID>d97ded75-f35e-4778-a670-711c251b1bb9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608E4987</paraID>
      <start>0</start>
      <end>3</end>
      <status>unmodified</status>
      <modifiedWord/>
      <trackRevisions>false</trackRevisions>
    </reviewItem>
    <reviewItem>
      <errorID>79d055af-df68-409b-b7cd-f75f9464c904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7EE9547B</paraID>
      <start>0</start>
      <end>3</end>
      <status>unmodified</status>
      <modifiedWord/>
      <trackRevisions>false</trackRevisions>
    </reviewItem>
    <reviewItem>
      <errorID>aa186a9d-b96d-47d4-a298-8bfc401b7ee7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1FCBBE6B</paraID>
      <start>0</start>
      <end>3</end>
      <status>unmodified</status>
      <modifiedWord/>
      <trackRevisions>false</trackRevisions>
    </reviewItem>
    <reviewItem>
      <errorID>e12df1b6-e1c3-4b50-848f-cc8fdaec98d0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22D05AB9</paraID>
      <start>0</start>
      <end>3</end>
      <status>unmodified</status>
      <modifiedWord/>
      <trackRevisions>false</trackRevisions>
    </reviewItem>
    <reviewItem>
      <errorID>e08175df-7314-4612-9cff-71897bf18866</errorID>
      <errorWord>、或</errorWord>
      <group>L1_Word</group>
      <groupName>字词问题</groupName>
      <ability>L2_Typo</ability>
      <abilityName>字词错误</abilityName>
      <candidateList>
        <item>或</item>
      </candidateList>
      <explain/>
      <paraID>2A515BCF</paraID>
      <start>36</start>
      <end>38</end>
      <status>unmodified</status>
      <modifiedWord/>
      <trackRevisions>false</trackRevisions>
    </reviewItem>
    <reviewItem>
      <errorID>e4e64e6a-4c02-46c3-9845-ebe0cf65878c</errorID>
      <errorWord>自负</errorWord>
      <group>L1_Word</group>
      <groupName>字词问题</groupName>
      <ability>L2_Typo</ability>
      <abilityName>字词错误</abilityName>
      <candidateList>
        <item>自付</item>
      </candidateList>
      <explain/>
      <paraID>10735D74</paraID>
      <start>71</start>
      <end>73</end>
      <status>unmodified</status>
      <modifiedWord/>
      <trackRevisions>false</trackRevisions>
    </reviewItem>
    <reviewItem>
      <errorID>e6b59906-fb6c-4cc7-aa0d-73c8a575ea61</errorID>
      <errorWord>(</errorWord>
      <group>L1_Format</group>
      <groupName>格式问题</groupName>
      <ability>L2_HalfPunc_CN</ability>
      <abilityName>全半角问题</abilityName>
      <candidateList>
        <item>（</item>
      </candidateList>
      <explain>文本全半角错误。</explain>
      <paraID>5B7F6C0A</paraID>
      <start>86</start>
      <end>87</end>
      <status>unmodified</status>
      <modifiedWord/>
      <trackRevisions>false</trackRevisions>
    </reviewItem>
    <reviewItem>
      <errorID>3b3f966e-ddee-48d2-b617-6bfe15d3fcc3</errorID>
      <errorWord>)</errorWord>
      <group>L1_Format</group>
      <groupName>格式问题</groupName>
      <ability>L2_HalfPunc_CN</ability>
      <abilityName>全半角问题</abilityName>
      <candidateList>
        <item>）</item>
      </candidateList>
      <explain>文本全半角错误。</explain>
      <paraID>5B7F6C0A</paraID>
      <start>97</start>
      <end>98</end>
      <status>unmodified</status>
      <modifiedWord/>
      <trackRevisions>false</trackRevisions>
    </reviewItem>
    <reviewItem>
      <errorID>a54d9b8b-1438-4b44-beeb-945e100f4b84</errorID>
      <errorWord>晰</errorWord>
      <group>L1_Word</group>
      <groupName>字词问题</groupName>
      <ability>L2_Typo</ability>
      <abilityName>字词错误</abilityName>
      <candidateList>
        <item>晰地</item>
      </candidateList>
      <explain/>
      <paraID>70AABEF9</paraID>
      <start>47</start>
      <end>48</end>
      <status>unmodified</status>
      <modifiedWord/>
      <trackRevisions>false</trackRevisions>
    </reviewItem>
    <reviewItem>
      <errorID>7783f543-529f-46b8-89fd-3fc244d46f9a</errorID>
      <errorWord>平</errorWord>
      <group>L1_Word</group>
      <groupName>字词问题</groupName>
      <ability>L2_Typo</ability>
      <abilityName>字词错误</abilityName>
      <candidateList>
        <item>平方</item>
      </candidateList>
      <explain/>
      <paraID> 40B8032</paraID>
      <start>19</start>
      <end>20</end>
      <status>unmodified</status>
      <modifiedWord/>
      <trackRevisions>false</trackRevisions>
    </reviewItem>
    <reviewItem>
      <errorID>30459f1a-938b-45ca-808f-a15fa9a7fa8e</errorID>
      <errorWord>（2022）19号</errorWord>
      <group>L1_Knowledge</group>
      <groupName>知识性问题</groupName>
      <ability>L2_Knowledge</ability>
      <abilityName>其他知识</abilityName>
      <candidateList>
        <item>〔2022〕19号</item>
      </candidateList>
      <explain>发文字号格式错误。</explain>
      <paraID>5900C574</paraID>
      <start>61</start>
      <end>70</end>
      <status>unmodified</status>
      <modifiedWord/>
      <trackRevisions>false</trackRevisions>
    </reviewItem>
    <reviewItem>
      <errorID>bf0a3dee-366e-4e9d-9c98-3be8f0cc947a</errorID>
      <errorWord>)</errorWord>
      <group>L1_Format</group>
      <groupName>格式问题</groupName>
      <ability>L2_HalfPunc_CN</ability>
      <abilityName>全半角问题</abilityName>
      <candidateList>
        <item>）</item>
      </candidateList>
      <explain>文本全半角错误。</explain>
      <paraID>23B213D8</paraID>
      <start>176</start>
      <end>177</end>
      <status>unmodified</status>
      <modifiedWord/>
      <trackRevisions>false</trackRevisions>
    </reviewItem>
    <reviewItem>
      <errorID>7d0abd52-2a43-4918-8e1b-bfaca278fa11</errorID>
      <errorWord>接受</errorWord>
      <group>L1_Word</group>
      <groupName>字词问题</groupName>
      <ability>L2_Typo</ability>
      <abilityName>字词错误</abilityName>
      <candidateList>
        <item>接收</item>
      </candidateList>
      <explain>存在发音相同字词的误用。</explain>
      <paraID> B321121</paraID>
      <start>31</start>
      <end>33</end>
      <status>unmodified</status>
      <modifiedWord/>
      <trackRevisions>false</trackRevisions>
    </reviewItem>
    <reviewItem>
      <errorID>59e729c0-4ea8-4bc3-8852-8810d2c639ba</errorID>
      <errorWord>包括但是不限于</errorWord>
      <group>L1_Word</group>
      <groupName>字词问题</groupName>
      <ability>L2_Typo</ability>
      <abilityName>字词错误</abilityName>
      <candidateList>
        <item>包括但不限于</item>
      </candidateList>
      <explain/>
      <paraID>784C9FA6</paraID>
      <start>30</start>
      <end>37</end>
      <status>unmodified</status>
      <modifiedWord/>
      <trackRevisions>false</trackRevisions>
    </reviewItem>
    <reviewItem>
      <errorID>f7958cc7-efeb-4650-8b00-4131d8234fb0</errorID>
      <errorWord>,</errorWord>
      <group>L1_Format</group>
      <groupName>格式问题</groupName>
      <ability>L2_HalfPunc_CN</ability>
      <abilityName>全半角问题</abilityName>
      <candidateList>
        <item>，</item>
      </candidateList>
      <explain>文本全半角错误。</explain>
      <paraID>7829F54A</paraID>
      <start>25</start>
      <end>26</end>
      <status>unmodified</status>
      <modifiedWord/>
      <trackRevisions>false</trackRevisions>
    </reviewItem>
    <reviewItem>
      <errorID>7a1d896e-a4d4-4159-9606-89dbda1dc446</errorID>
      <errorWord>、或者</errorWord>
      <group>L1_Word</group>
      <groupName>字词问题</groupName>
      <ability>L2_Typo</ability>
      <abilityName>字词错误</abilityName>
      <candidateList>
        <item>，或者</item>
      </candidateList>
      <explain/>
      <paraID>365D8454</paraID>
      <start>11</start>
      <end>14</end>
      <status>unmodified</status>
      <modifiedWord/>
      <trackRevisions>false</trackRevisions>
    </reviewItem>
    <reviewItem>
      <errorID>f93cf825-401f-4914-8dd8-f75c094bb834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623F78EB</paraID>
      <start>0</start>
      <end>2</end>
      <status>unmodified</status>
      <modifiedWord/>
      <trackRevisions>false</trackRevisions>
    </reviewItem>
    <reviewItem>
      <errorID>ec0db643-03a5-404f-b3a2-9e0fc6170245</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6F31076B</paraID>
      <start>28</start>
      <end>33</end>
      <status>unmodified</status>
      <modifiedWord/>
      <trackRevisions>false</trackRevisions>
    </reviewItem>
    <reviewItem>
      <errorID>ff76dd4c-7839-4838-b0cc-dbed6dedf7a7</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  EA8E8B</paraID>
      <start>29</start>
      <end>34</end>
      <status>unmodified</status>
      <modifiedWord/>
      <trackRevisions>false</trackRevisions>
    </reviewItem>
    <reviewItem>
      <errorID>42c2ae9d-6b4a-40cc-a052-4979122411e8</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2B6BDD28</paraID>
      <start>20</start>
      <end>24</end>
      <status>unmodified</status>
      <modifiedWord/>
      <trackRevisions>false</trackRevisions>
    </reviewItem>
    <reviewItem>
      <errorID>a872063c-56b8-4ea9-9f1e-843e1a70c31e</errorID>
      <errorWord>做出</errorWord>
      <group>L1_Word</group>
      <groupName>字词问题</groupName>
      <ability>L2_Typo</ability>
      <abilityName>字词错误</abilityName>
      <candidateList>
        <item>作出</item>
      </candidateList>
      <explain/>
      <paraID>2B6BDD28</paraID>
      <start>25</start>
      <end>27</end>
      <status>unmodified</status>
      <modifiedWord/>
      <trackRevisions>false</trackRevisions>
    </reviewItem>
    <reviewItem>
      <errorID>4104162c-4950-4988-92ab-dc7a95a1bb1a</errorID>
      <errorWord>[2026]0807号</errorWord>
      <group>L1_Knowledge</group>
      <groupName>知识性问题</groupName>
      <ability>L2_Knowledge</ability>
      <abilityName>其他知识</abilityName>
      <candidateList>
        <item>〔2026〕807号</item>
      </candidateList>
      <explain>发文字号格式错误。</explain>
      <paraID>64CE2D3D</paraID>
      <start>13</start>
      <end>24</end>
      <status>unmodified</status>
      <modifiedWord/>
      <trackRevisions>false</trackRevisions>
    </reviewItem>
    <reviewItem>
      <errorID>d273d5ed-0f08-48b0-ae62-310ffc1dd4b2</errorID>
      <errorWord>(</errorWord>
      <group>L1_Format</group>
      <groupName>格式问题</groupName>
      <ability>L2_HalfPunc_CN</ability>
      <abilityName>全半角问题</abilityName>
      <candidateList>
        <item>（</item>
      </candidateList>
      <explain>文本全半角错误。</explain>
      <paraID>5682EDEF</paraID>
      <start>0</start>
      <end>1</end>
      <status>unmodified</status>
      <modifiedWord/>
      <trackRevisions>false</trackRevisions>
    </reviewItem>
    <reviewItem>
      <errorID>a9fd1087-6c56-4e39-9d0c-df59feb04380</errorID>
      <errorWord>)</errorWord>
      <group>L1_Format</group>
      <groupName>格式问题</groupName>
      <ability>L2_HalfPunc_CN</ability>
      <abilityName>全半角问题</abilityName>
      <candidateList>
        <item>）</item>
      </candidateList>
      <explain>文本全半角错误。</explain>
      <paraID>5682EDEF</paraID>
      <start>12</start>
      <end>13</end>
      <status>unmodified</status>
      <modifiedWord/>
      <trackRevisions>false</trackRevisions>
    </reviewItem>
    <reviewItem>
      <errorID>649ee415-7cbb-4a17-8c54-7e20d00ddeec</errorID>
      <errorWord>(</errorWord>
      <group>L1_Format</group>
      <groupName>格式问题</groupName>
      <ability>L2_HalfPunc_CN</ability>
      <abilityName>全半角问题</abilityName>
      <candidateList>
        <item>（</item>
      </candidateList>
      <explain>文本全半角错误。</explain>
      <paraID>7B2F6460</paraID>
      <start>13</start>
      <end>14</end>
      <status>unmodified</status>
      <modifiedWord/>
      <trackRevisions>false</trackRevisions>
    </reviewItem>
    <reviewItem>
      <errorID>b8a7e092-9eec-46f6-9310-4600d69b87af</errorID>
      <errorWord>)</errorWord>
      <group>L1_Format</group>
      <groupName>格式问题</groupName>
      <ability>L2_HalfPunc_CN</ability>
      <abilityName>全半角问题</abilityName>
      <candidateList>
        <item>）</item>
      </candidateList>
      <explain>文本全半角错误。</explain>
      <paraID>7B2F6460</paraID>
      <start>24</start>
      <end>25</end>
      <status>unmodified</status>
      <modifiedWord/>
      <trackRevisions>false</trackRevisions>
    </reviewItem>
    <reviewItem>
      <errorID>4472e2ce-5685-45f4-9bb8-f5b06d8bf8ee</errorID>
      <errorWord>,</errorWord>
      <group>L1_Format</group>
      <groupName>格式问题</groupName>
      <ability>L2_HalfPunc_CN</ability>
      <abilityName>全半角问题</abilityName>
      <candidateList>
        <item>，</item>
      </candidateList>
      <explain>文本全半角错误。</explain>
      <paraID>24905699</paraID>
      <start>173</start>
      <end>174</end>
      <status>unmodified</status>
      <modifiedWord/>
      <trackRevisions>false</trackRevisions>
    </reviewItem>
    <reviewItem>
      <errorID>34f196d9-4397-4195-b35c-206a9ded420d</errorID>
      <errorWord>[2026]0807号</errorWord>
      <group>L1_Knowledge</group>
      <groupName>知识性问题</groupName>
      <ability>L2_Knowledge</ability>
      <abilityName>其他知识</abilityName>
      <candidateList>
        <item>〔2026〕807号</item>
      </candidateList>
      <explain>发文字号格式错误。</explain>
      <paraID>24905699</paraID>
      <start>187</start>
      <end>198</end>
      <status>unmodified</status>
      <modifiedWord/>
      <trackRevisions>false</trackRevisions>
    </reviewItem>
    <reviewItem>
      <errorID>25c5e2c5-aaab-45d9-ac78-818b0ad09d64</errorID>
      <errorWord>(</errorWord>
      <group>L1_Format</group>
      <groupName>格式问题</groupName>
      <ability>L2_HalfPunc_CN</ability>
      <abilityName>全半角问题</abilityName>
      <candidateList>
        <item>（</item>
      </candidateList>
      <explain>文本全半角错误。</explain>
      <paraID>151AAE5E</paraID>
      <start>0</start>
      <end>1</end>
      <status>unmodified</status>
      <modifiedWord/>
      <trackRevisions>false</trackRevisions>
    </reviewItem>
    <reviewItem>
      <errorID>5b3b551f-52be-47fd-9c7a-9720d721f6e4</errorID>
      <errorWord>)</errorWord>
      <group>L1_Format</group>
      <groupName>格式问题</groupName>
      <ability>L2_HalfPunc_CN</ability>
      <abilityName>全半角问题</abilityName>
      <candidateList>
        <item>）</item>
      </candidateList>
      <explain>文本全半角错误。</explain>
      <paraID>151AAE5E</paraID>
      <start>13</start>
      <end>14</end>
      <status>unmodified</status>
      <modifiedWord/>
      <trackRevisions>false</trackRevisions>
    </reviewItem>
    <reviewItem>
      <errorID>fb3ea252-5326-4e75-9d31-0c7a54273c00</errorID>
      <errorWord>(</errorWord>
      <group>L1_Format</group>
      <groupName>格式问题</groupName>
      <ability>L2_HalfPunc_CN</ability>
      <abilityName>全半角问题</abilityName>
      <candidateList>
        <item>（</item>
      </candidateList>
      <explain>文本全半角错误。</explain>
      <paraID>482309DE</paraID>
      <start>0</start>
      <end>1</end>
      <status>unmodified</status>
      <modifiedWord/>
      <trackRevisions>false</trackRevisions>
    </reviewItem>
    <reviewItem>
      <errorID>921750a9-729b-4b10-8fa2-784de32589a4</errorID>
      <errorWord>)</errorWord>
      <group>L1_Format</group>
      <groupName>格式问题</groupName>
      <ability>L2_HalfPunc_CN</ability>
      <abilityName>全半角问题</abilityName>
      <candidateList>
        <item>）</item>
      </candidateList>
      <explain>文本全半角错误。</explain>
      <paraID>482309DE</paraID>
      <start>9</start>
      <end>10</end>
      <status>unmodified</status>
      <modifiedWord/>
      <trackRevisions>false</trackRevisions>
    </reviewItem>
    <reviewItem>
      <errorID>79f3c6bf-e5c5-4e33-a0d1-cce2bec32dbc</errorID>
      <errorWord>(</errorWord>
      <group>L1_Format</group>
      <groupName>格式问题</groupName>
      <ability>L2_HalfPunc_CN</ability>
      <abilityName>全半角问题</abilityName>
      <candidateList>
        <item>（</item>
      </candidateList>
      <explain>文本全半角错误。</explain>
      <paraID>11AF41A0</paraID>
      <start>13</start>
      <end>14</end>
      <status>unmodified</status>
      <modifiedWord/>
      <trackRevisions>false</trackRevisions>
    </reviewItem>
    <reviewItem>
      <errorID>cf4eea8e-c058-46ce-aeca-e0f6b9fda8c9</errorID>
      <errorWord>)</errorWord>
      <group>L1_Format</group>
      <groupName>格式问题</groupName>
      <ability>L2_HalfPunc_CN</ability>
      <abilityName>全半角问题</abilityName>
      <candidateList>
        <item>）</item>
      </candidateList>
      <explain>文本全半角错误。</explain>
      <paraID>11AF41A0</paraID>
      <start>24</start>
      <end>25</end>
      <status>unmodified</status>
      <modifiedWord/>
      <trackRevisions>false</trackRevisions>
    </reviewItem>
    <reviewItem>
      <errorID>b35e2ac4-4a87-4295-9926-16abebe8f2c8</errorID>
      <errorWord>(</errorWord>
      <group>L1_Format</group>
      <groupName>格式问题</groupName>
      <ability>L2_HalfPunc_CN</ability>
      <abilityName>全半角问题</abilityName>
      <candidateList>
        <item>（</item>
      </candidateList>
      <explain>文本全半角错误。</explain>
      <paraID>16E7FDAF</paraID>
      <start>16</start>
      <end>17</end>
      <status>unmodified</status>
      <modifiedWord/>
      <trackRevisions>false</trackRevisions>
    </reviewItem>
    <reviewItem>
      <errorID>88fdb2da-8b24-4441-a90d-57820d24b038</errorID>
      <errorWord>)</errorWord>
      <group>L1_Format</group>
      <groupName>格式问题</groupName>
      <ability>L2_HalfPunc_CN</ability>
      <abilityName>全半角问题</abilityName>
      <candidateList>
        <item>）</item>
      </candidateList>
      <explain>文本全半角错误。</explain>
      <paraID>16E7FDAF</paraID>
      <start>25</start>
      <end>26</end>
      <status>unmodified</status>
      <modifiedWord/>
      <trackRevisions>false</trackRevisions>
    </reviewItem>
    <reviewItem>
      <errorID>8e5f7c5d-7859-43f4-a4ba-e99e4321b343</errorID>
      <errorWord>(</errorWord>
      <group>L1_Format</group>
      <groupName>格式问题</groupName>
      <ability>L2_HalfPunc_CN</ability>
      <abilityName>全半角问题</abilityName>
      <candidateList>
        <item>（</item>
      </candidateList>
      <explain>文本全半角错误。</explain>
      <paraID>16E7FDAF</paraID>
      <start>48</start>
      <end>49</end>
      <status>unmodified</status>
      <modifiedWord/>
      <trackRevisions>false</trackRevisions>
    </reviewItem>
    <reviewItem>
      <errorID>482807d0-1109-491e-9431-0a1705d6d625</errorID>
      <errorWord>)</errorWord>
      <group>L1_Format</group>
      <groupName>格式问题</groupName>
      <ability>L2_HalfPunc_CN</ability>
      <abilityName>全半角问题</abilityName>
      <candidateList>
        <item>）</item>
      </candidateList>
      <explain>文本全半角错误。</explain>
      <paraID>16E7FDAF</paraID>
      <start>57</start>
      <end>58</end>
      <status>unmodified</status>
      <modifiedWord/>
      <trackRevisions>false</trackRevisions>
    </reviewItem>
    <reviewItem>
      <errorID>64651260-601d-4620-b683-aa07061bfe1d</errorID>
      <errorWord>,</errorWord>
      <group>L1_Format</group>
      <groupName>格式问题</groupName>
      <ability>L2_HalfPunc_CN</ability>
      <abilityName>全半角问题</abilityName>
      <candidateList>
        <item>，</item>
      </candidateList>
      <explain>文本全半角错误。</explain>
      <paraID>16E7FDAF</paraID>
      <start>109</start>
      <end>110</end>
      <status>unmodified</status>
      <modifiedWord/>
      <trackRevisions>false</trackRevisions>
    </reviewItem>
    <reviewItem>
      <errorID>a089a0e1-c8b7-4e99-9b86-0a23afd52bd7</errorID>
      <errorWord>[2026]0807号</errorWord>
      <group>L1_Knowledge</group>
      <groupName>知识性问题</groupName>
      <ability>L2_Knowledge</ability>
      <abilityName>其他知识</abilityName>
      <candidateList>
        <item>〔2026〕807号</item>
      </candidateList>
      <explain>发文字号格式错误。</explain>
      <paraID>16E7FDAF</paraID>
      <start>123</start>
      <end>134</end>
      <status>unmodified</status>
      <modifiedWord/>
      <trackRevisions>false</trackRevisions>
    </reviewItem>
    <reviewItem>
      <errorID>2cf74314-3702-45b4-94cc-95a3574fa975</errorID>
      <errorWord>,</errorWord>
      <group>L1_Format</group>
      <groupName>格式问题</groupName>
      <ability>L2_HalfPunc_CN</ability>
      <abilityName>全半角问题</abilityName>
      <candidateList>
        <item>，</item>
      </candidateList>
      <explain>文本全半角错误。</explain>
      <paraID>742E3D49</paraID>
      <start>67</start>
      <end>68</end>
      <status>unmodified</status>
      <modifiedWord/>
      <trackRevisions>false</trackRevisions>
    </reviewItem>
    <reviewItem>
      <errorID>f34c174b-8978-4261-a265-d03a22353194</errorID>
      <errorWord>[2026]0807号</errorWord>
      <group>L1_Knowledge</group>
      <groupName>知识性问题</groupName>
      <ability>L2_Knowledge</ability>
      <abilityName>其他知识</abilityName>
      <candidateList>
        <item>〔2026〕807号</item>
      </candidateList>
      <explain>发文字号格式错误。</explain>
      <paraID>742E3D49</paraID>
      <start>81</start>
      <end>92</end>
      <status>unmodified</status>
      <modifiedWord/>
      <trackRevisions>false</trackRevisions>
    </reviewItem>
    <reviewItem>
      <errorID>59156cfe-ef43-46d6-b559-022554abd840</errorID>
      <errorWord>(</errorWord>
      <group>L1_Format</group>
      <groupName>格式问题</groupName>
      <ability>L2_HalfPunc_CN</ability>
      <abilityName>全半角问题</abilityName>
      <candidateList>
        <item>（</item>
      </candidateList>
      <explain>文本全半角错误。</explain>
      <paraID>6B0292BE</paraID>
      <start>0</start>
      <end>1</end>
      <status>unmodified</status>
      <modifiedWord/>
      <trackRevisions>false</trackRevisions>
    </reviewItem>
    <reviewItem>
      <errorID>bdc6f118-d65a-4411-8ff4-b6077580b6db</errorID>
      <errorWord>)</errorWord>
      <group>L1_Format</group>
      <groupName>格式问题</groupName>
      <ability>L2_HalfPunc_CN</ability>
      <abilityName>全半角问题</abilityName>
      <candidateList>
        <item>）</item>
      </candidateList>
      <explain>文本全半角错误。</explain>
      <paraID>6B0292BE</paraID>
      <start>8</start>
      <end>9</end>
      <status>unmodified</status>
      <modifiedWord/>
      <trackRevisions>false</trackRevisions>
    </reviewItem>
    <reviewItem>
      <errorID>f5d8d717-5f62-447a-8405-94ac6d0c9574</errorID>
      <errorWord>[2026]0807号</errorWord>
      <group>L1_Knowledge</group>
      <groupName>知识性问题</groupName>
      <ability>L2_Knowledge</ability>
      <abilityName>其他知识</abilityName>
      <candidateList>
        <item>〔2026〕807号</item>
      </candidateList>
      <explain>发文字号格式错误。</explain>
      <paraID>379C9187</paraID>
      <start>13</start>
      <end>24</end>
      <status>unmodified</status>
      <modifiedWord/>
      <trackRevisions>false</trackRevisions>
    </reviewItem>
    <reviewItem>
      <errorID>4c08687b-e5d8-432d-bd8e-fc527bf7224f</errorID>
      <errorWord>(</errorWord>
      <group>L1_Format</group>
      <groupName>格式问题</groupName>
      <ability>L2_HalfPunc_CN</ability>
      <abilityName>全半角问题</abilityName>
      <candidateList>
        <item>（</item>
      </candidateList>
      <explain>文本全半角错误。</explain>
      <paraID>7A4E7B09</paraID>
      <start>0</start>
      <end>1</end>
      <status>unmodified</status>
      <modifiedWord/>
      <trackRevisions>false</trackRevisions>
    </reviewItem>
    <reviewItem>
      <errorID>910bd858-7a29-4aee-8e27-c62e4327a334</errorID>
      <errorWord>)</errorWord>
      <group>L1_Format</group>
      <groupName>格式问题</groupName>
      <ability>L2_HalfPunc_CN</ability>
      <abilityName>全半角问题</abilityName>
      <candidateList>
        <item>）</item>
      </candidateList>
      <explain>文本全半角错误。</explain>
      <paraID>7A4E7B09</paraID>
      <start>8</start>
      <end>9</end>
      <status>unmodified</status>
      <modifiedWord/>
      <trackRevisions>false</trackRevisions>
    </reviewItem>
    <reviewItem>
      <errorID>dd6756d7-f370-49d5-8383-976389bbcd4d</errorID>
      <errorWord>[2026]0807号</errorWord>
      <group>L1_Knowledge</group>
      <groupName>知识性问题</groupName>
      <ability>L2_Knowledge</ability>
      <abilityName>其他知识</abilityName>
      <candidateList>
        <item>〔2026〕807号</item>
      </candidateList>
      <explain>发文字号格式错误。</explain>
      <paraID>66A4DC28</paraID>
      <start>13</start>
      <end>24</end>
      <status>unmodified</status>
      <modifiedWord/>
      <trackRevisions>false</trackRevisions>
    </reviewItem>
    <reviewItem>
      <errorID>e8d5ccc5-c363-4fea-9c02-dccbc0ec35b7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465B2D44</paraID>
      <start>25</start>
      <end>30</end>
      <status>unmodified</status>
      <modifiedWord/>
      <trackRevisions>false</trackRevisions>
    </reviewItem>
    <reviewItem>
      <errorID>7d851d6b-ef26-43d4-983f-ddd2c0987dee</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1A9FB168</paraID>
      <start>7</start>
      <end>18</end>
      <status>unmodified</status>
      <modifiedWord/>
      <trackRevisions>false</trackRevisions>
    </reviewItem>
    <reviewItem>
      <errorID>d9df68dd-4aa3-4900-a1ff-95d101dc5574</errorID>
      <errorWord>晰</errorWord>
      <group>L1_Word</group>
      <groupName>字词问题</groupName>
      <ability>L2_Typo</ability>
      <abilityName>字词错误</abilityName>
      <candidateList>
        <item>晰地</item>
      </candidateList>
      <explain/>
      <paraID>2264F0C6</paraID>
      <start>47</start>
      <end>48</end>
      <status>unmodified</status>
      <modifiedWord/>
      <trackRevisions>false</trackRevisions>
    </reviewItem>
    <reviewItem>
      <errorID>3123e6fd-81b6-41f0-a81f-c11c81e0ef49</errorID>
      <errorWord>[2026]0807号</errorWord>
      <group>L1_Knowledge</group>
      <groupName>知识性问题</groupName>
      <ability>L2_Knowledge</ability>
      <abilityName>其他知识</abilityName>
      <candidateList>
        <item>〔2026〕807号</item>
      </candidateList>
      <explain>发文字号格式错误。</explain>
      <paraID> 4B08665</paraID>
      <start>43</start>
      <end>54</end>
      <status>unmodified</status>
      <modifiedWord/>
      <trackRevisions>false</trackRevisions>
    </reviewItem>
    <reviewItem>
      <errorID>0dbed6cd-89e6-4a35-94f4-ff976d8f1c7e</errorID>
      <errorWord>-</errorWord>
      <group>L1_Format</group>
      <groupName>格式问题</groupName>
      <ability>L2_HalfPunc_CN</ability>
      <abilityName>全半角问题</abilityName>
      <candidateList>
        <item>－</item>
      </candidateList>
      <explain>文本全半角错误。</explain>
      <paraID>69401963</paraID>
      <start>9</start>
      <end>10</end>
      <status>unmodified</status>
      <modifiedWord/>
      <trackRevisions>false</trackRevisions>
    </reviewItem>
    <reviewItem>
      <errorID>3c166557-f2a8-474a-8eae-5e76a3ffe3e0</errorID>
      <errorWord>-</errorWord>
      <group>L1_Format</group>
      <groupName>格式问题</groupName>
      <ability>L2_HalfPunc_CN</ability>
      <abilityName>全半角问题</abilityName>
      <candidateList>
        <item>－</item>
      </candidateList>
      <explain>文本全半角错误。</explain>
      <paraID>3BB3A57A</paraID>
      <start>7</start>
      <end>8</end>
      <status>unmodified</status>
      <modifiedWord/>
      <trackRevisions>false</trackRevisions>
    </reviewItem>
    <reviewItem>
      <errorID>be683170-57d4-488b-a1e4-4c93b555cf15</errorID>
      <errorWord>-</errorWord>
      <group>L1_Format</group>
      <groupName>格式问题</groupName>
      <ability>L2_HalfPunc_CN</ability>
      <abilityName>全半角问题</abilityName>
      <candidateList>
        <item>－</item>
      </candidateList>
      <explain>文本全半角错误。</explain>
      <paraID>3BB3A57A</paraID>
      <start>111</start>
      <end>112</end>
      <status>unmodified</status>
      <modifiedWord/>
      <trackRevisions>false</trackRevisions>
    </reviewItem>
    <reviewItem>
      <errorID>f676fa8a-2930-4729-b3c9-625fe56c3e0b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10A88845</paraID>
      <start>0</start>
      <end>3</end>
      <status>unmodified</status>
      <modifiedWord/>
      <trackRevisions>false</trackRevisions>
    </reviewItem>
    <reviewItem>
      <errorID>23a2d52e-6392-4329-be47-0cbc8d2f4621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3CAD578</paraID>
      <start>0</start>
      <end>3</end>
      <status>unmodified</status>
      <modifiedWord/>
      <trackRevisions>false</trackRevisions>
    </reviewItem>
    <reviewItem>
      <errorID>d33242e5-868d-405d-bd04-5c1b13b9cf5a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74DCF66A</paraID>
      <start>0</start>
      <end>3</end>
      <status>unmodified</status>
      <modifiedWord/>
      <trackRevisions>false</trackRevisions>
    </reviewItem>
    <reviewItem>
      <errorID>472534e6-5e12-40e1-94e2-35da5a1cc95a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3996A52F</paraID>
      <start>0</start>
      <end>3</end>
      <status>unmodified</status>
      <modifiedWord/>
      <trackRevisions>false</trackRevisions>
    </reviewItem>
    <reviewItem>
      <errorID>1cc0fece-3a1b-492b-a173-200c436e7269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76A0437F</paraID>
      <start>0</start>
      <end>3</end>
      <status>unmodified</status>
      <modifiedWord/>
      <trackRevisions>false</trackRevisions>
    </reviewItem>
    <reviewItem>
      <errorID>190b6ed9-6192-4656-8053-a6561f9e0ab1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1E10597B</paraID>
      <start>0</start>
      <end>3</end>
      <status>unmodified</status>
      <modifiedWord/>
      <trackRevisions>false</trackRevisions>
    </reviewItem>
    <reviewItem>
      <errorID>91a8fc8b-c041-4f4c-9237-259d920986e1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53013C71</paraID>
      <start>0</start>
      <end>3</end>
      <status>unmodified</status>
      <modifiedWord/>
      <trackRevisions>false</trackRevisions>
    </reviewItem>
    <reviewItem>
      <errorID>6bba008e-1195-46a0-8e26-203611d1df12</errorID>
      <errorWord>(</errorWord>
      <group>L1_Format</group>
      <groupName>格式问题</groupName>
      <ability>L2_HalfPunc_CN</ability>
      <abilityName>全半角问题</abilityName>
      <candidateList>
        <item>（</item>
      </candidateList>
      <explain>文本全半角错误。</explain>
      <paraID>25B26398</paraID>
      <start>0</start>
      <end>1</end>
      <status>unmodified</status>
      <modifiedWord/>
      <trackRevisions>false</trackRevisions>
    </reviewItem>
    <reviewItem>
      <errorID>cfb59e8c-4060-42bd-8fad-2af93564bcf1</errorID>
      <errorWord>)</errorWord>
      <group>L1_Format</group>
      <groupName>格式问题</groupName>
      <ability>L2_HalfPunc_CN</ability>
      <abilityName>全半角问题</abilityName>
      <candidateList>
        <item>）</item>
      </candidateList>
      <explain>文本全半角错误。</explain>
      <paraID>25B26398</paraID>
      <start>4</start>
      <end>5</end>
      <status>unmodified</status>
      <modifiedWord/>
      <trackRevisions>false</trackRevisions>
    </reviewItem>
    <reviewItem>
      <errorID>b35b4118-bc08-466d-a410-451ef36b5d34</errorID>
      <errorWord>(</errorWord>
      <group>L1_Format</group>
      <groupName>格式问题</groupName>
      <ability>L2_HalfPunc_CN</ability>
      <abilityName>全半角问题</abilityName>
      <candidateList>
        <item>（</item>
      </candidateList>
      <explain>文本全半角错误。</explain>
      <paraID>339DE3C3</paraID>
      <start>0</start>
      <end>1</end>
      <status>unmodified</status>
      <modifiedWord/>
      <trackRevisions>false</trackRevisions>
    </reviewItem>
    <reviewItem>
      <errorID>2c98d10b-de11-4d14-a4a6-c35f8642a730</errorID>
      <errorWord>)</errorWord>
      <group>L1_Format</group>
      <groupName>格式问题</groupName>
      <ability>L2_HalfPunc_CN</ability>
      <abilityName>全半角问题</abilityName>
      <candidateList>
        <item>）</item>
      </candidateList>
      <explain>文本全半角错误。</explain>
      <paraID>339DE3C3</paraID>
      <start>4</start>
      <end>5</end>
      <status>unmodified</status>
      <modifiedWord/>
      <trackRevisions>false</trackRevisions>
    </reviewItem>
    <reviewItem>
      <errorID>7631f16a-9f1b-42c5-ba18-f9913fc2a7e3</errorID>
      <errorWord>[2026]0807号</errorWord>
      <group>L1_Knowledge</group>
      <groupName>知识性问题</groupName>
      <ability>L2_Knowledge</ability>
      <abilityName>其他知识</abilityName>
      <candidateList>
        <item>〔2026〕807号</item>
      </candidateList>
      <explain>发文字号格式错误。</explain>
      <paraID>1A5698AE</paraID>
      <start>13</start>
      <end>24</end>
      <status>unmodified</status>
      <modifiedWord/>
      <trackRevisions>false</trackRevisions>
    </reviewItem>
    <reviewItem>
      <errorID>d401cc87-bbf2-4093-bb57-9754888ae289</errorID>
      <errorWord>中止</errorWord>
      <group>L1_Word</group>
      <groupName>字词问题</groupName>
      <ability>L2_Typo</ability>
      <abilityName>字词错误</abilityName>
      <candidateList>
        <item>终止</item>
      </candidateList>
      <explain/>
      <paraID>291C6F0E</paraID>
      <start>140</start>
      <end>142</end>
      <status>unmodified</status>
      <modifiedWord/>
      <trackRevisions>false</trackRevisions>
    </reviewItem>
    <reviewItem>
      <errorID>4e5bc32b-55f1-44f0-a4e3-0354789a8162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4B075D55</paraID>
      <start>0</start>
      <end>2</end>
      <status>unmodified</status>
      <modifiedWord/>
      <trackRevisions>false</trackRevisions>
    </reviewItem>
    <reviewItem>
      <errorID>00cff59c-11ef-4b9d-8a41-71b74cd42d0c</errorID>
      <errorWord>农产品质量安全法</errorWord>
      <group>L1_Knowledge</group>
      <groupName>知识性问题</groupName>
      <ability>L2_Knowledge</ability>
      <abilityName>其他知识</abilityName>
      <candidateList>
        <item>中华人民共和国农产品质量安全法</item>
      </candidateList>
      <explain>当前法律法规名称使用简称，请注意是否应当使用全称。</explain>
      <paraID> 54C60D8</paraID>
      <start>64</start>
      <end>72</end>
      <status>unmodified</status>
      <modifiedWord/>
      <trackRevisions>false</trackRevisions>
    </reviewItem>
    <reviewItem>
      <errorID>4d0be8a5-2bd7-4cfe-a863-935c9751e9e4</errorID>
      <errorWord>株形</errorWord>
      <group>L1_Word</group>
      <groupName>字词问题</groupName>
      <ability>L2_Typo</ability>
      <abilityName>字词错误</abilityName>
      <candidateList>
        <item>株型</item>
      </candidateList>
      <explain>存在发音相同字词的误用。</explain>
      <paraID>368F8F16</paraID>
      <start>29</start>
      <end>31</end>
      <status>unmodified</status>
      <modifiedWord/>
      <trackRevisions>false</trackRevisions>
    </reviewItem>
    <reviewItem>
      <errorID>77e54252-42c4-4b9b-a2dc-dde46e91894c</errorID>
      <errorWord>粗状</errorWord>
      <group>L1_Word</group>
      <groupName>字词问题</groupName>
      <ability>L2_Typo</ability>
      <abilityName>字词错误</abilityName>
      <candidateList>
        <item>粗壮</item>
      </candidateList>
      <explain>存在发音相同字词的误用。</explain>
      <paraID>4D97367D</paraID>
      <start>21</start>
      <end>23</end>
      <status>unmodified</status>
      <modifiedWord/>
      <trackRevisions>false</trackRevisions>
    </reviewItem>
    <reviewItem>
      <errorID>0c8af8ef-417f-4214-bc17-0df688243b89</errorID>
      <errorWord>接受</errorWord>
      <group>L1_Word</group>
      <groupName>字词问题</groupName>
      <ability>L2_Typo</ability>
      <abilityName>字词错误</abilityName>
      <candidateList>
        <item>接收</item>
      </candidateList>
      <explain>存在发音相同字词的误用。</explain>
      <paraID>42BD5A1F</paraID>
      <start>124</start>
      <end>126</end>
      <status>unmodified</status>
      <modifiedWord/>
      <trackRevisions>false</trackRevisions>
    </reviewItem>
    <reviewItem>
      <errorID>fe57ae04-9f1e-4fef-9f64-dc825fd954d6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3B867B57</paraID>
      <start>0</start>
      <end>2</end>
      <status>unmodified</status>
      <modifiedWord/>
      <trackRevisions>false</trackRevisions>
    </reviewItem>
    <reviewItem>
      <errorID>c8a619e3-09f3-434d-a702-6aa6de681de3</errorID>
      <errorWord>淤血</errorWord>
      <group>L1_Word</group>
      <groupName>字词问题</groupName>
      <ability>L2_Typo</ability>
      <abilityName>字词错误</abilityName>
      <candidateList>
        <item>瘀血</item>
      </candidateList>
      <explain/>
      <paraID>4D6AA293</paraID>
      <start>90</start>
      <end>92</end>
      <status>unmodified</status>
      <modifiedWord/>
      <trackRevisions>false</trackRevisions>
    </reviewItem>
    <reviewItem>
      <errorID>4e52b364-b666-4af2-96ea-f49bbc05dbae</errorID>
      <errorWord>,</errorWord>
      <group>L1_Format</group>
      <groupName>格式问题</groupName>
      <ability>L2_HalfPunc_CN</ability>
      <abilityName>全半角问题</abilityName>
      <candidateList>
        <item>，</item>
      </candidateList>
      <explain>文本全半角错误。</explain>
      <paraID>6CB7EF47</paraID>
      <start>50</start>
      <end>51</end>
      <status>unmodified</status>
      <modifiedWord/>
      <trackRevisions>false</trackRevisions>
    </reviewItem>
    <reviewItem>
      <errorID>1c884ebd-37a9-4dac-a675-61606663c577</errorID>
      <errorWord>红</errorWord>
      <group>L1_Word</group>
      <groupName>字词问题</groupName>
      <ability>L2_Typo</ability>
      <abilityName>字词错误</abilityName>
      <candidateList>
        <item>红色</item>
      </candidateList>
      <explain/>
      <paraID>6DE81F6F</paraID>
      <start>40</start>
      <end>41</end>
      <status>unmodified</status>
      <modifiedWord/>
      <trackRevisions>false</trackRevisions>
    </reviewItem>
    <reviewItem>
      <errorID>7dd1d560-359d-4d43-bf08-f1ab2bf5a624</errorID>
      <errorWord>粘稠</errorWord>
      <group>L1_Word</group>
      <groupName>字词问题</groupName>
      <ability>L2_Typo</ability>
      <abilityName>字词错误</abilityName>
      <candidateList>
        <item>黏稠</item>
      </candidateList>
      <explain>存在发音相同字词的误用。</explain>
      <paraID>5745D188</paraID>
      <start>41</start>
      <end>43</end>
      <status>unmodified</status>
      <modifiedWord/>
      <trackRevisions>false</trackRevisions>
    </reviewItem>
    <reviewItem>
      <errorID>f83c4cee-6400-4319-81b8-f75b82a853f1</errorID>
      <errorWord>粘液</errorWord>
      <group>L1_Word</group>
      <groupName>字词问题</groupName>
      <ability>L2_Typo</ability>
      <abilityName>字词错误</abilityName>
      <candidateList>
        <item>黏液</item>
      </candidateList>
      <explain>存在发音相同字词的误用。</explain>
      <paraID>75BB6708</paraID>
      <start>24</start>
      <end>26</end>
      <status>unmodified</status>
      <modifiedWord/>
      <trackRevisions>false</trackRevisions>
    </reviewItem>
    <reviewItem>
      <errorID>3506f1c1-8e82-4da5-bc6a-98a9b63cc4d6</errorID>
      <errorWord>立</errorWord>
      <group>L1_Word</group>
      <groupName>字词问题</groupName>
      <ability>L2_Typo</ability>
      <abilityName>字词错误</abilityName>
      <candidateList>
        <item>立即</item>
      </candidateList>
      <explain/>
      <paraID>55575CCF</paraID>
      <start>35</start>
      <end>36</end>
      <status>unmodified</status>
      <modifiedWord/>
      <trackRevisions>false</trackRevisions>
    </reviewItem>
    <reviewItem>
      <errorID>56b04fac-5eca-41ff-a048-ceae8810428d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23787239</paraID>
      <start>6</start>
      <end>7</end>
      <status>unmodified</status>
      <modifiedWord/>
      <trackRevisions>false</trackRevisions>
    </reviewItem>
    <reviewItem>
      <errorID>f6ab1b54-870b-40d1-8a5d-b7d14a215312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23787239</paraID>
      <start>17</start>
      <end>18</end>
      <status>unmodified</status>
      <modifiedWord/>
      <trackRevisions>false</trackRevisions>
    </reviewItem>
    <reviewItem>
      <errorID>791c5ad3-7359-41fc-b519-90a0b3b4be3f</errorID>
      <errorWord>接受</errorWord>
      <group>L1_Word</group>
      <groupName>字词问题</groupName>
      <ability>L2_Typo</ability>
      <abilityName>字词错误</abilityName>
      <candidateList>
        <item>接收</item>
      </candidateList>
      <explain>存在发音相同字词的误用。</explain>
      <paraID>58225349</paraID>
      <start>124</start>
      <end>126</end>
      <status>unmodified</status>
      <modifiedWord/>
      <trackRevisions>false</trackRevisions>
    </reviewItem>
    <reviewItem>
      <errorID>2fe733de-17f9-4b85-8421-0a85c780bfb4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E1CBB94</paraID>
      <start>0</start>
      <end>2</end>
      <status>unmodified</status>
      <modifiedWord/>
      <trackRevisions>false</trackRevisions>
    </reviewItem>
    <reviewItem>
      <errorID>5b95995f-98d2-4989-a5b0-34d6d8a3f5b1</errorID>
      <errorWord>,</errorWord>
      <group>L1_Format</group>
      <groupName>格式问题</groupName>
      <ability>L2_HalfPunc_CN</ability>
      <abilityName>全半角问题</abilityName>
      <candidateList>
        <item>，</item>
      </candidateList>
      <explain>文本全半角错误。</explain>
      <paraID>47B39FAC</paraID>
      <start>8</start>
      <end>9</end>
      <status>unmodified</status>
      <modifiedWord/>
      <trackRevisions>false</trackRevisions>
    </reviewItem>
    <reviewItem>
      <errorID>e9e707df-b9e9-476c-95c1-4bbbf5c6a835</errorID>
      <errorWord>,</errorWord>
      <group>L1_Format</group>
      <groupName>格式问题</groupName>
      <ability>L2_HalfPunc_CN</ability>
      <abilityName>全半角问题</abilityName>
      <candidateList>
        <item>，</item>
      </candidateList>
      <explain>文本全半角错误。</explain>
      <paraID>675FABA7</paraID>
      <start>46</start>
      <end>47</end>
      <status>unmodified</status>
      <modifiedWord/>
      <trackRevisions>false</trackRevisions>
    </reviewItem>
    <reviewItem>
      <errorID>4a8886b9-7249-435b-b139-49cd9c0355c0</errorID>
      <errorWord>葵花籽</errorWord>
      <group>L1_Knowledge</group>
      <groupName>知识性问题</groupName>
      <ability>L2_Knowledge</ability>
      <abilityName>其他知识</abilityName>
      <candidateList>
        <item>葵花子</item>
      </candidateList>
      <explain/>
      <paraID>74FEA05C</paraID>
      <start>10</start>
      <end>13</end>
      <status>unmodified</status>
      <modifiedWord/>
      <trackRevisions>false</trackRevisions>
    </reviewItem>
    <reviewItem>
      <errorID>5e437d0c-6de8-4ca6-97ec-300e081e4751</errorID>
      <errorWord>，</errorWord>
      <group>L1_Word</group>
      <groupName>字词问题</groupName>
      <ability>L2_Typo</ability>
      <abilityName>字词错误</abilityName>
      <candidateList>
        <item>，具</item>
      </candidateList>
      <explain/>
      <paraID>74FEA05C</paraID>
      <start>88</start>
      <end>89</end>
      <status>unmodified</status>
      <modifiedWord/>
      <trackRevisions>false</trackRevisions>
    </reviewItem>
    <reviewItem>
      <errorID>23b7e147-7bd3-46c3-8abc-2331450f9e77</errorID>
      <errorWord>味纯正</errorWord>
      <group>L1_Word</group>
      <groupName>字词问题</groupName>
      <ability>L2_Typo</ability>
      <abilityName>字词错误</abilityName>
      <candidateList>
        <item>味醇正</item>
      </candidateList>
      <explain/>
      <paraID>1BF24CFC</paraID>
      <start>50</start>
      <end>53</end>
      <status>unmodified</status>
      <modifiedWord/>
      <trackRevisions>false</trackRevisions>
    </reviewItem>
    <reviewItem>
      <errorID>70460475-9d74-4dc1-a547-720daa1ffecc</errorID>
      <errorWord>不发粘</errorWord>
      <group>L1_Word</group>
      <groupName>字词问题</groupName>
      <ability>L2_Typo</ability>
      <abilityName>字词错误</abilityName>
      <candidateList>
        <item>不发黏</item>
      </candidateList>
      <explain/>
      <paraID>3AFE5DEA</paraID>
      <start>93</start>
      <end>96</end>
      <status>unmodified</status>
      <modifiedWord/>
      <trackRevisions>false</trackRevisions>
    </reviewItem>
    <reviewItem>
      <errorID>bd6cf25f-30f5-45e1-ac6e-7462ec083800</errorID>
      <errorWord>(</errorWord>
      <group>L1_Format</group>
      <groupName>格式问题</groupName>
      <ability>L2_HalfPunc_CN</ability>
      <abilityName>全半角问题</abilityName>
      <candidateList>
        <item>（</item>
      </candidateList>
      <explain>文本全半角错误。</explain>
      <paraID>1DDD8559</paraID>
      <start>5</start>
      <end>6</end>
      <status>unmodified</status>
      <modifiedWord/>
      <trackRevisions>false</trackRevisions>
    </reviewItem>
    <reviewItem>
      <errorID>5f7c2c8d-1246-425c-98ac-ca1a7899fc64</errorID>
      <errorWord>)</errorWord>
      <group>L1_Format</group>
      <groupName>格式问题</groupName>
      <ability>L2_HalfPunc_CN</ability>
      <abilityName>全半角问题</abilityName>
      <candidateList>
        <item>）</item>
      </candidateList>
      <explain>文本全半角错误。</explain>
      <paraID>1DDD8559</paraID>
      <start>7</start>
      <end>8</end>
      <status>unmodified</status>
      <modifiedWord/>
      <trackRevisions>false</trackRevisions>
    </reviewItem>
    <reviewItem>
      <errorID>1e363761-e52a-491b-bde4-76f13ef67a1c</errorID>
      <errorWord>(</errorWord>
      <group>L1_Format</group>
      <groupName>格式问题</groupName>
      <ability>L2_HalfPunc_CN</ability>
      <abilityName>全半角问题</abilityName>
      <candidateList>
        <item>（</item>
      </candidateList>
      <explain>文本全半角错误。</explain>
      <paraID>2422B62B</paraID>
      <start>4</start>
      <end>5</end>
      <status>unmodified</status>
      <modifiedWord/>
      <trackRevisions>false</trackRevisions>
    </reviewItem>
    <reviewItem>
      <errorID>3a332cdb-d6fe-4b07-aaaa-ad15303d0540</errorID>
      <errorWord>)</errorWord>
      <group>L1_Format</group>
      <groupName>格式问题</groupName>
      <ability>L2_HalfPunc_CN</ability>
      <abilityName>全半角问题</abilityName>
      <candidateList>
        <item>）</item>
      </candidateList>
      <explain>文本全半角错误。</explain>
      <paraID>2422B62B</paraID>
      <start>17</start>
      <end>18</end>
      <status>unmodified</status>
      <modifiedWord/>
      <trackRevisions>false</trackRevisions>
    </reviewItem>
    <reviewItem>
      <errorID>bdcba29b-9bc6-4479-af63-e6219a4ed58b</errorID>
      <errorWord>(</errorWord>
      <group>L1_Format</group>
      <groupName>格式问题</groupName>
      <ability>L2_HalfPunc_CN</ability>
      <abilityName>全半角问题</abilityName>
      <candidateList>
        <item>（</item>
      </candidateList>
      <explain>文本全半角错误。</explain>
      <paraID>2AB3B368</paraID>
      <start>4</start>
      <end>5</end>
      <status>unmodified</status>
      <modifiedWord/>
      <trackRevisions>false</trackRevisions>
    </reviewItem>
    <reviewItem>
      <errorID>32e53109-16ff-4894-82d3-fb4f064e0b5c</errorID>
      <errorWord>)</errorWord>
      <group>L1_Format</group>
      <groupName>格式问题</groupName>
      <ability>L2_HalfPunc_CN</ability>
      <abilityName>全半角问题</abilityName>
      <candidateList>
        <item>）</item>
      </candidateList>
      <explain>文本全半角错误。</explain>
      <paraID>2AB3B368</paraID>
      <start>16</start>
      <end>17</end>
      <status>unmodified</status>
      <modifiedWord/>
      <trackRevisions>false</trackRevisions>
    </reviewItem>
    <reviewItem>
      <errorID>e57e9ca6-f9fe-4944-a664-86b51db7feaf</errorID>
      <errorWord>(</errorWord>
      <group>L1_Format</group>
      <groupName>格式问题</groupName>
      <ability>L2_HalfPunc_CN</ability>
      <abilityName>全半角问题</abilityName>
      <candidateList>
        <item>（</item>
      </candidateList>
      <explain>文本全半角错误。</explain>
      <paraID>589555AD</paraID>
      <start>3</start>
      <end>4</end>
      <status>unmodified</status>
      <modifiedWord/>
      <trackRevisions>false</trackRevisions>
    </reviewItem>
    <reviewItem>
      <errorID>004ea2f8-1b99-48fa-823d-e9b6e39b3ac4</errorID>
      <errorWord>)</errorWord>
      <group>L1_Format</group>
      <groupName>格式问题</groupName>
      <ability>L2_HalfPunc_CN</ability>
      <abilityName>全半角问题</abilityName>
      <candidateList>
        <item>）</item>
      </candidateList>
      <explain>文本全半角错误。</explain>
      <paraID>589555AD</paraID>
      <start>16</start>
      <end>17</end>
      <status>unmodified</status>
      <modifiedWord/>
      <trackRevisions>false</trackRevisions>
    </reviewItem>
    <reviewItem>
      <errorID>568bd79d-c8fd-43a0-9fa1-1cf9c5ccc373</errorID>
      <errorWord>(</errorWord>
      <group>L1_Format</group>
      <groupName>格式问题</groupName>
      <ability>L2_HalfPunc_CN</ability>
      <abilityName>全半角问题</abilityName>
      <candidateList>
        <item>（</item>
      </candidateList>
      <explain>文本全半角错误。</explain>
      <paraID>1691C7C4</paraID>
      <start>4</start>
      <end>5</end>
      <status>unmodified</status>
      <modifiedWord/>
      <trackRevisions>false</trackRevisions>
    </reviewItem>
    <reviewItem>
      <errorID>41e143b3-c704-42c4-88b4-70b1785e140e</errorID>
      <errorWord>)</errorWord>
      <group>L1_Format</group>
      <groupName>格式问题</groupName>
      <ability>L2_HalfPunc_CN</ability>
      <abilityName>全半角问题</abilityName>
      <candidateList>
        <item>）</item>
      </candidateList>
      <explain>文本全半角错误。</explain>
      <paraID>1691C7C4</paraID>
      <start>18</start>
      <end>19</end>
      <status>unmodified</status>
      <modifiedWord/>
      <trackRevisions>false</trackRevisions>
    </reviewItem>
    <reviewItem>
      <errorID>069820b0-b502-4202-a027-eb4c946dab38</errorID>
      <errorWord>(</errorWord>
      <group>L1_Format</group>
      <groupName>格式问题</groupName>
      <ability>L2_HalfPunc_CN</ability>
      <abilityName>全半角问题</abilityName>
      <candidateList>
        <item>（</item>
      </candidateList>
      <explain>文本全半角错误。</explain>
      <paraID>514AB809</paraID>
      <start>3</start>
      <end>4</end>
      <status>unmodified</status>
      <modifiedWord/>
      <trackRevisions>false</trackRevisions>
    </reviewItem>
    <reviewItem>
      <errorID>8453119d-ccca-42ea-baa4-746a6b740426</errorID>
      <errorWord>)</errorWord>
      <group>L1_Format</group>
      <groupName>格式问题</groupName>
      <ability>L2_HalfPunc_CN</ability>
      <abilityName>全半角问题</abilityName>
      <candidateList>
        <item>）</item>
      </candidateList>
      <explain>文本全半角错误。</explain>
      <paraID>514AB809</paraID>
      <start>17</start>
      <end>18</end>
      <status>unmodified</status>
      <modifiedWord/>
      <trackRevisions>false</trackRevisions>
    </reviewItem>
    <reviewItem>
      <errorID>f14eb487-24df-421b-883a-0fbb1cf546e4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7846ECAE</paraID>
      <start>7</start>
      <end>8</end>
      <status>unmodified</status>
      <modifiedWord/>
      <trackRevisions>false</trackRevisions>
    </reviewItem>
    <reviewItem>
      <errorID>9cec9847-c42f-4bed-8748-9fe430895b8a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7846ECAE</paraID>
      <start>18</start>
      <end>19</end>
      <status>unmodified</status>
      <modifiedWord/>
      <trackRevisions>false</trackRevisions>
    </reviewItem>
    <reviewItem>
      <errorID>940a331f-ebcc-4c3f-bc17-d547560937bd</errorID>
      <errorWord>接受</errorWord>
      <group>L1_Word</group>
      <groupName>字词问题</groupName>
      <ability>L2_Typo</ability>
      <abilityName>字词错误</abilityName>
      <candidateList>
        <item>接收</item>
      </candidateList>
      <explain>存在发音相同字词的误用。</explain>
      <paraID>7DD7CBDA</paraID>
      <start>124</start>
      <end>126</end>
      <status>unmodified</status>
      <modifiedWord/>
      <trackRevisions>false</trackRevisions>
    </reviewItem>
    <reviewItem>
      <errorID>9216e279-26c1-4c75-8137-db305306ae8e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113E0422</paraID>
      <start>19</start>
      <end>22</end>
      <status>unmodified</status>
      <modifiedWord/>
      <trackRevisions>false</trackRevisions>
    </reviewItem>
    <reviewItem>
      <errorID>610e3a6c-9d9e-40d0-879b-129eebff7f84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113E0422</paraID>
      <start>27</start>
      <end>30</end>
      <status>unmodified</status>
      <modifiedWord/>
      <trackRevisions>false</trackRevisions>
    </reviewItem>
    <reviewItem>
      <errorID>ca932769-f363-44db-9f28-c99ffa52cff9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73AA6503</paraID>
      <start>41</start>
      <end>42</end>
      <status>unmodified</status>
      <modifiedWord/>
      <trackRevisions>false</trackRevisions>
    </reviewItem>
    <reviewItem>
      <errorID>c7706e05-a736-41b4-9bcf-8c2acd8e0136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73AA6503</paraID>
      <start>58</start>
      <end>59</end>
      <status>unmodified</status>
      <modifiedWord/>
      <trackRevisions>false</trackRevisions>
    </reviewItem>
    <reviewItem>
      <errorID>1544f255-9d91-44e0-baa0-6efba4e566d6</errorID>
      <errorWord>农业部</errorWord>
      <group>L1_Knowledge</group>
      <groupName>知识性问题</groupName>
      <ability>L2_Knowledge</ability>
      <abilityName>其他知识</abilityName>
      <candidateList>
        <item>农业农村部</item>
      </candidateList>
      <explain/>
      <paraID>73AA6503</paraID>
      <start>110</start>
      <end>113</end>
      <status>unmodified</status>
      <modifiedWord/>
      <trackRevisions>false</trackRevisions>
    </reviewItem>
    <reviewItem>
      <errorID>84b8d191-4e41-4e5a-96ad-e9f69dc72ec0</errorID>
      <errorWord>》</errorWord>
      <group>L1_Word</group>
      <groupName>字词问题</groupName>
      <ability>L2_Typo</ability>
      <abilityName>字词错误</abilityName>
      <candidateList>
        <item>》和</item>
      </candidateList>
      <explain/>
      <paraID>73AA6503</paraID>
      <start>159</start>
      <end>160</end>
      <status>unmodified</status>
      <modifiedWord/>
      <trackRevisions>false</trackRevisions>
    </reviewItem>
    <reviewItem>
      <errorID>125a42ad-9d31-4212-8217-063cf33d0bd5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55360D7F</paraID>
      <start>92</start>
      <end>95</end>
      <status>unmodified</status>
      <modifiedWord/>
      <trackRevisions>false</trackRevisions>
    </reviewItem>
    <reviewItem>
      <errorID>9942d6f9-72d5-4a1c-8aa8-436cb01619cd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55360D7F</paraID>
      <start>102</start>
      <end>105</end>
      <status>unmodified</status>
      <modifiedWord/>
      <trackRevisions>false</trackRevisions>
    </reviewItem>
    <reviewItem>
      <errorID>a694c8e6-19a8-4b34-bf26-28cd82313f3f</errorID>
      <errorWord>的部份</errorWord>
      <group>L1_Word</group>
      <groupName>字词问题</groupName>
      <ability>L2_Variant</ability>
      <abilityName>异形词</abilityName>
      <candidateList>
        <item>的部分</item>
      </candidateList>
      <explain>词汇[的部份]的规范词形写作[的部分]。</explain>
      <paraID>5BEAE3BB</paraID>
      <start>125</start>
      <end>128</end>
      <status>unmodified</status>
      <modifiedWord/>
      <trackRevisions>false</trackRevisions>
    </reviewItem>
    <reviewItem>
      <errorID>06e8eee2-6939-42d3-819e-2915d28a688d</errorID>
      <errorWord>其它</errorWord>
      <group>L1_Word</group>
      <groupName>字词问题</groupName>
      <ability>L2_Alias</ability>
      <abilityName>也作/曾用词</abilityName>
      <candidateList>
        <item>其他</item>
      </candidateList>
      <explain>词汇[其它]为不规范表述或旧称，其规范书面表述为[其他]。</explain>
      <paraID>4137429C</paraID>
      <start>2</start>
      <end>4</end>
      <status>unmodified</status>
      <modifiedWord/>
      <trackRevisions>false</trackRevisions>
    </reviewItem>
    <reviewItem>
      <errorID>097ac95b-3d3c-46a4-82b1-7cc6b8137ea7</errorID>
      <errorWord>其它</errorWord>
      <group>L1_Word</group>
      <groupName>字词问题</groupName>
      <ability>L2_Alias</ability>
      <abilityName>也作/曾用词</abilityName>
      <candidateList>
        <item>其他</item>
      </candidateList>
      <explain>词汇[其它]为不规范表述或旧称，其规范书面表述为[其他]。</explain>
      <paraID>4137429C</paraID>
      <start>10</start>
      <end>12</end>
      <status>unmodified</status>
      <modifiedWord/>
      <trackRevisions>false</trackRevisions>
    </reviewItem>
    <reviewItem>
      <errorID>d4be8d5a-0ce6-45b7-ac70-5031daada173</errorID>
      <errorWord>食品安全法</errorWord>
      <group>L1_Knowledge</group>
      <groupName>知识性问题</groupName>
      <ability>L2_Knowledge</ability>
      <abilityName>其他知识</abilityName>
      <candidateList>
        <item>中华人民共和国食品安全法</item>
      </candidateList>
      <explain>当前法律法规名称使用简称，请注意是否应当使用全称。</explain>
      <paraID> CC188E5</paraID>
      <start>13</start>
      <end>18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f30b4f-071d-409a-977a-75fc01f76c02}">
  <ds:schemaRefs/>
</ds:datastoreItem>
</file>

<file path=docProps/app.xml><?xml version="1.0" encoding="utf-8"?>
<Properties xmlns="http://schemas.openxmlformats.org/officeDocument/2006/extended-properties" xmlns:vt="http://schemas.openxmlformats.org/officeDocument/2006/docPropsVTypes">
  <Template>Normal.dotm</Template>
  <Company>Home</Company>
  <Pages>96</Pages>
  <Words>7518</Words>
  <Characters>8120</Characters>
  <Lines>334</Lines>
  <Paragraphs>94</Paragraphs>
  <TotalTime>27</TotalTime>
  <ScaleCrop>false</ScaleCrop>
  <LinksUpToDate>false</LinksUpToDate>
  <CharactersWithSpaces>8258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2024-09-01T02:16:00Z</dcterms:created>
  <dc:creator>佟仁萍</dc:creator>
  <cp:lastModifiedBy>康康</cp:lastModifiedBy>
  <cp:lastPrinted>2025-12-03T19:53:00Z</cp:lastPrinted>
  <dcterms:modified xsi:type="dcterms:W3CDTF">2026-09-11T04:27:03Z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AC46BF01462643BBB96B676E59BFF62E_13</vt:lpwstr>
  </property>
  <property fmtid="{D5CDD505-2E9C-101B-9397-08002B2CF9AE}" pid="4" name="KSOTemplateDocerSaveRecord">
    <vt:lpwstr>eyJoZGlkIjoiMDRlNWY3MDhkYzU4NzBjNzRlMTRmYzRlODZkNDIxZWIiLCJ1c2VySWQiOiI2MDUwOTEzNjcifQ==</vt:lpwstr>
  </property>
</Properties>
</file>