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1985A">
      <w:pPr>
        <w:spacing w:line="360" w:lineRule="auto"/>
        <w:ind w:firstLine="236" w:firstLineChars="98"/>
        <w:outlineLvl w:val="1"/>
        <w:rPr>
          <w:rFonts w:hint="eastAsia" w:ascii="宋体" w:hAnsi="宋体" w:cs="宋体"/>
          <w:b/>
          <w:bCs/>
          <w:sz w:val="24"/>
        </w:rPr>
      </w:pPr>
      <w:bookmarkStart w:id="0" w:name="_Toc217446094"/>
      <w:bookmarkStart w:id="1" w:name="_Toc217446095"/>
      <w:r>
        <w:rPr>
          <w:rFonts w:hint="eastAsia" w:ascii="宋体" w:hAnsi="宋体" w:cs="宋体"/>
          <w:b/>
          <w:bCs/>
          <w:sz w:val="24"/>
        </w:rPr>
        <w:t>一、项目概述</w:t>
      </w:r>
      <w:bookmarkEnd w:id="0"/>
    </w:p>
    <w:p w14:paraId="4DFEAD54">
      <w:pPr>
        <w:pStyle w:val="2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1.项目概况：</w:t>
      </w:r>
      <w:r>
        <w:rPr>
          <w:rFonts w:hint="eastAsia" w:ascii="宋体" w:hAnsi="宋体" w:eastAsia="宋体" w:cs="宋体"/>
          <w:b/>
          <w:bCs/>
          <w:sz w:val="24"/>
          <w:u w:val="single"/>
        </w:rPr>
        <w:t>四川大学华西第四医院</w:t>
      </w:r>
      <w:r>
        <w:rPr>
          <w:rFonts w:hint="eastAsia" w:ascii="宋体" w:hAnsi="宋体" w:eastAsia="宋体" w:cs="宋体"/>
          <w:sz w:val="24"/>
        </w:rPr>
        <w:t>拟采购</w:t>
      </w:r>
      <w:r>
        <w:rPr>
          <w:rFonts w:hint="eastAsia" w:ascii="宋体" w:hAnsi="宋体" w:cs="宋体"/>
          <w:b/>
          <w:bCs/>
          <w:sz w:val="24"/>
          <w:u w:val="single"/>
        </w:rPr>
        <w:t>四川省第四批尘肺康复站膈肌起搏治疗仪</w:t>
      </w:r>
      <w:r>
        <w:rPr>
          <w:rFonts w:hint="eastAsia" w:ascii="宋体" w:hAnsi="宋体" w:eastAsia="宋体" w:cs="宋体"/>
          <w:sz w:val="24"/>
          <w:lang w:val="zh-CN"/>
        </w:rPr>
        <w:t>，</w:t>
      </w:r>
      <w:r>
        <w:rPr>
          <w:rFonts w:hint="eastAsia" w:ascii="宋体" w:hAnsi="宋体" w:eastAsia="宋体" w:cs="宋体"/>
          <w:sz w:val="24"/>
        </w:rPr>
        <w:t>本项目为1个包。</w:t>
      </w:r>
    </w:p>
    <w:p w14:paraId="3E4C5A70">
      <w:pPr>
        <w:spacing w:line="360" w:lineRule="auto"/>
        <w:ind w:firstLine="235" w:firstLineChars="98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</w:t>
      </w:r>
      <w:r>
        <w:rPr>
          <w:rFonts w:hint="eastAsia" w:ascii="宋体" w:hAnsi="宋体" w:cs="宋体"/>
          <w:b/>
          <w:bCs/>
          <w:sz w:val="24"/>
        </w:rPr>
        <w:t>二、项目清单</w:t>
      </w:r>
      <w:r>
        <w:rPr>
          <w:rFonts w:hint="eastAsia" w:ascii="宋体" w:hAnsi="宋体" w:cs="宋体"/>
          <w:sz w:val="24"/>
        </w:rPr>
        <w:t xml:space="preserve">                             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525"/>
        <w:gridCol w:w="856"/>
        <w:gridCol w:w="856"/>
        <w:gridCol w:w="860"/>
        <w:gridCol w:w="862"/>
        <w:gridCol w:w="1118"/>
        <w:gridCol w:w="869"/>
        <w:gridCol w:w="869"/>
      </w:tblGrid>
      <w:tr w14:paraId="124B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414" w:type="pct"/>
            <w:vAlign w:val="center"/>
          </w:tcPr>
          <w:p w14:paraId="12365C3F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895" w:type="pct"/>
            <w:vAlign w:val="center"/>
          </w:tcPr>
          <w:p w14:paraId="4A7DA365">
            <w:pPr>
              <w:widowControl/>
              <w:spacing w:line="360" w:lineRule="atLeast"/>
              <w:jc w:val="left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货物名称(标的名称)</w:t>
            </w:r>
          </w:p>
        </w:tc>
        <w:tc>
          <w:tcPr>
            <w:tcW w:w="502" w:type="pct"/>
            <w:vAlign w:val="center"/>
          </w:tcPr>
          <w:p w14:paraId="50F2309C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数量</w:t>
            </w:r>
          </w:p>
        </w:tc>
        <w:tc>
          <w:tcPr>
            <w:tcW w:w="502" w:type="pct"/>
            <w:vAlign w:val="center"/>
          </w:tcPr>
          <w:p w14:paraId="763F9F1E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计量单位</w:t>
            </w:r>
          </w:p>
        </w:tc>
        <w:tc>
          <w:tcPr>
            <w:tcW w:w="504" w:type="pct"/>
            <w:vAlign w:val="center"/>
          </w:tcPr>
          <w:p w14:paraId="01C848EC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所属行业</w:t>
            </w:r>
          </w:p>
        </w:tc>
        <w:tc>
          <w:tcPr>
            <w:tcW w:w="505" w:type="pct"/>
            <w:vAlign w:val="center"/>
          </w:tcPr>
          <w:p w14:paraId="7BA2457F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单价限价（万元）</w:t>
            </w:r>
          </w:p>
        </w:tc>
        <w:tc>
          <w:tcPr>
            <w:tcW w:w="655" w:type="pct"/>
            <w:vAlign w:val="center"/>
          </w:tcPr>
          <w:p w14:paraId="1B510916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总价限价（万元）</w:t>
            </w:r>
          </w:p>
        </w:tc>
        <w:tc>
          <w:tcPr>
            <w:tcW w:w="509" w:type="pct"/>
            <w:vAlign w:val="center"/>
          </w:tcPr>
          <w:p w14:paraId="0ED6436C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是否为核心产品</w:t>
            </w:r>
          </w:p>
        </w:tc>
        <w:tc>
          <w:tcPr>
            <w:tcW w:w="509" w:type="pct"/>
            <w:vAlign w:val="center"/>
          </w:tcPr>
          <w:p w14:paraId="4CE54313">
            <w:pPr>
              <w:widowControl/>
              <w:spacing w:line="360" w:lineRule="auto"/>
              <w:jc w:val="center"/>
              <w:outlineLvl w:val="1"/>
              <w:rPr>
                <w:rFonts w:hint="eastAsia"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是否允许进口</w:t>
            </w:r>
          </w:p>
        </w:tc>
      </w:tr>
      <w:tr w14:paraId="116B8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414" w:type="pct"/>
          </w:tcPr>
          <w:p w14:paraId="6695EF1A">
            <w:pPr>
              <w:widowControl/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895" w:type="pct"/>
          </w:tcPr>
          <w:p w14:paraId="2102B581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膈肌起搏治疗仪</w:t>
            </w:r>
          </w:p>
        </w:tc>
        <w:tc>
          <w:tcPr>
            <w:tcW w:w="502" w:type="pct"/>
          </w:tcPr>
          <w:p w14:paraId="7FF9CF68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</w:t>
            </w:r>
          </w:p>
        </w:tc>
        <w:tc>
          <w:tcPr>
            <w:tcW w:w="502" w:type="pct"/>
          </w:tcPr>
          <w:p w14:paraId="2D96B5CE">
            <w:pPr>
              <w:widowControl/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台</w:t>
            </w:r>
          </w:p>
        </w:tc>
        <w:tc>
          <w:tcPr>
            <w:tcW w:w="504" w:type="pct"/>
          </w:tcPr>
          <w:p w14:paraId="09C95E68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工业</w:t>
            </w:r>
          </w:p>
        </w:tc>
        <w:tc>
          <w:tcPr>
            <w:tcW w:w="505" w:type="pct"/>
          </w:tcPr>
          <w:p w14:paraId="0D376299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1.85</w:t>
            </w:r>
          </w:p>
        </w:tc>
        <w:tc>
          <w:tcPr>
            <w:tcW w:w="655" w:type="pct"/>
          </w:tcPr>
          <w:p w14:paraId="20CE3E82"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27.75</w:t>
            </w:r>
          </w:p>
        </w:tc>
        <w:tc>
          <w:tcPr>
            <w:tcW w:w="509" w:type="pct"/>
          </w:tcPr>
          <w:p w14:paraId="2340BA2D">
            <w:pPr>
              <w:widowControl/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是</w:t>
            </w:r>
          </w:p>
        </w:tc>
        <w:tc>
          <w:tcPr>
            <w:tcW w:w="509" w:type="pct"/>
          </w:tcPr>
          <w:p w14:paraId="053305A0">
            <w:pPr>
              <w:widowControl/>
              <w:spacing w:line="360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否</w:t>
            </w:r>
          </w:p>
        </w:tc>
      </w:tr>
    </w:tbl>
    <w:p w14:paraId="64BC41EA">
      <w:pPr>
        <w:spacing w:line="360" w:lineRule="auto"/>
        <w:rPr>
          <w:rFonts w:hint="eastAsia" w:ascii="宋体" w:hAnsi="宋体" w:cs="宋体"/>
        </w:rPr>
      </w:pPr>
    </w:p>
    <w:p w14:paraId="2539AB97">
      <w:pPr>
        <w:spacing w:line="360" w:lineRule="auto"/>
        <w:ind w:firstLine="236" w:firstLineChars="98"/>
        <w:outlineLvl w:val="1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三、</w:t>
      </w:r>
      <w:bookmarkEnd w:id="1"/>
      <w:r>
        <w:rPr>
          <w:rFonts w:hint="eastAsia" w:ascii="宋体" w:hAnsi="宋体" w:cs="宋体"/>
          <w:b/>
          <w:bCs/>
          <w:sz w:val="24"/>
        </w:rPr>
        <w:t>技术参数要求</w:t>
      </w:r>
    </w:p>
    <w:p w14:paraId="307883D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1、脉冲频率：可调单频，30-50Hz，可选择，可调节。</w:t>
      </w:r>
    </w:p>
    <w:p w14:paraId="1A65B91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2、大脉冲宽度≤300us次/分钟。</w:t>
      </w:r>
    </w:p>
    <w:p w14:paraId="4B7ADB8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3、起搏次数：5-l5次/分钟可选择，可调节。</w:t>
      </w:r>
    </w:p>
    <w:p w14:paraId="4345D0D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4、刺激强度：具有0-30档位，可调节。</w:t>
      </w:r>
    </w:p>
    <w:p w14:paraId="686ABF45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5、治疗时间：5-120min可选择，有计时提示。</w:t>
      </w:r>
    </w:p>
    <w:p w14:paraId="6238A61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6、电源要求：DC3.8V±10%（专用锂电池），电池充满所需时间&lt;4小时，满电状态工作时长不低于8小时。</w:t>
      </w:r>
    </w:p>
    <w:p w14:paraId="32497D8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7、波形：双向对称波，可实现能量对冲，减少能量聚集导致的神经损伤风险</w:t>
      </w:r>
      <w:r>
        <w:rPr>
          <w:rFonts w:hint="eastAsia"/>
          <w:b/>
          <w:bCs/>
          <w:sz w:val="24"/>
        </w:rPr>
        <w:t>（在投标文件中提供设备功能演示界面截图证明）</w:t>
      </w:r>
      <w:r>
        <w:rPr>
          <w:rFonts w:hint="eastAsia"/>
          <w:sz w:val="24"/>
        </w:rPr>
        <w:t>。</w:t>
      </w:r>
    </w:p>
    <w:p w14:paraId="4861797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8、可移动和放置，且不受限于网电插孔的数量和位置。</w:t>
      </w:r>
    </w:p>
    <w:p w14:paraId="5E7D806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9、有电量提示功能。</w:t>
      </w:r>
    </w:p>
    <w:p w14:paraId="0FB3D5C6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10、主机重量（不含电池）≤500g,尺寸长≤250mm，宽≤120mm，高≤30mm。</w:t>
      </w:r>
    </w:p>
    <w:p w14:paraId="011CC50E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11、理疗电极片的导电阻抗应≤2000Ω。</w:t>
      </w:r>
    </w:p>
    <w:p w14:paraId="47C05F6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12、工作时间有倒计时功能，每次波形开始输出后开始倒计时；结束治疗时有声音提示和图文提示</w:t>
      </w:r>
      <w:r>
        <w:rPr>
          <w:rFonts w:hint="eastAsia"/>
          <w:b/>
          <w:bCs/>
          <w:sz w:val="24"/>
        </w:rPr>
        <w:t>（在投标文件中提供设备功能演示界面截图证明）</w:t>
      </w:r>
      <w:r>
        <w:rPr>
          <w:rFonts w:hint="eastAsia"/>
          <w:sz w:val="24"/>
        </w:rPr>
        <w:t>。</w:t>
      </w:r>
    </w:p>
    <w:p w14:paraId="3A1A0BC1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13、具有指导患者或其他操作人员进行贴片的功能</w:t>
      </w:r>
      <w:r>
        <w:rPr>
          <w:rFonts w:hint="eastAsia"/>
          <w:b/>
          <w:bCs/>
          <w:sz w:val="24"/>
        </w:rPr>
        <w:t>（在投标文件中提供设备功能演示界面截图证明）</w:t>
      </w:r>
      <w:r>
        <w:rPr>
          <w:rFonts w:hint="eastAsia"/>
          <w:sz w:val="24"/>
        </w:rPr>
        <w:t>。</w:t>
      </w:r>
    </w:p>
    <w:p w14:paraId="1441B5A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14、开机时有提醒功能，正常输出时具有LED闪光指示的功能。</w:t>
      </w:r>
    </w:p>
    <w:p w14:paraId="37E330B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15、可选配电极片固定装置，以缩短电流到达膈神经的距离，实现更好的刺激效果。</w:t>
      </w:r>
    </w:p>
    <w:p w14:paraId="21CFF2C2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★16、配置至少包含：主机一台、电源适配器一台、导线四条。</w:t>
      </w:r>
    </w:p>
    <w:p w14:paraId="41A0CB00">
      <w:pPr>
        <w:spacing w:line="360" w:lineRule="auto"/>
        <w:outlineLvl w:val="1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★四、商务要求</w:t>
      </w:r>
    </w:p>
    <w:p w14:paraId="5098A6A0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1.交货时间</w:t>
      </w:r>
      <w:r>
        <w:rPr>
          <w:rFonts w:hint="eastAsia" w:ascii="宋体" w:hAnsi="宋体" w:cs="宋体"/>
          <w:sz w:val="24"/>
        </w:rPr>
        <w:t>：采购合同签订后30个</w:t>
      </w:r>
      <w:r>
        <w:rPr>
          <w:rFonts w:hint="eastAsia" w:ascii="宋体" w:hAnsi="宋体"/>
          <w:sz w:val="24"/>
        </w:rPr>
        <w:t>日历日</w:t>
      </w:r>
      <w:r>
        <w:rPr>
          <w:rFonts w:hint="eastAsia" w:ascii="宋体" w:hAnsi="宋体" w:cs="宋体"/>
          <w:sz w:val="24"/>
        </w:rPr>
        <w:t>内，完成货物交付和安装、调试，交付采购人验收。</w:t>
      </w:r>
    </w:p>
    <w:p w14:paraId="0B3D29FC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2.交货地点：</w:t>
      </w:r>
      <w:r>
        <w:rPr>
          <w:rFonts w:hint="eastAsia" w:ascii="宋体" w:hAnsi="宋体" w:cs="宋体"/>
          <w:bCs/>
          <w:sz w:val="24"/>
        </w:rPr>
        <w:t>采购人指定地点。</w:t>
      </w:r>
    </w:p>
    <w:p w14:paraId="44806491">
      <w:pPr>
        <w:spacing w:line="360" w:lineRule="auto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/>
          <w:bCs/>
          <w:sz w:val="24"/>
          <w:szCs w:val="20"/>
        </w:rPr>
        <w:t>3.</w:t>
      </w:r>
      <w:r>
        <w:rPr>
          <w:rFonts w:hint="eastAsia" w:ascii="宋体" w:hAnsi="宋体" w:cs="宋体"/>
          <w:b/>
          <w:sz w:val="24"/>
        </w:rPr>
        <w:t>支付方式：</w:t>
      </w:r>
      <w:r>
        <w:rPr>
          <w:rFonts w:hint="eastAsia" w:ascii="宋体" w:hAnsi="宋体" w:cs="宋体"/>
          <w:bCs/>
          <w:sz w:val="24"/>
        </w:rPr>
        <w:t>采购合同签订生效后，完成交货、安装调试并验收合格后支付合同金额的100%。</w:t>
      </w:r>
    </w:p>
    <w:p w14:paraId="0C9ED51D">
      <w:p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4.验收方法和标准：</w:t>
      </w:r>
    </w:p>
    <w:p w14:paraId="4462631F">
      <w:pPr>
        <w:spacing w:line="360" w:lineRule="auto"/>
        <w:rPr>
          <w:rFonts w:hint="eastAsia" w:ascii="宋体" w:hAnsi="宋体" w:cs="宋体"/>
          <w:b/>
          <w:bCs/>
          <w:sz w:val="24"/>
          <w:szCs w:val="20"/>
        </w:rPr>
      </w:pPr>
      <w:r>
        <w:rPr>
          <w:rFonts w:hint="eastAsia" w:ascii="宋体" w:hAnsi="宋体" w:cs="宋体"/>
          <w:sz w:val="24"/>
        </w:rPr>
        <w:t>参照政府采购相关法律法规、《财政部关于进一步加强政府采购需求和履约验收管理的指导意见》（财库〔2016〕205号）以及《政府采购需求管理办法》（财库〔2021〕22号）的要求进行验收。</w:t>
      </w:r>
    </w:p>
    <w:p w14:paraId="0D816ED6">
      <w:pPr>
        <w:spacing w:line="360" w:lineRule="auto"/>
        <w:rPr>
          <w:rFonts w:hint="eastAsia" w:ascii="宋体" w:hAnsi="宋体" w:cs="宋体"/>
          <w:b/>
          <w:bCs/>
          <w:sz w:val="24"/>
          <w:szCs w:val="20"/>
        </w:rPr>
      </w:pPr>
      <w:r>
        <w:rPr>
          <w:rFonts w:hint="eastAsia" w:ascii="宋体" w:hAnsi="宋体" w:cs="宋体"/>
          <w:b/>
          <w:bCs/>
          <w:sz w:val="24"/>
          <w:szCs w:val="20"/>
        </w:rPr>
        <w:t>5.包装方式及运输：</w:t>
      </w:r>
    </w:p>
    <w:p w14:paraId="3985C1AA">
      <w:pPr>
        <w:tabs>
          <w:tab w:val="left" w:pos="7665"/>
        </w:tabs>
        <w:spacing w:line="360" w:lineRule="auto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包装：设备包装应坚固完好，能抗御运输、储存和装卸过程中正常冲击，振动和挤压，并便于装卸和搬运。设备包装前检查包装材料的材质、规格和包装结构与所装产品的规格和重量相适应。组件包装时安全，防止撞击，包装表面应清洁。组件排放整齐，不可有高低不平。外包装箱表面不应该有突出的锁扣等装置，以避免箱体移位时发生拉挂等现象，影响箱体安全。</w:t>
      </w:r>
    </w:p>
    <w:p w14:paraId="5B6359E4">
      <w:pPr>
        <w:tabs>
          <w:tab w:val="left" w:pos="7665"/>
        </w:tabs>
        <w:spacing w:line="360" w:lineRule="auto"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  <w:sz w:val="24"/>
        </w:rPr>
        <w:t>（2）运输：装运设备的运输工具应清洁、干燥、无污染物。敞车运输时，必须用防雨布盖好，以保证设备不被雨(雪)浸入。设备中转时，应堆放在库房内。短暂露天堆放时，必须用防雨布盖好，产品在装卸时，应采用合适的装卸方式，严防将包装箱(件)损坏，包装箱应注意谨慎堆放，防止产品碰伤。装载时，运输车辆与包装箱之间、包装箱之间应用防震减压的填充物填实，不得留有空隙，防止在运输途中造成货物之间互相碰撞、摩擦，避免发生箱体移位。避免货物在运载工具上的堆码不当，使底层货物承载过重，造成包装破损，甚至商品在运输过程中变形，损坏。在运输过程中避免接触腐蚀性物质。</w:t>
      </w:r>
    </w:p>
    <w:p w14:paraId="0D7C7671">
      <w:pPr>
        <w:spacing w:line="360" w:lineRule="auto"/>
        <w:rPr>
          <w:rFonts w:hint="eastAsia" w:ascii="宋体" w:hAnsi="宋体" w:cs="宋体"/>
          <w:color w:val="FF0000"/>
          <w:sz w:val="24"/>
          <w:szCs w:val="20"/>
          <w:u w:val="single"/>
        </w:rPr>
      </w:pPr>
      <w:r>
        <w:rPr>
          <w:rFonts w:hint="eastAsia" w:ascii="宋体" w:hAnsi="宋体" w:cs="宋体"/>
          <w:b/>
          <w:bCs/>
          <w:sz w:val="24"/>
          <w:szCs w:val="20"/>
        </w:rPr>
        <w:t>6.质量保修范围和保修期：</w:t>
      </w:r>
      <w:r>
        <w:rPr>
          <w:rFonts w:hint="eastAsia" w:ascii="宋体" w:hAnsi="宋体" w:cs="宋体"/>
          <w:sz w:val="24"/>
          <w:szCs w:val="20"/>
        </w:rPr>
        <w:t>质保期不低于</w:t>
      </w:r>
      <w:r>
        <w:rPr>
          <w:rFonts w:hint="eastAsia" w:ascii="宋体" w:hAnsi="宋体" w:cs="宋体"/>
          <w:b/>
          <w:bCs/>
          <w:sz w:val="24"/>
          <w:szCs w:val="20"/>
        </w:rPr>
        <w:t>3</w:t>
      </w:r>
      <w:r>
        <w:rPr>
          <w:rFonts w:hint="eastAsia" w:ascii="宋体" w:hAnsi="宋体" w:cs="宋体"/>
          <w:sz w:val="24"/>
          <w:szCs w:val="20"/>
        </w:rPr>
        <w:t>年（合同签订后采购人出具验收报告之日起），范围：所有投标产品整机含所有部件（质保期内涉及维修、产品更换、人工费用等一切费用包含在此次报价中）。</w:t>
      </w:r>
    </w:p>
    <w:p w14:paraId="7AD89521">
      <w:pPr>
        <w:spacing w:line="50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szCs w:val="20"/>
        </w:rPr>
        <w:t>7.</w:t>
      </w:r>
      <w:r>
        <w:rPr>
          <w:rFonts w:hint="eastAsia" w:ascii="宋体" w:hAnsi="宋体" w:cs="宋体"/>
          <w:b/>
          <w:bCs/>
          <w:sz w:val="24"/>
        </w:rPr>
        <w:t>安装调试：</w:t>
      </w:r>
    </w:p>
    <w:p w14:paraId="61DE0926">
      <w:pPr>
        <w:spacing w:line="500" w:lineRule="exac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（1）中标人负责设备安装、调试。</w:t>
      </w:r>
    </w:p>
    <w:p w14:paraId="1E11E1E1">
      <w:pPr>
        <w:spacing w:line="500" w:lineRule="exac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（2）</w:t>
      </w:r>
      <w:r>
        <w:rPr>
          <w:rFonts w:hint="eastAsia" w:ascii="宋体" w:hAnsi="宋体" w:cs="宋体"/>
          <w:bCs/>
          <w:sz w:val="24"/>
        </w:rPr>
        <w:t>货物到达生产现场后，</w:t>
      </w:r>
      <w:r>
        <w:rPr>
          <w:rFonts w:hint="eastAsia" w:ascii="宋体" w:hAnsi="宋体" w:cs="宋体"/>
          <w:sz w:val="24"/>
        </w:rPr>
        <w:t>中标人</w:t>
      </w:r>
      <w:r>
        <w:rPr>
          <w:rFonts w:hint="eastAsia" w:ascii="宋体" w:hAnsi="宋体" w:cs="宋体"/>
          <w:bCs/>
          <w:sz w:val="24"/>
        </w:rPr>
        <w:t>接到采购人通知后到达现场组织安装、调试，达到正常运行要求，保证采购人正常使用。所需的费用包括在总价格中。</w:t>
      </w:r>
    </w:p>
    <w:p w14:paraId="2F133DDF">
      <w:pPr>
        <w:spacing w:line="42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（3）中标人应就设备的安装、调试、操作、维修、保养等对采购人维修技术人员进行培训。设备安装调试完毕后，中标人应对采购人操作人员进行现场培训，直至采购人的操作人员能独立操作，维修技术人员能完成常见故障的维修排除。</w:t>
      </w:r>
    </w:p>
    <w:p w14:paraId="10395248">
      <w:pPr>
        <w:spacing w:line="360" w:lineRule="auto"/>
        <w:ind w:firstLine="236" w:firstLineChars="98"/>
        <w:rPr>
          <w:rFonts w:hint="eastAsia" w:ascii="宋体" w:hAnsi="宋体" w:cs="宋体"/>
          <w:b/>
          <w:bCs/>
          <w:color w:val="00B0F0"/>
          <w:sz w:val="24"/>
        </w:rPr>
      </w:pPr>
    </w:p>
    <w:p w14:paraId="02164577">
      <w:pPr>
        <w:pStyle w:val="4"/>
        <w:spacing w:line="360" w:lineRule="auto"/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注：</w:t>
      </w:r>
      <w:r>
        <w:rPr>
          <w:rFonts w:hint="eastAsia" w:ascii="宋体" w:hAnsi="宋体" w:cs="宋体"/>
          <w:sz w:val="24"/>
        </w:rPr>
        <w:t>1.本章技术参数中有明确的证明材料要求的应提供对应证明材料，否则视为负偏离。</w:t>
      </w:r>
    </w:p>
    <w:p w14:paraId="2B738747">
      <w:pPr>
        <w:pStyle w:val="4"/>
        <w:spacing w:line="360" w:lineRule="auto"/>
        <w:ind w:firstLine="0" w:firstLineChars="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2.本章标注“★”的内容为本次招标项目的实质性要求，不允许有负偏离。</w:t>
      </w:r>
    </w:p>
    <w:p w14:paraId="5E9B79A5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228D7"/>
    <w:rsid w:val="2191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napToGrid w:val="0"/>
      <w:spacing w:line="440" w:lineRule="exact"/>
    </w:pPr>
    <w:rPr>
      <w:rFonts w:ascii="Times New Roman" w:eastAsia="Times New Roman"/>
      <w:sz w:val="20"/>
    </w:rPr>
  </w:style>
  <w:style w:type="paragraph" w:styleId="4">
    <w:name w:val="Normal Indent"/>
    <w:basedOn w:val="1"/>
    <w:qFormat/>
    <w:uiPriority w:val="0"/>
    <w:pPr>
      <w:ind w:firstLine="200" w:firstLineChars="200"/>
    </w:pPr>
  </w:style>
  <w:style w:type="paragraph" w:styleId="5">
    <w:name w:val="annotation text"/>
    <w:basedOn w:val="1"/>
    <w:uiPriority w:val="0"/>
    <w:pPr>
      <w:jc w:val="left"/>
    </w:pPr>
  </w:style>
  <w:style w:type="paragraph" w:styleId="6">
    <w:name w:val="Body Text First Indent"/>
    <w:basedOn w:val="2"/>
    <w:next w:val="7"/>
    <w:unhideWhenUsed/>
    <w:qFormat/>
    <w:uiPriority w:val="99"/>
    <w:pPr>
      <w:ind w:firstLine="420" w:firstLineChars="100"/>
    </w:pPr>
  </w:style>
  <w:style w:type="paragraph" w:customStyle="1" w:styleId="7">
    <w:name w:val="段落正文"/>
    <w:basedOn w:val="1"/>
    <w:qFormat/>
    <w:uiPriority w:val="99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customStyle="1" w:styleId="10">
    <w:name w:val="正文 A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hint="eastAsia" w:ascii="Arial Unicode MS" w:hAnsi="Arial Unicode MS" w:eastAsia="Arial Unicode MS" w:cs="Arial Unicode MS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4319</Words>
  <Characters>4787</Characters>
  <Lines>0</Lines>
  <Paragraphs>0</Paragraphs>
  <TotalTime>0</TotalTime>
  <ScaleCrop>false</ScaleCrop>
  <LinksUpToDate>false</LinksUpToDate>
  <CharactersWithSpaces>4988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2025-10-27T09:57:00Z</dcterms:created>
  <dc:creator>Administrator</dc:creator>
  <cp:lastModifiedBy>Samuel Wong</cp:lastModifiedBy>
  <dcterms:modified xsi:type="dcterms:W3CDTF">2025-10-28T04:05:15Z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eyJoZGlkIjoiMDAyMmZkMzUwMTMzNDQzNmRmYzg4ODFmZTNjNmIwMjYiLCJ1c2VySWQiOiI0OTcxMjA5MjUifQ==</vt:lpwstr>
  </property>
  <property fmtid="{D5CDD505-2E9C-101B-9397-08002B2CF9AE}" pid="4" name="ICV">
    <vt:lpwstr>F8E9917332094330A504502D5BB80A2E_12</vt:lpwstr>
  </property>
</Properties>
</file>