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383512">
      <w:pPr>
        <w:spacing w:line="480" w:lineRule="exact"/>
        <w:ind w:firstLine="562" w:firstLineChars="200"/>
        <w:rPr>
          <w:rFonts w:hint="default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一、工程概况</w:t>
      </w:r>
    </w:p>
    <w:p w14:paraId="641A94E8">
      <w:pPr>
        <w:spacing w:line="48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主要建设内容包括:拆旧工程，新建砌墙设备基础，新建地墙顶面装饰，新建水电安装，新建洗衣房洗衣设备等相关措施。</w:t>
      </w:r>
    </w:p>
    <w:p w14:paraId="0D167CDC">
      <w:pPr>
        <w:spacing w:line="480" w:lineRule="exact"/>
        <w:ind w:firstLine="562" w:firstLineChars="200"/>
        <w:rPr>
          <w:rFonts w:hint="default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二、编制依据</w:t>
      </w:r>
    </w:p>
    <w:p w14:paraId="4C97CAC8">
      <w:pPr>
        <w:spacing w:line="480" w:lineRule="exact"/>
        <w:ind w:firstLine="560" w:firstLineChars="200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1、本工程招标控制价编制执行《建设工程工程量清单计价标准》(GB/T 50500-2024);《江西省房屋建筑与装饰工程消耗量定额及统一基价表(2017版)》、《江西省通用安装工程消耗量定额及统一基价表(2017版)》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1035456E">
      <w:pPr>
        <w:spacing w:line="480" w:lineRule="exact"/>
        <w:ind w:firstLine="560" w:firstLineChars="200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2、税金调整:执行赣建价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【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2019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】</w:t>
      </w: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1号文营改增相关规定计算，增值税按9%计算;</w:t>
      </w:r>
    </w:p>
    <w:p w14:paraId="3FABC4BF">
      <w:pPr>
        <w:spacing w:line="480" w:lineRule="exact"/>
        <w:ind w:firstLine="560" w:firstLineChars="200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3、材料价格:参照2026年第6期《南昌建设工程造价信息》，同期造价信息上没有的参考市场价；</w:t>
      </w:r>
    </w:p>
    <w:p w14:paraId="40BBFB11">
      <w:pPr>
        <w:spacing w:line="480" w:lineRule="exact"/>
        <w:ind w:firstLine="560" w:firstLineChars="200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4、建设单位要求的相关施工及验收规范、图集等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08BAF7A4">
      <w:pPr>
        <w:spacing w:line="480" w:lineRule="exact"/>
        <w:ind w:firstLine="560" w:firstLineChars="200"/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5、施工图纸。</w:t>
      </w:r>
    </w:p>
    <w:p w14:paraId="366672BC">
      <w:pPr>
        <w:spacing w:line="480" w:lineRule="exact"/>
        <w:ind w:firstLine="562" w:firstLineChars="200"/>
        <w:rPr>
          <w:rFonts w:hint="default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highlight w:val="none"/>
          <w:lang w:val="en-US" w:eastAsia="zh-CN"/>
        </w:rPr>
        <w:t>三、工程要求</w:t>
      </w:r>
    </w:p>
    <w:p w14:paraId="28F72021">
      <w:pPr>
        <w:spacing w:line="48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1、工程量清单范畴内的“措施项目费”及“税金”，均属于不可竞争费，其金额不得因竞价需求进行让利，亦不得擅自变更计算标准，在报价编制及合同履行全过程中不得进行任何形式的让利或调整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，否则视为无效响应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68DF99A5">
      <w:pPr>
        <w:spacing w:line="480" w:lineRule="exact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2、</w:t>
      </w:r>
      <w:r>
        <w:rPr>
          <w:rFonts w:hint="default" w:ascii="仿宋" w:hAnsi="仿宋" w:eastAsia="仿宋" w:cs="仿宋"/>
          <w:color w:val="auto"/>
          <w:sz w:val="28"/>
          <w:szCs w:val="28"/>
          <w:highlight w:val="none"/>
        </w:rPr>
        <w:t>供应商应按照本文件中提供的工程量清单，根据项目特征描述的内容及有关要求实施合同工程。</w:t>
      </w:r>
    </w:p>
    <w:p w14:paraId="6DA37BEE">
      <w:pPr>
        <w:spacing w:line="48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</w:t>
      </w:r>
      <w:r>
        <w:rPr>
          <w:rFonts w:hint="default" w:ascii="仿宋" w:hAnsi="仿宋" w:eastAsia="仿宋" w:cs="仿宋"/>
          <w:color w:val="auto"/>
          <w:sz w:val="28"/>
          <w:szCs w:val="28"/>
          <w:highlight w:val="none"/>
        </w:rPr>
        <w:t>、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施工图纸未明确的要经采购人同意后方可进行下一步施工。</w:t>
      </w:r>
    </w:p>
    <w:p w14:paraId="257AF1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如果有隐蔽工程和主材须经采购人验收后方可进行下一步施工。</w:t>
      </w:r>
    </w:p>
    <w:p w14:paraId="422ABF40">
      <w:pPr>
        <w:spacing w:line="480" w:lineRule="exact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5、</w:t>
      </w:r>
      <w:r>
        <w:rPr>
          <w:rFonts w:hint="default" w:ascii="仿宋" w:hAnsi="仿宋" w:eastAsia="仿宋" w:cs="仿宋"/>
          <w:color w:val="auto"/>
          <w:sz w:val="28"/>
          <w:szCs w:val="28"/>
          <w:highlight w:val="none"/>
        </w:rPr>
        <w:t>施工严格按设计要求及施工规范施工，确保工程质量、安全施工及按期竣工验收。</w:t>
      </w:r>
    </w:p>
    <w:p w14:paraId="27C1D6D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default" w:ascii="仿宋" w:hAnsi="仿宋" w:eastAsia="仿宋" w:cs="仿宋"/>
          <w:color w:val="auto"/>
          <w:sz w:val="28"/>
          <w:szCs w:val="28"/>
          <w:highlight w:val="none"/>
        </w:rPr>
        <w:t>、成交供应商在施工期间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根据现场情况可</w:t>
      </w:r>
      <w:r>
        <w:rPr>
          <w:rFonts w:hint="default" w:ascii="仿宋" w:hAnsi="仿宋" w:eastAsia="仿宋" w:cs="仿宋"/>
          <w:color w:val="auto"/>
          <w:sz w:val="28"/>
          <w:szCs w:val="28"/>
          <w:highlight w:val="none"/>
        </w:rPr>
        <w:t>将施工区域用围挡封闭遮挡，确保施工区域与其他公共区域隔离,由此产生的费用由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成交</w:t>
      </w:r>
      <w:r>
        <w:rPr>
          <w:rFonts w:hint="default" w:ascii="仿宋" w:hAnsi="仿宋" w:eastAsia="仿宋" w:cs="仿宋"/>
          <w:color w:val="auto"/>
          <w:sz w:val="28"/>
          <w:szCs w:val="28"/>
          <w:highlight w:val="none"/>
        </w:rPr>
        <w:t>供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应商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自行承担。</w:t>
      </w:r>
    </w:p>
    <w:p w14:paraId="65CEDF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7、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受施工区环境影响，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成交供应商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应采取有效措施保护施工区内道路、市政管线及其他设施，因施工导致损坏的，由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成交供应商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负责修复；在施工前，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成交供应商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应上报施工方案，经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采购人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批准方可施工。</w:t>
      </w:r>
    </w:p>
    <w:p w14:paraId="3479295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8、成交供应商除委派项目经理外，还须另行增派相应的专业技术人员，包含但不限于电气设备安装调试工、防水工、油漆工等。</w:t>
      </w:r>
    </w:p>
    <w:p w14:paraId="7F7EE6D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9、清单中的烘干洗机、干洗机、全自动洗脱机、空压机、空调器，须提供全新未使用的产品；安装前，须与采购人确认安装位置及安装时间，确认无误后方可实施安装。</w:t>
      </w:r>
    </w:p>
    <w:p w14:paraId="72928996">
      <w:pPr>
        <w:spacing w:line="480" w:lineRule="exact"/>
        <w:ind w:firstLine="560" w:firstLineChars="200"/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8"/>
          <w:szCs w:val="28"/>
          <w:highlight w:val="none"/>
          <w:lang w:val="en-US" w:eastAsia="zh-CN"/>
        </w:rPr>
        <w:t>四、工程量清单及设计图详见附件。</w:t>
      </w:r>
    </w:p>
    <w:p w14:paraId="60615D7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3D6248"/>
    <w:rsid w:val="243D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首行缩进 21"/>
    <w:basedOn w:val="3"/>
    <w:qFormat/>
    <w:uiPriority w:val="0"/>
    <w:pPr>
      <w:spacing w:after="120" w:line="240" w:lineRule="auto"/>
      <w:ind w:left="420" w:leftChars="200" w:firstLine="420"/>
    </w:pPr>
    <w:rPr>
      <w:rFonts w:ascii="Times New Roman"/>
      <w:sz w:val="21"/>
    </w:rPr>
  </w:style>
  <w:style w:type="paragraph" w:styleId="3">
    <w:name w:val="Body Text Indent"/>
    <w:basedOn w:val="1"/>
    <w:qFormat/>
    <w:uiPriority w:val="0"/>
    <w:pPr>
      <w:spacing w:after="120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2026-10-21T10:35:00Z</dcterms:created>
  <dc:creator>45071</dc:creator>
  <cp:lastModifiedBy>45071</cp:lastModifiedBy>
  <dcterms:modified xsi:type="dcterms:W3CDTF">2026-10-21T10:36:05Z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35A96066E866498C96E1B20FC403C6BA_11</vt:lpwstr>
  </property>
  <property fmtid="{D5CDD505-2E9C-101B-9397-08002B2CF9AE}" pid="4" name="KSOTemplateDocerSaveRecord">
    <vt:lpwstr>eyJoZGlkIjoiMDE4NjhmZGJkZGE4NmI3NDA2NjY3NjRmMDMzMjk2ZWIiLCJ1c2VySWQiOiI1MTA0MzQzNTQifQ==</vt:lpwstr>
  </property>
</Properties>
</file>