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203221">
      <w:pPr>
        <w:jc w:val="center"/>
        <w:rPr>
          <w:sz w:val="24"/>
          <w:highlight w:val="none"/>
        </w:rPr>
      </w:pPr>
      <w:r>
        <w:rPr>
          <w:sz w:val="24"/>
          <w:highlight w:val="none"/>
        </w:rPr>
        <w:drawing>
          <wp:anchor distT="0" distB="0" distL="114300" distR="114300" simplePos="0" relativeHeight="251659264" behindDoc="1" locked="0" layoutInCell="1" allowOverlap="1">
            <wp:simplePos x="0" y="0"/>
            <wp:positionH relativeFrom="column">
              <wp:posOffset>3949065</wp:posOffset>
            </wp:positionH>
            <wp:positionV relativeFrom="paragraph">
              <wp:posOffset>69850</wp:posOffset>
            </wp:positionV>
            <wp:extent cx="1671320" cy="615950"/>
            <wp:effectExtent l="0" t="0" r="5080" b="8890"/>
            <wp:wrapTight wrapText="bothSides">
              <wp:wrapPolygon>
                <wp:start x="-126" y="0"/>
                <wp:lineTo x="-126" y="21257"/>
                <wp:lineTo x="21600" y="21257"/>
                <wp:lineTo x="21600" y="0"/>
                <wp:lineTo x="-126" y="0"/>
              </wp:wrapPolygon>
            </wp:wrapTight>
            <wp:docPr id="1" name="图片 3" descr="无标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无标题"/>
                    <pic:cNvPicPr>
                      <a:picLocks noChangeAspect="1"/>
                    </pic:cNvPicPr>
                  </pic:nvPicPr>
                  <pic:blipFill>
                    <a:blip r:embed="rId14"/>
                    <a:stretch>
                      <a:fillRect/>
                    </a:stretch>
                  </pic:blipFill>
                  <pic:spPr>
                    <a:xfrm>
                      <a:off x="0" y="0"/>
                      <a:ext cx="1671320" cy="615950"/>
                    </a:xfrm>
                    <a:prstGeom prst="rect">
                      <a:avLst/>
                    </a:prstGeom>
                    <a:noFill/>
                    <a:ln>
                      <a:noFill/>
                    </a:ln>
                  </pic:spPr>
                </pic:pic>
              </a:graphicData>
            </a:graphic>
          </wp:anchor>
        </w:drawing>
      </w:r>
    </w:p>
    <w:p w14:paraId="46615499">
      <w:pPr>
        <w:jc w:val="center"/>
        <w:rPr>
          <w:sz w:val="24"/>
          <w:highlight w:val="none"/>
        </w:rPr>
      </w:pPr>
    </w:p>
    <w:p w14:paraId="6A7B5446">
      <w:pPr>
        <w:pStyle w:val="27"/>
        <w:rPr>
          <w:rFonts w:ascii="Times New Roman" w:hAnsi="Times New Roman"/>
          <w:highlight w:val="none"/>
        </w:rPr>
      </w:pPr>
    </w:p>
    <w:p w14:paraId="29950334">
      <w:pPr>
        <w:pStyle w:val="2"/>
        <w:ind w:firstLine="560"/>
        <w:rPr>
          <w:highlight w:val="none"/>
        </w:rPr>
      </w:pPr>
    </w:p>
    <w:p w14:paraId="4640518D">
      <w:pPr>
        <w:pStyle w:val="2"/>
        <w:ind w:firstLine="560"/>
        <w:rPr>
          <w:highlight w:val="none"/>
        </w:rPr>
      </w:pPr>
    </w:p>
    <w:p w14:paraId="10B45FB5">
      <w:pPr>
        <w:pStyle w:val="2"/>
        <w:ind w:firstLine="560"/>
        <w:rPr>
          <w:highlight w:val="none"/>
        </w:rPr>
      </w:pPr>
    </w:p>
    <w:p w14:paraId="49A138A5">
      <w:pPr>
        <w:pStyle w:val="2"/>
        <w:ind w:left="0" w:firstLine="0" w:firstLineChars="0"/>
        <w:rPr>
          <w:highlight w:val="none"/>
        </w:rPr>
      </w:pPr>
    </w:p>
    <w:p w14:paraId="153A63E6">
      <w:pPr>
        <w:spacing w:line="360" w:lineRule="auto"/>
        <w:jc w:val="center"/>
        <w:rPr>
          <w:b/>
          <w:sz w:val="52"/>
          <w:szCs w:val="52"/>
          <w:highlight w:val="none"/>
        </w:rPr>
      </w:pPr>
      <w:r>
        <w:rPr>
          <w:rFonts w:hint="eastAsia"/>
          <w:b/>
          <w:sz w:val="52"/>
          <w:szCs w:val="52"/>
          <w:highlight w:val="none"/>
        </w:rPr>
        <w:t>中国科学院电工研究所实验室布展</w:t>
      </w:r>
    </w:p>
    <w:p w14:paraId="147FA37F">
      <w:pPr>
        <w:spacing w:line="360" w:lineRule="auto"/>
        <w:jc w:val="center"/>
        <w:rPr>
          <w:b/>
          <w:sz w:val="52"/>
          <w:szCs w:val="52"/>
          <w:highlight w:val="none"/>
        </w:rPr>
      </w:pPr>
      <w:r>
        <w:rPr>
          <w:rFonts w:hint="eastAsia"/>
          <w:b/>
          <w:sz w:val="52"/>
          <w:szCs w:val="52"/>
          <w:highlight w:val="none"/>
        </w:rPr>
        <w:t>服务项目</w:t>
      </w:r>
    </w:p>
    <w:p w14:paraId="34B7473E">
      <w:pPr>
        <w:pStyle w:val="27"/>
        <w:rPr>
          <w:rFonts w:ascii="Times New Roman" w:hAnsi="Times New Roman"/>
          <w:highlight w:val="none"/>
        </w:rPr>
      </w:pPr>
    </w:p>
    <w:p w14:paraId="4DA79A45">
      <w:pPr>
        <w:pStyle w:val="27"/>
        <w:rPr>
          <w:rFonts w:ascii="Times New Roman" w:hAnsi="Times New Roman"/>
          <w:highlight w:val="none"/>
        </w:rPr>
      </w:pPr>
    </w:p>
    <w:p w14:paraId="0A9DBD31">
      <w:pPr>
        <w:pStyle w:val="27"/>
        <w:rPr>
          <w:rFonts w:ascii="Times New Roman" w:hAnsi="Times New Roman"/>
          <w:highlight w:val="none"/>
        </w:rPr>
      </w:pPr>
    </w:p>
    <w:p w14:paraId="4B2C06FA">
      <w:pPr>
        <w:pStyle w:val="27"/>
        <w:rPr>
          <w:rFonts w:ascii="Times New Roman" w:hAnsi="Times New Roman"/>
          <w:highlight w:val="none"/>
        </w:rPr>
      </w:pPr>
    </w:p>
    <w:p w14:paraId="6DCA38E9">
      <w:pPr>
        <w:spacing w:line="360" w:lineRule="auto"/>
        <w:jc w:val="center"/>
        <w:rPr>
          <w:rFonts w:eastAsia="华文中宋"/>
          <w:b/>
          <w:sz w:val="84"/>
          <w:szCs w:val="84"/>
          <w:highlight w:val="none"/>
        </w:rPr>
      </w:pPr>
      <w:r>
        <w:rPr>
          <w:rFonts w:eastAsia="华文中宋"/>
          <w:b/>
          <w:sz w:val="84"/>
          <w:szCs w:val="84"/>
          <w:highlight w:val="none"/>
        </w:rPr>
        <w:t>竞争性磋商文件</w:t>
      </w:r>
    </w:p>
    <w:p w14:paraId="0A40E2E2">
      <w:pPr>
        <w:spacing w:line="360" w:lineRule="auto"/>
        <w:ind w:right="32" w:firstLine="2249" w:firstLineChars="700"/>
        <w:rPr>
          <w:b/>
          <w:bCs/>
          <w:sz w:val="32"/>
          <w:szCs w:val="32"/>
          <w:highlight w:val="none"/>
        </w:rPr>
      </w:pPr>
      <w:bookmarkStart w:id="20" w:name="_GoBack"/>
      <w:bookmarkEnd w:id="20"/>
    </w:p>
    <w:p w14:paraId="1B1153DC">
      <w:pPr>
        <w:spacing w:line="360" w:lineRule="auto"/>
        <w:ind w:right="32" w:firstLine="2249" w:firstLineChars="700"/>
        <w:rPr>
          <w:b/>
          <w:bCs/>
          <w:sz w:val="32"/>
          <w:szCs w:val="32"/>
          <w:highlight w:val="none"/>
          <w:u w:val="single"/>
        </w:rPr>
      </w:pPr>
      <w:r>
        <w:rPr>
          <w:b/>
          <w:bCs/>
          <w:sz w:val="32"/>
          <w:szCs w:val="32"/>
          <w:highlight w:val="none"/>
        </w:rPr>
        <w:t>采购编号：</w:t>
      </w:r>
      <w:r>
        <w:rPr>
          <w:rFonts w:hint="eastAsia"/>
          <w:b/>
          <w:bCs/>
          <w:sz w:val="32"/>
          <w:szCs w:val="32"/>
          <w:highlight w:val="none"/>
        </w:rPr>
        <w:t>OITC-G250171964</w:t>
      </w:r>
    </w:p>
    <w:p w14:paraId="3871D045">
      <w:pPr>
        <w:jc w:val="center"/>
        <w:rPr>
          <w:sz w:val="24"/>
          <w:highlight w:val="none"/>
        </w:rPr>
      </w:pPr>
    </w:p>
    <w:p w14:paraId="5043B07D">
      <w:pPr>
        <w:jc w:val="center"/>
        <w:rPr>
          <w:sz w:val="24"/>
          <w:highlight w:val="none"/>
        </w:rPr>
      </w:pPr>
    </w:p>
    <w:p w14:paraId="6CBF1145">
      <w:pPr>
        <w:jc w:val="center"/>
        <w:rPr>
          <w:sz w:val="24"/>
          <w:highlight w:val="none"/>
        </w:rPr>
      </w:pPr>
    </w:p>
    <w:p w14:paraId="44BA7AC2">
      <w:pPr>
        <w:jc w:val="center"/>
        <w:rPr>
          <w:sz w:val="24"/>
          <w:highlight w:val="none"/>
        </w:rPr>
      </w:pPr>
    </w:p>
    <w:p w14:paraId="68B13878">
      <w:pPr>
        <w:pStyle w:val="2"/>
        <w:ind w:left="0" w:firstLine="0" w:firstLineChars="0"/>
        <w:rPr>
          <w:highlight w:val="none"/>
        </w:rPr>
      </w:pPr>
    </w:p>
    <w:p w14:paraId="1CCD3AB2">
      <w:pPr>
        <w:snapToGrid w:val="0"/>
        <w:spacing w:line="360" w:lineRule="auto"/>
        <w:rPr>
          <w:sz w:val="24"/>
          <w:highlight w:val="none"/>
        </w:rPr>
      </w:pPr>
    </w:p>
    <w:p w14:paraId="6623D8A4">
      <w:pPr>
        <w:snapToGrid w:val="0"/>
        <w:spacing w:line="360" w:lineRule="auto"/>
        <w:jc w:val="center"/>
        <w:rPr>
          <w:b/>
          <w:sz w:val="32"/>
          <w:highlight w:val="none"/>
        </w:rPr>
      </w:pPr>
      <w:r>
        <w:rPr>
          <w:b/>
          <w:sz w:val="32"/>
          <w:highlight w:val="none"/>
        </w:rPr>
        <w:t>东方国际招标有限责任公司</w:t>
      </w:r>
    </w:p>
    <w:p w14:paraId="74303866">
      <w:pPr>
        <w:jc w:val="center"/>
        <w:rPr>
          <w:b/>
          <w:sz w:val="32"/>
          <w:highlight w:val="none"/>
        </w:rPr>
        <w:sectPr>
          <w:footerReference r:id="rId5" w:type="first"/>
          <w:footerReference r:id="rId3" w:type="default"/>
          <w:footerReference r:id="rId4" w:type="even"/>
          <w:pgSz w:w="11907" w:h="16839"/>
          <w:pgMar w:top="1440" w:right="1622" w:bottom="1440" w:left="1440" w:header="720" w:footer="794" w:gutter="0"/>
          <w:pgNumType w:start="0"/>
          <w:cols w:space="720" w:num="1"/>
          <w:titlePg/>
          <w:docGrid w:linePitch="286" w:charSpace="0"/>
        </w:sectPr>
      </w:pPr>
      <w:r>
        <w:rPr>
          <w:b/>
          <w:sz w:val="32"/>
          <w:highlight w:val="none"/>
        </w:rPr>
        <w:t>2025年</w:t>
      </w:r>
      <w:r>
        <w:rPr>
          <w:rFonts w:hint="eastAsia"/>
          <w:b/>
          <w:sz w:val="32"/>
          <w:highlight w:val="none"/>
        </w:rPr>
        <w:t>11</w:t>
      </w:r>
      <w:r>
        <w:rPr>
          <w:b/>
          <w:sz w:val="32"/>
          <w:highlight w:val="none"/>
        </w:rPr>
        <w:t>月</w:t>
      </w:r>
    </w:p>
    <w:p w14:paraId="493C646A">
      <w:pPr>
        <w:rPr>
          <w:b/>
          <w:sz w:val="36"/>
          <w:szCs w:val="28"/>
          <w:highlight w:val="none"/>
        </w:rPr>
      </w:pPr>
    </w:p>
    <w:p w14:paraId="79AF093A">
      <w:pPr>
        <w:jc w:val="center"/>
        <w:rPr>
          <w:b/>
          <w:sz w:val="40"/>
          <w:szCs w:val="32"/>
          <w:highlight w:val="none"/>
        </w:rPr>
      </w:pPr>
      <w:r>
        <w:rPr>
          <w:b/>
          <w:sz w:val="40"/>
          <w:szCs w:val="32"/>
          <w:highlight w:val="none"/>
        </w:rPr>
        <w:t>目  录</w:t>
      </w:r>
    </w:p>
    <w:p w14:paraId="1B438775">
      <w:pPr>
        <w:rPr>
          <w:sz w:val="28"/>
          <w:szCs w:val="22"/>
          <w:highlight w:val="none"/>
        </w:rPr>
      </w:pPr>
    </w:p>
    <w:sdt>
      <w:sdtPr>
        <w:rPr>
          <w:rFonts w:ascii="宋体" w:hAnsi="宋体"/>
          <w:highlight w:val="none"/>
        </w:rPr>
        <w:id w:val="147473230"/>
        <w15:color w:val="DBDBDB"/>
        <w:docPartObj>
          <w:docPartGallery w:val="Table of Contents"/>
          <w:docPartUnique/>
        </w:docPartObj>
      </w:sdtPr>
      <w:sdtEndPr>
        <w:rPr>
          <w:rFonts w:ascii="Times New Roman" w:hAnsi="Times New Roman"/>
          <w:sz w:val="22"/>
          <w:szCs w:val="22"/>
          <w:highlight w:val="none"/>
        </w:rPr>
      </w:sdtEndPr>
      <w:sdtContent>
        <w:p w14:paraId="017E2626">
          <w:pPr>
            <w:jc w:val="center"/>
            <w:rPr>
              <w:highlight w:val="none"/>
            </w:rPr>
          </w:pPr>
        </w:p>
        <w:p w14:paraId="31EC07C0">
          <w:pPr>
            <w:pStyle w:val="34"/>
            <w:tabs>
              <w:tab w:val="right" w:leader="dot" w:pos="8845"/>
              <w:tab w:val="clear" w:pos="9061"/>
            </w:tabs>
            <w:rPr>
              <w:sz w:val="28"/>
              <w:szCs w:val="56"/>
              <w:highlight w:val="none"/>
            </w:rPr>
          </w:pPr>
          <w:r>
            <w:rPr>
              <w:sz w:val="24"/>
              <w:highlight w:val="none"/>
            </w:rPr>
            <w:fldChar w:fldCharType="begin"/>
          </w:r>
          <w:r>
            <w:rPr>
              <w:sz w:val="24"/>
              <w:highlight w:val="none"/>
            </w:rPr>
            <w:instrText xml:space="preserve">TOC \o "1-1" \h \u </w:instrText>
          </w:r>
          <w:r>
            <w:rPr>
              <w:sz w:val="24"/>
              <w:highlight w:val="none"/>
            </w:rPr>
            <w:fldChar w:fldCharType="separate"/>
          </w:r>
          <w:r>
            <w:rPr>
              <w:highlight w:val="none"/>
            </w:rPr>
            <w:fldChar w:fldCharType="begin"/>
          </w:r>
          <w:r>
            <w:rPr>
              <w:highlight w:val="none"/>
            </w:rPr>
            <w:instrText xml:space="preserve"> HYPERLINK \l "_Toc12599" </w:instrText>
          </w:r>
          <w:r>
            <w:rPr>
              <w:highlight w:val="none"/>
            </w:rPr>
            <w:fldChar w:fldCharType="separate"/>
          </w:r>
          <w:r>
            <w:rPr>
              <w:sz w:val="28"/>
              <w:szCs w:val="56"/>
              <w:highlight w:val="none"/>
            </w:rPr>
            <w:t>竞争性磋商邀请书</w:t>
          </w:r>
          <w:r>
            <w:rPr>
              <w:sz w:val="28"/>
              <w:szCs w:val="56"/>
              <w:highlight w:val="none"/>
            </w:rPr>
            <w:tab/>
          </w:r>
          <w:r>
            <w:rPr>
              <w:sz w:val="28"/>
              <w:szCs w:val="56"/>
              <w:highlight w:val="none"/>
            </w:rPr>
            <w:fldChar w:fldCharType="begin"/>
          </w:r>
          <w:r>
            <w:rPr>
              <w:sz w:val="28"/>
              <w:szCs w:val="56"/>
              <w:highlight w:val="none"/>
            </w:rPr>
            <w:instrText xml:space="preserve"> PAGEREF _Toc12599 \h </w:instrText>
          </w:r>
          <w:r>
            <w:rPr>
              <w:sz w:val="28"/>
              <w:szCs w:val="56"/>
              <w:highlight w:val="none"/>
            </w:rPr>
            <w:fldChar w:fldCharType="separate"/>
          </w:r>
          <w:r>
            <w:rPr>
              <w:sz w:val="28"/>
              <w:szCs w:val="56"/>
              <w:highlight w:val="none"/>
            </w:rPr>
            <w:t>1</w:t>
          </w:r>
          <w:r>
            <w:rPr>
              <w:sz w:val="28"/>
              <w:szCs w:val="56"/>
              <w:highlight w:val="none"/>
            </w:rPr>
            <w:fldChar w:fldCharType="end"/>
          </w:r>
          <w:r>
            <w:rPr>
              <w:sz w:val="28"/>
              <w:szCs w:val="56"/>
              <w:highlight w:val="none"/>
            </w:rPr>
            <w:fldChar w:fldCharType="end"/>
          </w:r>
        </w:p>
        <w:p w14:paraId="64BFCF1F">
          <w:pPr>
            <w:pStyle w:val="34"/>
            <w:tabs>
              <w:tab w:val="right" w:leader="dot" w:pos="8845"/>
              <w:tab w:val="clear" w:pos="9061"/>
            </w:tabs>
            <w:rPr>
              <w:sz w:val="28"/>
              <w:szCs w:val="56"/>
              <w:highlight w:val="none"/>
            </w:rPr>
          </w:pPr>
          <w:r>
            <w:rPr>
              <w:highlight w:val="none"/>
            </w:rPr>
            <w:fldChar w:fldCharType="begin"/>
          </w:r>
          <w:r>
            <w:rPr>
              <w:highlight w:val="none"/>
            </w:rPr>
            <w:instrText xml:space="preserve"> HYPERLINK \l "_Toc28830" </w:instrText>
          </w:r>
          <w:r>
            <w:rPr>
              <w:highlight w:val="none"/>
            </w:rPr>
            <w:fldChar w:fldCharType="separate"/>
          </w:r>
          <w:r>
            <w:rPr>
              <w:sz w:val="28"/>
              <w:szCs w:val="56"/>
              <w:highlight w:val="none"/>
            </w:rPr>
            <w:t>第一部分 供应商须知前附表</w:t>
          </w:r>
          <w:r>
            <w:rPr>
              <w:sz w:val="28"/>
              <w:szCs w:val="56"/>
              <w:highlight w:val="none"/>
            </w:rPr>
            <w:tab/>
          </w:r>
          <w:r>
            <w:rPr>
              <w:sz w:val="28"/>
              <w:szCs w:val="56"/>
              <w:highlight w:val="none"/>
            </w:rPr>
            <w:fldChar w:fldCharType="begin"/>
          </w:r>
          <w:r>
            <w:rPr>
              <w:sz w:val="28"/>
              <w:szCs w:val="56"/>
              <w:highlight w:val="none"/>
            </w:rPr>
            <w:instrText xml:space="preserve"> PAGEREF _Toc28830 \h </w:instrText>
          </w:r>
          <w:r>
            <w:rPr>
              <w:sz w:val="28"/>
              <w:szCs w:val="56"/>
              <w:highlight w:val="none"/>
            </w:rPr>
            <w:fldChar w:fldCharType="separate"/>
          </w:r>
          <w:r>
            <w:rPr>
              <w:sz w:val="28"/>
              <w:szCs w:val="56"/>
              <w:highlight w:val="none"/>
            </w:rPr>
            <w:t>5</w:t>
          </w:r>
          <w:r>
            <w:rPr>
              <w:sz w:val="28"/>
              <w:szCs w:val="56"/>
              <w:highlight w:val="none"/>
            </w:rPr>
            <w:fldChar w:fldCharType="end"/>
          </w:r>
          <w:r>
            <w:rPr>
              <w:sz w:val="28"/>
              <w:szCs w:val="56"/>
              <w:highlight w:val="none"/>
            </w:rPr>
            <w:fldChar w:fldCharType="end"/>
          </w:r>
        </w:p>
        <w:p w14:paraId="05C7CC90">
          <w:pPr>
            <w:pStyle w:val="34"/>
            <w:tabs>
              <w:tab w:val="right" w:leader="dot" w:pos="8845"/>
              <w:tab w:val="clear" w:pos="9061"/>
            </w:tabs>
            <w:rPr>
              <w:sz w:val="28"/>
              <w:szCs w:val="56"/>
              <w:highlight w:val="none"/>
            </w:rPr>
          </w:pPr>
          <w:r>
            <w:rPr>
              <w:highlight w:val="none"/>
            </w:rPr>
            <w:fldChar w:fldCharType="begin"/>
          </w:r>
          <w:r>
            <w:rPr>
              <w:highlight w:val="none"/>
            </w:rPr>
            <w:instrText xml:space="preserve"> HYPERLINK \l "_Toc31145" </w:instrText>
          </w:r>
          <w:r>
            <w:rPr>
              <w:highlight w:val="none"/>
            </w:rPr>
            <w:fldChar w:fldCharType="separate"/>
          </w:r>
          <w:r>
            <w:rPr>
              <w:sz w:val="28"/>
              <w:szCs w:val="40"/>
              <w:highlight w:val="none"/>
            </w:rPr>
            <w:t>第二部分 供应商须知</w:t>
          </w:r>
          <w:r>
            <w:rPr>
              <w:sz w:val="28"/>
              <w:szCs w:val="56"/>
              <w:highlight w:val="none"/>
            </w:rPr>
            <w:tab/>
          </w:r>
          <w:r>
            <w:rPr>
              <w:sz w:val="28"/>
              <w:szCs w:val="56"/>
              <w:highlight w:val="none"/>
            </w:rPr>
            <w:fldChar w:fldCharType="begin"/>
          </w:r>
          <w:r>
            <w:rPr>
              <w:sz w:val="28"/>
              <w:szCs w:val="56"/>
              <w:highlight w:val="none"/>
            </w:rPr>
            <w:instrText xml:space="preserve"> PAGEREF _Toc31145 \h </w:instrText>
          </w:r>
          <w:r>
            <w:rPr>
              <w:sz w:val="28"/>
              <w:szCs w:val="56"/>
              <w:highlight w:val="none"/>
            </w:rPr>
            <w:fldChar w:fldCharType="separate"/>
          </w:r>
          <w:r>
            <w:rPr>
              <w:sz w:val="28"/>
              <w:szCs w:val="56"/>
              <w:highlight w:val="none"/>
            </w:rPr>
            <w:t>18</w:t>
          </w:r>
          <w:r>
            <w:rPr>
              <w:sz w:val="28"/>
              <w:szCs w:val="56"/>
              <w:highlight w:val="none"/>
            </w:rPr>
            <w:fldChar w:fldCharType="end"/>
          </w:r>
          <w:r>
            <w:rPr>
              <w:sz w:val="28"/>
              <w:szCs w:val="56"/>
              <w:highlight w:val="none"/>
            </w:rPr>
            <w:fldChar w:fldCharType="end"/>
          </w:r>
        </w:p>
        <w:p w14:paraId="41F140EC">
          <w:pPr>
            <w:pStyle w:val="34"/>
            <w:tabs>
              <w:tab w:val="right" w:leader="dot" w:pos="8845"/>
              <w:tab w:val="clear" w:pos="9061"/>
            </w:tabs>
            <w:rPr>
              <w:sz w:val="28"/>
              <w:szCs w:val="56"/>
              <w:highlight w:val="none"/>
            </w:rPr>
          </w:pPr>
          <w:r>
            <w:rPr>
              <w:highlight w:val="none"/>
            </w:rPr>
            <w:fldChar w:fldCharType="begin"/>
          </w:r>
          <w:r>
            <w:rPr>
              <w:highlight w:val="none"/>
            </w:rPr>
            <w:instrText xml:space="preserve"> HYPERLINK \l "_Toc3577" </w:instrText>
          </w:r>
          <w:r>
            <w:rPr>
              <w:highlight w:val="none"/>
            </w:rPr>
            <w:fldChar w:fldCharType="separate"/>
          </w:r>
          <w:r>
            <w:rPr>
              <w:sz w:val="28"/>
              <w:highlight w:val="none"/>
            </w:rPr>
            <w:t>第三部分：合同一般条款及特殊条款</w:t>
          </w:r>
          <w:r>
            <w:rPr>
              <w:sz w:val="28"/>
              <w:szCs w:val="56"/>
              <w:highlight w:val="none"/>
            </w:rPr>
            <w:tab/>
          </w:r>
          <w:r>
            <w:rPr>
              <w:sz w:val="28"/>
              <w:szCs w:val="56"/>
              <w:highlight w:val="none"/>
            </w:rPr>
            <w:fldChar w:fldCharType="begin"/>
          </w:r>
          <w:r>
            <w:rPr>
              <w:sz w:val="28"/>
              <w:szCs w:val="56"/>
              <w:highlight w:val="none"/>
            </w:rPr>
            <w:instrText xml:space="preserve"> PAGEREF _Toc3577 \h </w:instrText>
          </w:r>
          <w:r>
            <w:rPr>
              <w:sz w:val="28"/>
              <w:szCs w:val="56"/>
              <w:highlight w:val="none"/>
            </w:rPr>
            <w:fldChar w:fldCharType="separate"/>
          </w:r>
          <w:r>
            <w:rPr>
              <w:sz w:val="28"/>
              <w:szCs w:val="56"/>
              <w:highlight w:val="none"/>
            </w:rPr>
            <w:t>27</w:t>
          </w:r>
          <w:r>
            <w:rPr>
              <w:sz w:val="28"/>
              <w:szCs w:val="56"/>
              <w:highlight w:val="none"/>
            </w:rPr>
            <w:fldChar w:fldCharType="end"/>
          </w:r>
          <w:r>
            <w:rPr>
              <w:sz w:val="28"/>
              <w:szCs w:val="56"/>
              <w:highlight w:val="none"/>
            </w:rPr>
            <w:fldChar w:fldCharType="end"/>
          </w:r>
        </w:p>
        <w:p w14:paraId="68923B98">
          <w:pPr>
            <w:pStyle w:val="34"/>
            <w:tabs>
              <w:tab w:val="right" w:leader="dot" w:pos="8845"/>
              <w:tab w:val="clear" w:pos="9061"/>
            </w:tabs>
            <w:rPr>
              <w:sz w:val="28"/>
              <w:szCs w:val="56"/>
              <w:highlight w:val="none"/>
            </w:rPr>
          </w:pPr>
          <w:r>
            <w:rPr>
              <w:highlight w:val="none"/>
            </w:rPr>
            <w:fldChar w:fldCharType="begin"/>
          </w:r>
          <w:r>
            <w:rPr>
              <w:highlight w:val="none"/>
            </w:rPr>
            <w:instrText xml:space="preserve"> HYPERLINK \l "_Toc29476" </w:instrText>
          </w:r>
          <w:r>
            <w:rPr>
              <w:highlight w:val="none"/>
            </w:rPr>
            <w:fldChar w:fldCharType="separate"/>
          </w:r>
          <w:r>
            <w:rPr>
              <w:sz w:val="28"/>
              <w:highlight w:val="none"/>
            </w:rPr>
            <w:t>第四部分：磋商响应文件格式</w:t>
          </w:r>
          <w:r>
            <w:rPr>
              <w:sz w:val="28"/>
              <w:szCs w:val="56"/>
              <w:highlight w:val="none"/>
            </w:rPr>
            <w:tab/>
          </w:r>
          <w:r>
            <w:rPr>
              <w:sz w:val="28"/>
              <w:szCs w:val="56"/>
              <w:highlight w:val="none"/>
            </w:rPr>
            <w:fldChar w:fldCharType="begin"/>
          </w:r>
          <w:r>
            <w:rPr>
              <w:sz w:val="28"/>
              <w:szCs w:val="56"/>
              <w:highlight w:val="none"/>
            </w:rPr>
            <w:instrText xml:space="preserve"> PAGEREF _Toc29476 \h </w:instrText>
          </w:r>
          <w:r>
            <w:rPr>
              <w:sz w:val="28"/>
              <w:szCs w:val="56"/>
              <w:highlight w:val="none"/>
            </w:rPr>
            <w:fldChar w:fldCharType="separate"/>
          </w:r>
          <w:r>
            <w:rPr>
              <w:sz w:val="28"/>
              <w:szCs w:val="56"/>
              <w:highlight w:val="none"/>
            </w:rPr>
            <w:t>49</w:t>
          </w:r>
          <w:r>
            <w:rPr>
              <w:sz w:val="28"/>
              <w:szCs w:val="56"/>
              <w:highlight w:val="none"/>
            </w:rPr>
            <w:fldChar w:fldCharType="end"/>
          </w:r>
          <w:r>
            <w:rPr>
              <w:sz w:val="28"/>
              <w:szCs w:val="56"/>
              <w:highlight w:val="none"/>
            </w:rPr>
            <w:fldChar w:fldCharType="end"/>
          </w:r>
        </w:p>
        <w:p w14:paraId="081A1702">
          <w:pPr>
            <w:pStyle w:val="34"/>
            <w:tabs>
              <w:tab w:val="right" w:leader="dot" w:pos="8845"/>
              <w:tab w:val="clear" w:pos="9061"/>
            </w:tabs>
            <w:rPr>
              <w:highlight w:val="none"/>
            </w:rPr>
          </w:pPr>
          <w:r>
            <w:rPr>
              <w:highlight w:val="none"/>
            </w:rPr>
            <w:fldChar w:fldCharType="begin"/>
          </w:r>
          <w:r>
            <w:rPr>
              <w:highlight w:val="none"/>
            </w:rPr>
            <w:instrText xml:space="preserve"> HYPERLINK \l "_Toc3070" </w:instrText>
          </w:r>
          <w:r>
            <w:rPr>
              <w:highlight w:val="none"/>
            </w:rPr>
            <w:fldChar w:fldCharType="separate"/>
          </w:r>
          <w:r>
            <w:rPr>
              <w:sz w:val="28"/>
              <w:highlight w:val="none"/>
            </w:rPr>
            <w:t>第五部分：</w:t>
          </w:r>
          <w:r>
            <w:rPr>
              <w:kern w:val="0"/>
              <w:sz w:val="28"/>
              <w:szCs w:val="48"/>
              <w:highlight w:val="none"/>
            </w:rPr>
            <w:t>项目需求</w:t>
          </w:r>
          <w:r>
            <w:rPr>
              <w:sz w:val="28"/>
              <w:szCs w:val="56"/>
              <w:highlight w:val="none"/>
            </w:rPr>
            <w:tab/>
          </w:r>
          <w:r>
            <w:rPr>
              <w:sz w:val="28"/>
              <w:szCs w:val="56"/>
              <w:highlight w:val="none"/>
            </w:rPr>
            <w:fldChar w:fldCharType="begin"/>
          </w:r>
          <w:r>
            <w:rPr>
              <w:sz w:val="28"/>
              <w:szCs w:val="56"/>
              <w:highlight w:val="none"/>
            </w:rPr>
            <w:instrText xml:space="preserve"> PAGEREF _Toc3070 \h </w:instrText>
          </w:r>
          <w:r>
            <w:rPr>
              <w:sz w:val="28"/>
              <w:szCs w:val="56"/>
              <w:highlight w:val="none"/>
            </w:rPr>
            <w:fldChar w:fldCharType="separate"/>
          </w:r>
          <w:r>
            <w:rPr>
              <w:sz w:val="28"/>
              <w:szCs w:val="56"/>
              <w:highlight w:val="none"/>
            </w:rPr>
            <w:t>75</w:t>
          </w:r>
          <w:r>
            <w:rPr>
              <w:sz w:val="28"/>
              <w:szCs w:val="56"/>
              <w:highlight w:val="none"/>
            </w:rPr>
            <w:fldChar w:fldCharType="end"/>
          </w:r>
          <w:r>
            <w:rPr>
              <w:sz w:val="28"/>
              <w:szCs w:val="56"/>
              <w:highlight w:val="none"/>
            </w:rPr>
            <w:fldChar w:fldCharType="end"/>
          </w:r>
        </w:p>
        <w:p w14:paraId="675FEDA3">
          <w:pPr>
            <w:spacing w:line="360" w:lineRule="auto"/>
            <w:rPr>
              <w:highlight w:val="none"/>
            </w:rPr>
          </w:pPr>
          <w:r>
            <w:rPr>
              <w:highlight w:val="none"/>
            </w:rPr>
            <w:fldChar w:fldCharType="end"/>
          </w:r>
        </w:p>
      </w:sdtContent>
    </w:sdt>
    <w:p w14:paraId="4026A106">
      <w:pPr>
        <w:pStyle w:val="2"/>
        <w:ind w:firstLine="560"/>
        <w:rPr>
          <w:highlight w:val="none"/>
        </w:rPr>
      </w:pPr>
    </w:p>
    <w:p w14:paraId="0B86C304">
      <w:pPr>
        <w:jc w:val="center"/>
        <w:outlineLvl w:val="0"/>
        <w:rPr>
          <w:b/>
          <w:sz w:val="24"/>
          <w:highlight w:val="none"/>
        </w:rPr>
        <w:sectPr>
          <w:headerReference r:id="rId6" w:type="first"/>
          <w:footerReference r:id="rId8" w:type="first"/>
          <w:footerReference r:id="rId7" w:type="default"/>
          <w:pgSz w:w="11907" w:h="16839"/>
          <w:pgMar w:top="1440" w:right="1440" w:bottom="1418" w:left="1622" w:header="720" w:footer="794" w:gutter="0"/>
          <w:pgNumType w:start="1"/>
          <w:cols w:space="720" w:num="1"/>
          <w:titlePg/>
          <w:docGrid w:linePitch="286" w:charSpace="0"/>
        </w:sectPr>
      </w:pPr>
      <w:bookmarkStart w:id="0" w:name="_Toc347059207"/>
      <w:bookmarkStart w:id="1" w:name="_Toc12599"/>
    </w:p>
    <w:p w14:paraId="0D343B6A">
      <w:pPr>
        <w:jc w:val="center"/>
        <w:outlineLvl w:val="0"/>
        <w:rPr>
          <w:b/>
          <w:sz w:val="24"/>
          <w:highlight w:val="none"/>
        </w:rPr>
      </w:pPr>
      <w:r>
        <w:rPr>
          <w:b/>
          <w:sz w:val="24"/>
          <w:highlight w:val="none"/>
        </w:rPr>
        <w:t>竞争性磋商邀请</w:t>
      </w:r>
      <w:bookmarkEnd w:id="0"/>
      <w:r>
        <w:rPr>
          <w:b/>
          <w:sz w:val="24"/>
          <w:highlight w:val="none"/>
        </w:rPr>
        <w:t>书</w:t>
      </w:r>
      <w:bookmarkEnd w:id="1"/>
    </w:p>
    <w:p w14:paraId="66536724">
      <w:pPr>
        <w:pStyle w:val="42"/>
        <w:spacing w:before="75" w:beforeAutospacing="0" w:after="330" w:afterAutospacing="0"/>
        <w:ind w:right="720"/>
        <w:textAlignment w:val="baseline"/>
        <w:rPr>
          <w:rFonts w:ascii="Times New Roman" w:hAnsi="Times New Roman"/>
          <w:b/>
          <w:bCs/>
          <w:highlight w:val="none"/>
        </w:rPr>
      </w:pPr>
      <w:r>
        <w:rPr>
          <w:rFonts w:ascii="Times New Roman" w:hAnsi="Times New Roman"/>
          <w:b/>
          <w:bCs/>
          <w:sz w:val="24"/>
          <w:szCs w:val="24"/>
          <w:highlight w:val="none"/>
          <w:shd w:val="clear" w:color="auto" w:fill="FFFFFF"/>
        </w:rPr>
        <w:t>项目概况</w:t>
      </w:r>
    </w:p>
    <w:p w14:paraId="58D600CF">
      <w:pPr>
        <w:pStyle w:val="42"/>
        <w:wordWrap w:val="0"/>
        <w:autoSpaceDN w:val="0"/>
        <w:spacing w:before="0" w:beforeAutospacing="0" w:after="0" w:afterAutospacing="0" w:line="360" w:lineRule="auto"/>
        <w:ind w:firstLine="480" w:firstLineChars="200"/>
        <w:jc w:val="both"/>
        <w:textAlignment w:val="baseline"/>
        <w:rPr>
          <w:rFonts w:ascii="Times New Roman" w:hAnsi="Times New Roman"/>
          <w:sz w:val="24"/>
          <w:szCs w:val="24"/>
          <w:highlight w:val="none"/>
          <w:shd w:val="clear" w:color="auto" w:fill="FFFFFF"/>
        </w:rPr>
      </w:pPr>
      <w:r>
        <w:rPr>
          <w:rFonts w:hint="eastAsia" w:ascii="Times New Roman" w:hAnsi="Times New Roman"/>
          <w:sz w:val="24"/>
          <w:highlight w:val="none"/>
          <w:u w:val="single"/>
        </w:rPr>
        <w:t>中国科学院电工研究所实验室布展服务项目</w:t>
      </w:r>
      <w:r>
        <w:rPr>
          <w:rFonts w:ascii="Times New Roman" w:hAnsi="Times New Roman"/>
          <w:sz w:val="24"/>
          <w:highlight w:val="none"/>
          <w:u w:val="single"/>
        </w:rPr>
        <w:t xml:space="preserve">  </w:t>
      </w:r>
      <w:r>
        <w:rPr>
          <w:rFonts w:ascii="Times New Roman" w:hAnsi="Times New Roman"/>
          <w:sz w:val="24"/>
          <w:szCs w:val="24"/>
          <w:highlight w:val="none"/>
          <w:shd w:val="clear" w:color="auto" w:fill="FFFFFF"/>
        </w:rPr>
        <w:t>的潜在供应商应在</w:t>
      </w:r>
      <w:r>
        <w:rPr>
          <w:highlight w:val="none"/>
        </w:rPr>
        <w:fldChar w:fldCharType="begin"/>
      </w:r>
      <w:r>
        <w:rPr>
          <w:highlight w:val="none"/>
        </w:rPr>
        <w:instrText xml:space="preserve"> HYPERLINK "http://www.oitccas.com/" </w:instrText>
      </w:r>
      <w:r>
        <w:rPr>
          <w:highlight w:val="none"/>
        </w:rPr>
        <w:fldChar w:fldCharType="separate"/>
      </w:r>
      <w:r>
        <w:rPr>
          <w:rStyle w:val="57"/>
          <w:color w:val="auto"/>
          <w:sz w:val="24"/>
          <w:highlight w:val="none"/>
        </w:rPr>
        <w:t>http://www.oitccas.com/</w:t>
      </w:r>
      <w:r>
        <w:rPr>
          <w:rStyle w:val="57"/>
          <w:color w:val="auto"/>
          <w:sz w:val="24"/>
          <w:highlight w:val="none"/>
        </w:rPr>
        <w:fldChar w:fldCharType="end"/>
      </w:r>
      <w:r>
        <w:rPr>
          <w:rFonts w:ascii="Times New Roman" w:hAnsi="Times New Roman"/>
          <w:sz w:val="24"/>
          <w:highlight w:val="none"/>
          <w:u w:val="single"/>
        </w:rPr>
        <w:t xml:space="preserve"> </w:t>
      </w:r>
      <w:r>
        <w:rPr>
          <w:rFonts w:ascii="Times New Roman" w:hAnsi="Times New Roman"/>
          <w:sz w:val="24"/>
          <w:szCs w:val="24"/>
          <w:highlight w:val="none"/>
          <w:shd w:val="clear" w:color="auto" w:fill="FFFFFF"/>
        </w:rPr>
        <w:t xml:space="preserve">获取采购文件，并于 </w:t>
      </w:r>
      <w:r>
        <w:rPr>
          <w:rFonts w:ascii="Times New Roman" w:hAnsi="Times New Roman"/>
          <w:sz w:val="24"/>
          <w:highlight w:val="none"/>
          <w:shd w:val="clear" w:color="auto" w:fill="FFFFFF"/>
        </w:rPr>
        <w:t>2025 年</w:t>
      </w:r>
      <w:r>
        <w:rPr>
          <w:rFonts w:ascii="Times New Roman" w:hAnsi="Times New Roman"/>
          <w:sz w:val="24"/>
          <w:highlight w:val="none"/>
          <w:shd w:val="clear" w:color="auto" w:fill="FFFFFF"/>
        </w:rPr>
        <w:t xml:space="preserve"> </w:t>
      </w:r>
      <w:r>
        <w:rPr>
          <w:rFonts w:hint="eastAsia" w:ascii="Times New Roman" w:hAnsi="Times New Roman"/>
          <w:sz w:val="24"/>
          <w:highlight w:val="none"/>
          <w:shd w:val="clear" w:color="auto" w:fill="FFFFFF"/>
        </w:rPr>
        <w:t>11</w:t>
      </w:r>
      <w:r>
        <w:rPr>
          <w:rFonts w:ascii="Times New Roman" w:hAnsi="Times New Roman"/>
          <w:sz w:val="24"/>
          <w:highlight w:val="none"/>
          <w:shd w:val="clear" w:color="auto" w:fill="FFFFFF"/>
        </w:rPr>
        <w:t xml:space="preserve"> 月 </w:t>
      </w:r>
      <w:r>
        <w:rPr>
          <w:rFonts w:hint="eastAsia" w:ascii="Times New Roman" w:hAnsi="Times New Roman"/>
          <w:sz w:val="24"/>
          <w:highlight w:val="none"/>
          <w:shd w:val="clear" w:color="auto" w:fill="FFFFFF"/>
          <w:lang w:val="en-US" w:eastAsia="zh-CN"/>
        </w:rPr>
        <w:t>18</w:t>
      </w:r>
      <w:r>
        <w:rPr>
          <w:rFonts w:ascii="Times New Roman" w:hAnsi="Times New Roman"/>
          <w:sz w:val="24"/>
          <w:highlight w:val="none"/>
          <w:shd w:val="clear" w:color="auto" w:fill="FFFFFF"/>
        </w:rPr>
        <w:t xml:space="preserve"> 日 </w:t>
      </w:r>
      <w:r>
        <w:rPr>
          <w:rFonts w:hint="eastAsia" w:ascii="Times New Roman" w:hAnsi="Times New Roman"/>
          <w:sz w:val="24"/>
          <w:highlight w:val="none"/>
          <w:shd w:val="clear" w:color="auto" w:fill="FFFFFF"/>
          <w:lang w:val="en-US" w:eastAsia="zh-CN"/>
        </w:rPr>
        <w:t>09</w:t>
      </w:r>
      <w:r>
        <w:rPr>
          <w:rFonts w:ascii="Times New Roman" w:hAnsi="Times New Roman"/>
          <w:sz w:val="24"/>
          <w:highlight w:val="none"/>
          <w:shd w:val="clear" w:color="auto" w:fill="FFFFFF"/>
        </w:rPr>
        <w:t xml:space="preserve"> 点 </w:t>
      </w:r>
      <w:r>
        <w:rPr>
          <w:rFonts w:hint="eastAsia" w:ascii="Times New Roman" w:hAnsi="Times New Roman"/>
          <w:sz w:val="24"/>
          <w:highlight w:val="none"/>
          <w:shd w:val="clear" w:color="auto" w:fill="FFFFFF"/>
          <w:lang w:val="en-US" w:eastAsia="zh-CN"/>
        </w:rPr>
        <w:t>30</w:t>
      </w:r>
      <w:r>
        <w:rPr>
          <w:rFonts w:ascii="Times New Roman" w:hAnsi="Times New Roman"/>
          <w:sz w:val="24"/>
          <w:highlight w:val="none"/>
          <w:shd w:val="clear" w:color="auto" w:fill="FFFFFF"/>
        </w:rPr>
        <w:t xml:space="preserve"> 分</w:t>
      </w:r>
      <w:r>
        <w:rPr>
          <w:rFonts w:ascii="Times New Roman" w:hAnsi="Times New Roman"/>
          <w:sz w:val="24"/>
          <w:szCs w:val="24"/>
          <w:highlight w:val="none"/>
          <w:shd w:val="clear" w:color="auto" w:fill="FFFFFF"/>
        </w:rPr>
        <w:t>（北京时间）前提交响应文件。</w:t>
      </w:r>
    </w:p>
    <w:p w14:paraId="314CDF49">
      <w:pPr>
        <w:pStyle w:val="42"/>
        <w:autoSpaceDN w:val="0"/>
        <w:spacing w:before="0" w:beforeAutospacing="0" w:after="0" w:afterAutospacing="0"/>
        <w:jc w:val="both"/>
        <w:textAlignment w:val="baseline"/>
        <w:rPr>
          <w:rFonts w:ascii="Times New Roman" w:hAnsi="Times New Roman"/>
          <w:highlight w:val="none"/>
        </w:rPr>
      </w:pPr>
    </w:p>
    <w:p w14:paraId="27565B48">
      <w:pPr>
        <w:pStyle w:val="42"/>
        <w:shd w:val="clear" w:color="auto" w:fill="FFFFFF"/>
        <w:spacing w:before="75" w:beforeAutospacing="0" w:after="330" w:afterAutospacing="0"/>
        <w:textAlignment w:val="baseline"/>
        <w:rPr>
          <w:rFonts w:ascii="Times New Roman" w:hAnsi="Times New Roman"/>
          <w:sz w:val="24"/>
          <w:szCs w:val="24"/>
          <w:highlight w:val="none"/>
        </w:rPr>
      </w:pPr>
      <w:r>
        <w:rPr>
          <w:rStyle w:val="55"/>
          <w:b w:val="0"/>
          <w:sz w:val="24"/>
          <w:szCs w:val="24"/>
          <w:highlight w:val="none"/>
          <w:shd w:val="clear" w:color="auto" w:fill="FFFFFF"/>
        </w:rPr>
        <w:t>一、项目基本情况：</w:t>
      </w:r>
    </w:p>
    <w:p w14:paraId="7ACC74F2">
      <w:pPr>
        <w:widowControl/>
        <w:spacing w:line="480" w:lineRule="auto"/>
        <w:jc w:val="left"/>
        <w:rPr>
          <w:kern w:val="0"/>
          <w:sz w:val="24"/>
          <w:szCs w:val="24"/>
          <w:highlight w:val="none"/>
        </w:rPr>
      </w:pPr>
      <w:r>
        <w:rPr>
          <w:kern w:val="0"/>
          <w:sz w:val="24"/>
          <w:szCs w:val="24"/>
          <w:highlight w:val="none"/>
        </w:rPr>
        <w:t>项目编号：</w:t>
      </w:r>
      <w:r>
        <w:rPr>
          <w:kern w:val="0"/>
          <w:sz w:val="24"/>
          <w:szCs w:val="24"/>
          <w:highlight w:val="none"/>
          <w:u w:val="single"/>
        </w:rPr>
        <w:t xml:space="preserve">  </w:t>
      </w:r>
      <w:r>
        <w:rPr>
          <w:rFonts w:hint="eastAsia"/>
          <w:kern w:val="0"/>
          <w:sz w:val="24"/>
          <w:szCs w:val="24"/>
          <w:highlight w:val="none"/>
          <w:u w:val="single"/>
        </w:rPr>
        <w:t>OITC-G250171964</w:t>
      </w:r>
      <w:r>
        <w:rPr>
          <w:kern w:val="0"/>
          <w:sz w:val="24"/>
          <w:szCs w:val="24"/>
          <w:highlight w:val="none"/>
          <w:u w:val="single"/>
        </w:rPr>
        <w:t xml:space="preserve">  </w:t>
      </w:r>
    </w:p>
    <w:p w14:paraId="1D247B52">
      <w:pPr>
        <w:widowControl/>
        <w:spacing w:line="480" w:lineRule="auto"/>
        <w:ind w:left="1200" w:hanging="1200" w:hangingChars="500"/>
        <w:jc w:val="left"/>
        <w:rPr>
          <w:kern w:val="0"/>
          <w:sz w:val="24"/>
          <w:szCs w:val="24"/>
          <w:highlight w:val="none"/>
        </w:rPr>
      </w:pPr>
      <w:r>
        <w:rPr>
          <w:kern w:val="0"/>
          <w:sz w:val="24"/>
          <w:szCs w:val="24"/>
          <w:highlight w:val="none"/>
        </w:rPr>
        <w:t>项目名称：</w:t>
      </w:r>
      <w:r>
        <w:rPr>
          <w:kern w:val="0"/>
          <w:sz w:val="24"/>
          <w:szCs w:val="24"/>
          <w:highlight w:val="none"/>
          <w:u w:val="single"/>
        </w:rPr>
        <w:t xml:space="preserve">  </w:t>
      </w:r>
      <w:r>
        <w:rPr>
          <w:rFonts w:hint="eastAsia"/>
          <w:sz w:val="24"/>
          <w:szCs w:val="24"/>
          <w:highlight w:val="none"/>
          <w:u w:val="single"/>
        </w:rPr>
        <w:t>中国科学院电工研究所实验室布展服务项目</w:t>
      </w:r>
      <w:r>
        <w:rPr>
          <w:sz w:val="24"/>
          <w:szCs w:val="24"/>
          <w:highlight w:val="none"/>
          <w:u w:val="single"/>
        </w:rPr>
        <w:t xml:space="preserve">  </w:t>
      </w:r>
    </w:p>
    <w:p w14:paraId="122FD65E">
      <w:pPr>
        <w:pStyle w:val="42"/>
        <w:shd w:val="clear" w:color="auto" w:fill="FFFFFF"/>
        <w:spacing w:before="0" w:beforeAutospacing="0" w:after="0" w:afterAutospacing="0" w:line="480" w:lineRule="auto"/>
        <w:textAlignment w:val="baseline"/>
        <w:rPr>
          <w:rFonts w:ascii="Times New Roman" w:hAnsi="Times New Roman"/>
          <w:sz w:val="24"/>
          <w:szCs w:val="24"/>
          <w:highlight w:val="none"/>
        </w:rPr>
      </w:pPr>
      <w:r>
        <w:rPr>
          <w:rFonts w:ascii="Times New Roman" w:hAnsi="Times New Roman"/>
          <w:sz w:val="24"/>
          <w:szCs w:val="24"/>
          <w:highlight w:val="none"/>
          <w:shd w:val="clear" w:color="auto" w:fill="FFFFFF"/>
        </w:rPr>
        <w:t>采购方式：竞争性磋商</w:t>
      </w:r>
    </w:p>
    <w:p w14:paraId="2A62C649">
      <w:pPr>
        <w:widowControl/>
        <w:spacing w:line="480" w:lineRule="auto"/>
        <w:jc w:val="left"/>
        <w:rPr>
          <w:kern w:val="0"/>
          <w:sz w:val="24"/>
          <w:szCs w:val="24"/>
          <w:highlight w:val="none"/>
        </w:rPr>
      </w:pPr>
      <w:r>
        <w:rPr>
          <w:kern w:val="0"/>
          <w:sz w:val="24"/>
          <w:szCs w:val="24"/>
          <w:highlight w:val="none"/>
        </w:rPr>
        <w:t>预算金额：</w:t>
      </w:r>
      <w:r>
        <w:rPr>
          <w:kern w:val="0"/>
          <w:sz w:val="24"/>
          <w:szCs w:val="24"/>
          <w:highlight w:val="none"/>
          <w:u w:val="single"/>
        </w:rPr>
        <w:t xml:space="preserve">  </w:t>
      </w:r>
      <w:r>
        <w:rPr>
          <w:rFonts w:hint="eastAsia"/>
          <w:kern w:val="0"/>
          <w:sz w:val="24"/>
          <w:szCs w:val="24"/>
          <w:highlight w:val="none"/>
          <w:u w:val="single"/>
        </w:rPr>
        <w:t>50</w:t>
      </w:r>
      <w:r>
        <w:rPr>
          <w:kern w:val="0"/>
          <w:sz w:val="24"/>
          <w:szCs w:val="24"/>
          <w:highlight w:val="none"/>
          <w:u w:val="single"/>
        </w:rPr>
        <w:t xml:space="preserve">  </w:t>
      </w:r>
      <w:r>
        <w:rPr>
          <w:kern w:val="0"/>
          <w:sz w:val="24"/>
          <w:szCs w:val="24"/>
          <w:highlight w:val="none"/>
        </w:rPr>
        <w:t>万元（人民币）</w:t>
      </w:r>
    </w:p>
    <w:p w14:paraId="21476CE7">
      <w:pPr>
        <w:widowControl/>
        <w:spacing w:line="480" w:lineRule="auto"/>
        <w:jc w:val="left"/>
        <w:rPr>
          <w:kern w:val="0"/>
          <w:sz w:val="24"/>
          <w:szCs w:val="24"/>
          <w:highlight w:val="none"/>
        </w:rPr>
      </w:pPr>
      <w:r>
        <w:rPr>
          <w:kern w:val="0"/>
          <w:sz w:val="24"/>
          <w:szCs w:val="24"/>
          <w:highlight w:val="none"/>
        </w:rPr>
        <w:t>最高限价：</w:t>
      </w:r>
      <w:r>
        <w:rPr>
          <w:kern w:val="0"/>
          <w:sz w:val="24"/>
          <w:szCs w:val="24"/>
          <w:highlight w:val="none"/>
          <w:u w:val="single"/>
        </w:rPr>
        <w:t xml:space="preserve">  </w:t>
      </w:r>
      <w:r>
        <w:rPr>
          <w:rFonts w:hint="eastAsia"/>
          <w:kern w:val="0"/>
          <w:sz w:val="24"/>
          <w:szCs w:val="24"/>
          <w:highlight w:val="none"/>
          <w:u w:val="single"/>
        </w:rPr>
        <w:t>50</w:t>
      </w:r>
      <w:r>
        <w:rPr>
          <w:kern w:val="0"/>
          <w:sz w:val="24"/>
          <w:szCs w:val="24"/>
          <w:highlight w:val="none"/>
          <w:u w:val="single"/>
        </w:rPr>
        <w:t xml:space="preserve">  </w:t>
      </w:r>
      <w:r>
        <w:rPr>
          <w:kern w:val="0"/>
          <w:sz w:val="24"/>
          <w:szCs w:val="24"/>
          <w:highlight w:val="none"/>
        </w:rPr>
        <w:t>万元（人民币）</w:t>
      </w:r>
    </w:p>
    <w:p w14:paraId="78A339D2">
      <w:pPr>
        <w:pStyle w:val="42"/>
        <w:shd w:val="clear" w:color="auto" w:fill="FFFFFF"/>
        <w:spacing w:before="75" w:beforeAutospacing="0" w:after="330" w:afterAutospacing="0"/>
        <w:textAlignment w:val="baseline"/>
        <w:rPr>
          <w:rFonts w:ascii="Times New Roman" w:hAnsi="Times New Roman"/>
          <w:sz w:val="24"/>
          <w:szCs w:val="24"/>
          <w:highlight w:val="none"/>
        </w:rPr>
      </w:pPr>
      <w:r>
        <w:rPr>
          <w:rFonts w:ascii="Times New Roman" w:hAnsi="Times New Roman"/>
          <w:sz w:val="24"/>
          <w:szCs w:val="24"/>
          <w:highlight w:val="none"/>
        </w:rPr>
        <w:t>采购需求：</w:t>
      </w:r>
    </w:p>
    <w:p w14:paraId="0ADBE555">
      <w:pPr>
        <w:widowControl/>
        <w:adjustRightInd w:val="0"/>
        <w:snapToGrid w:val="0"/>
        <w:spacing w:before="120" w:beforeLines="50" w:after="100" w:afterAutospacing="1"/>
        <w:jc w:val="left"/>
        <w:rPr>
          <w:rStyle w:val="55"/>
          <w:b w:val="0"/>
          <w:sz w:val="24"/>
          <w:highlight w:val="none"/>
        </w:rPr>
      </w:pPr>
      <w:r>
        <w:rPr>
          <w:rStyle w:val="55"/>
          <w:b w:val="0"/>
          <w:sz w:val="24"/>
          <w:highlight w:val="none"/>
        </w:rPr>
        <w:t>1、</w:t>
      </w:r>
      <w:r>
        <w:rPr>
          <w:rStyle w:val="55"/>
          <w:rFonts w:hint="eastAsia"/>
          <w:b w:val="0"/>
          <w:sz w:val="24"/>
          <w:highlight w:val="none"/>
        </w:rPr>
        <w:t>服务</w:t>
      </w:r>
      <w:r>
        <w:rPr>
          <w:rStyle w:val="55"/>
          <w:b w:val="0"/>
          <w:sz w:val="24"/>
          <w:highlight w:val="none"/>
        </w:rPr>
        <w:t>名称、</w:t>
      </w:r>
      <w:r>
        <w:rPr>
          <w:rStyle w:val="55"/>
          <w:rFonts w:hint="eastAsia"/>
          <w:b w:val="0"/>
          <w:sz w:val="24"/>
          <w:highlight w:val="none"/>
        </w:rPr>
        <w:t>服务期限</w:t>
      </w:r>
      <w:r>
        <w:rPr>
          <w:rStyle w:val="55"/>
          <w:b w:val="0"/>
          <w:sz w:val="24"/>
          <w:highlight w:val="none"/>
        </w:rPr>
        <w:t>：</w:t>
      </w:r>
    </w:p>
    <w:tbl>
      <w:tblPr>
        <w:tblStyle w:val="46"/>
        <w:tblW w:w="48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1"/>
        <w:gridCol w:w="1255"/>
        <w:gridCol w:w="2238"/>
        <w:gridCol w:w="1977"/>
        <w:gridCol w:w="1420"/>
        <w:gridCol w:w="1372"/>
      </w:tblGrid>
      <w:tr w14:paraId="5DD40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6" w:hRule="atLeast"/>
          <w:jc w:val="center"/>
        </w:trPr>
        <w:tc>
          <w:tcPr>
            <w:tcW w:w="313" w:type="pct"/>
            <w:vAlign w:val="center"/>
          </w:tcPr>
          <w:p w14:paraId="2C922BD6">
            <w:pPr>
              <w:jc w:val="center"/>
              <w:rPr>
                <w:bCs/>
                <w:sz w:val="24"/>
                <w:highlight w:val="none"/>
              </w:rPr>
            </w:pPr>
            <w:r>
              <w:rPr>
                <w:bCs/>
                <w:sz w:val="24"/>
                <w:highlight w:val="none"/>
              </w:rPr>
              <w:t>包号</w:t>
            </w:r>
          </w:p>
        </w:tc>
        <w:tc>
          <w:tcPr>
            <w:tcW w:w="712" w:type="pct"/>
            <w:vAlign w:val="center"/>
          </w:tcPr>
          <w:p w14:paraId="4BD6B8D0">
            <w:pPr>
              <w:jc w:val="center"/>
              <w:rPr>
                <w:bCs/>
                <w:sz w:val="24"/>
                <w:highlight w:val="none"/>
              </w:rPr>
            </w:pPr>
            <w:r>
              <w:rPr>
                <w:rFonts w:hint="eastAsia"/>
                <w:bCs/>
                <w:sz w:val="24"/>
                <w:highlight w:val="none"/>
              </w:rPr>
              <w:t>服务</w:t>
            </w:r>
            <w:r>
              <w:rPr>
                <w:bCs/>
                <w:sz w:val="24"/>
                <w:highlight w:val="none"/>
              </w:rPr>
              <w:t>名称</w:t>
            </w:r>
          </w:p>
        </w:tc>
        <w:tc>
          <w:tcPr>
            <w:tcW w:w="1269" w:type="pct"/>
            <w:vAlign w:val="center"/>
          </w:tcPr>
          <w:p w14:paraId="24612952">
            <w:pPr>
              <w:jc w:val="center"/>
              <w:rPr>
                <w:bCs/>
                <w:sz w:val="24"/>
                <w:highlight w:val="none"/>
              </w:rPr>
            </w:pPr>
            <w:r>
              <w:rPr>
                <w:rFonts w:hint="eastAsia"/>
                <w:bCs/>
                <w:sz w:val="24"/>
                <w:highlight w:val="none"/>
              </w:rPr>
              <w:t>服务期限</w:t>
            </w:r>
          </w:p>
        </w:tc>
        <w:tc>
          <w:tcPr>
            <w:tcW w:w="1121" w:type="pct"/>
            <w:vAlign w:val="center"/>
          </w:tcPr>
          <w:p w14:paraId="423F048D">
            <w:pPr>
              <w:jc w:val="center"/>
              <w:rPr>
                <w:bCs/>
                <w:sz w:val="24"/>
                <w:highlight w:val="none"/>
              </w:rPr>
            </w:pPr>
            <w:r>
              <w:rPr>
                <w:bCs/>
                <w:sz w:val="24"/>
                <w:highlight w:val="none"/>
              </w:rPr>
              <w:t>是否允许采购进口产品及服务</w:t>
            </w:r>
          </w:p>
        </w:tc>
        <w:tc>
          <w:tcPr>
            <w:tcW w:w="805" w:type="pct"/>
            <w:vAlign w:val="center"/>
          </w:tcPr>
          <w:p w14:paraId="344C3E57">
            <w:pPr>
              <w:widowControl/>
              <w:jc w:val="center"/>
              <w:rPr>
                <w:bCs/>
                <w:sz w:val="24"/>
                <w:highlight w:val="none"/>
              </w:rPr>
            </w:pPr>
            <w:r>
              <w:rPr>
                <w:bCs/>
                <w:sz w:val="24"/>
                <w:highlight w:val="none"/>
              </w:rPr>
              <w:t>采购预算</w:t>
            </w:r>
          </w:p>
          <w:p w14:paraId="4CF6DC0F">
            <w:pPr>
              <w:widowControl/>
              <w:jc w:val="center"/>
              <w:rPr>
                <w:bCs/>
                <w:sz w:val="24"/>
                <w:highlight w:val="none"/>
              </w:rPr>
            </w:pPr>
            <w:r>
              <w:rPr>
                <w:bCs/>
                <w:sz w:val="24"/>
                <w:highlight w:val="none"/>
              </w:rPr>
              <w:t>（人民币）</w:t>
            </w:r>
          </w:p>
        </w:tc>
        <w:tc>
          <w:tcPr>
            <w:tcW w:w="778" w:type="pct"/>
            <w:vAlign w:val="center"/>
          </w:tcPr>
          <w:p w14:paraId="397902CB">
            <w:pPr>
              <w:widowControl/>
              <w:jc w:val="center"/>
              <w:rPr>
                <w:bCs/>
                <w:sz w:val="24"/>
                <w:highlight w:val="none"/>
              </w:rPr>
            </w:pPr>
            <w:r>
              <w:rPr>
                <w:bCs/>
                <w:sz w:val="24"/>
                <w:highlight w:val="none"/>
              </w:rPr>
              <w:t>最高限价</w:t>
            </w:r>
          </w:p>
          <w:p w14:paraId="4F8D7E36">
            <w:pPr>
              <w:widowControl/>
              <w:jc w:val="center"/>
              <w:rPr>
                <w:bCs/>
                <w:sz w:val="24"/>
                <w:highlight w:val="none"/>
              </w:rPr>
            </w:pPr>
            <w:r>
              <w:rPr>
                <w:bCs/>
                <w:sz w:val="24"/>
                <w:highlight w:val="none"/>
              </w:rPr>
              <w:t>（人民币）</w:t>
            </w:r>
          </w:p>
        </w:tc>
      </w:tr>
      <w:tr w14:paraId="6748A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313" w:type="pct"/>
            <w:tcBorders>
              <w:top w:val="single" w:color="auto" w:sz="4" w:space="0"/>
              <w:left w:val="single" w:color="auto" w:sz="4" w:space="0"/>
              <w:right w:val="single" w:color="auto" w:sz="4" w:space="0"/>
            </w:tcBorders>
            <w:vAlign w:val="center"/>
          </w:tcPr>
          <w:p w14:paraId="65F89E1A">
            <w:pPr>
              <w:jc w:val="center"/>
              <w:rPr>
                <w:sz w:val="24"/>
                <w:highlight w:val="none"/>
              </w:rPr>
            </w:pPr>
            <w:r>
              <w:rPr>
                <w:sz w:val="24"/>
                <w:highlight w:val="none"/>
              </w:rPr>
              <w:t>1</w:t>
            </w:r>
          </w:p>
        </w:tc>
        <w:tc>
          <w:tcPr>
            <w:tcW w:w="712" w:type="pct"/>
            <w:tcBorders>
              <w:top w:val="single" w:color="auto" w:sz="4" w:space="0"/>
              <w:left w:val="single" w:color="auto" w:sz="4" w:space="0"/>
              <w:bottom w:val="single" w:color="auto" w:sz="4" w:space="0"/>
              <w:right w:val="single" w:color="auto" w:sz="4" w:space="0"/>
            </w:tcBorders>
            <w:vAlign w:val="center"/>
          </w:tcPr>
          <w:p w14:paraId="15F011F8">
            <w:pPr>
              <w:jc w:val="center"/>
              <w:rPr>
                <w:sz w:val="24"/>
                <w:highlight w:val="none"/>
              </w:rPr>
            </w:pPr>
            <w:r>
              <w:rPr>
                <w:rFonts w:hint="eastAsia"/>
                <w:bCs/>
                <w:sz w:val="24"/>
                <w:highlight w:val="none"/>
              </w:rPr>
              <w:t>实验室布展服务</w:t>
            </w:r>
          </w:p>
        </w:tc>
        <w:tc>
          <w:tcPr>
            <w:tcW w:w="1269" w:type="pct"/>
            <w:tcBorders>
              <w:top w:val="single" w:color="auto" w:sz="4" w:space="0"/>
              <w:left w:val="single" w:color="auto" w:sz="4" w:space="0"/>
              <w:bottom w:val="single" w:color="auto" w:sz="4" w:space="0"/>
              <w:right w:val="single" w:color="auto" w:sz="4" w:space="0"/>
            </w:tcBorders>
            <w:vAlign w:val="center"/>
          </w:tcPr>
          <w:p w14:paraId="487D45E7">
            <w:pPr>
              <w:jc w:val="center"/>
              <w:rPr>
                <w:sz w:val="24"/>
                <w:highlight w:val="none"/>
              </w:rPr>
            </w:pPr>
            <w:r>
              <w:rPr>
                <w:rFonts w:hint="eastAsia" w:asciiTheme="majorEastAsia" w:hAnsiTheme="majorEastAsia" w:eastAsiaTheme="majorEastAsia"/>
                <w:sz w:val="24"/>
                <w:highlight w:val="none"/>
              </w:rPr>
              <w:t>自合同签订后40日内具备验收条件。</w:t>
            </w:r>
          </w:p>
        </w:tc>
        <w:tc>
          <w:tcPr>
            <w:tcW w:w="1121" w:type="pct"/>
            <w:tcBorders>
              <w:top w:val="single" w:color="auto" w:sz="4" w:space="0"/>
              <w:left w:val="single" w:color="auto" w:sz="4" w:space="0"/>
              <w:right w:val="single" w:color="auto" w:sz="4" w:space="0"/>
            </w:tcBorders>
            <w:vAlign w:val="center"/>
          </w:tcPr>
          <w:p w14:paraId="5BCAF4E2">
            <w:pPr>
              <w:jc w:val="center"/>
              <w:rPr>
                <w:sz w:val="24"/>
                <w:highlight w:val="none"/>
              </w:rPr>
            </w:pPr>
            <w:r>
              <w:rPr>
                <w:rFonts w:hint="eastAsia"/>
                <w:sz w:val="24"/>
                <w:highlight w:val="none"/>
              </w:rPr>
              <w:t>否</w:t>
            </w:r>
          </w:p>
        </w:tc>
        <w:tc>
          <w:tcPr>
            <w:tcW w:w="805" w:type="pct"/>
            <w:tcBorders>
              <w:top w:val="single" w:color="auto" w:sz="4" w:space="0"/>
              <w:left w:val="single" w:color="auto" w:sz="4" w:space="0"/>
              <w:right w:val="single" w:color="auto" w:sz="4" w:space="0"/>
            </w:tcBorders>
            <w:vAlign w:val="center"/>
          </w:tcPr>
          <w:p w14:paraId="4A76764A">
            <w:pPr>
              <w:jc w:val="center"/>
              <w:rPr>
                <w:sz w:val="24"/>
                <w:highlight w:val="none"/>
              </w:rPr>
            </w:pPr>
            <w:r>
              <w:rPr>
                <w:rFonts w:hint="eastAsia"/>
                <w:sz w:val="24"/>
                <w:highlight w:val="none"/>
              </w:rPr>
              <w:t>50</w:t>
            </w:r>
            <w:r>
              <w:rPr>
                <w:sz w:val="24"/>
                <w:highlight w:val="none"/>
              </w:rPr>
              <w:t>万元</w:t>
            </w:r>
          </w:p>
        </w:tc>
        <w:tc>
          <w:tcPr>
            <w:tcW w:w="778" w:type="pct"/>
            <w:tcBorders>
              <w:top w:val="single" w:color="auto" w:sz="4" w:space="0"/>
              <w:left w:val="single" w:color="auto" w:sz="4" w:space="0"/>
              <w:right w:val="single" w:color="auto" w:sz="4" w:space="0"/>
            </w:tcBorders>
            <w:vAlign w:val="center"/>
          </w:tcPr>
          <w:p w14:paraId="395BFAA8">
            <w:pPr>
              <w:jc w:val="center"/>
              <w:rPr>
                <w:sz w:val="24"/>
                <w:highlight w:val="none"/>
              </w:rPr>
            </w:pPr>
            <w:r>
              <w:rPr>
                <w:rFonts w:hint="eastAsia"/>
                <w:sz w:val="24"/>
                <w:highlight w:val="none"/>
              </w:rPr>
              <w:t>50</w:t>
            </w:r>
            <w:r>
              <w:rPr>
                <w:sz w:val="24"/>
                <w:highlight w:val="none"/>
              </w:rPr>
              <w:t>万元</w:t>
            </w:r>
          </w:p>
        </w:tc>
      </w:tr>
    </w:tbl>
    <w:p w14:paraId="0EE489EA">
      <w:pPr>
        <w:rPr>
          <w:highlight w:val="none"/>
        </w:rPr>
      </w:pPr>
    </w:p>
    <w:p w14:paraId="10EE211E">
      <w:pPr>
        <w:widowControl/>
        <w:tabs>
          <w:tab w:val="left" w:pos="-360"/>
        </w:tabs>
        <w:autoSpaceDE w:val="0"/>
        <w:autoSpaceDN w:val="0"/>
        <w:snapToGrid w:val="0"/>
        <w:spacing w:before="120" w:beforeLines="50" w:line="360" w:lineRule="exact"/>
        <w:ind w:firstLine="480" w:firstLineChars="200"/>
        <w:textAlignment w:val="bottom"/>
        <w:rPr>
          <w:highlight w:val="none"/>
        </w:rPr>
      </w:pPr>
      <w:r>
        <w:rPr>
          <w:sz w:val="24"/>
          <w:highlight w:val="none"/>
        </w:rPr>
        <w:t>供应商须以包为单位对该包中的全部内容进行响应，不得拆分，不完整的报价将被拒绝。竞争性磋商及评审、推荐成交供应商以包为单位。</w:t>
      </w:r>
    </w:p>
    <w:p w14:paraId="31D0A882">
      <w:pPr>
        <w:widowControl/>
        <w:adjustRightInd w:val="0"/>
        <w:snapToGrid w:val="0"/>
        <w:spacing w:before="100" w:beforeAutospacing="1" w:after="100" w:afterAutospacing="1"/>
        <w:jc w:val="left"/>
        <w:rPr>
          <w:kern w:val="0"/>
          <w:sz w:val="24"/>
          <w:highlight w:val="none"/>
        </w:rPr>
      </w:pPr>
      <w:r>
        <w:rPr>
          <w:sz w:val="24"/>
          <w:highlight w:val="none"/>
        </w:rPr>
        <w:t>2、技术要求详见公告附件。</w:t>
      </w:r>
    </w:p>
    <w:p w14:paraId="49BA1F6C">
      <w:pPr>
        <w:widowControl/>
        <w:adjustRightInd w:val="0"/>
        <w:snapToGrid w:val="0"/>
        <w:spacing w:before="100" w:beforeAutospacing="1" w:after="100" w:afterAutospacing="1"/>
        <w:jc w:val="left"/>
        <w:rPr>
          <w:sz w:val="24"/>
          <w:highlight w:val="none"/>
        </w:rPr>
      </w:pPr>
      <w:r>
        <w:rPr>
          <w:sz w:val="24"/>
          <w:highlight w:val="none"/>
        </w:rPr>
        <w:t>合同履行期限：</w:t>
      </w:r>
      <w:r>
        <w:rPr>
          <w:sz w:val="24"/>
          <w:highlight w:val="none"/>
          <w:u w:val="single"/>
        </w:rPr>
        <w:t xml:space="preserve">          详见项目需求           </w:t>
      </w:r>
    </w:p>
    <w:p w14:paraId="3E807464">
      <w:pPr>
        <w:widowControl/>
        <w:jc w:val="left"/>
        <w:rPr>
          <w:sz w:val="24"/>
          <w:highlight w:val="none"/>
        </w:rPr>
      </w:pPr>
      <w:r>
        <w:rPr>
          <w:sz w:val="24"/>
          <w:highlight w:val="none"/>
        </w:rPr>
        <w:t>本项目</w:t>
      </w:r>
      <w:r>
        <w:rPr>
          <w:sz w:val="24"/>
          <w:highlight w:val="none"/>
          <w:u w:val="single"/>
        </w:rPr>
        <w:t xml:space="preserve"> </w:t>
      </w:r>
      <w:r>
        <w:rPr>
          <w:b/>
          <w:bCs/>
          <w:sz w:val="24"/>
          <w:highlight w:val="none"/>
          <w:u w:val="single"/>
        </w:rPr>
        <w:t xml:space="preserve">不接受  </w:t>
      </w:r>
      <w:r>
        <w:rPr>
          <w:sz w:val="24"/>
          <w:highlight w:val="none"/>
        </w:rPr>
        <w:t>联合体响应。</w:t>
      </w:r>
    </w:p>
    <w:p w14:paraId="2DA22D5C">
      <w:pPr>
        <w:pStyle w:val="27"/>
        <w:rPr>
          <w:rFonts w:ascii="Times New Roman" w:hAnsi="Times New Roman"/>
          <w:highlight w:val="none"/>
        </w:rPr>
      </w:pPr>
    </w:p>
    <w:p w14:paraId="6642CBC2">
      <w:pPr>
        <w:pStyle w:val="42"/>
        <w:shd w:val="clear" w:color="auto" w:fill="FFFFFF"/>
        <w:spacing w:before="75" w:beforeAutospacing="0" w:after="330" w:afterAutospacing="0"/>
        <w:textAlignment w:val="baseline"/>
        <w:rPr>
          <w:rFonts w:ascii="Times New Roman" w:hAnsi="Times New Roman"/>
          <w:sz w:val="24"/>
          <w:szCs w:val="24"/>
          <w:highlight w:val="none"/>
        </w:rPr>
      </w:pPr>
      <w:r>
        <w:rPr>
          <w:rStyle w:val="55"/>
          <w:b w:val="0"/>
          <w:sz w:val="24"/>
          <w:szCs w:val="24"/>
          <w:highlight w:val="none"/>
          <w:shd w:val="clear" w:color="auto" w:fill="FFFFFF"/>
        </w:rPr>
        <w:t>二、申请人的资格要求：</w:t>
      </w:r>
    </w:p>
    <w:p w14:paraId="29AA36CC">
      <w:pPr>
        <w:pStyle w:val="42"/>
        <w:shd w:val="clear" w:color="auto" w:fill="FFFFFF"/>
        <w:spacing w:before="75" w:beforeAutospacing="0" w:after="330" w:afterAutospacing="0"/>
        <w:textAlignment w:val="baseline"/>
        <w:rPr>
          <w:rFonts w:ascii="Times New Roman" w:hAnsi="Times New Roman"/>
          <w:sz w:val="24"/>
          <w:szCs w:val="24"/>
          <w:highlight w:val="none"/>
        </w:rPr>
      </w:pPr>
      <w:r>
        <w:rPr>
          <w:rFonts w:ascii="Times New Roman" w:hAnsi="Times New Roman"/>
          <w:sz w:val="24"/>
          <w:szCs w:val="24"/>
          <w:highlight w:val="none"/>
          <w:shd w:val="clear" w:color="auto" w:fill="FFFFFF"/>
        </w:rPr>
        <w:t>1.满足《中华人民共和国政府采购法》第二十二条规定；</w:t>
      </w:r>
    </w:p>
    <w:p w14:paraId="7BE5EB45">
      <w:pPr>
        <w:pStyle w:val="42"/>
        <w:shd w:val="clear" w:color="auto" w:fill="FFFFFF"/>
        <w:spacing w:before="75" w:beforeAutospacing="0" w:after="330" w:afterAutospacing="0"/>
        <w:textAlignment w:val="baseline"/>
        <w:rPr>
          <w:rFonts w:ascii="Times New Roman" w:hAnsi="Times New Roman"/>
          <w:sz w:val="24"/>
          <w:szCs w:val="24"/>
          <w:highlight w:val="none"/>
        </w:rPr>
      </w:pPr>
      <w:r>
        <w:rPr>
          <w:rFonts w:ascii="Times New Roman" w:hAnsi="Times New Roman"/>
          <w:sz w:val="24"/>
          <w:szCs w:val="24"/>
          <w:highlight w:val="none"/>
          <w:shd w:val="clear" w:color="auto" w:fill="FFFFFF"/>
        </w:rPr>
        <w:t>2.落实政府采购政策需满足的资格要求：</w:t>
      </w:r>
    </w:p>
    <w:p w14:paraId="15ED27C5">
      <w:pPr>
        <w:widowControl/>
        <w:adjustRightInd w:val="0"/>
        <w:snapToGrid w:val="0"/>
        <w:spacing w:before="100" w:beforeAutospacing="1" w:after="100" w:afterAutospacing="1"/>
        <w:jc w:val="left"/>
        <w:rPr>
          <w:sz w:val="24"/>
          <w:highlight w:val="none"/>
        </w:rPr>
      </w:pPr>
      <w:r>
        <w:rPr>
          <w:sz w:val="24"/>
          <w:highlight w:val="none"/>
        </w:rPr>
        <w:t>本项目</w:t>
      </w:r>
      <w:r>
        <w:rPr>
          <w:sz w:val="24"/>
          <w:highlight w:val="none"/>
          <w:u w:val="single"/>
        </w:rPr>
        <w:t xml:space="preserve"> </w:t>
      </w:r>
      <w:r>
        <w:rPr>
          <w:b/>
          <w:bCs/>
          <w:sz w:val="24"/>
          <w:highlight w:val="none"/>
          <w:u w:val="single"/>
        </w:rPr>
        <w:t xml:space="preserve">不属于 </w:t>
      </w:r>
      <w:r>
        <w:rPr>
          <w:sz w:val="24"/>
          <w:highlight w:val="none"/>
        </w:rPr>
        <w:t>专门面向中小微企业、监狱企业、残疾人福利性单位采购的项目。</w:t>
      </w:r>
    </w:p>
    <w:p w14:paraId="62275631">
      <w:pPr>
        <w:pStyle w:val="42"/>
        <w:shd w:val="clear" w:color="auto" w:fill="FFFFFF"/>
        <w:spacing w:before="75" w:beforeAutospacing="0" w:after="330" w:afterAutospacing="0"/>
        <w:textAlignment w:val="baseline"/>
        <w:rPr>
          <w:rFonts w:ascii="Times New Roman" w:hAnsi="Times New Roman"/>
          <w:sz w:val="24"/>
          <w:szCs w:val="24"/>
          <w:highlight w:val="none"/>
          <w:shd w:val="clear" w:color="auto" w:fill="FFFFFF"/>
        </w:rPr>
      </w:pPr>
      <w:r>
        <w:rPr>
          <w:rFonts w:ascii="Times New Roman" w:hAnsi="Times New Roman"/>
          <w:sz w:val="24"/>
          <w:szCs w:val="24"/>
          <w:highlight w:val="none"/>
          <w:shd w:val="clear" w:color="auto" w:fill="FFFFFF"/>
        </w:rPr>
        <w:t>3.本项目的特定资格要求：</w:t>
      </w:r>
    </w:p>
    <w:p w14:paraId="2E727AE6">
      <w:pPr>
        <w:pStyle w:val="42"/>
        <w:shd w:val="clear" w:color="auto" w:fill="FFFFFF"/>
        <w:spacing w:before="0" w:beforeAutospacing="0" w:after="0" w:afterAutospacing="0" w:line="360" w:lineRule="auto"/>
        <w:textAlignment w:val="baseline"/>
        <w:rPr>
          <w:rFonts w:ascii="Times New Roman" w:hAnsi="Times New Roman"/>
          <w:sz w:val="24"/>
          <w:szCs w:val="24"/>
          <w:highlight w:val="none"/>
          <w:shd w:val="clear" w:color="auto" w:fill="FFFFFF"/>
        </w:rPr>
      </w:pPr>
      <w:r>
        <w:rPr>
          <w:rFonts w:ascii="Times New Roman" w:hAnsi="Times New Roman"/>
          <w:sz w:val="24"/>
          <w:szCs w:val="24"/>
          <w:highlight w:val="none"/>
          <w:shd w:val="clear" w:color="auto" w:fill="FFFFFF"/>
        </w:rPr>
        <w:t>（1）在中华人民共和国境内依法注册的，具有独立承担民事责任能力，遵守国家法律法规，具有良好信誉，具有履行合同能力和良好的履行合同的记录，具有良好资金、财务状况的企事业法人、其他组织或者自然人；</w:t>
      </w:r>
    </w:p>
    <w:p w14:paraId="2A06DCBB">
      <w:pPr>
        <w:pStyle w:val="42"/>
        <w:shd w:val="clear" w:color="auto" w:fill="FFFFFF"/>
        <w:spacing w:before="0" w:beforeAutospacing="0" w:after="0" w:afterAutospacing="0" w:line="360" w:lineRule="auto"/>
        <w:textAlignment w:val="baseline"/>
        <w:rPr>
          <w:rFonts w:ascii="Times New Roman" w:hAnsi="Times New Roman"/>
          <w:sz w:val="24"/>
          <w:szCs w:val="24"/>
          <w:highlight w:val="none"/>
          <w:shd w:val="clear" w:color="auto" w:fill="FFFFFF"/>
        </w:rPr>
      </w:pPr>
      <w:r>
        <w:rPr>
          <w:rFonts w:ascii="Times New Roman" w:hAnsi="Times New Roman"/>
          <w:sz w:val="24"/>
          <w:szCs w:val="24"/>
          <w:highlight w:val="none"/>
          <w:shd w:val="clear" w:color="auto" w:fill="FFFFFF"/>
        </w:rPr>
        <w:t>（2）为本项目提供整体设计、规范编制或者项目管理、监理、检测等服务的供应商，不得参加本项目响应；</w:t>
      </w:r>
    </w:p>
    <w:p w14:paraId="5AE7400A">
      <w:pPr>
        <w:pStyle w:val="42"/>
        <w:shd w:val="clear" w:color="auto" w:fill="FFFFFF"/>
        <w:spacing w:before="0" w:beforeAutospacing="0" w:after="0" w:afterAutospacing="0" w:line="360" w:lineRule="auto"/>
        <w:textAlignment w:val="baseline"/>
        <w:rPr>
          <w:rFonts w:ascii="Times New Roman" w:hAnsi="Times New Roman"/>
          <w:sz w:val="24"/>
          <w:szCs w:val="24"/>
          <w:highlight w:val="none"/>
          <w:shd w:val="clear" w:color="auto" w:fill="FFFFFF"/>
        </w:rPr>
      </w:pPr>
      <w:r>
        <w:rPr>
          <w:rFonts w:ascii="Times New Roman" w:hAnsi="Times New Roman"/>
          <w:sz w:val="24"/>
          <w:szCs w:val="24"/>
          <w:highlight w:val="none"/>
          <w:shd w:val="clear" w:color="auto" w:fill="FFFFFF"/>
        </w:rPr>
        <w:t>（3）响应单位负责人为同一人或者存在直接控股、管理关系的不同供应商，不得参加同一合同项下的政府采购活动；</w:t>
      </w:r>
    </w:p>
    <w:p w14:paraId="7B9BE20F">
      <w:pPr>
        <w:pStyle w:val="42"/>
        <w:shd w:val="clear" w:color="auto" w:fill="FFFFFF"/>
        <w:spacing w:before="0" w:beforeAutospacing="0" w:after="0" w:afterAutospacing="0" w:line="360" w:lineRule="auto"/>
        <w:textAlignment w:val="baseline"/>
        <w:rPr>
          <w:rFonts w:ascii="Times New Roman" w:hAnsi="Times New Roman"/>
          <w:sz w:val="24"/>
          <w:szCs w:val="24"/>
          <w:highlight w:val="none"/>
          <w:shd w:val="clear" w:color="auto" w:fill="FFFFFF"/>
        </w:rPr>
      </w:pPr>
      <w:r>
        <w:rPr>
          <w:rFonts w:ascii="Times New Roman" w:hAnsi="Times New Roman"/>
          <w:sz w:val="24"/>
          <w:szCs w:val="24"/>
          <w:highlight w:val="none"/>
          <w:shd w:val="clear" w:color="auto" w:fill="FFFFFF"/>
        </w:rPr>
        <w:t>（4）按本磋商邀请的规定获取磋商文件；</w:t>
      </w:r>
    </w:p>
    <w:p w14:paraId="72F836F3">
      <w:pPr>
        <w:pStyle w:val="42"/>
        <w:shd w:val="clear" w:color="auto" w:fill="FFFFFF"/>
        <w:spacing w:before="0" w:beforeAutospacing="0" w:after="0" w:afterAutospacing="0" w:line="360" w:lineRule="auto"/>
        <w:textAlignment w:val="baseline"/>
        <w:rPr>
          <w:rFonts w:ascii="Times New Roman" w:hAnsi="Times New Roman"/>
          <w:sz w:val="24"/>
          <w:szCs w:val="24"/>
          <w:highlight w:val="none"/>
          <w:shd w:val="clear" w:color="auto" w:fill="FFFFFF"/>
        </w:rPr>
      </w:pPr>
      <w:r>
        <w:rPr>
          <w:rFonts w:ascii="Times New Roman" w:hAnsi="Times New Roman"/>
          <w:sz w:val="24"/>
          <w:szCs w:val="24"/>
          <w:highlight w:val="none"/>
          <w:shd w:val="clear" w:color="auto" w:fill="FFFFFF"/>
        </w:rPr>
        <w:t>（5）供应商不得为列入失信被执行人、重大税收违法案件当事人名单、政府采购严重违法失信行为记录名单的供应商。</w:t>
      </w:r>
    </w:p>
    <w:p w14:paraId="7DE8BA6E">
      <w:pPr>
        <w:rPr>
          <w:highlight w:val="none"/>
        </w:rPr>
      </w:pPr>
    </w:p>
    <w:p w14:paraId="24849F0C">
      <w:pPr>
        <w:pStyle w:val="42"/>
        <w:shd w:val="clear" w:color="auto" w:fill="FFFFFF"/>
        <w:spacing w:before="75" w:beforeAutospacing="0" w:after="330" w:afterAutospacing="0"/>
        <w:textAlignment w:val="baseline"/>
        <w:rPr>
          <w:rFonts w:ascii="Times New Roman" w:hAnsi="Times New Roman"/>
          <w:sz w:val="24"/>
          <w:szCs w:val="24"/>
          <w:highlight w:val="none"/>
        </w:rPr>
      </w:pPr>
      <w:r>
        <w:rPr>
          <w:rStyle w:val="55"/>
          <w:b w:val="0"/>
          <w:sz w:val="24"/>
          <w:szCs w:val="24"/>
          <w:highlight w:val="none"/>
          <w:shd w:val="clear" w:color="auto" w:fill="FFFFFF"/>
        </w:rPr>
        <w:t>三、获取采购文</w:t>
      </w:r>
      <w:r>
        <w:rPr>
          <w:rStyle w:val="55"/>
          <w:b w:val="0"/>
          <w:sz w:val="24"/>
          <w:szCs w:val="24"/>
          <w:highlight w:val="none"/>
          <w:shd w:val="clear" w:color="auto" w:fill="FFFFFF"/>
        </w:rPr>
        <w:t>件：</w:t>
      </w:r>
    </w:p>
    <w:p w14:paraId="7D4B2121">
      <w:pPr>
        <w:pStyle w:val="42"/>
        <w:shd w:val="clear" w:color="auto" w:fill="FFFFFF"/>
        <w:spacing w:before="75" w:beforeAutospacing="0" w:after="330" w:afterAutospacing="0"/>
        <w:textAlignment w:val="baseline"/>
        <w:rPr>
          <w:rFonts w:ascii="Times New Roman" w:hAnsi="Times New Roman"/>
          <w:sz w:val="24"/>
          <w:szCs w:val="24"/>
          <w:highlight w:val="none"/>
        </w:rPr>
      </w:pPr>
      <w:r>
        <w:rPr>
          <w:rFonts w:ascii="Times New Roman" w:hAnsi="Times New Roman"/>
          <w:sz w:val="24"/>
          <w:szCs w:val="24"/>
          <w:highlight w:val="none"/>
          <w:shd w:val="clear" w:color="auto" w:fill="FFFFFF"/>
        </w:rPr>
        <w:t>时间：</w:t>
      </w:r>
      <w:r>
        <w:rPr>
          <w:rFonts w:ascii="Times New Roman" w:hAnsi="Times New Roman"/>
          <w:sz w:val="24"/>
          <w:highlight w:val="none"/>
        </w:rPr>
        <w:t xml:space="preserve">2025年 </w:t>
      </w:r>
      <w:r>
        <w:rPr>
          <w:rFonts w:hint="eastAsia" w:ascii="Times New Roman" w:hAnsi="Times New Roman"/>
          <w:sz w:val="24"/>
          <w:highlight w:val="none"/>
        </w:rPr>
        <w:t>11</w:t>
      </w:r>
      <w:r>
        <w:rPr>
          <w:rFonts w:ascii="Times New Roman" w:hAnsi="Times New Roman"/>
          <w:sz w:val="24"/>
          <w:highlight w:val="none"/>
        </w:rPr>
        <w:t xml:space="preserve"> 月 </w:t>
      </w:r>
      <w:r>
        <w:rPr>
          <w:rFonts w:hint="eastAsia"/>
          <w:sz w:val="24"/>
          <w:highlight w:val="none"/>
          <w:lang w:val="en-US" w:eastAsia="zh-CN"/>
        </w:rPr>
        <w:t>07</w:t>
      </w:r>
      <w:r>
        <w:rPr>
          <w:rFonts w:ascii="Times New Roman" w:hAnsi="Times New Roman"/>
          <w:sz w:val="24"/>
          <w:highlight w:val="none"/>
        </w:rPr>
        <w:t xml:space="preserve"> 日</w:t>
      </w:r>
      <w:r>
        <w:rPr>
          <w:rFonts w:ascii="Times New Roman" w:hAnsi="Times New Roman"/>
          <w:sz w:val="24"/>
          <w:szCs w:val="24"/>
          <w:highlight w:val="none"/>
          <w:shd w:val="clear" w:color="auto" w:fill="FFFFFF"/>
        </w:rPr>
        <w:t xml:space="preserve"> 至 </w:t>
      </w:r>
      <w:r>
        <w:rPr>
          <w:rFonts w:ascii="Times New Roman" w:hAnsi="Times New Roman"/>
          <w:sz w:val="24"/>
          <w:highlight w:val="none"/>
        </w:rPr>
        <w:t xml:space="preserve">2025年 </w:t>
      </w:r>
      <w:r>
        <w:rPr>
          <w:rFonts w:hint="eastAsia" w:ascii="Times New Roman" w:hAnsi="Times New Roman"/>
          <w:sz w:val="24"/>
          <w:highlight w:val="none"/>
        </w:rPr>
        <w:t>11</w:t>
      </w:r>
      <w:r>
        <w:rPr>
          <w:rFonts w:ascii="Times New Roman" w:hAnsi="Times New Roman"/>
          <w:sz w:val="24"/>
          <w:highlight w:val="none"/>
        </w:rPr>
        <w:t xml:space="preserve"> 月 </w:t>
      </w:r>
      <w:r>
        <w:rPr>
          <w:rFonts w:hint="eastAsia"/>
          <w:sz w:val="24"/>
          <w:highlight w:val="none"/>
          <w:lang w:val="en-US" w:eastAsia="zh-CN"/>
        </w:rPr>
        <w:t>14</w:t>
      </w:r>
      <w:r>
        <w:rPr>
          <w:rFonts w:ascii="Times New Roman" w:hAnsi="Times New Roman"/>
          <w:sz w:val="24"/>
          <w:highlight w:val="none"/>
        </w:rPr>
        <w:t xml:space="preserve"> 日</w:t>
      </w:r>
      <w:r>
        <w:rPr>
          <w:rFonts w:ascii="Times New Roman" w:hAnsi="Times New Roman"/>
          <w:sz w:val="24"/>
          <w:szCs w:val="24"/>
          <w:highlight w:val="none"/>
          <w:shd w:val="clear" w:color="auto" w:fill="FFFFFF"/>
        </w:rPr>
        <w:t>，每天上</w:t>
      </w:r>
      <w:r>
        <w:rPr>
          <w:rFonts w:ascii="Times New Roman" w:hAnsi="Times New Roman"/>
          <w:sz w:val="24"/>
          <w:szCs w:val="24"/>
          <w:highlight w:val="none"/>
          <w:shd w:val="clear" w:color="auto" w:fill="FFFFFF"/>
        </w:rPr>
        <w:t>午9:00至11:00，下午13:00至17:00。（北京时间，法定节假日除外）</w:t>
      </w:r>
    </w:p>
    <w:p w14:paraId="01A74884">
      <w:pPr>
        <w:widowControl/>
        <w:adjustRightInd w:val="0"/>
        <w:snapToGrid w:val="0"/>
        <w:spacing w:before="100" w:beforeAutospacing="1" w:after="100" w:afterAutospacing="1"/>
        <w:jc w:val="left"/>
        <w:rPr>
          <w:sz w:val="24"/>
          <w:highlight w:val="none"/>
        </w:rPr>
      </w:pPr>
      <w:r>
        <w:rPr>
          <w:sz w:val="24"/>
          <w:highlight w:val="none"/>
          <w:shd w:val="clear" w:color="auto" w:fill="FFFFFF"/>
        </w:rPr>
        <w:t>地点：</w:t>
      </w:r>
      <w:r>
        <w:rPr>
          <w:sz w:val="24"/>
          <w:highlight w:val="none"/>
          <w:u w:val="single"/>
        </w:rPr>
        <w:t>http://www.oitccas.com/</w:t>
      </w:r>
      <w:r>
        <w:rPr>
          <w:sz w:val="24"/>
          <w:highlight w:val="none"/>
        </w:rPr>
        <w:t xml:space="preserve"> 。</w:t>
      </w:r>
    </w:p>
    <w:p w14:paraId="5C351A7E">
      <w:pPr>
        <w:pStyle w:val="42"/>
        <w:shd w:val="clear" w:color="auto" w:fill="FFFFFF"/>
        <w:spacing w:before="75" w:beforeAutospacing="0" w:after="330" w:afterAutospacing="0"/>
        <w:textAlignment w:val="baseline"/>
        <w:rPr>
          <w:rFonts w:ascii="Times New Roman" w:hAnsi="Times New Roman"/>
          <w:sz w:val="24"/>
          <w:highlight w:val="none"/>
        </w:rPr>
      </w:pPr>
      <w:r>
        <w:rPr>
          <w:rFonts w:ascii="Times New Roman" w:hAnsi="Times New Roman"/>
          <w:sz w:val="24"/>
          <w:szCs w:val="24"/>
          <w:highlight w:val="none"/>
          <w:shd w:val="clear" w:color="auto" w:fill="FFFFFF"/>
        </w:rPr>
        <w:t>方式：</w:t>
      </w:r>
      <w:r>
        <w:rPr>
          <w:rFonts w:ascii="Times New Roman" w:hAnsi="Times New Roman"/>
          <w:sz w:val="24"/>
          <w:highlight w:val="none"/>
        </w:rPr>
        <w:t>登录东方招标</w:t>
      </w:r>
      <w:r>
        <w:rPr>
          <w:rFonts w:ascii="Times New Roman" w:hAnsi="Times New Roman"/>
          <w:sz w:val="24"/>
          <w:highlight w:val="none"/>
          <w:u w:val="single"/>
        </w:rPr>
        <w:t>http://www.oitccas.com/</w:t>
      </w:r>
      <w:r>
        <w:rPr>
          <w:rFonts w:ascii="Times New Roman" w:hAnsi="Times New Roman"/>
          <w:sz w:val="24"/>
          <w:highlight w:val="none"/>
        </w:rPr>
        <w:t>注册并购买。</w:t>
      </w:r>
    </w:p>
    <w:p w14:paraId="4F93D6F8">
      <w:pPr>
        <w:pStyle w:val="42"/>
        <w:shd w:val="clear" w:color="auto" w:fill="FFFFFF"/>
        <w:spacing w:before="75" w:beforeAutospacing="0" w:after="330" w:afterAutospacing="0"/>
        <w:textAlignment w:val="baseline"/>
        <w:rPr>
          <w:rFonts w:ascii="Times New Roman" w:hAnsi="Times New Roman"/>
          <w:sz w:val="24"/>
          <w:szCs w:val="24"/>
          <w:highlight w:val="none"/>
          <w:shd w:val="clear" w:color="auto" w:fill="FFFFFF"/>
        </w:rPr>
      </w:pPr>
      <w:r>
        <w:rPr>
          <w:rFonts w:ascii="Times New Roman" w:hAnsi="Times New Roman"/>
          <w:sz w:val="24"/>
          <w:szCs w:val="24"/>
          <w:highlight w:val="none"/>
          <w:shd w:val="clear" w:color="auto" w:fill="FFFFFF"/>
        </w:rPr>
        <w:t>售价：¥600.00 元（人民币）</w:t>
      </w:r>
    </w:p>
    <w:p w14:paraId="7AEB1C4F">
      <w:pPr>
        <w:pStyle w:val="27"/>
        <w:rPr>
          <w:rFonts w:ascii="Times New Roman" w:hAnsi="Times New Roman"/>
          <w:highlight w:val="none"/>
        </w:rPr>
      </w:pPr>
    </w:p>
    <w:p w14:paraId="434AC94A">
      <w:pPr>
        <w:pStyle w:val="42"/>
        <w:shd w:val="clear" w:color="auto" w:fill="FFFFFF"/>
        <w:spacing w:before="75" w:beforeAutospacing="0" w:after="330" w:afterAutospacing="0"/>
        <w:textAlignment w:val="baseline"/>
        <w:rPr>
          <w:rFonts w:ascii="Times New Roman" w:hAnsi="Times New Roman"/>
          <w:sz w:val="24"/>
          <w:szCs w:val="24"/>
          <w:highlight w:val="none"/>
        </w:rPr>
      </w:pPr>
      <w:r>
        <w:rPr>
          <w:rStyle w:val="55"/>
          <w:b w:val="0"/>
          <w:sz w:val="24"/>
          <w:szCs w:val="24"/>
          <w:highlight w:val="none"/>
          <w:shd w:val="clear" w:color="auto" w:fill="FFFFFF"/>
        </w:rPr>
        <w:t>四、响应文件提交：</w:t>
      </w:r>
    </w:p>
    <w:p w14:paraId="37950D7A">
      <w:pPr>
        <w:pStyle w:val="42"/>
        <w:shd w:val="clear" w:color="auto" w:fill="FFFFFF"/>
        <w:spacing w:before="75" w:beforeAutospacing="0" w:after="330" w:afterAutospacing="0"/>
        <w:textAlignment w:val="baseline"/>
        <w:rPr>
          <w:rFonts w:ascii="Times New Roman" w:hAnsi="Times New Roman"/>
          <w:sz w:val="24"/>
          <w:szCs w:val="24"/>
          <w:highlight w:val="none"/>
        </w:rPr>
      </w:pPr>
      <w:r>
        <w:rPr>
          <w:rFonts w:ascii="Times New Roman" w:hAnsi="Times New Roman"/>
          <w:sz w:val="24"/>
          <w:szCs w:val="24"/>
          <w:highlight w:val="none"/>
          <w:shd w:val="clear" w:color="auto" w:fill="FFFFFF"/>
        </w:rPr>
        <w:t>截止时间：</w:t>
      </w:r>
      <w:r>
        <w:rPr>
          <w:rFonts w:ascii="Times New Roman" w:hAnsi="Times New Roman"/>
          <w:sz w:val="24"/>
          <w:highlight w:val="none"/>
        </w:rPr>
        <w:t xml:space="preserve">2025 年 </w:t>
      </w:r>
      <w:r>
        <w:rPr>
          <w:rFonts w:hint="eastAsia" w:ascii="Times New Roman" w:hAnsi="Times New Roman"/>
          <w:sz w:val="24"/>
          <w:highlight w:val="none"/>
        </w:rPr>
        <w:t>11</w:t>
      </w:r>
      <w:r>
        <w:rPr>
          <w:rFonts w:ascii="Times New Roman" w:hAnsi="Times New Roman"/>
          <w:sz w:val="24"/>
          <w:highlight w:val="none"/>
        </w:rPr>
        <w:t xml:space="preserve"> 月 </w:t>
      </w:r>
      <w:r>
        <w:rPr>
          <w:rFonts w:hint="eastAsia"/>
          <w:sz w:val="24"/>
          <w:highlight w:val="none"/>
          <w:lang w:val="en-US" w:eastAsia="zh-CN"/>
        </w:rPr>
        <w:t>18</w:t>
      </w:r>
      <w:r>
        <w:rPr>
          <w:rFonts w:ascii="Times New Roman" w:hAnsi="Times New Roman"/>
          <w:sz w:val="24"/>
          <w:highlight w:val="none"/>
        </w:rPr>
        <w:t xml:space="preserve"> 日 </w:t>
      </w:r>
      <w:r>
        <w:rPr>
          <w:rFonts w:hint="eastAsia"/>
          <w:sz w:val="24"/>
          <w:highlight w:val="none"/>
          <w:lang w:val="en-US" w:eastAsia="zh-CN"/>
        </w:rPr>
        <w:t>09</w:t>
      </w:r>
      <w:r>
        <w:rPr>
          <w:rFonts w:ascii="Times New Roman" w:hAnsi="Times New Roman"/>
          <w:sz w:val="24"/>
          <w:highlight w:val="none"/>
        </w:rPr>
        <w:t xml:space="preserve"> 点 </w:t>
      </w:r>
      <w:r>
        <w:rPr>
          <w:rFonts w:hint="eastAsia"/>
          <w:sz w:val="24"/>
          <w:highlight w:val="none"/>
          <w:lang w:val="en-US" w:eastAsia="zh-CN"/>
        </w:rPr>
        <w:t>30</w:t>
      </w:r>
      <w:r>
        <w:rPr>
          <w:rFonts w:ascii="Times New Roman" w:hAnsi="Times New Roman"/>
          <w:sz w:val="24"/>
          <w:highlight w:val="none"/>
        </w:rPr>
        <w:t xml:space="preserve"> 分</w:t>
      </w:r>
      <w:r>
        <w:rPr>
          <w:rFonts w:ascii="Times New Roman" w:hAnsi="Times New Roman"/>
          <w:sz w:val="24"/>
          <w:szCs w:val="24"/>
          <w:highlight w:val="none"/>
          <w:shd w:val="clear" w:color="auto" w:fill="FFFFFF"/>
        </w:rPr>
        <w:t>（北京时间）</w:t>
      </w:r>
    </w:p>
    <w:p w14:paraId="17A32B9E">
      <w:pPr>
        <w:widowControl/>
        <w:adjustRightInd w:val="0"/>
        <w:snapToGrid w:val="0"/>
        <w:spacing w:before="100" w:beforeAutospacing="1" w:after="100" w:afterAutospacing="1"/>
        <w:jc w:val="left"/>
        <w:rPr>
          <w:sz w:val="24"/>
          <w:highlight w:val="none"/>
          <w:shd w:val="clear" w:color="auto" w:fill="FFFFFF"/>
        </w:rPr>
      </w:pPr>
      <w:r>
        <w:rPr>
          <w:sz w:val="24"/>
          <w:highlight w:val="none"/>
          <w:shd w:val="clear" w:color="auto" w:fill="FFFFFF"/>
        </w:rPr>
        <w:t>地点：北京市海淀区丹棱街1号互联网金融中心20层</w:t>
      </w:r>
      <w:r>
        <w:rPr>
          <w:rFonts w:hint="eastAsia"/>
          <w:sz w:val="24"/>
          <w:highlight w:val="none"/>
          <w:lang w:val="en-US" w:eastAsia="zh-CN"/>
        </w:rPr>
        <w:t>科进</w:t>
      </w:r>
      <w:r>
        <w:rPr>
          <w:rFonts w:hint="eastAsia"/>
          <w:sz w:val="24"/>
          <w:highlight w:val="none"/>
          <w:shd w:val="clear" w:color="auto" w:fill="FFFFFF"/>
        </w:rPr>
        <w:t>厅</w:t>
      </w:r>
      <w:r>
        <w:rPr>
          <w:sz w:val="24"/>
          <w:highlight w:val="none"/>
          <w:shd w:val="clear" w:color="auto" w:fill="FFFFFF"/>
        </w:rPr>
        <w:t>。</w:t>
      </w:r>
    </w:p>
    <w:p w14:paraId="2AE90DE1">
      <w:pPr>
        <w:pStyle w:val="27"/>
        <w:rPr>
          <w:rFonts w:ascii="Times New Roman" w:hAnsi="Times New Roman"/>
          <w:highlight w:val="none"/>
        </w:rPr>
      </w:pPr>
    </w:p>
    <w:p w14:paraId="7D0F92EA">
      <w:pPr>
        <w:pStyle w:val="42"/>
        <w:shd w:val="clear" w:color="auto" w:fill="FFFFFF"/>
        <w:spacing w:before="75" w:beforeAutospacing="0" w:after="330" w:afterAutospacing="0"/>
        <w:textAlignment w:val="baseline"/>
        <w:rPr>
          <w:rFonts w:ascii="Times New Roman" w:hAnsi="Times New Roman"/>
          <w:sz w:val="24"/>
          <w:szCs w:val="24"/>
          <w:highlight w:val="none"/>
        </w:rPr>
      </w:pPr>
      <w:r>
        <w:rPr>
          <w:rStyle w:val="55"/>
          <w:b w:val="0"/>
          <w:sz w:val="24"/>
          <w:szCs w:val="24"/>
          <w:highlight w:val="none"/>
          <w:shd w:val="clear" w:color="auto" w:fill="FFFFFF"/>
        </w:rPr>
        <w:t>五、开启：</w:t>
      </w:r>
    </w:p>
    <w:p w14:paraId="45C80FDF">
      <w:pPr>
        <w:pStyle w:val="42"/>
        <w:shd w:val="clear" w:color="auto" w:fill="FFFFFF"/>
        <w:spacing w:before="75" w:beforeAutospacing="0" w:after="330" w:afterAutospacing="0"/>
        <w:textAlignment w:val="baseline"/>
        <w:rPr>
          <w:rFonts w:ascii="Times New Roman" w:hAnsi="Times New Roman"/>
          <w:sz w:val="24"/>
          <w:szCs w:val="24"/>
          <w:highlight w:val="none"/>
        </w:rPr>
      </w:pPr>
      <w:r>
        <w:rPr>
          <w:rFonts w:ascii="Times New Roman" w:hAnsi="Times New Roman"/>
          <w:sz w:val="24"/>
          <w:szCs w:val="24"/>
          <w:highlight w:val="none"/>
          <w:shd w:val="clear" w:color="auto" w:fill="FFFFFF"/>
        </w:rPr>
        <w:t>时间：</w:t>
      </w:r>
      <w:r>
        <w:rPr>
          <w:rFonts w:ascii="Times New Roman" w:hAnsi="Times New Roman"/>
          <w:sz w:val="24"/>
          <w:highlight w:val="none"/>
        </w:rPr>
        <w:t xml:space="preserve">2025 年 </w:t>
      </w:r>
      <w:r>
        <w:rPr>
          <w:rFonts w:hint="eastAsia" w:ascii="Times New Roman" w:hAnsi="Times New Roman"/>
          <w:sz w:val="24"/>
          <w:highlight w:val="none"/>
        </w:rPr>
        <w:t>11</w:t>
      </w:r>
      <w:r>
        <w:rPr>
          <w:rFonts w:ascii="Times New Roman" w:hAnsi="Times New Roman"/>
          <w:sz w:val="24"/>
          <w:highlight w:val="none"/>
        </w:rPr>
        <w:t xml:space="preserve"> 月 </w:t>
      </w:r>
      <w:r>
        <w:rPr>
          <w:rFonts w:hint="eastAsia"/>
          <w:sz w:val="24"/>
          <w:highlight w:val="none"/>
          <w:lang w:val="en-US" w:eastAsia="zh-CN"/>
        </w:rPr>
        <w:t>18</w:t>
      </w:r>
      <w:r>
        <w:rPr>
          <w:rFonts w:ascii="Times New Roman" w:hAnsi="Times New Roman"/>
          <w:sz w:val="24"/>
          <w:highlight w:val="none"/>
        </w:rPr>
        <w:t xml:space="preserve"> 日 </w:t>
      </w:r>
      <w:r>
        <w:rPr>
          <w:rFonts w:hint="eastAsia" w:ascii="Times New Roman" w:hAnsi="Times New Roman"/>
          <w:sz w:val="24"/>
          <w:highlight w:val="none"/>
          <w:lang w:val="en-US" w:eastAsia="zh-CN"/>
        </w:rPr>
        <w:t>09</w:t>
      </w:r>
      <w:r>
        <w:rPr>
          <w:rFonts w:ascii="Times New Roman" w:hAnsi="Times New Roman"/>
          <w:sz w:val="24"/>
          <w:highlight w:val="none"/>
        </w:rPr>
        <w:t xml:space="preserve"> 点 </w:t>
      </w:r>
      <w:r>
        <w:rPr>
          <w:rFonts w:hint="eastAsia"/>
          <w:sz w:val="24"/>
          <w:highlight w:val="none"/>
          <w:lang w:val="en-US" w:eastAsia="zh-CN"/>
        </w:rPr>
        <w:t>30</w:t>
      </w:r>
      <w:r>
        <w:rPr>
          <w:rFonts w:ascii="Times New Roman" w:hAnsi="Times New Roman"/>
          <w:sz w:val="24"/>
          <w:highlight w:val="none"/>
        </w:rPr>
        <w:t xml:space="preserve"> 分</w:t>
      </w:r>
      <w:r>
        <w:rPr>
          <w:rFonts w:ascii="Times New Roman" w:hAnsi="Times New Roman"/>
          <w:sz w:val="24"/>
          <w:szCs w:val="24"/>
          <w:highlight w:val="none"/>
          <w:shd w:val="clear" w:color="auto" w:fill="FFFFFF"/>
        </w:rPr>
        <w:t>（北京时间）</w:t>
      </w:r>
    </w:p>
    <w:p w14:paraId="2493A76E">
      <w:pPr>
        <w:pStyle w:val="42"/>
        <w:shd w:val="clear" w:color="auto" w:fill="FFFFFF"/>
        <w:spacing w:before="75" w:beforeAutospacing="0" w:after="330" w:afterAutospacing="0"/>
        <w:textAlignment w:val="baseline"/>
        <w:rPr>
          <w:rFonts w:ascii="Times New Roman" w:hAnsi="Times New Roman"/>
          <w:sz w:val="24"/>
          <w:szCs w:val="24"/>
          <w:highlight w:val="none"/>
          <w:shd w:val="clear" w:color="auto" w:fill="FFFFFF"/>
        </w:rPr>
      </w:pPr>
      <w:r>
        <w:rPr>
          <w:rFonts w:ascii="Times New Roman" w:hAnsi="Times New Roman"/>
          <w:sz w:val="24"/>
          <w:highlight w:val="none"/>
          <w:shd w:val="clear" w:color="auto" w:fill="FFFFFF"/>
        </w:rPr>
        <w:t>地点：北京市海淀区丹棱街1号互联网金融中心20层</w:t>
      </w:r>
      <w:r>
        <w:rPr>
          <w:rFonts w:hint="eastAsia"/>
          <w:sz w:val="24"/>
          <w:highlight w:val="none"/>
          <w:lang w:val="en-US" w:eastAsia="zh-CN"/>
        </w:rPr>
        <w:t>科进</w:t>
      </w:r>
      <w:r>
        <w:rPr>
          <w:rFonts w:hint="eastAsia"/>
          <w:sz w:val="24"/>
          <w:highlight w:val="none"/>
          <w:shd w:val="clear" w:color="auto" w:fill="FFFFFF"/>
        </w:rPr>
        <w:t>厅</w:t>
      </w:r>
      <w:r>
        <w:rPr>
          <w:rFonts w:ascii="Times New Roman" w:hAnsi="Times New Roman"/>
          <w:sz w:val="24"/>
          <w:szCs w:val="24"/>
          <w:highlight w:val="none"/>
          <w:shd w:val="clear" w:color="auto" w:fill="FFFFFF"/>
        </w:rPr>
        <w:t>。</w:t>
      </w:r>
    </w:p>
    <w:p w14:paraId="23D539AE">
      <w:pPr>
        <w:pStyle w:val="27"/>
        <w:rPr>
          <w:rFonts w:ascii="Times New Roman" w:hAnsi="Times New Roman"/>
          <w:highlight w:val="none"/>
        </w:rPr>
      </w:pPr>
    </w:p>
    <w:p w14:paraId="724532C5">
      <w:pPr>
        <w:pStyle w:val="42"/>
        <w:shd w:val="clear" w:color="auto" w:fill="FFFFFF"/>
        <w:spacing w:before="75" w:beforeAutospacing="0" w:after="330" w:afterAutospacing="0"/>
        <w:textAlignment w:val="baseline"/>
        <w:rPr>
          <w:rFonts w:ascii="Times New Roman" w:hAnsi="Times New Roman"/>
          <w:sz w:val="24"/>
          <w:szCs w:val="24"/>
          <w:highlight w:val="none"/>
        </w:rPr>
      </w:pPr>
      <w:r>
        <w:rPr>
          <w:rStyle w:val="55"/>
          <w:b w:val="0"/>
          <w:sz w:val="24"/>
          <w:szCs w:val="24"/>
          <w:highlight w:val="none"/>
          <w:shd w:val="clear" w:color="auto" w:fill="FFFFFF"/>
        </w:rPr>
        <w:t>六、公告期限：</w:t>
      </w:r>
    </w:p>
    <w:p w14:paraId="60E89DB1">
      <w:pPr>
        <w:pStyle w:val="42"/>
        <w:shd w:val="clear" w:color="auto" w:fill="FFFFFF"/>
        <w:spacing w:before="0" w:beforeAutospacing="0" w:after="0" w:afterAutospacing="0"/>
        <w:textAlignment w:val="baseline"/>
        <w:rPr>
          <w:rFonts w:ascii="Times New Roman" w:hAnsi="Times New Roman"/>
          <w:sz w:val="24"/>
          <w:szCs w:val="24"/>
          <w:highlight w:val="none"/>
          <w:shd w:val="clear" w:color="auto" w:fill="FFFFFF"/>
        </w:rPr>
      </w:pPr>
      <w:r>
        <w:rPr>
          <w:rFonts w:ascii="Times New Roman" w:hAnsi="Times New Roman"/>
          <w:sz w:val="24"/>
          <w:szCs w:val="24"/>
          <w:highlight w:val="none"/>
          <w:shd w:val="clear" w:color="auto" w:fill="FFFFFF"/>
        </w:rPr>
        <w:t>自本公告发布之日起3个工作日。</w:t>
      </w:r>
    </w:p>
    <w:p w14:paraId="60BD4F50">
      <w:pPr>
        <w:rPr>
          <w:highlight w:val="none"/>
        </w:rPr>
      </w:pPr>
    </w:p>
    <w:p w14:paraId="338367B5">
      <w:pPr>
        <w:pStyle w:val="27"/>
        <w:rPr>
          <w:rFonts w:ascii="Times New Roman" w:hAnsi="Times New Roman"/>
          <w:highlight w:val="none"/>
        </w:rPr>
      </w:pPr>
    </w:p>
    <w:p w14:paraId="5EBD38B4">
      <w:pPr>
        <w:pStyle w:val="42"/>
        <w:shd w:val="clear" w:color="auto" w:fill="FFFFFF"/>
        <w:spacing w:before="75" w:beforeAutospacing="0" w:after="330" w:afterAutospacing="0"/>
        <w:textAlignment w:val="baseline"/>
        <w:rPr>
          <w:rFonts w:ascii="Times New Roman" w:hAnsi="Times New Roman"/>
          <w:sz w:val="24"/>
          <w:szCs w:val="24"/>
          <w:highlight w:val="none"/>
        </w:rPr>
      </w:pPr>
      <w:r>
        <w:rPr>
          <w:rStyle w:val="55"/>
          <w:b w:val="0"/>
          <w:sz w:val="24"/>
          <w:szCs w:val="24"/>
          <w:highlight w:val="none"/>
          <w:shd w:val="clear" w:color="auto" w:fill="FFFFFF"/>
        </w:rPr>
        <w:t>七、其他补充事宜：</w:t>
      </w:r>
    </w:p>
    <w:p w14:paraId="51D5D042">
      <w:pPr>
        <w:widowControl/>
        <w:adjustRightInd w:val="0"/>
        <w:snapToGrid w:val="0"/>
        <w:spacing w:before="100" w:beforeAutospacing="1" w:after="100" w:afterAutospacing="1"/>
        <w:jc w:val="left"/>
        <w:rPr>
          <w:kern w:val="0"/>
          <w:sz w:val="24"/>
          <w:highlight w:val="none"/>
        </w:rPr>
      </w:pPr>
      <w:r>
        <w:rPr>
          <w:kern w:val="0"/>
          <w:sz w:val="24"/>
          <w:highlight w:val="none"/>
        </w:rPr>
        <w:t>1、磋商文件采用网上电子版本发售和纸质磋商文件同时发售方式:</w:t>
      </w:r>
    </w:p>
    <w:p w14:paraId="4A6DE1A4">
      <w:pPr>
        <w:widowControl/>
        <w:adjustRightInd w:val="0"/>
        <w:snapToGrid w:val="0"/>
        <w:spacing w:before="100" w:beforeAutospacing="1" w:after="100" w:afterAutospacing="1" w:line="360" w:lineRule="auto"/>
        <w:jc w:val="left"/>
        <w:rPr>
          <w:kern w:val="0"/>
          <w:sz w:val="24"/>
          <w:highlight w:val="none"/>
        </w:rPr>
      </w:pPr>
      <w:r>
        <w:rPr>
          <w:kern w:val="0"/>
          <w:sz w:val="24"/>
          <w:highlight w:val="none"/>
        </w:rPr>
        <w:t>1）</w:t>
      </w:r>
      <w:r>
        <w:rPr>
          <w:sz w:val="24"/>
          <w:highlight w:val="none"/>
        </w:rPr>
        <w:t>有兴趣的供应商可登陆“东方招标”（</w:t>
      </w:r>
      <w:r>
        <w:rPr>
          <w:highlight w:val="none"/>
        </w:rPr>
        <w:fldChar w:fldCharType="begin"/>
      </w:r>
      <w:r>
        <w:rPr>
          <w:highlight w:val="none"/>
        </w:rPr>
        <w:instrText xml:space="preserve"> HYPERLINK "http://www.oitccas.com/" </w:instrText>
      </w:r>
      <w:r>
        <w:rPr>
          <w:highlight w:val="none"/>
        </w:rPr>
        <w:fldChar w:fldCharType="separate"/>
      </w:r>
      <w:r>
        <w:rPr>
          <w:rStyle w:val="57"/>
          <w:color w:val="auto"/>
          <w:sz w:val="24"/>
          <w:highlight w:val="none"/>
        </w:rPr>
        <w:t>http://www.oitccas.com/</w:t>
      </w:r>
      <w:r>
        <w:rPr>
          <w:rStyle w:val="57"/>
          <w:color w:val="auto"/>
          <w:sz w:val="24"/>
          <w:highlight w:val="none"/>
        </w:rPr>
        <w:fldChar w:fldCharType="end"/>
      </w:r>
      <w:r>
        <w:rPr>
          <w:sz w:val="24"/>
          <w:highlight w:val="none"/>
        </w:rPr>
        <w:t xml:space="preserve"> 招标在线频道），完成供应商注册手续（免费），已注册的供应商无需重新注册。磋商文件售价：每包人民币600 元，售后不退。如决定购买磋商文件，请完成标书款缴费及标书下载手续。纸质文件可联系采购代理机构联系人通过快递或现场领取获取。电子版磋商文件与纸质磋商文件具有同等的法律效力。</w:t>
      </w:r>
    </w:p>
    <w:p w14:paraId="7A98F06A">
      <w:pPr>
        <w:widowControl/>
        <w:adjustRightInd w:val="0"/>
        <w:snapToGrid w:val="0"/>
        <w:spacing w:before="100" w:beforeAutospacing="1" w:after="100" w:afterAutospacing="1"/>
        <w:jc w:val="left"/>
        <w:rPr>
          <w:kern w:val="0"/>
          <w:sz w:val="24"/>
          <w:highlight w:val="none"/>
        </w:rPr>
      </w:pPr>
      <w:r>
        <w:rPr>
          <w:kern w:val="0"/>
          <w:sz w:val="24"/>
          <w:highlight w:val="none"/>
        </w:rPr>
        <w:t>2）供应商可以电汇的形式支付标书款（应以公司名义汇款至下述指定账号）：</w:t>
      </w:r>
    </w:p>
    <w:p w14:paraId="39F794CE">
      <w:pPr>
        <w:widowControl/>
        <w:adjustRightInd w:val="0"/>
        <w:snapToGrid w:val="0"/>
        <w:spacing w:before="100" w:beforeAutospacing="1" w:after="100" w:afterAutospacing="1"/>
        <w:jc w:val="left"/>
        <w:rPr>
          <w:kern w:val="0"/>
          <w:sz w:val="24"/>
          <w:highlight w:val="none"/>
        </w:rPr>
      </w:pPr>
      <w:r>
        <w:rPr>
          <w:kern w:val="0"/>
          <w:sz w:val="24"/>
          <w:highlight w:val="none"/>
        </w:rPr>
        <w:t>开户名称：东方国际招标有限责任公司</w:t>
      </w:r>
    </w:p>
    <w:p w14:paraId="789CB499">
      <w:pPr>
        <w:widowControl/>
        <w:adjustRightInd w:val="0"/>
        <w:snapToGrid w:val="0"/>
        <w:spacing w:before="100" w:beforeAutospacing="1" w:after="100" w:afterAutospacing="1"/>
        <w:jc w:val="left"/>
        <w:rPr>
          <w:kern w:val="0"/>
          <w:sz w:val="24"/>
          <w:highlight w:val="none"/>
        </w:rPr>
      </w:pPr>
      <w:r>
        <w:rPr>
          <w:kern w:val="0"/>
          <w:sz w:val="24"/>
          <w:highlight w:val="none"/>
        </w:rPr>
        <w:t>开户行：招商银行北京西三环支行</w:t>
      </w:r>
    </w:p>
    <w:p w14:paraId="214273C5">
      <w:pPr>
        <w:widowControl/>
        <w:adjustRightInd w:val="0"/>
        <w:snapToGrid w:val="0"/>
        <w:spacing w:before="100" w:beforeAutospacing="1" w:after="100" w:afterAutospacing="1"/>
        <w:jc w:val="left"/>
        <w:rPr>
          <w:kern w:val="0"/>
          <w:sz w:val="24"/>
          <w:highlight w:val="none"/>
        </w:rPr>
      </w:pPr>
      <w:r>
        <w:rPr>
          <w:kern w:val="0"/>
          <w:sz w:val="24"/>
          <w:highlight w:val="none"/>
        </w:rPr>
        <w:t>账  号：862081657710001</w:t>
      </w:r>
    </w:p>
    <w:p w14:paraId="36568005">
      <w:pPr>
        <w:widowControl/>
        <w:adjustRightInd w:val="0"/>
        <w:snapToGrid w:val="0"/>
        <w:spacing w:before="100" w:beforeAutospacing="1" w:after="100" w:afterAutospacing="1" w:line="360" w:lineRule="auto"/>
        <w:jc w:val="left"/>
        <w:rPr>
          <w:kern w:val="0"/>
          <w:sz w:val="24"/>
          <w:highlight w:val="none"/>
        </w:rPr>
      </w:pPr>
      <w:r>
        <w:rPr>
          <w:kern w:val="0"/>
          <w:sz w:val="24"/>
          <w:highlight w:val="none"/>
        </w:rPr>
        <w:t>3）供应商应在“东方招标”平台上填写开票信息。在供应商足额缴纳标书款后，标书款电子发票将发送至供应商在“东方招标”平台上登记的电子邮箱，供应商自行下载打印。</w:t>
      </w:r>
    </w:p>
    <w:p w14:paraId="0FC13286">
      <w:pPr>
        <w:spacing w:line="360" w:lineRule="auto"/>
        <w:ind w:firstLine="5"/>
        <w:rPr>
          <w:kern w:val="0"/>
          <w:sz w:val="24"/>
          <w:highlight w:val="none"/>
        </w:rPr>
      </w:pPr>
      <w:r>
        <w:rPr>
          <w:kern w:val="0"/>
          <w:sz w:val="24"/>
          <w:highlight w:val="none"/>
        </w:rPr>
        <w:t>2、以电汇方式购买磋商文件、递交磋商保证金的，须在电汇凭据附言栏中写明项目编号。</w:t>
      </w:r>
      <w:r>
        <w:rPr>
          <w:b/>
          <w:kern w:val="0"/>
          <w:sz w:val="24"/>
          <w:highlight w:val="none"/>
        </w:rPr>
        <w:t>（如未标明项目编号</w:t>
      </w:r>
      <w:r>
        <w:rPr>
          <w:rFonts w:hint="eastAsia"/>
          <w:b/>
          <w:bCs/>
          <w:kern w:val="0"/>
          <w:sz w:val="24"/>
          <w:highlight w:val="none"/>
        </w:rPr>
        <w:t>OITC-G250171964</w:t>
      </w:r>
      <w:r>
        <w:rPr>
          <w:b/>
          <w:kern w:val="0"/>
          <w:sz w:val="24"/>
          <w:highlight w:val="none"/>
        </w:rPr>
        <w:t>，有可能导致响应无效）。</w:t>
      </w:r>
    </w:p>
    <w:p w14:paraId="01545D8A">
      <w:pPr>
        <w:pStyle w:val="42"/>
        <w:shd w:val="clear" w:color="auto" w:fill="FFFFFF"/>
        <w:spacing w:before="75" w:beforeAutospacing="0" w:after="330" w:afterAutospacing="0" w:line="360" w:lineRule="atLeast"/>
        <w:textAlignment w:val="baseline"/>
        <w:rPr>
          <w:rFonts w:ascii="Times New Roman" w:hAnsi="Times New Roman"/>
          <w:sz w:val="24"/>
          <w:szCs w:val="24"/>
          <w:highlight w:val="none"/>
        </w:rPr>
      </w:pPr>
      <w:r>
        <w:rPr>
          <w:rFonts w:ascii="Times New Roman" w:hAnsi="Times New Roman"/>
          <w:sz w:val="24"/>
          <w:szCs w:val="24"/>
          <w:highlight w:val="none"/>
          <w:shd w:val="clear" w:color="auto" w:fill="FFFFFF"/>
        </w:rPr>
        <w:t>3、采购项目需要落实的政府采购政策：</w:t>
      </w:r>
    </w:p>
    <w:p w14:paraId="124CA313">
      <w:pPr>
        <w:pStyle w:val="42"/>
        <w:shd w:val="clear" w:color="auto" w:fill="FFFFFF"/>
        <w:spacing w:before="0" w:beforeAutospacing="0" w:after="0" w:afterAutospacing="0" w:line="360" w:lineRule="auto"/>
        <w:jc w:val="both"/>
        <w:textAlignment w:val="baseline"/>
        <w:rPr>
          <w:rFonts w:ascii="Times New Roman" w:hAnsi="Times New Roman"/>
          <w:sz w:val="24"/>
          <w:szCs w:val="24"/>
          <w:highlight w:val="none"/>
        </w:rPr>
      </w:pPr>
      <w:r>
        <w:rPr>
          <w:rFonts w:ascii="Times New Roman" w:hAnsi="Times New Roman"/>
          <w:sz w:val="24"/>
          <w:szCs w:val="24"/>
          <w:highlight w:val="none"/>
          <w:shd w:val="clear" w:color="auto" w:fill="FFFFFF"/>
        </w:rPr>
        <w:t>（1）政府采购促进中小企业发展</w:t>
      </w:r>
    </w:p>
    <w:p w14:paraId="74E17E29">
      <w:pPr>
        <w:pStyle w:val="42"/>
        <w:shd w:val="clear" w:color="auto" w:fill="FFFFFF"/>
        <w:spacing w:before="0" w:beforeAutospacing="0" w:after="0" w:afterAutospacing="0" w:line="360" w:lineRule="auto"/>
        <w:jc w:val="both"/>
        <w:textAlignment w:val="baseline"/>
        <w:rPr>
          <w:rFonts w:ascii="Times New Roman" w:hAnsi="Times New Roman"/>
          <w:sz w:val="24"/>
          <w:szCs w:val="24"/>
          <w:highlight w:val="none"/>
        </w:rPr>
      </w:pPr>
      <w:r>
        <w:rPr>
          <w:rFonts w:ascii="Times New Roman" w:hAnsi="Times New Roman"/>
          <w:sz w:val="24"/>
          <w:szCs w:val="24"/>
          <w:highlight w:val="none"/>
          <w:shd w:val="clear" w:color="auto" w:fill="FFFFFF"/>
        </w:rPr>
        <w:t>（2）政府采购支持监狱企业发展</w:t>
      </w:r>
    </w:p>
    <w:p w14:paraId="65EE6F98">
      <w:pPr>
        <w:pStyle w:val="42"/>
        <w:shd w:val="clear" w:color="auto" w:fill="FFFFFF"/>
        <w:spacing w:before="0" w:beforeAutospacing="0" w:after="0" w:afterAutospacing="0" w:line="360" w:lineRule="auto"/>
        <w:jc w:val="both"/>
        <w:textAlignment w:val="baseline"/>
        <w:rPr>
          <w:rFonts w:ascii="Times New Roman" w:hAnsi="Times New Roman"/>
          <w:sz w:val="24"/>
          <w:szCs w:val="24"/>
          <w:highlight w:val="none"/>
        </w:rPr>
      </w:pPr>
      <w:r>
        <w:rPr>
          <w:rFonts w:ascii="Times New Roman" w:hAnsi="Times New Roman"/>
          <w:sz w:val="24"/>
          <w:szCs w:val="24"/>
          <w:highlight w:val="none"/>
          <w:shd w:val="clear" w:color="auto" w:fill="FFFFFF"/>
        </w:rPr>
        <w:t>（3）政府采购促进残疾人就业</w:t>
      </w:r>
    </w:p>
    <w:p w14:paraId="2813A88D">
      <w:pPr>
        <w:pStyle w:val="42"/>
        <w:shd w:val="clear" w:color="auto" w:fill="FFFFFF"/>
        <w:spacing w:before="0" w:beforeAutospacing="0" w:after="0" w:afterAutospacing="0" w:line="360" w:lineRule="auto"/>
        <w:jc w:val="both"/>
        <w:textAlignment w:val="baseline"/>
        <w:rPr>
          <w:rFonts w:ascii="Times New Roman" w:hAnsi="Times New Roman"/>
          <w:sz w:val="24"/>
          <w:szCs w:val="24"/>
          <w:highlight w:val="none"/>
          <w:shd w:val="clear" w:color="auto" w:fill="FFFFFF"/>
        </w:rPr>
      </w:pPr>
      <w:r>
        <w:rPr>
          <w:rFonts w:ascii="Times New Roman" w:hAnsi="Times New Roman"/>
          <w:sz w:val="24"/>
          <w:szCs w:val="24"/>
          <w:highlight w:val="none"/>
          <w:shd w:val="clear" w:color="auto" w:fill="FFFFFF"/>
        </w:rPr>
        <w:t>（4）政府采购鼓励采购节能环保产品</w:t>
      </w:r>
    </w:p>
    <w:p w14:paraId="1C80E1E7">
      <w:pPr>
        <w:rPr>
          <w:highlight w:val="none"/>
        </w:rPr>
      </w:pPr>
    </w:p>
    <w:p w14:paraId="2E227BD9">
      <w:pPr>
        <w:pStyle w:val="42"/>
        <w:shd w:val="clear" w:color="auto" w:fill="FFFFFF"/>
        <w:spacing w:before="75" w:beforeAutospacing="0" w:after="330" w:afterAutospacing="0"/>
        <w:textAlignment w:val="baseline"/>
        <w:rPr>
          <w:rFonts w:ascii="Times New Roman" w:hAnsi="Times New Roman"/>
          <w:sz w:val="24"/>
          <w:szCs w:val="24"/>
          <w:highlight w:val="none"/>
        </w:rPr>
      </w:pPr>
      <w:r>
        <w:rPr>
          <w:rStyle w:val="55"/>
          <w:b w:val="0"/>
          <w:sz w:val="24"/>
          <w:szCs w:val="24"/>
          <w:highlight w:val="none"/>
          <w:shd w:val="clear" w:color="auto" w:fill="FFFFFF"/>
        </w:rPr>
        <w:t>八、凡对本次采购提出询问，请按以下方式联系：</w:t>
      </w:r>
    </w:p>
    <w:p w14:paraId="0804DBA2">
      <w:pPr>
        <w:widowControl/>
        <w:adjustRightInd w:val="0"/>
        <w:snapToGrid w:val="0"/>
        <w:spacing w:line="360" w:lineRule="auto"/>
        <w:jc w:val="left"/>
        <w:rPr>
          <w:bCs/>
          <w:kern w:val="0"/>
          <w:sz w:val="24"/>
          <w:highlight w:val="none"/>
        </w:rPr>
      </w:pPr>
      <w:r>
        <w:rPr>
          <w:bCs/>
          <w:kern w:val="0"/>
          <w:sz w:val="24"/>
          <w:highlight w:val="none"/>
        </w:rPr>
        <w:t>1.采购人信息</w:t>
      </w:r>
    </w:p>
    <w:p w14:paraId="5B1ECDE7">
      <w:pPr>
        <w:widowControl/>
        <w:adjustRightInd w:val="0"/>
        <w:snapToGrid w:val="0"/>
        <w:spacing w:line="360" w:lineRule="auto"/>
        <w:jc w:val="left"/>
        <w:rPr>
          <w:bCs/>
          <w:kern w:val="0"/>
          <w:sz w:val="24"/>
          <w:highlight w:val="none"/>
        </w:rPr>
      </w:pPr>
      <w:r>
        <w:rPr>
          <w:bCs/>
          <w:kern w:val="0"/>
          <w:sz w:val="24"/>
          <w:highlight w:val="none"/>
        </w:rPr>
        <w:t>名 称：中国科学院电工研究所</w:t>
      </w:r>
    </w:p>
    <w:p w14:paraId="665AF22F">
      <w:pPr>
        <w:widowControl/>
        <w:adjustRightInd w:val="0"/>
        <w:snapToGrid w:val="0"/>
        <w:spacing w:line="360" w:lineRule="auto"/>
        <w:jc w:val="left"/>
        <w:rPr>
          <w:bCs/>
          <w:kern w:val="0"/>
          <w:sz w:val="24"/>
          <w:highlight w:val="none"/>
        </w:rPr>
      </w:pPr>
      <w:r>
        <w:rPr>
          <w:bCs/>
          <w:kern w:val="0"/>
          <w:sz w:val="24"/>
          <w:highlight w:val="none"/>
        </w:rPr>
        <w:t xml:space="preserve">地 址：北京市海淀区中关村北二条6号 </w:t>
      </w:r>
    </w:p>
    <w:p w14:paraId="24A99F2B">
      <w:pPr>
        <w:widowControl/>
        <w:adjustRightInd w:val="0"/>
        <w:snapToGrid w:val="0"/>
        <w:spacing w:line="360" w:lineRule="auto"/>
        <w:jc w:val="left"/>
        <w:rPr>
          <w:bCs/>
          <w:kern w:val="0"/>
          <w:sz w:val="24"/>
          <w:highlight w:val="none"/>
        </w:rPr>
      </w:pPr>
      <w:r>
        <w:rPr>
          <w:bCs/>
          <w:kern w:val="0"/>
          <w:sz w:val="24"/>
          <w:highlight w:val="none"/>
        </w:rPr>
        <w:t>联系方式：刘老师 010-82547016</w:t>
      </w:r>
    </w:p>
    <w:p w14:paraId="7E3FA681">
      <w:pPr>
        <w:widowControl/>
        <w:adjustRightInd w:val="0"/>
        <w:snapToGrid w:val="0"/>
        <w:spacing w:line="360" w:lineRule="auto"/>
        <w:jc w:val="left"/>
        <w:rPr>
          <w:bCs/>
          <w:kern w:val="0"/>
          <w:sz w:val="24"/>
          <w:highlight w:val="none"/>
        </w:rPr>
      </w:pPr>
      <w:r>
        <w:rPr>
          <w:bCs/>
          <w:kern w:val="0"/>
          <w:sz w:val="24"/>
          <w:highlight w:val="none"/>
        </w:rPr>
        <w:t>2.采购代理机构信息</w:t>
      </w:r>
    </w:p>
    <w:p w14:paraId="388917F3">
      <w:pPr>
        <w:widowControl/>
        <w:adjustRightInd w:val="0"/>
        <w:snapToGrid w:val="0"/>
        <w:spacing w:line="360" w:lineRule="auto"/>
        <w:jc w:val="left"/>
        <w:rPr>
          <w:bCs/>
          <w:kern w:val="0"/>
          <w:sz w:val="24"/>
          <w:highlight w:val="none"/>
        </w:rPr>
      </w:pPr>
      <w:r>
        <w:rPr>
          <w:bCs/>
          <w:kern w:val="0"/>
          <w:sz w:val="24"/>
          <w:highlight w:val="none"/>
        </w:rPr>
        <w:t>名  称：东方国际招标有限责任公司</w:t>
      </w:r>
    </w:p>
    <w:p w14:paraId="73026CF8">
      <w:pPr>
        <w:widowControl/>
        <w:adjustRightInd w:val="0"/>
        <w:snapToGrid w:val="0"/>
        <w:spacing w:line="360" w:lineRule="auto"/>
        <w:jc w:val="left"/>
        <w:rPr>
          <w:bCs/>
          <w:kern w:val="0"/>
          <w:sz w:val="24"/>
          <w:highlight w:val="none"/>
        </w:rPr>
      </w:pPr>
      <w:r>
        <w:rPr>
          <w:bCs/>
          <w:kern w:val="0"/>
          <w:sz w:val="24"/>
          <w:highlight w:val="none"/>
        </w:rPr>
        <w:t>地  址：北京市海淀区丹棱街1号互联网金融中心20层</w:t>
      </w:r>
    </w:p>
    <w:p w14:paraId="77A92984">
      <w:pPr>
        <w:spacing w:line="360" w:lineRule="auto"/>
        <w:ind w:firstLine="5"/>
        <w:rPr>
          <w:sz w:val="24"/>
          <w:highlight w:val="none"/>
        </w:rPr>
      </w:pPr>
      <w:r>
        <w:rPr>
          <w:sz w:val="24"/>
          <w:highlight w:val="none"/>
        </w:rPr>
        <w:t>电  话：</w:t>
      </w:r>
      <w:r>
        <w:rPr>
          <w:bCs/>
          <w:kern w:val="0"/>
          <w:sz w:val="24"/>
          <w:highlight w:val="none"/>
        </w:rPr>
        <w:t>010-68290589/</w:t>
      </w:r>
      <w:r>
        <w:rPr>
          <w:rFonts w:hint="eastAsia"/>
          <w:bCs/>
          <w:kern w:val="0"/>
          <w:sz w:val="24"/>
          <w:highlight w:val="none"/>
        </w:rPr>
        <w:t>0585/0583</w:t>
      </w:r>
    </w:p>
    <w:p w14:paraId="500D8816">
      <w:pPr>
        <w:spacing w:line="360" w:lineRule="auto"/>
        <w:ind w:firstLine="5"/>
        <w:rPr>
          <w:sz w:val="24"/>
          <w:highlight w:val="none"/>
        </w:rPr>
      </w:pPr>
      <w:r>
        <w:rPr>
          <w:sz w:val="24"/>
          <w:highlight w:val="none"/>
        </w:rPr>
        <w:t>传  真：010-50828550</w:t>
      </w:r>
    </w:p>
    <w:p w14:paraId="161F0495">
      <w:pPr>
        <w:spacing w:line="360" w:lineRule="auto"/>
        <w:ind w:firstLine="5"/>
        <w:rPr>
          <w:sz w:val="24"/>
          <w:highlight w:val="none"/>
        </w:rPr>
      </w:pPr>
      <w:r>
        <w:rPr>
          <w:sz w:val="24"/>
          <w:highlight w:val="none"/>
        </w:rPr>
        <w:t>联  系 人：迟兆洋、叶明、芮虎峥、荀笑尘</w:t>
      </w:r>
    </w:p>
    <w:p w14:paraId="65563531">
      <w:pPr>
        <w:spacing w:line="360" w:lineRule="auto"/>
        <w:rPr>
          <w:sz w:val="24"/>
          <w:highlight w:val="none"/>
        </w:rPr>
      </w:pPr>
      <w:r>
        <w:rPr>
          <w:sz w:val="24"/>
          <w:highlight w:val="none"/>
        </w:rPr>
        <w:t>邮  编：100081</w:t>
      </w:r>
    </w:p>
    <w:p w14:paraId="29365D22">
      <w:pPr>
        <w:spacing w:line="360" w:lineRule="auto"/>
        <w:rPr>
          <w:sz w:val="24"/>
          <w:highlight w:val="none"/>
        </w:rPr>
      </w:pPr>
      <w:r>
        <w:rPr>
          <w:sz w:val="24"/>
          <w:highlight w:val="none"/>
        </w:rPr>
        <w:t>邮  箱：</w:t>
      </w:r>
      <w:r>
        <w:rPr>
          <w:rFonts w:hint="eastAsia"/>
          <w:sz w:val="24"/>
          <w:highlight w:val="none"/>
        </w:rPr>
        <w:t>mye@oitc.com.cn</w:t>
      </w:r>
      <w:r>
        <w:rPr>
          <w:sz w:val="24"/>
          <w:highlight w:val="none"/>
        </w:rPr>
        <w:t>、xcxun@oitc.com.cn</w:t>
      </w:r>
      <w:r>
        <w:rPr>
          <w:rFonts w:hint="eastAsia"/>
          <w:sz w:val="24"/>
          <w:highlight w:val="none"/>
        </w:rPr>
        <w:t>、</w:t>
      </w:r>
      <w:r>
        <w:rPr>
          <w:sz w:val="24"/>
          <w:highlight w:val="none"/>
        </w:rPr>
        <w:t>yhli@oitc.com.cn</w:t>
      </w:r>
    </w:p>
    <w:p w14:paraId="27AD72B7">
      <w:pPr>
        <w:widowControl/>
        <w:adjustRightInd w:val="0"/>
        <w:snapToGrid w:val="0"/>
        <w:spacing w:line="360" w:lineRule="auto"/>
        <w:jc w:val="left"/>
        <w:rPr>
          <w:bCs/>
          <w:kern w:val="0"/>
          <w:sz w:val="24"/>
          <w:highlight w:val="none"/>
        </w:rPr>
      </w:pPr>
      <w:r>
        <w:rPr>
          <w:bCs/>
          <w:kern w:val="0"/>
          <w:sz w:val="24"/>
          <w:highlight w:val="none"/>
        </w:rPr>
        <w:t>3.项目联系方式</w:t>
      </w:r>
    </w:p>
    <w:p w14:paraId="307A699B">
      <w:pPr>
        <w:widowControl/>
        <w:adjustRightInd w:val="0"/>
        <w:snapToGrid w:val="0"/>
        <w:spacing w:line="360" w:lineRule="auto"/>
        <w:jc w:val="left"/>
        <w:rPr>
          <w:bCs/>
          <w:kern w:val="0"/>
          <w:sz w:val="24"/>
          <w:highlight w:val="none"/>
        </w:rPr>
      </w:pPr>
      <w:r>
        <w:rPr>
          <w:bCs/>
          <w:kern w:val="0"/>
          <w:sz w:val="24"/>
          <w:highlight w:val="none"/>
        </w:rPr>
        <w:t>项目联系人：迟兆洋、叶明、芮虎峥、荀笑尘</w:t>
      </w:r>
    </w:p>
    <w:p w14:paraId="581EDB3E">
      <w:pPr>
        <w:widowControl/>
        <w:adjustRightInd w:val="0"/>
        <w:snapToGrid w:val="0"/>
        <w:spacing w:line="360" w:lineRule="auto"/>
        <w:jc w:val="left"/>
        <w:rPr>
          <w:sz w:val="24"/>
          <w:highlight w:val="none"/>
        </w:rPr>
      </w:pPr>
      <w:r>
        <w:rPr>
          <w:bCs/>
          <w:kern w:val="0"/>
          <w:sz w:val="24"/>
          <w:highlight w:val="none"/>
        </w:rPr>
        <w:t>电  话：010-68290589/058</w:t>
      </w:r>
      <w:r>
        <w:rPr>
          <w:rFonts w:hint="eastAsia"/>
          <w:bCs/>
          <w:kern w:val="0"/>
          <w:sz w:val="24"/>
          <w:highlight w:val="none"/>
        </w:rPr>
        <w:t>5</w:t>
      </w:r>
      <w:r>
        <w:rPr>
          <w:bCs/>
          <w:kern w:val="0"/>
          <w:sz w:val="24"/>
          <w:highlight w:val="none"/>
        </w:rPr>
        <w:t>/05</w:t>
      </w:r>
      <w:r>
        <w:rPr>
          <w:rFonts w:hint="eastAsia"/>
          <w:bCs/>
          <w:kern w:val="0"/>
          <w:sz w:val="24"/>
          <w:highlight w:val="none"/>
        </w:rPr>
        <w:t>83</w:t>
      </w:r>
    </w:p>
    <w:p w14:paraId="193F722A">
      <w:pPr>
        <w:pStyle w:val="2"/>
        <w:ind w:firstLine="560"/>
        <w:rPr>
          <w:highlight w:val="none"/>
        </w:rPr>
      </w:pPr>
    </w:p>
    <w:p w14:paraId="256F84E9">
      <w:pPr>
        <w:jc w:val="center"/>
        <w:rPr>
          <w:b/>
          <w:sz w:val="24"/>
          <w:highlight w:val="none"/>
        </w:rPr>
        <w:sectPr>
          <w:footerReference r:id="rId10" w:type="first"/>
          <w:footerReference r:id="rId9" w:type="default"/>
          <w:pgSz w:w="11907" w:h="16839"/>
          <w:pgMar w:top="1440" w:right="1440" w:bottom="1418" w:left="1622" w:header="720" w:footer="794" w:gutter="0"/>
          <w:pgNumType w:start="1"/>
          <w:cols w:space="720" w:num="1"/>
          <w:docGrid w:linePitch="286" w:charSpace="0"/>
        </w:sectPr>
      </w:pPr>
    </w:p>
    <w:p w14:paraId="70614275">
      <w:pPr>
        <w:jc w:val="center"/>
        <w:outlineLvl w:val="0"/>
        <w:rPr>
          <w:b/>
          <w:sz w:val="24"/>
          <w:highlight w:val="none"/>
        </w:rPr>
      </w:pPr>
      <w:bookmarkStart w:id="2" w:name="_Toc28830"/>
      <w:r>
        <w:rPr>
          <w:b/>
          <w:sz w:val="24"/>
          <w:highlight w:val="none"/>
        </w:rPr>
        <w:t xml:space="preserve">第一部分 </w:t>
      </w:r>
      <w:bookmarkStart w:id="3" w:name="_Hlk96957052"/>
      <w:r>
        <w:rPr>
          <w:b/>
          <w:sz w:val="24"/>
          <w:highlight w:val="none"/>
        </w:rPr>
        <w:t>供应商须知前附表</w:t>
      </w:r>
      <w:bookmarkEnd w:id="2"/>
      <w:bookmarkEnd w:id="3"/>
    </w:p>
    <w:p w14:paraId="563EE79B">
      <w:pPr>
        <w:jc w:val="center"/>
        <w:rPr>
          <w:b/>
          <w:sz w:val="24"/>
          <w:highlight w:val="none"/>
        </w:rPr>
      </w:pPr>
    </w:p>
    <w:p w14:paraId="21DFA256">
      <w:pPr>
        <w:spacing w:line="360" w:lineRule="auto"/>
        <w:rPr>
          <w:sz w:val="24"/>
          <w:highlight w:val="none"/>
        </w:rPr>
      </w:pPr>
      <w:r>
        <w:rPr>
          <w:sz w:val="24"/>
          <w:highlight w:val="none"/>
        </w:rPr>
        <w:t xml:space="preserve"> 本前附表是对“供应商须知”的具体补充和修改，如有不一致，应以本前附表为准。</w:t>
      </w:r>
    </w:p>
    <w:tbl>
      <w:tblPr>
        <w:tblStyle w:val="46"/>
        <w:tblW w:w="0" w:type="auto"/>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7797"/>
      </w:tblGrid>
      <w:tr w14:paraId="59395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blHeader/>
        </w:trPr>
        <w:tc>
          <w:tcPr>
            <w:tcW w:w="1134" w:type="dxa"/>
            <w:vAlign w:val="center"/>
          </w:tcPr>
          <w:p w14:paraId="7282E4EF">
            <w:pPr>
              <w:spacing w:line="360" w:lineRule="auto"/>
              <w:jc w:val="center"/>
              <w:rPr>
                <w:b/>
                <w:bCs/>
                <w:sz w:val="24"/>
                <w:highlight w:val="none"/>
              </w:rPr>
            </w:pPr>
            <w:r>
              <w:rPr>
                <w:b/>
                <w:bCs/>
                <w:sz w:val="24"/>
                <w:highlight w:val="none"/>
              </w:rPr>
              <w:t>条目号</w:t>
            </w:r>
          </w:p>
        </w:tc>
        <w:tc>
          <w:tcPr>
            <w:tcW w:w="7797" w:type="dxa"/>
            <w:vAlign w:val="center"/>
          </w:tcPr>
          <w:p w14:paraId="4AFAD152">
            <w:pPr>
              <w:spacing w:line="360" w:lineRule="auto"/>
              <w:jc w:val="center"/>
              <w:rPr>
                <w:b/>
                <w:bCs/>
                <w:sz w:val="24"/>
                <w:highlight w:val="none"/>
              </w:rPr>
            </w:pPr>
            <w:r>
              <w:rPr>
                <w:b/>
                <w:bCs/>
                <w:sz w:val="24"/>
                <w:highlight w:val="none"/>
              </w:rPr>
              <w:t>内容</w:t>
            </w:r>
          </w:p>
        </w:tc>
      </w:tr>
      <w:tr w14:paraId="67CFB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134" w:type="dxa"/>
            <w:vAlign w:val="center"/>
          </w:tcPr>
          <w:p w14:paraId="02A1CB39">
            <w:pPr>
              <w:spacing w:line="360" w:lineRule="auto"/>
              <w:jc w:val="center"/>
              <w:rPr>
                <w:b/>
                <w:sz w:val="24"/>
                <w:highlight w:val="none"/>
              </w:rPr>
            </w:pPr>
            <w:r>
              <w:rPr>
                <w:b/>
                <w:sz w:val="24"/>
                <w:highlight w:val="none"/>
              </w:rPr>
              <w:t>1</w:t>
            </w:r>
          </w:p>
        </w:tc>
        <w:tc>
          <w:tcPr>
            <w:tcW w:w="7797" w:type="dxa"/>
            <w:vAlign w:val="center"/>
          </w:tcPr>
          <w:p w14:paraId="17F164A6">
            <w:pPr>
              <w:spacing w:line="360" w:lineRule="auto"/>
              <w:rPr>
                <w:sz w:val="24"/>
                <w:highlight w:val="none"/>
              </w:rPr>
            </w:pPr>
            <w:r>
              <w:rPr>
                <w:b/>
                <w:sz w:val="24"/>
                <w:highlight w:val="none"/>
              </w:rPr>
              <w:t>合格的供应商</w:t>
            </w:r>
          </w:p>
        </w:tc>
      </w:tr>
      <w:tr w14:paraId="172F3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14:paraId="7D8D52EC">
            <w:pPr>
              <w:spacing w:line="360" w:lineRule="auto"/>
              <w:jc w:val="center"/>
              <w:rPr>
                <w:sz w:val="24"/>
                <w:highlight w:val="none"/>
              </w:rPr>
            </w:pPr>
            <w:r>
              <w:rPr>
                <w:sz w:val="24"/>
                <w:highlight w:val="none"/>
              </w:rPr>
              <w:t>1.1</w:t>
            </w:r>
          </w:p>
        </w:tc>
        <w:tc>
          <w:tcPr>
            <w:tcW w:w="7797" w:type="dxa"/>
            <w:vAlign w:val="center"/>
          </w:tcPr>
          <w:p w14:paraId="08AF81F1">
            <w:pPr>
              <w:widowControl/>
              <w:tabs>
                <w:tab w:val="left" w:pos="900"/>
                <w:tab w:val="left" w:pos="8640"/>
              </w:tabs>
              <w:adjustRightInd w:val="0"/>
              <w:snapToGrid w:val="0"/>
              <w:spacing w:line="360" w:lineRule="auto"/>
              <w:jc w:val="left"/>
              <w:rPr>
                <w:sz w:val="24"/>
                <w:highlight w:val="none"/>
              </w:rPr>
            </w:pPr>
            <w:r>
              <w:rPr>
                <w:sz w:val="24"/>
                <w:highlight w:val="none"/>
              </w:rPr>
              <w:t>1）符合</w:t>
            </w:r>
            <w:r>
              <w:rPr>
                <w:rFonts w:hint="eastAsia"/>
                <w:sz w:val="24"/>
                <w:highlight w:val="none"/>
              </w:rPr>
              <w:t>“</w:t>
            </w:r>
            <w:r>
              <w:rPr>
                <w:sz w:val="24"/>
                <w:highlight w:val="none"/>
              </w:rPr>
              <w:t>《中华人民共和国政府采购法》第二十二条要求</w:t>
            </w:r>
            <w:r>
              <w:rPr>
                <w:rFonts w:hint="eastAsia"/>
                <w:sz w:val="24"/>
                <w:highlight w:val="none"/>
              </w:rPr>
              <w:t>”</w:t>
            </w:r>
            <w:r>
              <w:rPr>
                <w:sz w:val="24"/>
                <w:highlight w:val="none"/>
              </w:rPr>
              <w:t>；</w:t>
            </w:r>
          </w:p>
          <w:p w14:paraId="3FB444BB">
            <w:pPr>
              <w:widowControl/>
              <w:tabs>
                <w:tab w:val="left" w:pos="900"/>
                <w:tab w:val="left" w:pos="8640"/>
              </w:tabs>
              <w:adjustRightInd w:val="0"/>
              <w:snapToGrid w:val="0"/>
              <w:spacing w:line="360" w:lineRule="auto"/>
              <w:jc w:val="left"/>
              <w:rPr>
                <w:kern w:val="0"/>
                <w:sz w:val="24"/>
                <w:highlight w:val="none"/>
              </w:rPr>
            </w:pPr>
            <w:r>
              <w:rPr>
                <w:sz w:val="24"/>
                <w:highlight w:val="none"/>
              </w:rPr>
              <w:t>2）</w:t>
            </w:r>
            <w:r>
              <w:rPr>
                <w:kern w:val="0"/>
                <w:sz w:val="24"/>
                <w:highlight w:val="none"/>
              </w:rPr>
              <w:t>在中华人民共和国境内依法注册的，具有独立承担民事责任能力，遵守国家法律法规，具有良好信誉，具有履行合同能力和良好的履行合同的记录，具有良好资金、财务状况的企事业法人、其他组织或者自然人；</w:t>
            </w:r>
          </w:p>
          <w:p w14:paraId="10B5FA5B">
            <w:pPr>
              <w:widowControl/>
              <w:tabs>
                <w:tab w:val="left" w:pos="900"/>
                <w:tab w:val="left" w:pos="8640"/>
              </w:tabs>
              <w:adjustRightInd w:val="0"/>
              <w:snapToGrid w:val="0"/>
              <w:spacing w:line="360" w:lineRule="auto"/>
              <w:jc w:val="left"/>
              <w:rPr>
                <w:kern w:val="0"/>
                <w:sz w:val="24"/>
                <w:highlight w:val="none"/>
              </w:rPr>
            </w:pPr>
            <w:r>
              <w:rPr>
                <w:kern w:val="0"/>
                <w:sz w:val="24"/>
                <w:highlight w:val="none"/>
              </w:rPr>
              <w:t>3）为本项目提供整体设计、规范编制或者项目管理、监理、检测等服务的供应商，不得参加本项目响应；</w:t>
            </w:r>
          </w:p>
          <w:p w14:paraId="73591518">
            <w:pPr>
              <w:widowControl/>
              <w:tabs>
                <w:tab w:val="left" w:pos="900"/>
                <w:tab w:val="left" w:pos="8640"/>
              </w:tabs>
              <w:adjustRightInd w:val="0"/>
              <w:snapToGrid w:val="0"/>
              <w:spacing w:line="360" w:lineRule="auto"/>
              <w:jc w:val="left"/>
              <w:rPr>
                <w:kern w:val="0"/>
                <w:sz w:val="24"/>
                <w:highlight w:val="none"/>
              </w:rPr>
            </w:pPr>
            <w:r>
              <w:rPr>
                <w:kern w:val="0"/>
                <w:sz w:val="24"/>
                <w:highlight w:val="none"/>
              </w:rPr>
              <w:t>4）响应单位负责人为同一人或者存在直接控股、管理关系的不同供应商，不得参加同一合同项下的政府采购活动；</w:t>
            </w:r>
          </w:p>
          <w:p w14:paraId="7932B5FE">
            <w:pPr>
              <w:widowControl/>
              <w:tabs>
                <w:tab w:val="left" w:pos="900"/>
                <w:tab w:val="left" w:pos="8640"/>
              </w:tabs>
              <w:adjustRightInd w:val="0"/>
              <w:snapToGrid w:val="0"/>
              <w:spacing w:line="360" w:lineRule="auto"/>
              <w:jc w:val="left"/>
              <w:rPr>
                <w:sz w:val="24"/>
                <w:highlight w:val="none"/>
              </w:rPr>
            </w:pPr>
            <w:r>
              <w:rPr>
                <w:kern w:val="0"/>
                <w:sz w:val="24"/>
                <w:highlight w:val="none"/>
              </w:rPr>
              <w:t>5）</w:t>
            </w:r>
            <w:r>
              <w:rPr>
                <w:sz w:val="24"/>
                <w:highlight w:val="none"/>
              </w:rPr>
              <w:t>按本磋商邀请的规定获取磋商文件；</w:t>
            </w:r>
          </w:p>
          <w:p w14:paraId="4AB8EA06">
            <w:pPr>
              <w:widowControl/>
              <w:tabs>
                <w:tab w:val="left" w:pos="900"/>
                <w:tab w:val="left" w:pos="8640"/>
              </w:tabs>
              <w:adjustRightInd w:val="0"/>
              <w:snapToGrid w:val="0"/>
              <w:spacing w:line="360" w:lineRule="auto"/>
              <w:jc w:val="left"/>
              <w:rPr>
                <w:sz w:val="24"/>
                <w:highlight w:val="none"/>
              </w:rPr>
            </w:pPr>
            <w:r>
              <w:rPr>
                <w:sz w:val="24"/>
                <w:highlight w:val="none"/>
              </w:rPr>
              <w:t>6）本项目不接受联合体响应；</w:t>
            </w:r>
          </w:p>
          <w:p w14:paraId="55997BCC">
            <w:pPr>
              <w:spacing w:line="360" w:lineRule="auto"/>
              <w:rPr>
                <w:sz w:val="24"/>
                <w:highlight w:val="none"/>
              </w:rPr>
            </w:pPr>
            <w:r>
              <w:rPr>
                <w:sz w:val="24"/>
                <w:highlight w:val="none"/>
              </w:rPr>
              <w:t>7）</w:t>
            </w:r>
            <w:r>
              <w:rPr>
                <w:kern w:val="0"/>
                <w:sz w:val="24"/>
                <w:highlight w:val="none"/>
              </w:rPr>
              <w:t>不得为列入失信被执行人、重大税收违法案件当事人名单、政府采购严重违法失信行为记录名单的供应商。（注1）</w:t>
            </w:r>
          </w:p>
        </w:tc>
      </w:tr>
      <w:tr w14:paraId="08071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14:paraId="46892359">
            <w:pPr>
              <w:spacing w:line="360" w:lineRule="auto"/>
              <w:jc w:val="center"/>
              <w:rPr>
                <w:b/>
                <w:sz w:val="24"/>
                <w:highlight w:val="none"/>
              </w:rPr>
            </w:pPr>
            <w:r>
              <w:rPr>
                <w:b/>
                <w:sz w:val="24"/>
                <w:highlight w:val="none"/>
              </w:rPr>
              <w:t>2</w:t>
            </w:r>
          </w:p>
        </w:tc>
        <w:tc>
          <w:tcPr>
            <w:tcW w:w="7797" w:type="dxa"/>
            <w:vAlign w:val="center"/>
          </w:tcPr>
          <w:p w14:paraId="60CA7954">
            <w:pPr>
              <w:spacing w:line="360" w:lineRule="auto"/>
              <w:rPr>
                <w:b/>
                <w:sz w:val="24"/>
                <w:highlight w:val="none"/>
              </w:rPr>
            </w:pPr>
            <w:r>
              <w:rPr>
                <w:b/>
                <w:sz w:val="24"/>
                <w:highlight w:val="none"/>
              </w:rPr>
              <w:t>磋商文件的质疑</w:t>
            </w:r>
          </w:p>
        </w:tc>
      </w:tr>
      <w:tr w14:paraId="38E11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14:paraId="53413520">
            <w:pPr>
              <w:spacing w:line="360" w:lineRule="auto"/>
              <w:jc w:val="center"/>
              <w:rPr>
                <w:sz w:val="24"/>
                <w:highlight w:val="none"/>
              </w:rPr>
            </w:pPr>
            <w:r>
              <w:rPr>
                <w:sz w:val="24"/>
                <w:highlight w:val="none"/>
              </w:rPr>
              <w:t>2.1</w:t>
            </w:r>
          </w:p>
        </w:tc>
        <w:tc>
          <w:tcPr>
            <w:tcW w:w="7797" w:type="dxa"/>
            <w:vAlign w:val="center"/>
          </w:tcPr>
          <w:p w14:paraId="5E4355CE">
            <w:pPr>
              <w:adjustRightInd w:val="0"/>
              <w:snapToGrid w:val="0"/>
              <w:spacing w:line="360" w:lineRule="auto"/>
              <w:rPr>
                <w:sz w:val="24"/>
                <w:highlight w:val="none"/>
              </w:rPr>
            </w:pPr>
            <w:r>
              <w:rPr>
                <w:sz w:val="24"/>
                <w:highlight w:val="none"/>
              </w:rPr>
              <w:t>接收质疑函的方式、联系部门、联系电话和通讯地址：</w:t>
            </w:r>
          </w:p>
          <w:p w14:paraId="08C4A044">
            <w:pPr>
              <w:adjustRightInd w:val="0"/>
              <w:snapToGrid w:val="0"/>
              <w:spacing w:line="360" w:lineRule="auto"/>
              <w:rPr>
                <w:sz w:val="24"/>
                <w:highlight w:val="none"/>
              </w:rPr>
            </w:pPr>
            <w:r>
              <w:rPr>
                <w:sz w:val="24"/>
                <w:highlight w:val="none"/>
              </w:rPr>
              <w:t>接收方式：传真或电子邮件或邮寄</w:t>
            </w:r>
          </w:p>
          <w:p w14:paraId="23375D9F">
            <w:pPr>
              <w:adjustRightInd w:val="0"/>
              <w:snapToGrid w:val="0"/>
              <w:spacing w:line="360" w:lineRule="auto"/>
              <w:rPr>
                <w:sz w:val="24"/>
                <w:highlight w:val="none"/>
              </w:rPr>
            </w:pPr>
            <w:r>
              <w:rPr>
                <w:sz w:val="24"/>
                <w:highlight w:val="none"/>
              </w:rPr>
              <w:t>联系部门：招标部</w:t>
            </w:r>
          </w:p>
          <w:p w14:paraId="71C5DCDE">
            <w:pPr>
              <w:adjustRightInd w:val="0"/>
              <w:snapToGrid w:val="0"/>
              <w:spacing w:line="360" w:lineRule="auto"/>
              <w:rPr>
                <w:sz w:val="24"/>
                <w:highlight w:val="none"/>
              </w:rPr>
            </w:pPr>
            <w:r>
              <w:rPr>
                <w:sz w:val="24"/>
                <w:highlight w:val="none"/>
              </w:rPr>
              <w:t>联系电话：010-68290589/0548</w:t>
            </w:r>
          </w:p>
          <w:p w14:paraId="69A74774">
            <w:pPr>
              <w:adjustRightInd w:val="0"/>
              <w:snapToGrid w:val="0"/>
              <w:spacing w:line="360" w:lineRule="auto"/>
              <w:rPr>
                <w:kern w:val="0"/>
                <w:sz w:val="24"/>
                <w:highlight w:val="none"/>
              </w:rPr>
            </w:pPr>
            <w:r>
              <w:rPr>
                <w:kern w:val="0"/>
                <w:sz w:val="24"/>
                <w:highlight w:val="none"/>
              </w:rPr>
              <w:t>传真：010-50828550</w:t>
            </w:r>
          </w:p>
          <w:p w14:paraId="12C83927">
            <w:pPr>
              <w:adjustRightInd w:val="0"/>
              <w:snapToGrid w:val="0"/>
              <w:spacing w:line="360" w:lineRule="auto"/>
              <w:rPr>
                <w:kern w:val="0"/>
                <w:sz w:val="24"/>
                <w:highlight w:val="none"/>
              </w:rPr>
            </w:pPr>
            <w:r>
              <w:rPr>
                <w:kern w:val="0"/>
                <w:sz w:val="24"/>
                <w:highlight w:val="none"/>
              </w:rPr>
              <w:t>电子邮箱：</w:t>
            </w:r>
            <w:r>
              <w:rPr>
                <w:rFonts w:hint="eastAsia"/>
                <w:sz w:val="24"/>
                <w:highlight w:val="none"/>
              </w:rPr>
              <w:t>mye@oitc.com.cn</w:t>
            </w:r>
            <w:r>
              <w:rPr>
                <w:sz w:val="24"/>
                <w:highlight w:val="none"/>
              </w:rPr>
              <w:t>、xcxun@oitc.com.cn</w:t>
            </w:r>
          </w:p>
          <w:p w14:paraId="1906C26F">
            <w:pPr>
              <w:spacing w:line="360" w:lineRule="auto"/>
              <w:rPr>
                <w:sz w:val="24"/>
                <w:highlight w:val="none"/>
              </w:rPr>
            </w:pPr>
            <w:r>
              <w:rPr>
                <w:kern w:val="0"/>
                <w:sz w:val="24"/>
                <w:highlight w:val="none"/>
              </w:rPr>
              <w:t>通讯地址：北京市海淀区丹棱街1号互联网金融中心20层</w:t>
            </w:r>
          </w:p>
        </w:tc>
      </w:tr>
      <w:tr w14:paraId="412FA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134" w:type="dxa"/>
            <w:vAlign w:val="center"/>
          </w:tcPr>
          <w:p w14:paraId="5D9AD18E">
            <w:pPr>
              <w:spacing w:line="360" w:lineRule="auto"/>
              <w:jc w:val="center"/>
              <w:rPr>
                <w:b/>
                <w:sz w:val="24"/>
                <w:highlight w:val="none"/>
              </w:rPr>
            </w:pPr>
            <w:r>
              <w:rPr>
                <w:b/>
                <w:sz w:val="24"/>
                <w:highlight w:val="none"/>
              </w:rPr>
              <w:t>3</w:t>
            </w:r>
          </w:p>
        </w:tc>
        <w:tc>
          <w:tcPr>
            <w:tcW w:w="7797" w:type="dxa"/>
            <w:vAlign w:val="center"/>
          </w:tcPr>
          <w:p w14:paraId="43486278">
            <w:pPr>
              <w:spacing w:line="360" w:lineRule="auto"/>
              <w:rPr>
                <w:sz w:val="24"/>
                <w:highlight w:val="none"/>
              </w:rPr>
            </w:pPr>
            <w:r>
              <w:rPr>
                <w:b/>
                <w:sz w:val="24"/>
                <w:highlight w:val="none"/>
              </w:rPr>
              <w:t>磋商响应文件的组成</w:t>
            </w:r>
          </w:p>
        </w:tc>
      </w:tr>
      <w:tr w14:paraId="3EC8F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14:paraId="3478EB0C">
            <w:pPr>
              <w:spacing w:line="360" w:lineRule="auto"/>
              <w:jc w:val="center"/>
              <w:rPr>
                <w:sz w:val="24"/>
                <w:highlight w:val="none"/>
              </w:rPr>
            </w:pPr>
            <w:r>
              <w:rPr>
                <w:sz w:val="24"/>
                <w:highlight w:val="none"/>
              </w:rPr>
              <w:t>3.1</w:t>
            </w:r>
          </w:p>
        </w:tc>
        <w:tc>
          <w:tcPr>
            <w:tcW w:w="7797" w:type="dxa"/>
            <w:vAlign w:val="center"/>
          </w:tcPr>
          <w:p w14:paraId="2F571DAE">
            <w:pPr>
              <w:spacing w:line="360" w:lineRule="auto"/>
              <w:rPr>
                <w:sz w:val="24"/>
                <w:highlight w:val="none"/>
              </w:rPr>
            </w:pPr>
            <w:r>
              <w:rPr>
                <w:sz w:val="24"/>
                <w:highlight w:val="none"/>
              </w:rPr>
              <w:t>为了磋商响应文件的规范和统一，供应商须按以下内容及顺序编写磋商响应文件，实际响应中如有必要，应由供应商对以下目录未涉及的部分予以补充：</w:t>
            </w:r>
          </w:p>
          <w:p w14:paraId="47A6735D">
            <w:pPr>
              <w:spacing w:line="360" w:lineRule="auto"/>
              <w:rPr>
                <w:sz w:val="24"/>
                <w:highlight w:val="none"/>
              </w:rPr>
            </w:pPr>
            <w:r>
              <w:rPr>
                <w:rFonts w:ascii="Segoe UI Symbol" w:hAnsi="Segoe UI Symbol" w:cs="Segoe UI Symbol"/>
                <w:sz w:val="24"/>
                <w:highlight w:val="none"/>
              </w:rPr>
              <w:t>★</w:t>
            </w:r>
            <w:r>
              <w:rPr>
                <w:sz w:val="24"/>
                <w:highlight w:val="none"/>
              </w:rPr>
              <w:t>附件1--报价函（统一格式）</w:t>
            </w:r>
          </w:p>
          <w:p w14:paraId="5EFFD3C2">
            <w:pPr>
              <w:spacing w:line="360" w:lineRule="auto"/>
              <w:rPr>
                <w:sz w:val="24"/>
                <w:highlight w:val="none"/>
              </w:rPr>
            </w:pPr>
            <w:r>
              <w:rPr>
                <w:rFonts w:ascii="Segoe UI Symbol" w:hAnsi="Segoe UI Symbol" w:cs="Segoe UI Symbol"/>
                <w:sz w:val="24"/>
                <w:highlight w:val="none"/>
              </w:rPr>
              <w:t>★</w:t>
            </w:r>
            <w:r>
              <w:rPr>
                <w:sz w:val="24"/>
                <w:highlight w:val="none"/>
              </w:rPr>
              <w:t>附件2--报价一览表（统一格式）</w:t>
            </w:r>
          </w:p>
          <w:p w14:paraId="4C4E8DE9">
            <w:pPr>
              <w:spacing w:line="360" w:lineRule="auto"/>
              <w:rPr>
                <w:sz w:val="24"/>
                <w:highlight w:val="none"/>
              </w:rPr>
            </w:pPr>
            <w:r>
              <w:rPr>
                <w:rFonts w:ascii="Segoe UI Symbol" w:hAnsi="Segoe UI Symbol" w:cs="Segoe UI Symbol"/>
                <w:sz w:val="24"/>
                <w:highlight w:val="none"/>
              </w:rPr>
              <w:t>★</w:t>
            </w:r>
            <w:r>
              <w:rPr>
                <w:sz w:val="24"/>
                <w:highlight w:val="none"/>
              </w:rPr>
              <w:t>附件3--分项报价表（统一格式）</w:t>
            </w:r>
          </w:p>
          <w:p w14:paraId="5C5BEBFE">
            <w:pPr>
              <w:spacing w:line="360" w:lineRule="auto"/>
              <w:rPr>
                <w:sz w:val="24"/>
                <w:highlight w:val="none"/>
              </w:rPr>
            </w:pPr>
            <w:r>
              <w:rPr>
                <w:rFonts w:ascii="Segoe UI Symbol" w:hAnsi="Segoe UI Symbol" w:cs="Segoe UI Symbol"/>
                <w:sz w:val="24"/>
                <w:highlight w:val="none"/>
              </w:rPr>
              <w:t>★</w:t>
            </w:r>
            <w:r>
              <w:rPr>
                <w:sz w:val="24"/>
                <w:highlight w:val="none"/>
              </w:rPr>
              <w:t>附件</w:t>
            </w:r>
            <w:r>
              <w:rPr>
                <w:rFonts w:hint="eastAsia"/>
                <w:sz w:val="24"/>
                <w:highlight w:val="none"/>
              </w:rPr>
              <w:t>4</w:t>
            </w:r>
            <w:r>
              <w:rPr>
                <w:sz w:val="24"/>
                <w:highlight w:val="none"/>
              </w:rPr>
              <w:t>--</w:t>
            </w:r>
            <w:r>
              <w:rPr>
                <w:rFonts w:hint="eastAsia"/>
                <w:sz w:val="24"/>
                <w:highlight w:val="none"/>
              </w:rPr>
              <w:t>项目</w:t>
            </w:r>
            <w:r>
              <w:rPr>
                <w:sz w:val="24"/>
                <w:highlight w:val="none"/>
              </w:rPr>
              <w:t>需求逐条应答表（统一格式）</w:t>
            </w:r>
          </w:p>
          <w:p w14:paraId="02EA898F">
            <w:pPr>
              <w:spacing w:line="360" w:lineRule="auto"/>
              <w:rPr>
                <w:sz w:val="24"/>
                <w:highlight w:val="none"/>
              </w:rPr>
            </w:pPr>
            <w:r>
              <w:rPr>
                <w:rFonts w:ascii="Segoe UI Symbol" w:hAnsi="Segoe UI Symbol" w:cs="Segoe UI Symbol"/>
                <w:sz w:val="24"/>
                <w:highlight w:val="none"/>
              </w:rPr>
              <w:t>★</w:t>
            </w:r>
            <w:r>
              <w:rPr>
                <w:sz w:val="24"/>
                <w:highlight w:val="none"/>
              </w:rPr>
              <w:t>附件</w:t>
            </w:r>
            <w:r>
              <w:rPr>
                <w:rFonts w:hint="eastAsia"/>
                <w:sz w:val="24"/>
                <w:highlight w:val="none"/>
              </w:rPr>
              <w:t>5</w:t>
            </w:r>
            <w:r>
              <w:rPr>
                <w:sz w:val="24"/>
                <w:highlight w:val="none"/>
              </w:rPr>
              <w:t>--商务条款偏离表（统一格式）</w:t>
            </w:r>
          </w:p>
          <w:p w14:paraId="6EB478B3">
            <w:pPr>
              <w:spacing w:line="360" w:lineRule="auto"/>
              <w:rPr>
                <w:sz w:val="24"/>
                <w:highlight w:val="none"/>
              </w:rPr>
            </w:pPr>
            <w:r>
              <w:rPr>
                <w:sz w:val="24"/>
                <w:highlight w:val="none"/>
              </w:rPr>
              <w:t>附件</w:t>
            </w:r>
            <w:r>
              <w:rPr>
                <w:rFonts w:hint="eastAsia"/>
                <w:sz w:val="24"/>
                <w:highlight w:val="none"/>
              </w:rPr>
              <w:t>6</w:t>
            </w:r>
            <w:r>
              <w:rPr>
                <w:sz w:val="24"/>
                <w:highlight w:val="none"/>
              </w:rPr>
              <w:t>--资格证明文件</w:t>
            </w:r>
          </w:p>
          <w:p w14:paraId="56FF8CDF">
            <w:pPr>
              <w:spacing w:line="360" w:lineRule="auto"/>
              <w:rPr>
                <w:b/>
                <w:bCs/>
                <w:sz w:val="24"/>
                <w:highlight w:val="none"/>
              </w:rPr>
            </w:pPr>
            <w:r>
              <w:rPr>
                <w:rFonts w:ascii="Segoe UI Symbol" w:hAnsi="Segoe UI Symbol" w:cs="Segoe UI Symbol"/>
                <w:b/>
                <w:bCs/>
                <w:sz w:val="24"/>
                <w:highlight w:val="none"/>
              </w:rPr>
              <w:t>★</w:t>
            </w:r>
            <w:r>
              <w:rPr>
                <w:rFonts w:hint="eastAsia"/>
                <w:b/>
                <w:bCs/>
                <w:sz w:val="24"/>
                <w:highlight w:val="none"/>
              </w:rPr>
              <w:t>6</w:t>
            </w:r>
            <w:r>
              <w:rPr>
                <w:b/>
                <w:bCs/>
                <w:sz w:val="24"/>
                <w:highlight w:val="none"/>
              </w:rPr>
              <w:t>-1  法人营业执照/事业单位法人证书（复印件，供应商必须提供）</w:t>
            </w:r>
          </w:p>
          <w:p w14:paraId="14BBBFE1">
            <w:pPr>
              <w:spacing w:line="360" w:lineRule="auto"/>
              <w:rPr>
                <w:sz w:val="24"/>
                <w:highlight w:val="none"/>
              </w:rPr>
            </w:pPr>
            <w:r>
              <w:rPr>
                <w:rFonts w:hint="eastAsia"/>
                <w:sz w:val="24"/>
                <w:highlight w:val="none"/>
              </w:rPr>
              <w:t>6</w:t>
            </w:r>
            <w:r>
              <w:rPr>
                <w:sz w:val="24"/>
                <w:highlight w:val="none"/>
              </w:rPr>
              <w:t>-2   税务登记证书（复印件）</w:t>
            </w:r>
          </w:p>
          <w:p w14:paraId="7F31FF9D">
            <w:pPr>
              <w:spacing w:line="360" w:lineRule="auto"/>
              <w:rPr>
                <w:b/>
                <w:bCs/>
                <w:sz w:val="24"/>
                <w:highlight w:val="none"/>
              </w:rPr>
            </w:pPr>
            <w:r>
              <w:rPr>
                <w:rFonts w:ascii="Segoe UI Symbol" w:hAnsi="Segoe UI Symbol" w:cs="Segoe UI Symbol"/>
                <w:b/>
                <w:bCs/>
                <w:sz w:val="24"/>
                <w:highlight w:val="none"/>
              </w:rPr>
              <w:t>★</w:t>
            </w:r>
            <w:r>
              <w:rPr>
                <w:rFonts w:hint="eastAsia"/>
                <w:b/>
                <w:bCs/>
                <w:sz w:val="24"/>
                <w:highlight w:val="none"/>
              </w:rPr>
              <w:t>6-</w:t>
            </w:r>
            <w:r>
              <w:rPr>
                <w:b/>
                <w:bCs/>
                <w:sz w:val="24"/>
                <w:highlight w:val="none"/>
              </w:rPr>
              <w:t>3  法定代表人资格证明书及法定代表人授权书（统一格式，供应商必须提供）</w:t>
            </w:r>
          </w:p>
          <w:p w14:paraId="3DF9083C">
            <w:pPr>
              <w:spacing w:line="360" w:lineRule="auto"/>
              <w:rPr>
                <w:b/>
                <w:bCs/>
                <w:sz w:val="24"/>
                <w:highlight w:val="none"/>
              </w:rPr>
            </w:pPr>
            <w:r>
              <w:rPr>
                <w:rFonts w:ascii="Segoe UI Symbol" w:hAnsi="Segoe UI Symbol" w:cs="Segoe UI Symbol"/>
                <w:b/>
                <w:bCs/>
                <w:sz w:val="24"/>
                <w:highlight w:val="none"/>
              </w:rPr>
              <w:t>★</w:t>
            </w:r>
            <w:r>
              <w:rPr>
                <w:rFonts w:hint="eastAsia"/>
                <w:b/>
                <w:bCs/>
                <w:sz w:val="24"/>
                <w:highlight w:val="none"/>
              </w:rPr>
              <w:t>6-</w:t>
            </w:r>
            <w:r>
              <w:rPr>
                <w:b/>
                <w:bCs/>
                <w:sz w:val="24"/>
                <w:highlight w:val="none"/>
              </w:rPr>
              <w:t>4 供应商基本情况表（统一格式，供应商必须提供）</w:t>
            </w:r>
          </w:p>
          <w:p w14:paraId="545F0A42">
            <w:pPr>
              <w:spacing w:line="360" w:lineRule="auto"/>
              <w:rPr>
                <w:b/>
                <w:bCs/>
                <w:sz w:val="24"/>
                <w:highlight w:val="none"/>
              </w:rPr>
            </w:pPr>
            <w:r>
              <w:rPr>
                <w:rFonts w:ascii="Segoe UI Symbol" w:hAnsi="Segoe UI Symbol" w:cs="Segoe UI Symbol"/>
                <w:b/>
                <w:bCs/>
                <w:sz w:val="24"/>
                <w:highlight w:val="none"/>
              </w:rPr>
              <w:t>★</w:t>
            </w:r>
            <w:r>
              <w:rPr>
                <w:rFonts w:hint="eastAsia"/>
                <w:b/>
                <w:bCs/>
                <w:sz w:val="24"/>
                <w:highlight w:val="none"/>
              </w:rPr>
              <w:t>6-5</w:t>
            </w:r>
            <w:r>
              <w:rPr>
                <w:b/>
                <w:bCs/>
                <w:sz w:val="24"/>
                <w:highlight w:val="none"/>
              </w:rPr>
              <w:t xml:space="preserve"> 磋商谈判日前3个月内银行出具盖章的资信证明文件或公司上一年度（2024年度）经会计师事务所盖章审计的财务审计报告（供应商必须提供，但由专业担保机构已出具投标担保函的除外）</w:t>
            </w:r>
          </w:p>
          <w:p w14:paraId="7230C875">
            <w:pPr>
              <w:spacing w:line="360" w:lineRule="auto"/>
              <w:rPr>
                <w:b/>
                <w:bCs/>
                <w:sz w:val="24"/>
                <w:highlight w:val="none"/>
              </w:rPr>
            </w:pPr>
            <w:r>
              <w:rPr>
                <w:rFonts w:ascii="Segoe UI Symbol" w:hAnsi="Segoe UI Symbol" w:cs="Segoe UI Symbol"/>
                <w:b/>
                <w:bCs/>
                <w:sz w:val="24"/>
                <w:highlight w:val="none"/>
              </w:rPr>
              <w:t>★</w:t>
            </w:r>
            <w:r>
              <w:rPr>
                <w:rFonts w:hint="eastAsia"/>
                <w:b/>
                <w:bCs/>
                <w:sz w:val="24"/>
                <w:highlight w:val="none"/>
              </w:rPr>
              <w:t>6-6</w:t>
            </w:r>
            <w:r>
              <w:rPr>
                <w:b/>
                <w:bCs/>
                <w:sz w:val="24"/>
                <w:highlight w:val="none"/>
              </w:rPr>
              <w:t xml:space="preserve">  依法缴纳税收的记录（提供投标截止日期之前12个月内任何一期纳税记录复印件，缴纳记录须体现有银行或税务部门印章，自行编写或网页截图无效）（依法免税的供应商，须提供相应文件证明其依法免税）</w:t>
            </w:r>
          </w:p>
          <w:p w14:paraId="5AF484BD">
            <w:pPr>
              <w:spacing w:line="360" w:lineRule="auto"/>
              <w:rPr>
                <w:b/>
                <w:bCs/>
                <w:sz w:val="24"/>
                <w:highlight w:val="none"/>
              </w:rPr>
            </w:pPr>
            <w:r>
              <w:rPr>
                <w:rFonts w:ascii="Segoe UI Symbol" w:hAnsi="Segoe UI Symbol" w:cs="Segoe UI Symbol"/>
                <w:b/>
                <w:bCs/>
                <w:sz w:val="24"/>
                <w:highlight w:val="none"/>
              </w:rPr>
              <w:t>★</w:t>
            </w:r>
            <w:r>
              <w:rPr>
                <w:rFonts w:hint="eastAsia"/>
                <w:b/>
                <w:bCs/>
                <w:sz w:val="24"/>
                <w:highlight w:val="none"/>
              </w:rPr>
              <w:t>6-7</w:t>
            </w:r>
            <w:r>
              <w:rPr>
                <w:b/>
                <w:bCs/>
                <w:sz w:val="24"/>
                <w:highlight w:val="none"/>
              </w:rPr>
              <w:t>依法缴纳社会保障资金的记录（提供投标截止日期之前12个月内任何一期缴费记录复印件，缴纳记录须体现有银行或税务部门或社保部门印章，自行编写或网页截图无效）（依法不需要缴纳社会保障资金的供应商，须提供相应文件证明其依法不需要缴纳社会保障资金）</w:t>
            </w:r>
          </w:p>
          <w:p w14:paraId="25CC5965">
            <w:pPr>
              <w:spacing w:line="360" w:lineRule="auto"/>
              <w:rPr>
                <w:b/>
                <w:bCs/>
                <w:sz w:val="24"/>
                <w:highlight w:val="none"/>
              </w:rPr>
            </w:pPr>
            <w:r>
              <w:rPr>
                <w:rFonts w:ascii="Segoe UI Symbol" w:hAnsi="Segoe UI Symbol" w:cs="Segoe UI Symbol"/>
                <w:b/>
                <w:bCs/>
                <w:sz w:val="24"/>
                <w:highlight w:val="none"/>
              </w:rPr>
              <w:t>★</w:t>
            </w:r>
            <w:r>
              <w:rPr>
                <w:rFonts w:hint="eastAsia"/>
                <w:b/>
                <w:bCs/>
                <w:sz w:val="24"/>
                <w:highlight w:val="none"/>
              </w:rPr>
              <w:t>6-8</w:t>
            </w:r>
            <w:r>
              <w:rPr>
                <w:b/>
                <w:bCs/>
                <w:sz w:val="24"/>
                <w:highlight w:val="none"/>
              </w:rPr>
              <w:t xml:space="preserve"> 参加政府采购活动前三年内，在经营活动中没有重大违法记录声明。（格式自拟，加盖公章）</w:t>
            </w:r>
          </w:p>
          <w:p w14:paraId="1B7A06A1">
            <w:pPr>
              <w:spacing w:line="360" w:lineRule="auto"/>
              <w:rPr>
                <w:b/>
                <w:bCs/>
                <w:sz w:val="24"/>
                <w:highlight w:val="none"/>
              </w:rPr>
            </w:pPr>
            <w:r>
              <w:rPr>
                <w:rFonts w:ascii="Segoe UI Symbol" w:hAnsi="Segoe UI Symbol" w:cs="Segoe UI Symbol"/>
                <w:b/>
                <w:bCs/>
                <w:sz w:val="24"/>
                <w:highlight w:val="none"/>
              </w:rPr>
              <w:t>★</w:t>
            </w:r>
            <w:r>
              <w:rPr>
                <w:rFonts w:hint="eastAsia"/>
                <w:b/>
                <w:bCs/>
                <w:sz w:val="24"/>
                <w:highlight w:val="none"/>
              </w:rPr>
              <w:t>6-9</w:t>
            </w:r>
            <w:r>
              <w:rPr>
                <w:b/>
                <w:bCs/>
                <w:sz w:val="24"/>
                <w:highlight w:val="none"/>
              </w:rPr>
              <w:t xml:space="preserve"> 具有良好商业信誉和健全财务会计制度的财务状况的承诺（格式自拟，加盖公章）</w:t>
            </w:r>
          </w:p>
          <w:p w14:paraId="6E23D7E8">
            <w:pPr>
              <w:spacing w:line="360" w:lineRule="auto"/>
              <w:rPr>
                <w:b/>
                <w:bCs/>
                <w:sz w:val="24"/>
                <w:highlight w:val="none"/>
              </w:rPr>
            </w:pPr>
            <w:r>
              <w:rPr>
                <w:rFonts w:ascii="Segoe UI Symbol" w:hAnsi="Segoe UI Symbol" w:cs="Segoe UI Symbol"/>
                <w:b/>
                <w:bCs/>
                <w:sz w:val="24"/>
                <w:highlight w:val="none"/>
              </w:rPr>
              <w:t>★</w:t>
            </w:r>
            <w:r>
              <w:rPr>
                <w:rFonts w:hint="eastAsia"/>
                <w:b/>
                <w:bCs/>
                <w:sz w:val="24"/>
                <w:highlight w:val="none"/>
              </w:rPr>
              <w:t>6-</w:t>
            </w:r>
            <w:r>
              <w:rPr>
                <w:b/>
                <w:bCs/>
                <w:sz w:val="24"/>
                <w:highlight w:val="none"/>
              </w:rPr>
              <w:t>1</w:t>
            </w:r>
            <w:r>
              <w:rPr>
                <w:rFonts w:hint="eastAsia"/>
                <w:b/>
                <w:bCs/>
                <w:sz w:val="24"/>
                <w:highlight w:val="none"/>
              </w:rPr>
              <w:t>0</w:t>
            </w:r>
            <w:r>
              <w:rPr>
                <w:b/>
                <w:bCs/>
                <w:sz w:val="24"/>
                <w:highlight w:val="none"/>
              </w:rPr>
              <w:t xml:space="preserve"> 具有履行合同所必需的设备和专业技术能力的承诺（格式自拟，加盖公章）</w:t>
            </w:r>
          </w:p>
          <w:p w14:paraId="39746CC4">
            <w:pPr>
              <w:spacing w:line="360" w:lineRule="auto"/>
              <w:rPr>
                <w:b/>
                <w:bCs/>
                <w:sz w:val="24"/>
                <w:highlight w:val="none"/>
              </w:rPr>
            </w:pPr>
            <w:r>
              <w:rPr>
                <w:rFonts w:ascii="Segoe UI Symbol" w:hAnsi="Segoe UI Symbol" w:cs="Segoe UI Symbol"/>
                <w:b/>
                <w:bCs/>
                <w:sz w:val="24"/>
                <w:highlight w:val="none"/>
              </w:rPr>
              <w:t>★</w:t>
            </w:r>
            <w:r>
              <w:rPr>
                <w:rFonts w:hint="eastAsia"/>
                <w:b/>
                <w:bCs/>
                <w:sz w:val="24"/>
                <w:highlight w:val="none"/>
              </w:rPr>
              <w:t>6-</w:t>
            </w:r>
            <w:r>
              <w:rPr>
                <w:b/>
                <w:bCs/>
                <w:sz w:val="24"/>
                <w:highlight w:val="none"/>
              </w:rPr>
              <w:t>1</w:t>
            </w:r>
            <w:r>
              <w:rPr>
                <w:rFonts w:hint="eastAsia"/>
                <w:b/>
                <w:bCs/>
                <w:sz w:val="24"/>
                <w:highlight w:val="none"/>
              </w:rPr>
              <w:t>1</w:t>
            </w:r>
            <w:r>
              <w:rPr>
                <w:b/>
                <w:bCs/>
                <w:sz w:val="24"/>
                <w:highlight w:val="none"/>
              </w:rPr>
              <w:t xml:space="preserve"> 供应商必须提供“未为本项目提供整体设计、规范编制或者项目管理、监理、检测等服务的声明”（格式自拟，加盖公章）</w:t>
            </w:r>
          </w:p>
          <w:p w14:paraId="519B4DB8">
            <w:pPr>
              <w:spacing w:line="360" w:lineRule="auto"/>
              <w:rPr>
                <w:b/>
                <w:bCs/>
                <w:sz w:val="24"/>
                <w:highlight w:val="none"/>
              </w:rPr>
            </w:pPr>
            <w:r>
              <w:rPr>
                <w:rFonts w:ascii="Segoe UI Symbol" w:hAnsi="Segoe UI Symbol" w:cs="Segoe UI Symbol"/>
                <w:b/>
                <w:bCs/>
                <w:sz w:val="24"/>
                <w:highlight w:val="none"/>
              </w:rPr>
              <w:t>★</w:t>
            </w:r>
            <w:r>
              <w:rPr>
                <w:rFonts w:hint="eastAsia"/>
                <w:b/>
                <w:bCs/>
                <w:sz w:val="24"/>
                <w:highlight w:val="none"/>
              </w:rPr>
              <w:t>6-</w:t>
            </w:r>
            <w:r>
              <w:rPr>
                <w:b/>
                <w:bCs/>
                <w:sz w:val="24"/>
                <w:highlight w:val="none"/>
              </w:rPr>
              <w:t>1</w:t>
            </w:r>
            <w:r>
              <w:rPr>
                <w:rFonts w:hint="eastAsia"/>
                <w:b/>
                <w:bCs/>
                <w:sz w:val="24"/>
                <w:highlight w:val="none"/>
              </w:rPr>
              <w:t>2</w:t>
            </w:r>
            <w:r>
              <w:rPr>
                <w:b/>
                <w:bCs/>
                <w:sz w:val="24"/>
                <w:highlight w:val="none"/>
              </w:rPr>
              <w:t>供应商必须提供“控股股东名称、控股企业的名称和存在管理、被管理关系的单位名称且不存在以上有关联关系单位同时参加同一项目投标的说明”（</w:t>
            </w:r>
            <w:r>
              <w:rPr>
                <w:rFonts w:hint="eastAsia"/>
                <w:b/>
                <w:bCs/>
                <w:sz w:val="24"/>
                <w:highlight w:val="none"/>
              </w:rPr>
              <w:t>统一格式</w:t>
            </w:r>
            <w:r>
              <w:rPr>
                <w:b/>
                <w:bCs/>
                <w:sz w:val="24"/>
                <w:highlight w:val="none"/>
              </w:rPr>
              <w:t>，加盖公章）</w:t>
            </w:r>
          </w:p>
          <w:p w14:paraId="4760F3C0">
            <w:pPr>
              <w:spacing w:line="360" w:lineRule="auto"/>
              <w:rPr>
                <w:sz w:val="24"/>
                <w:highlight w:val="none"/>
              </w:rPr>
            </w:pPr>
            <w:r>
              <w:rPr>
                <w:rFonts w:hint="eastAsia"/>
                <w:sz w:val="24"/>
                <w:highlight w:val="none"/>
              </w:rPr>
              <w:t>6-</w:t>
            </w:r>
            <w:r>
              <w:rPr>
                <w:sz w:val="24"/>
                <w:highlight w:val="none"/>
              </w:rPr>
              <w:t>1</w:t>
            </w:r>
            <w:r>
              <w:rPr>
                <w:rFonts w:hint="eastAsia"/>
                <w:sz w:val="24"/>
                <w:highlight w:val="none"/>
              </w:rPr>
              <w:t>3</w:t>
            </w:r>
            <w:r>
              <w:rPr>
                <w:sz w:val="24"/>
                <w:highlight w:val="none"/>
              </w:rPr>
              <w:t xml:space="preserve"> 磋商文件要求或供应商认为必要的其它内容（如：质量认证、荣誉证书等）</w:t>
            </w:r>
          </w:p>
          <w:p w14:paraId="04C2E1DE">
            <w:pPr>
              <w:spacing w:line="360" w:lineRule="auto"/>
              <w:rPr>
                <w:sz w:val="24"/>
                <w:highlight w:val="none"/>
              </w:rPr>
            </w:pPr>
            <w:r>
              <w:rPr>
                <w:rFonts w:hint="eastAsia"/>
                <w:sz w:val="24"/>
                <w:highlight w:val="none"/>
              </w:rPr>
              <w:t>6-</w:t>
            </w:r>
            <w:r>
              <w:rPr>
                <w:sz w:val="24"/>
                <w:highlight w:val="none"/>
              </w:rPr>
              <w:t>1</w:t>
            </w:r>
            <w:r>
              <w:rPr>
                <w:rFonts w:hint="eastAsia"/>
                <w:sz w:val="24"/>
                <w:highlight w:val="none"/>
              </w:rPr>
              <w:t>4</w:t>
            </w:r>
            <w:r>
              <w:rPr>
                <w:sz w:val="24"/>
                <w:highlight w:val="none"/>
              </w:rPr>
              <w:t xml:space="preserve"> 国家法律法规要求的资质证明文件（如有）</w:t>
            </w:r>
          </w:p>
          <w:p w14:paraId="407784F5">
            <w:pPr>
              <w:spacing w:line="360" w:lineRule="auto"/>
              <w:rPr>
                <w:sz w:val="24"/>
                <w:highlight w:val="none"/>
              </w:rPr>
            </w:pPr>
            <w:r>
              <w:rPr>
                <w:sz w:val="24"/>
                <w:highlight w:val="none"/>
              </w:rPr>
              <w:t>附件</w:t>
            </w:r>
            <w:r>
              <w:rPr>
                <w:rFonts w:hint="eastAsia"/>
                <w:sz w:val="24"/>
                <w:highlight w:val="none"/>
              </w:rPr>
              <w:t>7</w:t>
            </w:r>
            <w:r>
              <w:rPr>
                <w:sz w:val="24"/>
                <w:highlight w:val="none"/>
              </w:rPr>
              <w:t>--磋商保证金说明函（统一格式）</w:t>
            </w:r>
          </w:p>
          <w:p w14:paraId="381A5C06">
            <w:pPr>
              <w:spacing w:line="360" w:lineRule="auto"/>
              <w:rPr>
                <w:sz w:val="24"/>
                <w:highlight w:val="none"/>
              </w:rPr>
            </w:pPr>
            <w:r>
              <w:rPr>
                <w:sz w:val="24"/>
                <w:highlight w:val="none"/>
              </w:rPr>
              <w:t>附件</w:t>
            </w:r>
            <w:r>
              <w:rPr>
                <w:rFonts w:hint="eastAsia"/>
                <w:sz w:val="24"/>
                <w:highlight w:val="none"/>
              </w:rPr>
              <w:t>8</w:t>
            </w:r>
            <w:r>
              <w:rPr>
                <w:sz w:val="24"/>
                <w:highlight w:val="none"/>
              </w:rPr>
              <w:t>--磋商保证金保函（统一格式）</w:t>
            </w:r>
          </w:p>
          <w:p w14:paraId="5301BE37">
            <w:pPr>
              <w:spacing w:line="360" w:lineRule="auto"/>
              <w:rPr>
                <w:sz w:val="24"/>
                <w:highlight w:val="none"/>
              </w:rPr>
            </w:pPr>
            <w:r>
              <w:rPr>
                <w:sz w:val="24"/>
                <w:highlight w:val="none"/>
              </w:rPr>
              <w:t>附件</w:t>
            </w:r>
            <w:r>
              <w:rPr>
                <w:rFonts w:hint="eastAsia"/>
                <w:sz w:val="24"/>
                <w:highlight w:val="none"/>
              </w:rPr>
              <w:t>9</w:t>
            </w:r>
            <w:r>
              <w:rPr>
                <w:sz w:val="24"/>
                <w:highlight w:val="none"/>
              </w:rPr>
              <w:t>—成交服务费承诺书（统一格式）</w:t>
            </w:r>
          </w:p>
          <w:p w14:paraId="31D3765C">
            <w:pPr>
              <w:spacing w:line="360" w:lineRule="auto"/>
              <w:rPr>
                <w:sz w:val="24"/>
                <w:highlight w:val="none"/>
              </w:rPr>
            </w:pPr>
            <w:r>
              <w:rPr>
                <w:sz w:val="24"/>
                <w:highlight w:val="none"/>
              </w:rPr>
              <w:t>附件1</w:t>
            </w:r>
            <w:r>
              <w:rPr>
                <w:rFonts w:hint="eastAsia"/>
                <w:sz w:val="24"/>
                <w:highlight w:val="none"/>
              </w:rPr>
              <w:t>0</w:t>
            </w:r>
            <w:r>
              <w:rPr>
                <w:sz w:val="24"/>
                <w:highlight w:val="none"/>
              </w:rPr>
              <w:t>--</w:t>
            </w:r>
            <w:r>
              <w:rPr>
                <w:rFonts w:hint="eastAsia" w:ascii="宋体" w:hAnsi="宋体" w:cs="宋体"/>
                <w:sz w:val="24"/>
                <w:highlight w:val="none"/>
                <w:lang w:bidi="ar"/>
              </w:rPr>
              <w:t>服务方案及工作人员安排计划</w:t>
            </w:r>
          </w:p>
          <w:p w14:paraId="791C1F3F">
            <w:pPr>
              <w:spacing w:line="360" w:lineRule="auto"/>
              <w:rPr>
                <w:sz w:val="24"/>
                <w:highlight w:val="none"/>
              </w:rPr>
            </w:pPr>
            <w:r>
              <w:rPr>
                <w:sz w:val="24"/>
                <w:highlight w:val="none"/>
              </w:rPr>
              <w:t>附件1</w:t>
            </w:r>
            <w:r>
              <w:rPr>
                <w:rFonts w:hint="eastAsia"/>
                <w:sz w:val="24"/>
                <w:highlight w:val="none"/>
              </w:rPr>
              <w:t>1</w:t>
            </w:r>
            <w:r>
              <w:rPr>
                <w:sz w:val="24"/>
                <w:highlight w:val="none"/>
              </w:rPr>
              <w:t>——中小企业声明函（格式见附件）</w:t>
            </w:r>
          </w:p>
          <w:p w14:paraId="6C98AB57">
            <w:pPr>
              <w:spacing w:line="360" w:lineRule="auto"/>
              <w:rPr>
                <w:sz w:val="24"/>
                <w:highlight w:val="none"/>
              </w:rPr>
            </w:pPr>
            <w:r>
              <w:rPr>
                <w:sz w:val="24"/>
                <w:highlight w:val="none"/>
              </w:rPr>
              <w:t>附件1</w:t>
            </w:r>
            <w:r>
              <w:rPr>
                <w:rFonts w:hint="eastAsia"/>
                <w:sz w:val="24"/>
                <w:highlight w:val="none"/>
              </w:rPr>
              <w:t>2</w:t>
            </w:r>
            <w:r>
              <w:rPr>
                <w:sz w:val="24"/>
                <w:highlight w:val="none"/>
              </w:rPr>
              <w:t>——残疾人福利性单位声明函（如为残疾人福利性单位，应按《财政部 民政部 中国残疾人联合会关于促进残疾人就业政府采购政策的通知》（财库〔2017〕 141号）的规定提供）</w:t>
            </w:r>
          </w:p>
          <w:p w14:paraId="487475B9">
            <w:pPr>
              <w:spacing w:line="360" w:lineRule="auto"/>
              <w:rPr>
                <w:sz w:val="24"/>
                <w:highlight w:val="none"/>
              </w:rPr>
            </w:pPr>
            <w:r>
              <w:rPr>
                <w:sz w:val="24"/>
                <w:highlight w:val="none"/>
              </w:rPr>
              <w:t>附件1</w:t>
            </w:r>
            <w:r>
              <w:rPr>
                <w:rFonts w:hint="eastAsia"/>
                <w:sz w:val="24"/>
                <w:highlight w:val="none"/>
              </w:rPr>
              <w:t>3</w:t>
            </w:r>
            <w:r>
              <w:rPr>
                <w:sz w:val="24"/>
                <w:highlight w:val="none"/>
              </w:rPr>
              <w:t>——政府采购响应担保函格式（格式见附件）</w:t>
            </w:r>
          </w:p>
          <w:p w14:paraId="1EB3696C">
            <w:pPr>
              <w:spacing w:line="360" w:lineRule="auto"/>
              <w:rPr>
                <w:sz w:val="24"/>
                <w:highlight w:val="none"/>
              </w:rPr>
            </w:pPr>
            <w:r>
              <w:rPr>
                <w:sz w:val="24"/>
                <w:highlight w:val="none"/>
              </w:rPr>
              <w:t>附件1</w:t>
            </w:r>
            <w:r>
              <w:rPr>
                <w:rFonts w:hint="eastAsia"/>
                <w:sz w:val="24"/>
                <w:highlight w:val="none"/>
              </w:rPr>
              <w:t>4</w:t>
            </w:r>
            <w:r>
              <w:rPr>
                <w:sz w:val="24"/>
                <w:highlight w:val="none"/>
              </w:rPr>
              <w:t>——政府采购履约担保函（格式见附件）</w:t>
            </w:r>
          </w:p>
          <w:p w14:paraId="4F73A381">
            <w:pPr>
              <w:spacing w:line="360" w:lineRule="auto"/>
              <w:rPr>
                <w:sz w:val="24"/>
                <w:highlight w:val="none"/>
              </w:rPr>
            </w:pPr>
            <w:r>
              <w:rPr>
                <w:sz w:val="24"/>
                <w:highlight w:val="none"/>
              </w:rPr>
              <w:t>注：磋商响应文件</w:t>
            </w:r>
            <w:r>
              <w:rPr>
                <w:rFonts w:hint="eastAsia" w:ascii="宋体" w:hAnsi="宋体"/>
                <w:sz w:val="24"/>
                <w:highlight w:val="none"/>
              </w:rPr>
              <w:t>项目需求</w:t>
            </w:r>
            <w:r>
              <w:rPr>
                <w:sz w:val="24"/>
                <w:highlight w:val="none"/>
              </w:rPr>
              <w:t>应答简单复制磋商文件内容，或全部响应仅以“符合、满足”应答，</w:t>
            </w:r>
            <w:r>
              <w:rPr>
                <w:rFonts w:hint="eastAsia" w:ascii="宋体" w:hAnsi="宋体"/>
                <w:sz w:val="24"/>
                <w:highlight w:val="none"/>
              </w:rPr>
              <w:t>未提供基本项目需求服务方案描述的</w:t>
            </w:r>
            <w:r>
              <w:rPr>
                <w:sz w:val="24"/>
                <w:highlight w:val="none"/>
              </w:rPr>
              <w:t>，将可导致其磋商被拒绝；供应商编制上述文件时，本磋商文件第四部分已提供格式的文件须按格式要求填写。</w:t>
            </w:r>
          </w:p>
        </w:tc>
      </w:tr>
      <w:tr w14:paraId="646BE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134" w:type="dxa"/>
          </w:tcPr>
          <w:p w14:paraId="0C83CE4A">
            <w:pPr>
              <w:jc w:val="center"/>
              <w:rPr>
                <w:b/>
                <w:sz w:val="24"/>
                <w:highlight w:val="none"/>
              </w:rPr>
            </w:pPr>
            <w:r>
              <w:rPr>
                <w:b/>
                <w:sz w:val="24"/>
                <w:highlight w:val="none"/>
              </w:rPr>
              <w:t>4</w:t>
            </w:r>
          </w:p>
        </w:tc>
        <w:tc>
          <w:tcPr>
            <w:tcW w:w="7797" w:type="dxa"/>
          </w:tcPr>
          <w:p w14:paraId="2528F7A7">
            <w:pPr>
              <w:jc w:val="left"/>
              <w:rPr>
                <w:b/>
                <w:sz w:val="24"/>
                <w:highlight w:val="none"/>
              </w:rPr>
            </w:pPr>
            <w:r>
              <w:rPr>
                <w:b/>
                <w:sz w:val="24"/>
                <w:highlight w:val="none"/>
              </w:rPr>
              <w:t>报价</w:t>
            </w:r>
          </w:p>
        </w:tc>
      </w:tr>
      <w:tr w14:paraId="0644C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1134" w:type="dxa"/>
            <w:vAlign w:val="center"/>
          </w:tcPr>
          <w:p w14:paraId="50D5EAFE">
            <w:pPr>
              <w:jc w:val="center"/>
              <w:rPr>
                <w:sz w:val="24"/>
                <w:highlight w:val="none"/>
              </w:rPr>
            </w:pPr>
            <w:r>
              <w:rPr>
                <w:sz w:val="24"/>
                <w:highlight w:val="none"/>
              </w:rPr>
              <w:t>4.1</w:t>
            </w:r>
          </w:p>
        </w:tc>
        <w:tc>
          <w:tcPr>
            <w:tcW w:w="7797" w:type="dxa"/>
            <w:vAlign w:val="center"/>
          </w:tcPr>
          <w:p w14:paraId="13436746">
            <w:pPr>
              <w:rPr>
                <w:sz w:val="24"/>
                <w:highlight w:val="none"/>
              </w:rPr>
            </w:pPr>
            <w:r>
              <w:rPr>
                <w:sz w:val="24"/>
                <w:highlight w:val="none"/>
              </w:rPr>
              <w:t>供应商需报出磋商文件中分项报价表所列全部内容的价格</w:t>
            </w:r>
          </w:p>
        </w:tc>
      </w:tr>
      <w:tr w14:paraId="7FB91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1134" w:type="dxa"/>
            <w:vAlign w:val="center"/>
          </w:tcPr>
          <w:p w14:paraId="49818BE0">
            <w:pPr>
              <w:jc w:val="center"/>
              <w:rPr>
                <w:sz w:val="24"/>
                <w:highlight w:val="none"/>
              </w:rPr>
            </w:pPr>
            <w:r>
              <w:rPr>
                <w:sz w:val="24"/>
                <w:highlight w:val="none"/>
              </w:rPr>
              <w:t>4.2</w:t>
            </w:r>
          </w:p>
        </w:tc>
        <w:tc>
          <w:tcPr>
            <w:tcW w:w="7797" w:type="dxa"/>
            <w:vAlign w:val="center"/>
          </w:tcPr>
          <w:p w14:paraId="7A3056FA">
            <w:pPr>
              <w:rPr>
                <w:b/>
                <w:sz w:val="24"/>
                <w:highlight w:val="none"/>
              </w:rPr>
            </w:pPr>
            <w:r>
              <w:rPr>
                <w:sz w:val="24"/>
                <w:highlight w:val="none"/>
              </w:rPr>
              <w:t>交付期及交付地点：详见采购文件“第五部分 项目需求”</w:t>
            </w:r>
          </w:p>
        </w:tc>
      </w:tr>
      <w:tr w14:paraId="1FAC4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134" w:type="dxa"/>
            <w:vAlign w:val="center"/>
          </w:tcPr>
          <w:p w14:paraId="4114E36B">
            <w:pPr>
              <w:jc w:val="center"/>
              <w:rPr>
                <w:bCs/>
                <w:sz w:val="24"/>
                <w:highlight w:val="none"/>
              </w:rPr>
            </w:pPr>
            <w:r>
              <w:rPr>
                <w:bCs/>
                <w:sz w:val="24"/>
                <w:highlight w:val="none"/>
              </w:rPr>
              <w:t>4.3</w:t>
            </w:r>
          </w:p>
        </w:tc>
        <w:tc>
          <w:tcPr>
            <w:tcW w:w="7797" w:type="dxa"/>
            <w:vAlign w:val="center"/>
          </w:tcPr>
          <w:p w14:paraId="38CF3234">
            <w:pPr>
              <w:jc w:val="left"/>
              <w:rPr>
                <w:bCs/>
                <w:kern w:val="0"/>
                <w:sz w:val="24"/>
                <w:highlight w:val="none"/>
              </w:rPr>
            </w:pPr>
            <w:r>
              <w:rPr>
                <w:bCs/>
                <w:kern w:val="0"/>
                <w:sz w:val="24"/>
                <w:highlight w:val="none"/>
              </w:rPr>
              <w:t>投标报价要求：详见采购文件“第五部分 项目需求”</w:t>
            </w:r>
          </w:p>
        </w:tc>
      </w:tr>
      <w:tr w14:paraId="51F83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134" w:type="dxa"/>
            <w:vAlign w:val="center"/>
          </w:tcPr>
          <w:p w14:paraId="709A9734">
            <w:pPr>
              <w:jc w:val="center"/>
              <w:rPr>
                <w:b/>
                <w:sz w:val="24"/>
                <w:highlight w:val="none"/>
              </w:rPr>
            </w:pPr>
            <w:r>
              <w:rPr>
                <w:b/>
                <w:sz w:val="24"/>
                <w:highlight w:val="none"/>
              </w:rPr>
              <w:t>5</w:t>
            </w:r>
          </w:p>
        </w:tc>
        <w:tc>
          <w:tcPr>
            <w:tcW w:w="7797" w:type="dxa"/>
            <w:vAlign w:val="center"/>
          </w:tcPr>
          <w:p w14:paraId="75554199">
            <w:pPr>
              <w:rPr>
                <w:b/>
                <w:sz w:val="24"/>
                <w:highlight w:val="none"/>
              </w:rPr>
            </w:pPr>
            <w:r>
              <w:rPr>
                <w:b/>
                <w:sz w:val="24"/>
                <w:highlight w:val="none"/>
              </w:rPr>
              <w:t>报价货币</w:t>
            </w:r>
          </w:p>
        </w:tc>
      </w:tr>
      <w:tr w14:paraId="051E1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134" w:type="dxa"/>
            <w:vAlign w:val="center"/>
          </w:tcPr>
          <w:p w14:paraId="4C48638F">
            <w:pPr>
              <w:jc w:val="center"/>
              <w:rPr>
                <w:sz w:val="24"/>
                <w:highlight w:val="none"/>
              </w:rPr>
            </w:pPr>
            <w:r>
              <w:rPr>
                <w:rFonts w:ascii="Segoe UI Symbol" w:hAnsi="Segoe UI Symbol" w:cs="Segoe UI Symbol"/>
                <w:sz w:val="24"/>
                <w:highlight w:val="none"/>
              </w:rPr>
              <w:t>★</w:t>
            </w:r>
            <w:r>
              <w:rPr>
                <w:sz w:val="24"/>
                <w:highlight w:val="none"/>
              </w:rPr>
              <w:t>5.1</w:t>
            </w:r>
          </w:p>
        </w:tc>
        <w:tc>
          <w:tcPr>
            <w:tcW w:w="7797" w:type="dxa"/>
            <w:vAlign w:val="center"/>
          </w:tcPr>
          <w:p w14:paraId="0480E9BF">
            <w:pPr>
              <w:widowControl/>
              <w:jc w:val="left"/>
              <w:rPr>
                <w:kern w:val="0"/>
                <w:sz w:val="24"/>
                <w:szCs w:val="24"/>
                <w:highlight w:val="none"/>
              </w:rPr>
            </w:pPr>
            <w:r>
              <w:rPr>
                <w:kern w:val="0"/>
                <w:sz w:val="24"/>
                <w:szCs w:val="24"/>
                <w:highlight w:val="none"/>
              </w:rPr>
              <w:t>投标货币：人民币</w:t>
            </w:r>
          </w:p>
        </w:tc>
      </w:tr>
      <w:tr w14:paraId="6D664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134" w:type="dxa"/>
            <w:vAlign w:val="center"/>
          </w:tcPr>
          <w:p w14:paraId="3EEE8A31">
            <w:pPr>
              <w:jc w:val="center"/>
              <w:rPr>
                <w:b/>
                <w:sz w:val="24"/>
                <w:highlight w:val="none"/>
              </w:rPr>
            </w:pPr>
            <w:r>
              <w:rPr>
                <w:b/>
                <w:sz w:val="24"/>
                <w:highlight w:val="none"/>
              </w:rPr>
              <w:t>6</w:t>
            </w:r>
          </w:p>
        </w:tc>
        <w:tc>
          <w:tcPr>
            <w:tcW w:w="7797" w:type="dxa"/>
            <w:vAlign w:val="center"/>
          </w:tcPr>
          <w:p w14:paraId="7A2EDA15">
            <w:pPr>
              <w:rPr>
                <w:b/>
                <w:sz w:val="24"/>
                <w:highlight w:val="none"/>
              </w:rPr>
            </w:pPr>
            <w:r>
              <w:rPr>
                <w:b/>
                <w:sz w:val="24"/>
                <w:highlight w:val="none"/>
              </w:rPr>
              <w:t>磋商保证金</w:t>
            </w:r>
          </w:p>
        </w:tc>
      </w:tr>
      <w:tr w14:paraId="05905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14:paraId="6EAC6D57">
            <w:pPr>
              <w:spacing w:line="360" w:lineRule="auto"/>
              <w:jc w:val="center"/>
              <w:rPr>
                <w:sz w:val="24"/>
                <w:highlight w:val="none"/>
              </w:rPr>
            </w:pPr>
            <w:r>
              <w:rPr>
                <w:rFonts w:ascii="Segoe UI Symbol" w:hAnsi="Segoe UI Symbol" w:cs="Segoe UI Symbol"/>
                <w:sz w:val="24"/>
                <w:highlight w:val="none"/>
              </w:rPr>
              <w:t>★</w:t>
            </w:r>
            <w:r>
              <w:rPr>
                <w:sz w:val="24"/>
                <w:highlight w:val="none"/>
              </w:rPr>
              <w:t>6.1</w:t>
            </w:r>
          </w:p>
        </w:tc>
        <w:tc>
          <w:tcPr>
            <w:tcW w:w="7797" w:type="dxa"/>
            <w:vAlign w:val="center"/>
          </w:tcPr>
          <w:p w14:paraId="25C8667E">
            <w:pPr>
              <w:adjustRightInd w:val="0"/>
              <w:snapToGrid w:val="0"/>
              <w:spacing w:line="360" w:lineRule="auto"/>
              <w:ind w:left="1898" w:hanging="1898" w:hangingChars="791"/>
              <w:rPr>
                <w:sz w:val="24"/>
                <w:highlight w:val="none"/>
              </w:rPr>
            </w:pPr>
            <w:r>
              <w:rPr>
                <w:sz w:val="24"/>
                <w:highlight w:val="none"/>
              </w:rPr>
              <w:t>磋商保证金金额：</w:t>
            </w:r>
            <w:r>
              <w:rPr>
                <w:b/>
                <w:bCs/>
                <w:sz w:val="24"/>
                <w:highlight w:val="none"/>
              </w:rPr>
              <w:t>采购</w:t>
            </w:r>
            <w:r>
              <w:rPr>
                <w:b/>
                <w:sz w:val="24"/>
                <w:highlight w:val="none"/>
              </w:rPr>
              <w:t>预算金额的1.5%。</w:t>
            </w:r>
          </w:p>
          <w:p w14:paraId="2113A080">
            <w:pPr>
              <w:adjustRightInd w:val="0"/>
              <w:snapToGrid w:val="0"/>
              <w:spacing w:line="360" w:lineRule="auto"/>
              <w:ind w:left="1898" w:hanging="1898" w:hangingChars="791"/>
              <w:rPr>
                <w:rFonts w:hint="eastAsia" w:ascii="宋体" w:hAnsi="宋体" w:cs="宋体"/>
                <w:sz w:val="24"/>
                <w:highlight w:val="none"/>
              </w:rPr>
            </w:pPr>
            <w:r>
              <w:rPr>
                <w:rFonts w:hint="eastAsia" w:ascii="宋体" w:hAnsi="宋体" w:cs="宋体"/>
                <w:sz w:val="24"/>
                <w:highlight w:val="none"/>
              </w:rPr>
              <w:t>磋商保证金形式：电</w:t>
            </w:r>
            <w:r>
              <w:rPr>
                <w:color w:val="000000"/>
                <w:sz w:val="24"/>
                <w:highlight w:val="none"/>
              </w:rPr>
              <w:t>汇</w:t>
            </w:r>
            <w:r>
              <w:rPr>
                <w:rFonts w:hint="eastAsia" w:ascii="宋体" w:hAnsi="宋体"/>
                <w:sz w:val="24"/>
                <w:highlight w:val="none"/>
              </w:rPr>
              <w:t>、网银转账或金融机构、担保机构出具的保函</w:t>
            </w:r>
          </w:p>
          <w:p w14:paraId="0BF4FC42">
            <w:pPr>
              <w:adjustRightInd w:val="0"/>
              <w:snapToGrid w:val="0"/>
              <w:spacing w:line="360" w:lineRule="auto"/>
              <w:ind w:left="360" w:hanging="360"/>
              <w:rPr>
                <w:rFonts w:hint="eastAsia" w:ascii="宋体" w:hAnsi="宋体" w:cs="宋体"/>
                <w:sz w:val="24"/>
                <w:highlight w:val="none"/>
              </w:rPr>
            </w:pPr>
            <w:r>
              <w:rPr>
                <w:rFonts w:ascii="宋体" w:hAnsi="宋体" w:cs="宋体"/>
                <w:sz w:val="24"/>
                <w:szCs w:val="24"/>
                <w:highlight w:val="none"/>
              </w:rPr>
              <w:t>(1)</w:t>
            </w:r>
            <w:r>
              <w:rPr>
                <w:rFonts w:hint="eastAsia" w:ascii="宋体" w:hAnsi="宋体" w:cs="宋体"/>
                <w:sz w:val="24"/>
                <w:highlight w:val="none"/>
              </w:rPr>
              <w:t>磋商保证金有效期不少于报价有效期；如磋商保证金采用银行保函形式，</w:t>
            </w:r>
            <w:r>
              <w:rPr>
                <w:rFonts w:hint="eastAsia" w:ascii="宋体" w:hAnsi="宋体"/>
                <w:sz w:val="24"/>
                <w:szCs w:val="24"/>
                <w:highlight w:val="none"/>
                <w:lang w:bidi="ar"/>
              </w:rPr>
              <w:t>保函的格式以保函出具机构格式为准，保函的内容应包括磋商保证金金额、保函的有效期限、担保的内容（即：如因供应商原因发生磋商文件规定的磋商保证金不予退还的情况，由保函出具机构向采购人或采购代理机构足额支付磋商保证金）</w:t>
            </w:r>
            <w:r>
              <w:rPr>
                <w:rFonts w:hint="eastAsia" w:ascii="宋体" w:hAnsi="宋体" w:cs="宋体"/>
                <w:sz w:val="24"/>
                <w:highlight w:val="none"/>
              </w:rPr>
              <w:t>；供应商应承担磋商保证金保函开具、递交、退还、通知及核印等产生的一切相关银行费用。</w:t>
            </w:r>
          </w:p>
          <w:p w14:paraId="174968BD">
            <w:pPr>
              <w:adjustRightInd w:val="0"/>
              <w:snapToGrid w:val="0"/>
              <w:spacing w:line="360" w:lineRule="auto"/>
              <w:ind w:left="360" w:hanging="360"/>
              <w:rPr>
                <w:b/>
                <w:sz w:val="24"/>
                <w:highlight w:val="none"/>
              </w:rPr>
            </w:pPr>
            <w:r>
              <w:rPr>
                <w:rFonts w:ascii="宋体" w:hAnsi="宋体" w:cs="宋体"/>
                <w:sz w:val="24"/>
                <w:szCs w:val="24"/>
                <w:highlight w:val="none"/>
              </w:rPr>
              <w:t>(2)</w:t>
            </w:r>
            <w:r>
              <w:rPr>
                <w:rFonts w:hint="eastAsia" w:ascii="宋体" w:hAnsi="宋体" w:cs="宋体"/>
                <w:sz w:val="24"/>
                <w:highlight w:val="none"/>
              </w:rPr>
              <w:t>使用电汇、网银转账形式的，磋商保证金必须从境内银行账户转出，且在响应文件递交截止时间前汇到招标代理机构账户，否则磋商被拒绝：</w:t>
            </w:r>
          </w:p>
          <w:p w14:paraId="60938EA4">
            <w:pPr>
              <w:tabs>
                <w:tab w:val="left" w:pos="851"/>
              </w:tabs>
              <w:adjustRightInd w:val="0"/>
              <w:snapToGrid w:val="0"/>
              <w:spacing w:line="360" w:lineRule="auto"/>
              <w:ind w:firstLine="361" w:firstLineChars="150"/>
              <w:rPr>
                <w:sz w:val="24"/>
                <w:highlight w:val="none"/>
              </w:rPr>
            </w:pPr>
            <w:r>
              <w:rPr>
                <w:b/>
                <w:sz w:val="24"/>
                <w:highlight w:val="none"/>
              </w:rPr>
              <w:t>供应商应于响应文件截止期前将全额保证金转入下述指定账号,并应将“保证金电汇凭证/保函”单独密封，与响应文件同时递交。</w:t>
            </w:r>
          </w:p>
          <w:p w14:paraId="21547ACF">
            <w:pPr>
              <w:widowControl/>
              <w:tabs>
                <w:tab w:val="left" w:pos="-360"/>
              </w:tabs>
              <w:autoSpaceDE w:val="0"/>
              <w:autoSpaceDN w:val="0"/>
              <w:adjustRightInd w:val="0"/>
              <w:snapToGrid w:val="0"/>
              <w:spacing w:line="360" w:lineRule="auto"/>
              <w:textAlignment w:val="bottom"/>
              <w:rPr>
                <w:sz w:val="24"/>
                <w:highlight w:val="none"/>
              </w:rPr>
            </w:pPr>
            <w:r>
              <w:rPr>
                <w:sz w:val="24"/>
                <w:highlight w:val="none"/>
              </w:rPr>
              <w:t>采购代理机构银行信息：</w:t>
            </w:r>
          </w:p>
          <w:p w14:paraId="7492CC4C">
            <w:pPr>
              <w:widowControl/>
              <w:tabs>
                <w:tab w:val="left" w:pos="-360"/>
              </w:tabs>
              <w:autoSpaceDE w:val="0"/>
              <w:autoSpaceDN w:val="0"/>
              <w:adjustRightInd w:val="0"/>
              <w:snapToGrid w:val="0"/>
              <w:spacing w:line="360" w:lineRule="auto"/>
              <w:textAlignment w:val="bottom"/>
              <w:rPr>
                <w:sz w:val="24"/>
                <w:highlight w:val="none"/>
              </w:rPr>
            </w:pPr>
            <w:r>
              <w:rPr>
                <w:sz w:val="24"/>
                <w:highlight w:val="none"/>
              </w:rPr>
              <w:t>户名：东方国际招标有限责任公司</w:t>
            </w:r>
          </w:p>
          <w:p w14:paraId="2EB1D13C">
            <w:pPr>
              <w:widowControl/>
              <w:tabs>
                <w:tab w:val="left" w:pos="-360"/>
              </w:tabs>
              <w:autoSpaceDE w:val="0"/>
              <w:autoSpaceDN w:val="0"/>
              <w:adjustRightInd w:val="0"/>
              <w:snapToGrid w:val="0"/>
              <w:spacing w:line="360" w:lineRule="auto"/>
              <w:textAlignment w:val="bottom"/>
              <w:rPr>
                <w:sz w:val="24"/>
                <w:highlight w:val="none"/>
              </w:rPr>
            </w:pPr>
            <w:r>
              <w:rPr>
                <w:sz w:val="24"/>
                <w:highlight w:val="none"/>
              </w:rPr>
              <w:t>开户银行：招商银行北京西三环支行</w:t>
            </w:r>
          </w:p>
          <w:p w14:paraId="49459A63">
            <w:pPr>
              <w:widowControl/>
              <w:tabs>
                <w:tab w:val="left" w:pos="-360"/>
              </w:tabs>
              <w:autoSpaceDE w:val="0"/>
              <w:autoSpaceDN w:val="0"/>
              <w:adjustRightInd w:val="0"/>
              <w:snapToGrid w:val="0"/>
              <w:spacing w:line="360" w:lineRule="auto"/>
              <w:textAlignment w:val="bottom"/>
              <w:rPr>
                <w:sz w:val="24"/>
                <w:highlight w:val="none"/>
              </w:rPr>
            </w:pPr>
            <w:r>
              <w:rPr>
                <w:sz w:val="24"/>
                <w:highlight w:val="none"/>
              </w:rPr>
              <w:t>银行账号：862081657710001</w:t>
            </w:r>
          </w:p>
        </w:tc>
      </w:tr>
      <w:tr w14:paraId="3C1EA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1134" w:type="dxa"/>
            <w:vAlign w:val="center"/>
          </w:tcPr>
          <w:p w14:paraId="369F09CA">
            <w:pPr>
              <w:jc w:val="center"/>
              <w:rPr>
                <w:sz w:val="24"/>
                <w:highlight w:val="none"/>
              </w:rPr>
            </w:pPr>
            <w:r>
              <w:rPr>
                <w:sz w:val="24"/>
                <w:highlight w:val="none"/>
              </w:rPr>
              <w:t>6.2</w:t>
            </w:r>
          </w:p>
        </w:tc>
        <w:tc>
          <w:tcPr>
            <w:tcW w:w="7797" w:type="dxa"/>
            <w:vAlign w:val="center"/>
          </w:tcPr>
          <w:p w14:paraId="6D5BBEF8">
            <w:pPr>
              <w:rPr>
                <w:sz w:val="24"/>
                <w:highlight w:val="none"/>
              </w:rPr>
            </w:pPr>
            <w:r>
              <w:rPr>
                <w:sz w:val="24"/>
                <w:highlight w:val="none"/>
              </w:rPr>
              <w:t>磋商保证金有效期</w:t>
            </w:r>
            <w:r>
              <w:rPr>
                <w:b/>
                <w:sz w:val="24"/>
                <w:highlight w:val="none"/>
              </w:rPr>
              <w:t>：</w:t>
            </w:r>
            <w:r>
              <w:rPr>
                <w:sz w:val="24"/>
                <w:highlight w:val="none"/>
              </w:rPr>
              <w:t>不少于报价有效期。</w:t>
            </w:r>
          </w:p>
        </w:tc>
      </w:tr>
      <w:tr w14:paraId="60970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1134" w:type="dxa"/>
            <w:vAlign w:val="center"/>
          </w:tcPr>
          <w:p w14:paraId="4AB0039B">
            <w:pPr>
              <w:jc w:val="center"/>
              <w:rPr>
                <w:b/>
                <w:sz w:val="24"/>
                <w:highlight w:val="none"/>
              </w:rPr>
            </w:pPr>
            <w:r>
              <w:rPr>
                <w:b/>
                <w:sz w:val="24"/>
                <w:highlight w:val="none"/>
              </w:rPr>
              <w:t>7</w:t>
            </w:r>
          </w:p>
        </w:tc>
        <w:tc>
          <w:tcPr>
            <w:tcW w:w="7797" w:type="dxa"/>
            <w:vAlign w:val="center"/>
          </w:tcPr>
          <w:p w14:paraId="4D084CFB">
            <w:pPr>
              <w:rPr>
                <w:b/>
                <w:sz w:val="24"/>
                <w:highlight w:val="none"/>
              </w:rPr>
            </w:pPr>
            <w:r>
              <w:rPr>
                <w:b/>
                <w:sz w:val="24"/>
                <w:highlight w:val="none"/>
              </w:rPr>
              <w:t>报价有效期</w:t>
            </w:r>
          </w:p>
        </w:tc>
      </w:tr>
      <w:tr w14:paraId="431FD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14:paraId="0B64DF80">
            <w:pPr>
              <w:jc w:val="center"/>
              <w:rPr>
                <w:sz w:val="24"/>
                <w:highlight w:val="none"/>
              </w:rPr>
            </w:pPr>
            <w:r>
              <w:rPr>
                <w:sz w:val="24"/>
                <w:highlight w:val="none"/>
              </w:rPr>
              <w:t>7.1</w:t>
            </w:r>
          </w:p>
        </w:tc>
        <w:tc>
          <w:tcPr>
            <w:tcW w:w="7797" w:type="dxa"/>
            <w:vAlign w:val="center"/>
          </w:tcPr>
          <w:p w14:paraId="362BD5FD">
            <w:pPr>
              <w:rPr>
                <w:sz w:val="24"/>
                <w:highlight w:val="none"/>
              </w:rPr>
            </w:pPr>
            <w:r>
              <w:rPr>
                <w:sz w:val="24"/>
                <w:highlight w:val="none"/>
              </w:rPr>
              <w:t>报价有效期：磋商响应文件递交截止时间后的90个日历日内（不得少于90个日历日）。</w:t>
            </w:r>
          </w:p>
        </w:tc>
      </w:tr>
      <w:tr w14:paraId="6E692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134" w:type="dxa"/>
            <w:vAlign w:val="center"/>
          </w:tcPr>
          <w:p w14:paraId="52447677">
            <w:pPr>
              <w:jc w:val="center"/>
              <w:rPr>
                <w:b/>
                <w:sz w:val="24"/>
                <w:highlight w:val="none"/>
              </w:rPr>
            </w:pPr>
            <w:r>
              <w:rPr>
                <w:b/>
                <w:sz w:val="24"/>
                <w:highlight w:val="none"/>
              </w:rPr>
              <w:t>8</w:t>
            </w:r>
          </w:p>
        </w:tc>
        <w:tc>
          <w:tcPr>
            <w:tcW w:w="7797" w:type="dxa"/>
            <w:vAlign w:val="center"/>
          </w:tcPr>
          <w:p w14:paraId="0EEA358F">
            <w:pPr>
              <w:rPr>
                <w:b/>
                <w:sz w:val="24"/>
                <w:highlight w:val="none"/>
              </w:rPr>
            </w:pPr>
            <w:r>
              <w:rPr>
                <w:b/>
                <w:sz w:val="24"/>
                <w:highlight w:val="none"/>
              </w:rPr>
              <w:t>磋商响应文件的签署和规定</w:t>
            </w:r>
          </w:p>
        </w:tc>
      </w:tr>
      <w:tr w14:paraId="0BFB6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14:paraId="464D4D14">
            <w:pPr>
              <w:jc w:val="center"/>
              <w:rPr>
                <w:b/>
                <w:sz w:val="24"/>
                <w:highlight w:val="none"/>
              </w:rPr>
            </w:pPr>
            <w:r>
              <w:rPr>
                <w:b/>
                <w:sz w:val="24"/>
                <w:highlight w:val="none"/>
              </w:rPr>
              <w:t>8.1</w:t>
            </w:r>
          </w:p>
        </w:tc>
        <w:tc>
          <w:tcPr>
            <w:tcW w:w="7797" w:type="dxa"/>
            <w:vAlign w:val="center"/>
          </w:tcPr>
          <w:p w14:paraId="73FCBAF6">
            <w:pPr>
              <w:spacing w:line="360" w:lineRule="auto"/>
              <w:rPr>
                <w:b/>
                <w:sz w:val="24"/>
                <w:highlight w:val="none"/>
              </w:rPr>
            </w:pPr>
            <w:r>
              <w:rPr>
                <w:rFonts w:ascii="Segoe UI Symbol" w:hAnsi="Segoe UI Symbol" w:cs="Segoe UI Symbol"/>
                <w:bCs/>
                <w:sz w:val="24"/>
                <w:highlight w:val="none"/>
              </w:rPr>
              <w:t>★</w:t>
            </w:r>
            <w:r>
              <w:rPr>
                <w:b/>
                <w:sz w:val="24"/>
                <w:highlight w:val="none"/>
              </w:rPr>
              <w:t>8.1.1正本</w:t>
            </w:r>
            <w:r>
              <w:rPr>
                <w:rFonts w:hint="eastAsia"/>
                <w:b/>
                <w:sz w:val="24"/>
                <w:highlight w:val="none"/>
              </w:rPr>
              <w:t>1</w:t>
            </w:r>
            <w:r>
              <w:rPr>
                <w:b/>
                <w:sz w:val="24"/>
                <w:highlight w:val="none"/>
              </w:rPr>
              <w:t>份，副本3份，电子版1份（U盘或光盘形式，正本磋商响应文件签字盖章版的PDF扫描件，内容与纸质版一致）。</w:t>
            </w:r>
          </w:p>
          <w:p w14:paraId="004FCC2F">
            <w:pPr>
              <w:spacing w:line="360" w:lineRule="auto"/>
              <w:rPr>
                <w:bCs/>
                <w:sz w:val="24"/>
                <w:highlight w:val="none"/>
              </w:rPr>
            </w:pPr>
            <w:r>
              <w:rPr>
                <w:bCs/>
                <w:sz w:val="24"/>
                <w:highlight w:val="none"/>
              </w:rPr>
              <w:t>8.1.2密封袋上应当至少载明以下信息：</w:t>
            </w:r>
          </w:p>
          <w:p w14:paraId="5016AB6E">
            <w:pPr>
              <w:spacing w:line="360" w:lineRule="auto"/>
              <w:rPr>
                <w:bCs/>
                <w:sz w:val="24"/>
                <w:highlight w:val="none"/>
              </w:rPr>
            </w:pPr>
            <w:r>
              <w:rPr>
                <w:bCs/>
                <w:sz w:val="24"/>
                <w:highlight w:val="none"/>
              </w:rPr>
              <w:t>项目名称、项目编号、供应商名称、“在   年   月   日   时   分前不得开启”字样。</w:t>
            </w:r>
          </w:p>
          <w:p w14:paraId="109EE1E6">
            <w:pPr>
              <w:spacing w:line="360" w:lineRule="auto"/>
              <w:rPr>
                <w:bCs/>
                <w:sz w:val="24"/>
                <w:highlight w:val="none"/>
              </w:rPr>
            </w:pPr>
            <w:r>
              <w:rPr>
                <w:bCs/>
                <w:sz w:val="24"/>
                <w:highlight w:val="none"/>
              </w:rPr>
              <w:t>8.1.3响应文件正本与副本应采用胶装左侧固定方式，分别装订成册并编制目录。不得采用活页夹等随时拆换的方式装订，不得有零散页。应当按照采购文件要求，在响应文件正本的规定位置加盖公章，副本可为正本的复印件。正本和副本封面右上角应清晰标记“正本”或“副本”字样。</w:t>
            </w:r>
          </w:p>
          <w:p w14:paraId="79580A3A">
            <w:pPr>
              <w:spacing w:line="360" w:lineRule="auto"/>
              <w:rPr>
                <w:bCs/>
                <w:sz w:val="24"/>
                <w:highlight w:val="none"/>
              </w:rPr>
            </w:pPr>
            <w:r>
              <w:rPr>
                <w:bCs/>
                <w:sz w:val="24"/>
                <w:highlight w:val="none"/>
              </w:rPr>
              <w:t>8.1.4响应文件电子版密封方式：单独放入一个密封袋中，加贴封条，并标记“响应文件电子版”字样。密封袋上还应写明的内容与供应商须知前附表8.1.2款所要求一致。封套封口处加盖供应商单位公章，或由法定代表人（或授权代表）签字。</w:t>
            </w:r>
          </w:p>
          <w:p w14:paraId="412D7177">
            <w:pPr>
              <w:spacing w:line="360" w:lineRule="auto"/>
              <w:rPr>
                <w:b/>
                <w:sz w:val="24"/>
                <w:highlight w:val="none"/>
              </w:rPr>
            </w:pPr>
            <w:r>
              <w:rPr>
                <w:rFonts w:ascii="Segoe UI Symbol" w:hAnsi="Segoe UI Symbol" w:cs="Segoe UI Symbol"/>
                <w:b/>
                <w:sz w:val="24"/>
                <w:highlight w:val="none"/>
              </w:rPr>
              <w:t>★</w:t>
            </w:r>
            <w:r>
              <w:rPr>
                <w:b/>
                <w:sz w:val="24"/>
                <w:highlight w:val="none"/>
              </w:rPr>
              <w:t>8.1.5供应商应当在响应文件加盖与当事人名称全称相一致的标准公章，若供应商使用其它（如带有“**专用章”等字样）的印章，则必须提供关于使用其它印章与公章同等法律效力的授权说明文件并加盖公章，否则将被视为无效响应。</w:t>
            </w:r>
          </w:p>
        </w:tc>
      </w:tr>
      <w:tr w14:paraId="0E7B0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1134" w:type="dxa"/>
            <w:vAlign w:val="center"/>
          </w:tcPr>
          <w:p w14:paraId="2641C19F">
            <w:pPr>
              <w:jc w:val="center"/>
              <w:rPr>
                <w:b/>
                <w:sz w:val="24"/>
                <w:highlight w:val="none"/>
              </w:rPr>
            </w:pPr>
            <w:r>
              <w:rPr>
                <w:b/>
                <w:sz w:val="24"/>
                <w:highlight w:val="none"/>
              </w:rPr>
              <w:t>9</w:t>
            </w:r>
          </w:p>
        </w:tc>
        <w:tc>
          <w:tcPr>
            <w:tcW w:w="7797" w:type="dxa"/>
            <w:vAlign w:val="center"/>
          </w:tcPr>
          <w:p w14:paraId="2E3AC162">
            <w:pPr>
              <w:rPr>
                <w:bCs/>
                <w:sz w:val="24"/>
                <w:highlight w:val="none"/>
              </w:rPr>
            </w:pPr>
            <w:r>
              <w:rPr>
                <w:bCs/>
                <w:sz w:val="24"/>
                <w:highlight w:val="none"/>
              </w:rPr>
              <w:t>递交磋商响应文件的截止时间和地点</w:t>
            </w:r>
          </w:p>
        </w:tc>
      </w:tr>
      <w:tr w14:paraId="72D96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134" w:type="dxa"/>
            <w:vAlign w:val="center"/>
          </w:tcPr>
          <w:p w14:paraId="7AEE5273">
            <w:pPr>
              <w:jc w:val="center"/>
              <w:rPr>
                <w:sz w:val="24"/>
                <w:highlight w:val="none"/>
              </w:rPr>
            </w:pPr>
            <w:r>
              <w:rPr>
                <w:sz w:val="24"/>
                <w:highlight w:val="none"/>
              </w:rPr>
              <w:t>9.1</w:t>
            </w:r>
          </w:p>
        </w:tc>
        <w:tc>
          <w:tcPr>
            <w:tcW w:w="7797" w:type="dxa"/>
            <w:vAlign w:val="center"/>
          </w:tcPr>
          <w:p w14:paraId="55AA6654">
            <w:pPr>
              <w:rPr>
                <w:sz w:val="24"/>
                <w:highlight w:val="none"/>
                <w:u w:val="single"/>
              </w:rPr>
            </w:pPr>
            <w:r>
              <w:rPr>
                <w:sz w:val="24"/>
                <w:highlight w:val="none"/>
              </w:rPr>
              <w:t>详见磋商邀请</w:t>
            </w:r>
          </w:p>
        </w:tc>
      </w:tr>
      <w:tr w14:paraId="72DA0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134" w:type="dxa"/>
            <w:vAlign w:val="center"/>
          </w:tcPr>
          <w:p w14:paraId="7A1F5CE4">
            <w:pPr>
              <w:jc w:val="center"/>
              <w:rPr>
                <w:sz w:val="24"/>
                <w:highlight w:val="none"/>
              </w:rPr>
            </w:pPr>
            <w:r>
              <w:rPr>
                <w:sz w:val="24"/>
                <w:highlight w:val="none"/>
              </w:rPr>
              <w:t>9.2</w:t>
            </w:r>
          </w:p>
        </w:tc>
        <w:tc>
          <w:tcPr>
            <w:tcW w:w="7797" w:type="dxa"/>
            <w:vAlign w:val="center"/>
          </w:tcPr>
          <w:p w14:paraId="7F8B593A">
            <w:pPr>
              <w:rPr>
                <w:sz w:val="24"/>
                <w:highlight w:val="none"/>
              </w:rPr>
            </w:pPr>
            <w:r>
              <w:rPr>
                <w:sz w:val="24"/>
                <w:highlight w:val="none"/>
              </w:rPr>
              <w:t>详见磋商邀请</w:t>
            </w:r>
          </w:p>
        </w:tc>
      </w:tr>
      <w:tr w14:paraId="63D2A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134" w:type="dxa"/>
            <w:vAlign w:val="center"/>
          </w:tcPr>
          <w:p w14:paraId="2686AC85">
            <w:pPr>
              <w:jc w:val="center"/>
              <w:rPr>
                <w:b/>
                <w:sz w:val="24"/>
                <w:highlight w:val="none"/>
              </w:rPr>
            </w:pPr>
            <w:r>
              <w:rPr>
                <w:b/>
                <w:sz w:val="24"/>
                <w:highlight w:val="none"/>
              </w:rPr>
              <w:t>10</w:t>
            </w:r>
          </w:p>
        </w:tc>
        <w:tc>
          <w:tcPr>
            <w:tcW w:w="7797" w:type="dxa"/>
            <w:vAlign w:val="center"/>
          </w:tcPr>
          <w:p w14:paraId="5DBD939F">
            <w:pPr>
              <w:rPr>
                <w:b/>
                <w:sz w:val="24"/>
                <w:highlight w:val="none"/>
              </w:rPr>
            </w:pPr>
            <w:r>
              <w:rPr>
                <w:b/>
                <w:sz w:val="24"/>
                <w:highlight w:val="none"/>
              </w:rPr>
              <w:t>评审的原则和方法</w:t>
            </w:r>
          </w:p>
        </w:tc>
      </w:tr>
      <w:tr w14:paraId="2B7EC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14:paraId="2EEDAC3C">
            <w:pPr>
              <w:spacing w:line="360" w:lineRule="auto"/>
              <w:jc w:val="center"/>
              <w:rPr>
                <w:sz w:val="24"/>
                <w:highlight w:val="none"/>
              </w:rPr>
            </w:pPr>
            <w:r>
              <w:rPr>
                <w:sz w:val="24"/>
                <w:highlight w:val="none"/>
              </w:rPr>
              <w:t>10.1</w:t>
            </w:r>
          </w:p>
        </w:tc>
        <w:tc>
          <w:tcPr>
            <w:tcW w:w="7797" w:type="dxa"/>
            <w:vAlign w:val="center"/>
          </w:tcPr>
          <w:p w14:paraId="096F1CF0">
            <w:pPr>
              <w:tabs>
                <w:tab w:val="left" w:pos="459"/>
              </w:tabs>
              <w:spacing w:line="360" w:lineRule="auto"/>
              <w:rPr>
                <w:sz w:val="24"/>
                <w:highlight w:val="none"/>
              </w:rPr>
            </w:pPr>
            <w:r>
              <w:rPr>
                <w:sz w:val="24"/>
                <w:highlight w:val="none"/>
              </w:rPr>
              <w:t>评审办法</w:t>
            </w:r>
          </w:p>
          <w:p w14:paraId="4DB1C8C7">
            <w:pPr>
              <w:tabs>
                <w:tab w:val="left" w:pos="459"/>
              </w:tabs>
              <w:spacing w:line="360" w:lineRule="auto"/>
              <w:rPr>
                <w:sz w:val="24"/>
                <w:highlight w:val="none"/>
              </w:rPr>
            </w:pPr>
            <w:r>
              <w:rPr>
                <w:sz w:val="24"/>
                <w:highlight w:val="none"/>
              </w:rPr>
              <w:t>1. 磋商小组经与通过初审的各供应商磋商后，将要求各供应商在规定的时间内提交最终报价：</w:t>
            </w:r>
          </w:p>
          <w:p w14:paraId="65C52E5B">
            <w:pPr>
              <w:tabs>
                <w:tab w:val="left" w:pos="459"/>
              </w:tabs>
              <w:spacing w:line="360" w:lineRule="auto"/>
              <w:rPr>
                <w:sz w:val="24"/>
                <w:highlight w:val="none"/>
              </w:rPr>
            </w:pPr>
            <w:r>
              <w:rPr>
                <w:sz w:val="24"/>
                <w:highlight w:val="none"/>
              </w:rPr>
              <w:t>1）</w:t>
            </w:r>
            <w:r>
              <w:rPr>
                <w:sz w:val="24"/>
                <w:highlight w:val="none"/>
              </w:rPr>
              <w:tab/>
            </w:r>
            <w:r>
              <w:rPr>
                <w:sz w:val="24"/>
                <w:highlight w:val="none"/>
              </w:rPr>
              <w:t>如果经磋商后，供应商的响应文件存在不满足磋商文件要求的关键技术参数（“</w:t>
            </w:r>
            <w:r>
              <w:rPr>
                <w:rFonts w:ascii="Segoe UI Symbol" w:hAnsi="Segoe UI Symbol" w:cs="Segoe UI Symbol"/>
                <w:sz w:val="24"/>
                <w:highlight w:val="none"/>
              </w:rPr>
              <w:t>★</w:t>
            </w:r>
            <w:r>
              <w:rPr>
                <w:sz w:val="24"/>
                <w:highlight w:val="none"/>
              </w:rPr>
              <w:t>”参数）或超出偏差范围，将视为非响应性报价而被拒绝；</w:t>
            </w:r>
          </w:p>
          <w:p w14:paraId="3025C518">
            <w:pPr>
              <w:tabs>
                <w:tab w:val="left" w:pos="459"/>
              </w:tabs>
              <w:spacing w:line="360" w:lineRule="auto"/>
              <w:rPr>
                <w:sz w:val="24"/>
                <w:highlight w:val="none"/>
              </w:rPr>
            </w:pPr>
            <w:r>
              <w:rPr>
                <w:sz w:val="24"/>
                <w:highlight w:val="none"/>
              </w:rPr>
              <w:t>2）</w:t>
            </w:r>
            <w:r>
              <w:rPr>
                <w:sz w:val="24"/>
                <w:highlight w:val="none"/>
              </w:rPr>
              <w:tab/>
            </w:r>
            <w:r>
              <w:rPr>
                <w:sz w:val="24"/>
                <w:highlight w:val="none"/>
              </w:rPr>
              <w:t>供应商应当根据磋商文件要求和产品技术要求和配置进行报价，如有缺漏项，将视为非响应性报价而被拒绝。</w:t>
            </w:r>
          </w:p>
          <w:p w14:paraId="77F47DDF">
            <w:pPr>
              <w:tabs>
                <w:tab w:val="left" w:pos="459"/>
              </w:tabs>
              <w:spacing w:line="360" w:lineRule="auto"/>
              <w:rPr>
                <w:sz w:val="24"/>
                <w:highlight w:val="none"/>
              </w:rPr>
            </w:pPr>
            <w:r>
              <w:rPr>
                <w:sz w:val="24"/>
                <w:highlight w:val="none"/>
              </w:rPr>
              <w:t>2. 经磋商确定最终采购需求和提交最后报价的供应商后，由磋商小组采用综合评分法对提交最后报价的供应商的响应文件和最后报价进行综合评分。</w:t>
            </w:r>
          </w:p>
          <w:p w14:paraId="0F56CA47">
            <w:pPr>
              <w:tabs>
                <w:tab w:val="left" w:pos="459"/>
              </w:tabs>
              <w:spacing w:line="360" w:lineRule="auto"/>
              <w:rPr>
                <w:sz w:val="24"/>
                <w:highlight w:val="none"/>
              </w:rPr>
            </w:pPr>
            <w:r>
              <w:rPr>
                <w:sz w:val="24"/>
                <w:highlight w:val="none"/>
              </w:rPr>
              <w:t>具体评分标准详见附表。</w:t>
            </w:r>
          </w:p>
        </w:tc>
      </w:tr>
      <w:tr w14:paraId="6DC1F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14:paraId="27275222">
            <w:pPr>
              <w:spacing w:line="360" w:lineRule="auto"/>
              <w:jc w:val="center"/>
              <w:rPr>
                <w:b/>
                <w:sz w:val="24"/>
                <w:highlight w:val="none"/>
              </w:rPr>
            </w:pPr>
            <w:r>
              <w:rPr>
                <w:b/>
                <w:sz w:val="24"/>
                <w:highlight w:val="none"/>
              </w:rPr>
              <w:t>11</w:t>
            </w:r>
          </w:p>
        </w:tc>
        <w:tc>
          <w:tcPr>
            <w:tcW w:w="7797" w:type="dxa"/>
          </w:tcPr>
          <w:p w14:paraId="68387305">
            <w:pPr>
              <w:spacing w:line="360" w:lineRule="auto"/>
              <w:rPr>
                <w:sz w:val="24"/>
                <w:highlight w:val="none"/>
              </w:rPr>
            </w:pPr>
            <w:r>
              <w:rPr>
                <w:b/>
                <w:sz w:val="24"/>
                <w:highlight w:val="none"/>
              </w:rPr>
              <w:t>对磋商响应文件的初审和响应性的确定</w:t>
            </w:r>
          </w:p>
        </w:tc>
      </w:tr>
      <w:tr w14:paraId="01113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14:paraId="35720533">
            <w:pPr>
              <w:spacing w:line="360" w:lineRule="auto"/>
              <w:jc w:val="center"/>
              <w:rPr>
                <w:sz w:val="24"/>
                <w:highlight w:val="none"/>
              </w:rPr>
            </w:pPr>
            <w:r>
              <w:rPr>
                <w:sz w:val="24"/>
                <w:highlight w:val="none"/>
              </w:rPr>
              <w:t>11.1</w:t>
            </w:r>
          </w:p>
        </w:tc>
        <w:tc>
          <w:tcPr>
            <w:tcW w:w="7797" w:type="dxa"/>
          </w:tcPr>
          <w:p w14:paraId="3858B810">
            <w:pPr>
              <w:pStyle w:val="27"/>
              <w:snapToGrid w:val="0"/>
              <w:spacing w:line="360" w:lineRule="auto"/>
              <w:rPr>
                <w:rFonts w:ascii="Times New Roman" w:hAnsi="Times New Roman"/>
                <w:sz w:val="24"/>
                <w:szCs w:val="24"/>
                <w:highlight w:val="none"/>
              </w:rPr>
            </w:pPr>
            <w:r>
              <w:rPr>
                <w:rFonts w:ascii="Times New Roman" w:hAnsi="Times New Roman"/>
                <w:sz w:val="24"/>
                <w:szCs w:val="24"/>
                <w:highlight w:val="none"/>
              </w:rPr>
              <w:t>磋商响应文件属下列情况之一的，将视为非响应性报价而被拒绝：</w:t>
            </w:r>
          </w:p>
          <w:p w14:paraId="4AAF4440">
            <w:pPr>
              <w:tabs>
                <w:tab w:val="left" w:pos="496"/>
              </w:tabs>
              <w:spacing w:line="360" w:lineRule="auto"/>
              <w:ind w:left="241" w:hanging="241" w:hangingChars="100"/>
              <w:rPr>
                <w:b/>
                <w:sz w:val="24"/>
                <w:highlight w:val="none"/>
              </w:rPr>
            </w:pPr>
            <w:r>
              <w:rPr>
                <w:b/>
                <w:sz w:val="24"/>
                <w:highlight w:val="none"/>
              </w:rPr>
              <w:t>1.资格证明文件不全的；</w:t>
            </w:r>
          </w:p>
          <w:p w14:paraId="1F20F68E">
            <w:pPr>
              <w:tabs>
                <w:tab w:val="left" w:pos="496"/>
              </w:tabs>
              <w:spacing w:line="360" w:lineRule="auto"/>
              <w:ind w:left="241" w:hanging="241" w:hangingChars="100"/>
              <w:rPr>
                <w:b/>
                <w:sz w:val="24"/>
                <w:highlight w:val="none"/>
              </w:rPr>
            </w:pPr>
            <w:r>
              <w:rPr>
                <w:b/>
                <w:sz w:val="24"/>
                <w:highlight w:val="none"/>
              </w:rPr>
              <w:t>2.不满足供应商资格条件的；</w:t>
            </w:r>
          </w:p>
          <w:p w14:paraId="7A64A3C3">
            <w:pPr>
              <w:tabs>
                <w:tab w:val="left" w:pos="496"/>
              </w:tabs>
              <w:spacing w:line="360" w:lineRule="auto"/>
              <w:ind w:left="241" w:hanging="241" w:hangingChars="100"/>
              <w:rPr>
                <w:b/>
                <w:sz w:val="24"/>
                <w:highlight w:val="none"/>
              </w:rPr>
            </w:pPr>
            <w:r>
              <w:rPr>
                <w:b/>
                <w:sz w:val="24"/>
                <w:highlight w:val="none"/>
              </w:rPr>
              <w:t>3.供应商未提交磋商保证金或方式不符或金额不足；</w:t>
            </w:r>
          </w:p>
          <w:p w14:paraId="2838F485">
            <w:pPr>
              <w:tabs>
                <w:tab w:val="left" w:pos="496"/>
              </w:tabs>
              <w:spacing w:line="360" w:lineRule="auto"/>
              <w:ind w:left="241" w:hanging="241" w:hangingChars="100"/>
              <w:rPr>
                <w:b/>
                <w:sz w:val="24"/>
                <w:highlight w:val="none"/>
              </w:rPr>
            </w:pPr>
            <w:r>
              <w:rPr>
                <w:b/>
                <w:sz w:val="24"/>
                <w:highlight w:val="none"/>
              </w:rPr>
              <w:t>4.报价有效期不足的；</w:t>
            </w:r>
          </w:p>
          <w:p w14:paraId="113D80F2">
            <w:pPr>
              <w:tabs>
                <w:tab w:val="left" w:pos="496"/>
              </w:tabs>
              <w:spacing w:line="360" w:lineRule="auto"/>
              <w:ind w:left="241" w:hanging="241" w:hangingChars="100"/>
              <w:rPr>
                <w:b/>
                <w:sz w:val="24"/>
                <w:highlight w:val="none"/>
              </w:rPr>
            </w:pPr>
            <w:r>
              <w:rPr>
                <w:b/>
                <w:sz w:val="24"/>
                <w:highlight w:val="none"/>
              </w:rPr>
              <w:t>5.未按照磋商文件规定要求密封、签署、盖章；</w:t>
            </w:r>
          </w:p>
          <w:p w14:paraId="3A4FBF43">
            <w:pPr>
              <w:tabs>
                <w:tab w:val="left" w:pos="496"/>
              </w:tabs>
              <w:spacing w:line="360" w:lineRule="auto"/>
              <w:ind w:left="241" w:hanging="241" w:hangingChars="100"/>
              <w:rPr>
                <w:b/>
                <w:sz w:val="24"/>
                <w:highlight w:val="none"/>
              </w:rPr>
            </w:pPr>
            <w:r>
              <w:rPr>
                <w:b/>
                <w:sz w:val="24"/>
                <w:highlight w:val="none"/>
              </w:rPr>
              <w:t>6.磋商响应文件无法人代表签字，或签字无法人代表有效委托书的；</w:t>
            </w:r>
          </w:p>
          <w:p w14:paraId="26D2561F">
            <w:pPr>
              <w:tabs>
                <w:tab w:val="left" w:pos="496"/>
              </w:tabs>
              <w:spacing w:line="360" w:lineRule="auto"/>
              <w:ind w:left="241" w:hanging="241" w:hangingChars="100"/>
              <w:rPr>
                <w:b/>
                <w:sz w:val="24"/>
                <w:highlight w:val="none"/>
              </w:rPr>
            </w:pPr>
            <w:r>
              <w:rPr>
                <w:b/>
                <w:sz w:val="24"/>
                <w:highlight w:val="none"/>
              </w:rPr>
              <w:t>7.未提供制造商授权书的</w:t>
            </w:r>
            <w:r>
              <w:rPr>
                <w:rFonts w:hint="eastAsia"/>
                <w:b/>
                <w:sz w:val="24"/>
                <w:highlight w:val="none"/>
              </w:rPr>
              <w:t>（如有要求，</w:t>
            </w:r>
            <w:r>
              <w:rPr>
                <w:b/>
                <w:sz w:val="24"/>
                <w:highlight w:val="none"/>
              </w:rPr>
              <w:t>进口货物适用</w:t>
            </w:r>
            <w:r>
              <w:rPr>
                <w:rFonts w:hint="eastAsia"/>
                <w:b/>
                <w:sz w:val="24"/>
                <w:highlight w:val="none"/>
              </w:rPr>
              <w:t>）</w:t>
            </w:r>
            <w:r>
              <w:rPr>
                <w:b/>
                <w:sz w:val="24"/>
                <w:highlight w:val="none"/>
              </w:rPr>
              <w:t>；</w:t>
            </w:r>
          </w:p>
          <w:p w14:paraId="2D8D9AFD">
            <w:pPr>
              <w:tabs>
                <w:tab w:val="left" w:pos="496"/>
              </w:tabs>
              <w:spacing w:line="360" w:lineRule="auto"/>
              <w:ind w:left="241" w:hanging="241" w:hangingChars="100"/>
              <w:rPr>
                <w:b/>
                <w:sz w:val="24"/>
                <w:highlight w:val="none"/>
              </w:rPr>
            </w:pPr>
            <w:r>
              <w:rPr>
                <w:b/>
                <w:sz w:val="24"/>
                <w:highlight w:val="none"/>
              </w:rPr>
              <w:t>8.不符合法律、法规和磋商文件中</w:t>
            </w:r>
            <w:r>
              <w:rPr>
                <w:rFonts w:ascii="Segoe UI Symbol" w:hAnsi="Segoe UI Symbol" w:cs="Segoe UI Symbol"/>
                <w:b/>
                <w:sz w:val="24"/>
                <w:highlight w:val="none"/>
              </w:rPr>
              <w:t>★</w:t>
            </w:r>
            <w:r>
              <w:rPr>
                <w:b/>
                <w:sz w:val="24"/>
                <w:highlight w:val="none"/>
              </w:rPr>
              <w:t>号条款规定的，产品技术要求和配置有缺漏项的；</w:t>
            </w:r>
          </w:p>
          <w:p w14:paraId="390403EE">
            <w:pPr>
              <w:tabs>
                <w:tab w:val="left" w:pos="496"/>
              </w:tabs>
              <w:spacing w:line="360" w:lineRule="auto"/>
              <w:ind w:left="241" w:hanging="241" w:hangingChars="100"/>
              <w:rPr>
                <w:b/>
                <w:sz w:val="24"/>
                <w:highlight w:val="none"/>
              </w:rPr>
            </w:pPr>
            <w:r>
              <w:rPr>
                <w:b/>
                <w:sz w:val="24"/>
                <w:highlight w:val="none"/>
              </w:rPr>
              <w:t>9.供应商有违法违纪行为，被</w:t>
            </w:r>
            <w:r>
              <w:rPr>
                <w:b/>
                <w:kern w:val="0"/>
                <w:sz w:val="24"/>
                <w:highlight w:val="none"/>
              </w:rPr>
              <w:t>列入失信被执行人、重大税收违法案件当事人名单、政府采购严重违法失信行为记录名单的，</w:t>
            </w:r>
            <w:r>
              <w:rPr>
                <w:b/>
                <w:sz w:val="24"/>
                <w:highlight w:val="none"/>
              </w:rPr>
              <w:t>或在过去三年中有重大的质量、信誉等问题；</w:t>
            </w:r>
          </w:p>
          <w:p w14:paraId="57FCD0C6">
            <w:pPr>
              <w:tabs>
                <w:tab w:val="left" w:pos="496"/>
              </w:tabs>
              <w:spacing w:line="360" w:lineRule="auto"/>
              <w:ind w:left="241" w:hanging="241" w:hangingChars="100"/>
              <w:rPr>
                <w:b/>
                <w:sz w:val="24"/>
                <w:highlight w:val="none"/>
              </w:rPr>
            </w:pPr>
            <w:r>
              <w:rPr>
                <w:b/>
                <w:sz w:val="24"/>
                <w:highlight w:val="none"/>
              </w:rPr>
              <w:t>10.磋商响应文件中提供虚假或失实资料的；</w:t>
            </w:r>
          </w:p>
          <w:p w14:paraId="4EA3CF19">
            <w:pPr>
              <w:tabs>
                <w:tab w:val="left" w:pos="496"/>
              </w:tabs>
              <w:spacing w:line="360" w:lineRule="auto"/>
              <w:ind w:left="241" w:hanging="241" w:hangingChars="100"/>
              <w:rPr>
                <w:b/>
                <w:sz w:val="24"/>
                <w:highlight w:val="none"/>
              </w:rPr>
            </w:pPr>
            <w:r>
              <w:rPr>
                <w:b/>
                <w:sz w:val="24"/>
                <w:highlight w:val="none"/>
              </w:rPr>
              <w:t>11.供应商需就全部磋商产品进行响应，不完整的报价将被拒绝；</w:t>
            </w:r>
          </w:p>
          <w:p w14:paraId="62D48F6A">
            <w:pPr>
              <w:tabs>
                <w:tab w:val="left" w:pos="496"/>
              </w:tabs>
              <w:spacing w:line="360" w:lineRule="auto"/>
              <w:ind w:left="241" w:hanging="241" w:hangingChars="100"/>
              <w:rPr>
                <w:b/>
                <w:sz w:val="24"/>
                <w:highlight w:val="none"/>
              </w:rPr>
            </w:pPr>
            <w:r>
              <w:rPr>
                <w:b/>
                <w:sz w:val="24"/>
                <w:highlight w:val="none"/>
              </w:rPr>
              <w:t>12.磋商文件中明确规定不接受进口产品，供应商提供进口产品的；</w:t>
            </w:r>
          </w:p>
          <w:p w14:paraId="51585A4F">
            <w:pPr>
              <w:tabs>
                <w:tab w:val="left" w:pos="496"/>
              </w:tabs>
              <w:spacing w:line="360" w:lineRule="auto"/>
              <w:ind w:left="241" w:hanging="241" w:hangingChars="100"/>
              <w:rPr>
                <w:sz w:val="24"/>
                <w:highlight w:val="none"/>
              </w:rPr>
            </w:pPr>
            <w:r>
              <w:rPr>
                <w:b/>
                <w:sz w:val="24"/>
                <w:highlight w:val="none"/>
              </w:rPr>
              <w:t>13.最终报价超过采购预算（设置最高限价的，以最高限价为准）的；</w:t>
            </w:r>
          </w:p>
          <w:p w14:paraId="4AEDC796">
            <w:pPr>
              <w:tabs>
                <w:tab w:val="left" w:pos="496"/>
              </w:tabs>
              <w:spacing w:line="360" w:lineRule="auto"/>
              <w:ind w:left="241" w:hanging="241" w:hangingChars="100"/>
              <w:rPr>
                <w:b/>
                <w:sz w:val="24"/>
                <w:highlight w:val="none"/>
              </w:rPr>
            </w:pPr>
            <w:r>
              <w:rPr>
                <w:b/>
                <w:sz w:val="24"/>
                <w:highlight w:val="none"/>
              </w:rPr>
              <w:t>14.不符合法律、法规和磋商文件中规定的其他实质性要求的。</w:t>
            </w:r>
          </w:p>
        </w:tc>
      </w:tr>
      <w:tr w14:paraId="71B1D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14:paraId="7752FA05">
            <w:pPr>
              <w:spacing w:line="360" w:lineRule="auto"/>
              <w:jc w:val="center"/>
              <w:rPr>
                <w:sz w:val="24"/>
                <w:highlight w:val="none"/>
              </w:rPr>
            </w:pPr>
            <w:r>
              <w:rPr>
                <w:b/>
                <w:sz w:val="24"/>
                <w:highlight w:val="none"/>
              </w:rPr>
              <w:t>12</w:t>
            </w:r>
          </w:p>
        </w:tc>
        <w:tc>
          <w:tcPr>
            <w:tcW w:w="7797" w:type="dxa"/>
          </w:tcPr>
          <w:p w14:paraId="227F7946">
            <w:pPr>
              <w:autoSpaceDE w:val="0"/>
              <w:autoSpaceDN w:val="0"/>
              <w:spacing w:line="360" w:lineRule="auto"/>
              <w:ind w:right="3"/>
              <w:textAlignment w:val="bottom"/>
              <w:rPr>
                <w:sz w:val="24"/>
                <w:highlight w:val="none"/>
              </w:rPr>
            </w:pPr>
            <w:r>
              <w:rPr>
                <w:b/>
                <w:sz w:val="24"/>
                <w:highlight w:val="none"/>
              </w:rPr>
              <w:t>确定成交供应商</w:t>
            </w:r>
          </w:p>
        </w:tc>
      </w:tr>
      <w:tr w14:paraId="16D9C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14:paraId="644DE59C">
            <w:pPr>
              <w:spacing w:line="360" w:lineRule="auto"/>
              <w:jc w:val="center"/>
              <w:rPr>
                <w:b/>
                <w:sz w:val="24"/>
                <w:highlight w:val="none"/>
              </w:rPr>
            </w:pPr>
            <w:r>
              <w:rPr>
                <w:sz w:val="24"/>
                <w:highlight w:val="none"/>
              </w:rPr>
              <w:t>12.1</w:t>
            </w:r>
          </w:p>
        </w:tc>
        <w:tc>
          <w:tcPr>
            <w:tcW w:w="7797" w:type="dxa"/>
          </w:tcPr>
          <w:p w14:paraId="45E7F55F">
            <w:pPr>
              <w:spacing w:line="360" w:lineRule="auto"/>
              <w:rPr>
                <w:b/>
                <w:sz w:val="24"/>
                <w:highlight w:val="none"/>
              </w:rPr>
            </w:pPr>
            <w:r>
              <w:rPr>
                <w:sz w:val="24"/>
                <w:highlight w:val="none"/>
              </w:rPr>
              <w:t>确定成交候选供应商的原则为：按综合评价得分排名确定</w:t>
            </w:r>
          </w:p>
        </w:tc>
      </w:tr>
      <w:tr w14:paraId="07080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tcPr>
          <w:p w14:paraId="0DCFD726">
            <w:pPr>
              <w:spacing w:line="360" w:lineRule="auto"/>
              <w:jc w:val="center"/>
              <w:rPr>
                <w:b/>
                <w:sz w:val="24"/>
                <w:highlight w:val="none"/>
              </w:rPr>
            </w:pPr>
            <w:r>
              <w:rPr>
                <w:b/>
                <w:sz w:val="24"/>
                <w:highlight w:val="none"/>
              </w:rPr>
              <w:t>13</w:t>
            </w:r>
          </w:p>
        </w:tc>
        <w:tc>
          <w:tcPr>
            <w:tcW w:w="7797" w:type="dxa"/>
          </w:tcPr>
          <w:p w14:paraId="7A7F0586">
            <w:pPr>
              <w:spacing w:line="360" w:lineRule="auto"/>
              <w:rPr>
                <w:b/>
                <w:sz w:val="24"/>
                <w:highlight w:val="none"/>
              </w:rPr>
            </w:pPr>
            <w:r>
              <w:rPr>
                <w:b/>
                <w:sz w:val="24"/>
                <w:highlight w:val="none"/>
              </w:rPr>
              <w:t xml:space="preserve">履约保证金 </w:t>
            </w:r>
          </w:p>
        </w:tc>
      </w:tr>
      <w:tr w14:paraId="078A9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14:paraId="52FCC669">
            <w:pPr>
              <w:spacing w:line="360" w:lineRule="auto"/>
              <w:jc w:val="center"/>
              <w:rPr>
                <w:sz w:val="24"/>
                <w:highlight w:val="none"/>
              </w:rPr>
            </w:pPr>
            <w:r>
              <w:rPr>
                <w:sz w:val="24"/>
                <w:highlight w:val="none"/>
              </w:rPr>
              <w:t>13.1</w:t>
            </w:r>
          </w:p>
        </w:tc>
        <w:tc>
          <w:tcPr>
            <w:tcW w:w="7797" w:type="dxa"/>
            <w:vAlign w:val="center"/>
          </w:tcPr>
          <w:p w14:paraId="1EC74EB7">
            <w:pPr>
              <w:autoSpaceDE w:val="0"/>
              <w:autoSpaceDN w:val="0"/>
              <w:spacing w:line="360" w:lineRule="auto"/>
              <w:ind w:right="-19" w:rightChars="-9"/>
              <w:textAlignment w:val="bottom"/>
              <w:rPr>
                <w:sz w:val="24"/>
                <w:highlight w:val="none"/>
              </w:rPr>
            </w:pPr>
            <w:r>
              <w:rPr>
                <w:sz w:val="24"/>
                <w:highlight w:val="none"/>
              </w:rPr>
              <w:t>不适用。</w:t>
            </w:r>
          </w:p>
        </w:tc>
      </w:tr>
      <w:tr w14:paraId="24588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14:paraId="44172FC5">
            <w:pPr>
              <w:spacing w:line="360" w:lineRule="auto"/>
              <w:jc w:val="center"/>
              <w:rPr>
                <w:b/>
                <w:sz w:val="24"/>
                <w:highlight w:val="none"/>
              </w:rPr>
            </w:pPr>
            <w:r>
              <w:rPr>
                <w:b/>
                <w:sz w:val="24"/>
                <w:highlight w:val="none"/>
              </w:rPr>
              <w:t>14</w:t>
            </w:r>
          </w:p>
        </w:tc>
        <w:tc>
          <w:tcPr>
            <w:tcW w:w="7797" w:type="dxa"/>
            <w:vAlign w:val="center"/>
          </w:tcPr>
          <w:p w14:paraId="40C53AE3">
            <w:pPr>
              <w:spacing w:line="360" w:lineRule="auto"/>
              <w:rPr>
                <w:sz w:val="24"/>
                <w:highlight w:val="none"/>
              </w:rPr>
            </w:pPr>
            <w:r>
              <w:rPr>
                <w:b/>
                <w:sz w:val="24"/>
                <w:highlight w:val="none"/>
              </w:rPr>
              <w:t>成交服务费</w:t>
            </w:r>
          </w:p>
        </w:tc>
      </w:tr>
      <w:tr w14:paraId="4C4E4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14:paraId="28CF0151">
            <w:pPr>
              <w:spacing w:line="360" w:lineRule="auto"/>
              <w:jc w:val="center"/>
              <w:rPr>
                <w:sz w:val="24"/>
                <w:highlight w:val="none"/>
              </w:rPr>
            </w:pPr>
            <w:r>
              <w:rPr>
                <w:sz w:val="24"/>
                <w:highlight w:val="none"/>
              </w:rPr>
              <w:t>14.1</w:t>
            </w:r>
          </w:p>
        </w:tc>
        <w:tc>
          <w:tcPr>
            <w:tcW w:w="7797" w:type="dxa"/>
            <w:vAlign w:val="center"/>
          </w:tcPr>
          <w:p w14:paraId="2DC073B4">
            <w:pPr>
              <w:autoSpaceDE w:val="0"/>
              <w:autoSpaceDN w:val="0"/>
              <w:spacing w:line="360" w:lineRule="auto"/>
              <w:ind w:right="-19" w:rightChars="-9"/>
              <w:textAlignment w:val="bottom"/>
              <w:rPr>
                <w:sz w:val="24"/>
                <w:highlight w:val="none"/>
              </w:rPr>
            </w:pPr>
            <w:bookmarkStart w:id="4" w:name="OLE_LINK1"/>
            <w:r>
              <w:rPr>
                <w:sz w:val="24"/>
                <w:highlight w:val="none"/>
              </w:rPr>
              <w:t>成交服务费：</w:t>
            </w:r>
          </w:p>
          <w:bookmarkEnd w:id="4"/>
          <w:p w14:paraId="3FA248E3">
            <w:pPr>
              <w:autoSpaceDE w:val="0"/>
              <w:autoSpaceDN w:val="0"/>
              <w:spacing w:line="360" w:lineRule="auto"/>
              <w:ind w:right="-19" w:rightChars="-9"/>
              <w:textAlignment w:val="bottom"/>
              <w:rPr>
                <w:sz w:val="24"/>
                <w:highlight w:val="none"/>
              </w:rPr>
            </w:pPr>
            <w:r>
              <w:rPr>
                <w:sz w:val="24"/>
                <w:highlight w:val="none"/>
              </w:rPr>
              <w:t>成交供应商须在收到成交通知书后5个工作日内，向采购代理机构缴纳成交服务费，具体标准和计算办法按照国家发展计划委员会（计价格[2002]1980号）《招标代理服务收费管理暂行办法》的</w:t>
            </w:r>
            <w:r>
              <w:rPr>
                <w:rFonts w:hint="eastAsia"/>
                <w:sz w:val="24"/>
                <w:highlight w:val="none"/>
              </w:rPr>
              <w:t>服务</w:t>
            </w:r>
            <w:r>
              <w:rPr>
                <w:sz w:val="24"/>
                <w:highlight w:val="none"/>
              </w:rPr>
              <w:t>收费标准下浮20%收取。此项费用无须单列，但须计入报价总价。</w:t>
            </w:r>
          </w:p>
          <w:tbl>
            <w:tblPr>
              <w:tblStyle w:val="46"/>
              <w:tblW w:w="0" w:type="auto"/>
              <w:tblInd w:w="150" w:type="dxa"/>
              <w:tblBorders>
                <w:top w:val="single" w:color="auto" w:sz="4"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3084"/>
              <w:gridCol w:w="2390"/>
            </w:tblGrid>
            <w:tr w14:paraId="64A73718">
              <w:tblPrEx>
                <w:tblBorders>
                  <w:top w:val="single" w:color="auto" w:sz="4"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95" w:hRule="atLeast"/>
              </w:trPr>
              <w:tc>
                <w:tcPr>
                  <w:tcW w:w="3084" w:type="dxa"/>
                  <w:tcMar>
                    <w:top w:w="0" w:type="dxa"/>
                    <w:left w:w="108" w:type="dxa"/>
                    <w:bottom w:w="0" w:type="dxa"/>
                    <w:right w:w="108" w:type="dxa"/>
                  </w:tcMar>
                </w:tcPr>
                <w:p w14:paraId="572A33BC">
                  <w:pPr>
                    <w:ind w:firstLine="240" w:firstLineChars="100"/>
                    <w:rPr>
                      <w:sz w:val="24"/>
                      <w:highlight w:val="none"/>
                    </w:rPr>
                  </w:pPr>
                  <w:r>
                    <w:rPr>
                      <w:sz w:val="24"/>
                      <w:highlight w:val="none"/>
                    </w:rPr>
                    <w:t>中标金额 （人民币万元）</w:t>
                  </w:r>
                </w:p>
              </w:tc>
              <w:tc>
                <w:tcPr>
                  <w:tcW w:w="2390" w:type="dxa"/>
                  <w:tcMar>
                    <w:top w:w="0" w:type="dxa"/>
                    <w:left w:w="108" w:type="dxa"/>
                    <w:bottom w:w="0" w:type="dxa"/>
                    <w:right w:w="108" w:type="dxa"/>
                  </w:tcMar>
                </w:tcPr>
                <w:p w14:paraId="7206DE65">
                  <w:pPr>
                    <w:jc w:val="center"/>
                    <w:rPr>
                      <w:sz w:val="24"/>
                      <w:highlight w:val="none"/>
                    </w:rPr>
                  </w:pPr>
                  <w:r>
                    <w:rPr>
                      <w:sz w:val="24"/>
                      <w:highlight w:val="none"/>
                    </w:rPr>
                    <w:t>比率</w:t>
                  </w:r>
                </w:p>
              </w:tc>
            </w:tr>
            <w:tr w14:paraId="5E8E808D">
              <w:tblPrEx>
                <w:tblBorders>
                  <w:top w:val="single" w:color="auto" w:sz="4"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95" w:hRule="atLeast"/>
              </w:trPr>
              <w:tc>
                <w:tcPr>
                  <w:tcW w:w="3084" w:type="dxa"/>
                  <w:tcMar>
                    <w:top w:w="0" w:type="dxa"/>
                    <w:left w:w="108" w:type="dxa"/>
                    <w:bottom w:w="0" w:type="dxa"/>
                    <w:right w:w="108" w:type="dxa"/>
                  </w:tcMar>
                </w:tcPr>
                <w:p w14:paraId="1DBFFF9E">
                  <w:pPr>
                    <w:jc w:val="center"/>
                    <w:rPr>
                      <w:sz w:val="24"/>
                      <w:highlight w:val="none"/>
                    </w:rPr>
                  </w:pPr>
                  <w:r>
                    <w:rPr>
                      <w:sz w:val="24"/>
                      <w:highlight w:val="none"/>
                    </w:rPr>
                    <w:t>100以下</w:t>
                  </w:r>
                </w:p>
              </w:tc>
              <w:tc>
                <w:tcPr>
                  <w:tcW w:w="2390" w:type="dxa"/>
                  <w:tcMar>
                    <w:top w:w="0" w:type="dxa"/>
                    <w:left w:w="108" w:type="dxa"/>
                    <w:bottom w:w="0" w:type="dxa"/>
                    <w:right w:w="108" w:type="dxa"/>
                  </w:tcMar>
                </w:tcPr>
                <w:p w14:paraId="349CADC9">
                  <w:pPr>
                    <w:jc w:val="center"/>
                    <w:rPr>
                      <w:sz w:val="24"/>
                      <w:highlight w:val="none"/>
                    </w:rPr>
                  </w:pPr>
                  <w:r>
                    <w:rPr>
                      <w:sz w:val="24"/>
                      <w:highlight w:val="none"/>
                    </w:rPr>
                    <w:t>1.</w:t>
                  </w:r>
                  <w:r>
                    <w:rPr>
                      <w:rFonts w:hint="eastAsia"/>
                      <w:sz w:val="24"/>
                      <w:highlight w:val="none"/>
                    </w:rPr>
                    <w:t>2</w:t>
                  </w:r>
                  <w:r>
                    <w:rPr>
                      <w:sz w:val="24"/>
                      <w:highlight w:val="none"/>
                    </w:rPr>
                    <w:t>%</w:t>
                  </w:r>
                </w:p>
              </w:tc>
            </w:tr>
            <w:tr w14:paraId="28F5A6BB">
              <w:tblPrEx>
                <w:tblBorders>
                  <w:top w:val="single" w:color="auto" w:sz="4"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77" w:hRule="atLeast"/>
              </w:trPr>
              <w:tc>
                <w:tcPr>
                  <w:tcW w:w="3084" w:type="dxa"/>
                  <w:tcMar>
                    <w:top w:w="0" w:type="dxa"/>
                    <w:left w:w="108" w:type="dxa"/>
                    <w:bottom w:w="0" w:type="dxa"/>
                    <w:right w:w="108" w:type="dxa"/>
                  </w:tcMar>
                </w:tcPr>
                <w:p w14:paraId="414CB989">
                  <w:pPr>
                    <w:jc w:val="center"/>
                    <w:rPr>
                      <w:sz w:val="24"/>
                      <w:highlight w:val="none"/>
                    </w:rPr>
                  </w:pPr>
                  <w:r>
                    <w:rPr>
                      <w:sz w:val="24"/>
                      <w:highlight w:val="none"/>
                    </w:rPr>
                    <w:t>100-500</w:t>
                  </w:r>
                </w:p>
              </w:tc>
              <w:tc>
                <w:tcPr>
                  <w:tcW w:w="2390" w:type="dxa"/>
                  <w:tcMar>
                    <w:top w:w="0" w:type="dxa"/>
                    <w:left w:w="108" w:type="dxa"/>
                    <w:bottom w:w="0" w:type="dxa"/>
                    <w:right w:w="108" w:type="dxa"/>
                  </w:tcMar>
                </w:tcPr>
                <w:p w14:paraId="5B286DA7">
                  <w:pPr>
                    <w:jc w:val="center"/>
                    <w:rPr>
                      <w:sz w:val="24"/>
                      <w:highlight w:val="none"/>
                    </w:rPr>
                  </w:pPr>
                  <w:r>
                    <w:rPr>
                      <w:sz w:val="24"/>
                      <w:highlight w:val="none"/>
                    </w:rPr>
                    <w:t>0.</w:t>
                  </w:r>
                  <w:r>
                    <w:rPr>
                      <w:rFonts w:hint="eastAsia"/>
                      <w:sz w:val="24"/>
                      <w:highlight w:val="none"/>
                    </w:rPr>
                    <w:t>64</w:t>
                  </w:r>
                  <w:r>
                    <w:rPr>
                      <w:sz w:val="24"/>
                      <w:highlight w:val="none"/>
                    </w:rPr>
                    <w:t>%</w:t>
                  </w:r>
                </w:p>
              </w:tc>
            </w:tr>
            <w:tr w14:paraId="47688694">
              <w:tblPrEx>
                <w:tblBorders>
                  <w:top w:val="single" w:color="auto" w:sz="4"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0" w:hRule="atLeast"/>
              </w:trPr>
              <w:tc>
                <w:tcPr>
                  <w:tcW w:w="3084" w:type="dxa"/>
                  <w:tcMar>
                    <w:top w:w="0" w:type="dxa"/>
                    <w:left w:w="108" w:type="dxa"/>
                    <w:bottom w:w="0" w:type="dxa"/>
                    <w:right w:w="108" w:type="dxa"/>
                  </w:tcMar>
                </w:tcPr>
                <w:p w14:paraId="59EACBE5">
                  <w:pPr>
                    <w:jc w:val="center"/>
                    <w:rPr>
                      <w:sz w:val="24"/>
                      <w:highlight w:val="none"/>
                    </w:rPr>
                  </w:pPr>
                  <w:r>
                    <w:rPr>
                      <w:sz w:val="24"/>
                      <w:highlight w:val="none"/>
                    </w:rPr>
                    <w:t>500-1000</w:t>
                  </w:r>
                </w:p>
              </w:tc>
              <w:tc>
                <w:tcPr>
                  <w:tcW w:w="2390" w:type="dxa"/>
                  <w:tcMar>
                    <w:top w:w="0" w:type="dxa"/>
                    <w:left w:w="108" w:type="dxa"/>
                    <w:bottom w:w="0" w:type="dxa"/>
                    <w:right w:w="108" w:type="dxa"/>
                  </w:tcMar>
                </w:tcPr>
                <w:p w14:paraId="5B2EEDA4">
                  <w:pPr>
                    <w:jc w:val="center"/>
                    <w:rPr>
                      <w:sz w:val="24"/>
                      <w:highlight w:val="none"/>
                    </w:rPr>
                  </w:pPr>
                  <w:r>
                    <w:rPr>
                      <w:rFonts w:hint="eastAsia"/>
                      <w:sz w:val="24"/>
                      <w:highlight w:val="none"/>
                    </w:rPr>
                    <w:t>0.36</w:t>
                  </w:r>
                  <w:r>
                    <w:rPr>
                      <w:sz w:val="24"/>
                      <w:highlight w:val="none"/>
                    </w:rPr>
                    <w:t>%</w:t>
                  </w:r>
                </w:p>
              </w:tc>
            </w:tr>
            <w:tr w14:paraId="594EC209">
              <w:tblPrEx>
                <w:tblBorders>
                  <w:top w:val="single" w:color="auto" w:sz="4"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0" w:hRule="atLeast"/>
              </w:trPr>
              <w:tc>
                <w:tcPr>
                  <w:tcW w:w="3084" w:type="dxa"/>
                  <w:tcMar>
                    <w:top w:w="0" w:type="dxa"/>
                    <w:left w:w="108" w:type="dxa"/>
                    <w:bottom w:w="0" w:type="dxa"/>
                    <w:right w:w="108" w:type="dxa"/>
                  </w:tcMar>
                </w:tcPr>
                <w:p w14:paraId="56D855B3">
                  <w:pPr>
                    <w:jc w:val="center"/>
                    <w:rPr>
                      <w:sz w:val="24"/>
                      <w:highlight w:val="none"/>
                    </w:rPr>
                  </w:pPr>
                  <w:r>
                    <w:rPr>
                      <w:sz w:val="24"/>
                      <w:highlight w:val="none"/>
                    </w:rPr>
                    <w:t>1000-5000</w:t>
                  </w:r>
                </w:p>
              </w:tc>
              <w:tc>
                <w:tcPr>
                  <w:tcW w:w="2390" w:type="dxa"/>
                  <w:tcMar>
                    <w:top w:w="0" w:type="dxa"/>
                    <w:left w:w="108" w:type="dxa"/>
                    <w:bottom w:w="0" w:type="dxa"/>
                    <w:right w:w="108" w:type="dxa"/>
                  </w:tcMar>
                </w:tcPr>
                <w:p w14:paraId="30E247DF">
                  <w:pPr>
                    <w:jc w:val="center"/>
                    <w:rPr>
                      <w:sz w:val="24"/>
                      <w:highlight w:val="none"/>
                    </w:rPr>
                  </w:pPr>
                  <w:r>
                    <w:rPr>
                      <w:sz w:val="24"/>
                      <w:highlight w:val="none"/>
                    </w:rPr>
                    <w:t>0.2</w:t>
                  </w:r>
                  <w:r>
                    <w:rPr>
                      <w:rFonts w:hint="eastAsia"/>
                      <w:sz w:val="24"/>
                      <w:highlight w:val="none"/>
                    </w:rPr>
                    <w:t>0</w:t>
                  </w:r>
                  <w:r>
                    <w:rPr>
                      <w:sz w:val="24"/>
                      <w:highlight w:val="none"/>
                    </w:rPr>
                    <w:t>%</w:t>
                  </w:r>
                </w:p>
              </w:tc>
            </w:tr>
          </w:tbl>
          <w:p w14:paraId="58D57EBC">
            <w:pPr>
              <w:pStyle w:val="2"/>
              <w:ind w:left="0" w:firstLine="0" w:firstLineChars="0"/>
              <w:jc w:val="left"/>
              <w:rPr>
                <w:highlight w:val="none"/>
              </w:rPr>
            </w:pPr>
            <w:r>
              <w:rPr>
                <w:sz w:val="24"/>
                <w:highlight w:val="none"/>
              </w:rPr>
              <w:t>注：成交服务费按差额定率累进法计算。</w:t>
            </w:r>
          </w:p>
        </w:tc>
      </w:tr>
      <w:tr w14:paraId="33E23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14:paraId="23D94A23">
            <w:pPr>
              <w:adjustRightInd w:val="0"/>
              <w:snapToGrid w:val="0"/>
              <w:spacing w:line="360" w:lineRule="auto"/>
              <w:jc w:val="center"/>
              <w:rPr>
                <w:sz w:val="24"/>
                <w:highlight w:val="none"/>
              </w:rPr>
            </w:pPr>
            <w:r>
              <w:rPr>
                <w:sz w:val="24"/>
                <w:highlight w:val="none"/>
              </w:rPr>
              <w:t>中小企业划分标准所属行业</w:t>
            </w:r>
          </w:p>
        </w:tc>
        <w:tc>
          <w:tcPr>
            <w:tcW w:w="7797" w:type="dxa"/>
            <w:vAlign w:val="center"/>
          </w:tcPr>
          <w:p w14:paraId="77AAB4FD">
            <w:pPr>
              <w:pStyle w:val="2"/>
              <w:ind w:left="0" w:firstLine="0" w:firstLineChars="0"/>
              <w:rPr>
                <w:highlight w:val="none"/>
              </w:rPr>
            </w:pPr>
            <w:r>
              <w:rPr>
                <w:rFonts w:hint="eastAsia" w:ascii="宋体" w:hAnsi="宋体"/>
                <w:b/>
                <w:bCs/>
                <w:sz w:val="24"/>
                <w:highlight w:val="none"/>
              </w:rPr>
              <w:t>本项目采购标的对应的中小企业划分标准所属行业：</w:t>
            </w:r>
            <w:r>
              <w:rPr>
                <w:rFonts w:hint="eastAsia" w:ascii="宋体" w:hAnsi="宋体" w:cs="宋体"/>
                <w:b/>
                <w:bCs/>
                <w:color w:val="333333"/>
                <w:sz w:val="24"/>
                <w:highlight w:val="none"/>
                <w:shd w:val="clear" w:color="auto" w:fill="FFFFFF"/>
              </w:rPr>
              <w:t>其他未列明行业</w:t>
            </w:r>
            <w:r>
              <w:rPr>
                <w:rFonts w:hint="eastAsia" w:asciiTheme="minorEastAsia" w:hAnsiTheme="minorEastAsia" w:eastAsiaTheme="minorEastAsia" w:cstheme="minorEastAsia"/>
                <w:b/>
                <w:bCs/>
                <w:sz w:val="24"/>
                <w:highlight w:val="none"/>
              </w:rPr>
              <w:t>。</w:t>
            </w:r>
            <w:r>
              <w:rPr>
                <w:rFonts w:hint="eastAsia" w:asciiTheme="minorEastAsia" w:hAnsiTheme="minorEastAsia" w:eastAsiaTheme="minorEastAsia" w:cstheme="minorEastAsia"/>
                <w:sz w:val="24"/>
                <w:highlight w:val="none"/>
              </w:rPr>
              <w:t>即，</w:t>
            </w:r>
            <w:r>
              <w:rPr>
                <w:rFonts w:hint="eastAsia" w:ascii="宋体" w:hAnsi="宋体" w:cs="宋体"/>
                <w:color w:val="333333"/>
                <w:sz w:val="24"/>
                <w:highlight w:val="none"/>
                <w:shd w:val="clear" w:color="auto" w:fill="FFFFFF"/>
              </w:rPr>
              <w:t>从业人员300人以下的为中小微型企业。其中，从业人员100人及以上的为中型企业；从业人员10人及以上的为小型企业；从业人员10人以下的为微型企业</w:t>
            </w:r>
            <w:r>
              <w:rPr>
                <w:rFonts w:hint="eastAsia" w:asciiTheme="minorEastAsia" w:hAnsiTheme="minorEastAsia" w:eastAsiaTheme="minorEastAsia" w:cstheme="minorEastAsia"/>
                <w:sz w:val="24"/>
                <w:highlight w:val="none"/>
              </w:rPr>
              <w:t>。</w:t>
            </w:r>
          </w:p>
        </w:tc>
      </w:tr>
      <w:tr w14:paraId="3D107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14:paraId="6B060C6B">
            <w:pPr>
              <w:spacing w:line="360" w:lineRule="auto"/>
              <w:jc w:val="center"/>
              <w:rPr>
                <w:sz w:val="24"/>
                <w:highlight w:val="none"/>
              </w:rPr>
            </w:pPr>
            <w:r>
              <w:rPr>
                <w:b/>
                <w:bCs/>
                <w:sz w:val="24"/>
                <w:highlight w:val="none"/>
              </w:rPr>
              <w:t>15</w:t>
            </w:r>
          </w:p>
        </w:tc>
        <w:tc>
          <w:tcPr>
            <w:tcW w:w="7797" w:type="dxa"/>
            <w:vAlign w:val="center"/>
          </w:tcPr>
          <w:p w14:paraId="648E16CA">
            <w:pPr>
              <w:autoSpaceDE w:val="0"/>
              <w:autoSpaceDN w:val="0"/>
              <w:spacing w:line="360" w:lineRule="auto"/>
              <w:ind w:right="-19" w:rightChars="-9"/>
              <w:textAlignment w:val="bottom"/>
              <w:rPr>
                <w:sz w:val="24"/>
                <w:highlight w:val="none"/>
              </w:rPr>
            </w:pPr>
            <w:r>
              <w:rPr>
                <w:b/>
                <w:bCs/>
                <w:sz w:val="24"/>
                <w:highlight w:val="none"/>
              </w:rPr>
              <w:t>关于分公司响应</w:t>
            </w:r>
          </w:p>
        </w:tc>
      </w:tr>
      <w:tr w14:paraId="689AF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vAlign w:val="center"/>
          </w:tcPr>
          <w:p w14:paraId="113E172C">
            <w:pPr>
              <w:spacing w:line="360" w:lineRule="auto"/>
              <w:jc w:val="center"/>
              <w:rPr>
                <w:sz w:val="24"/>
                <w:highlight w:val="none"/>
              </w:rPr>
            </w:pPr>
            <w:r>
              <w:rPr>
                <w:rFonts w:ascii="Segoe UI Symbol" w:hAnsi="Segoe UI Symbol" w:cs="Segoe UI Symbol"/>
                <w:sz w:val="24"/>
                <w:highlight w:val="none"/>
              </w:rPr>
              <w:t>★</w:t>
            </w:r>
            <w:r>
              <w:rPr>
                <w:sz w:val="24"/>
                <w:highlight w:val="none"/>
              </w:rPr>
              <w:t>15.1</w:t>
            </w:r>
          </w:p>
        </w:tc>
        <w:tc>
          <w:tcPr>
            <w:tcW w:w="7797" w:type="dxa"/>
            <w:vAlign w:val="center"/>
          </w:tcPr>
          <w:p w14:paraId="2326E4AE">
            <w:pPr>
              <w:tabs>
                <w:tab w:val="left" w:pos="630"/>
              </w:tabs>
              <w:spacing w:line="360" w:lineRule="auto"/>
              <w:rPr>
                <w:b/>
                <w:bCs/>
                <w:sz w:val="24"/>
                <w:highlight w:val="none"/>
              </w:rPr>
            </w:pPr>
            <w:r>
              <w:rPr>
                <w:b/>
                <w:bCs/>
                <w:sz w:val="24"/>
                <w:highlight w:val="none"/>
              </w:rPr>
              <w:t>分公司响应的，需提供具有法人资格的总公司的营业执照副本复印件及授权书。总公司可就本项目或此类项目在一定范围或时间内出具授权书。已由总公司授权的，总公司取得的相关资质证书对分公司有效，法律法规或者行业另有规定的除外。</w:t>
            </w:r>
          </w:p>
        </w:tc>
      </w:tr>
    </w:tbl>
    <w:p w14:paraId="4AEA380D">
      <w:pPr>
        <w:jc w:val="center"/>
        <w:rPr>
          <w:b/>
          <w:sz w:val="24"/>
          <w:highlight w:val="none"/>
        </w:rPr>
      </w:pPr>
    </w:p>
    <w:p w14:paraId="7FACBE89">
      <w:pPr>
        <w:adjustRightInd w:val="0"/>
        <w:snapToGrid w:val="0"/>
        <w:spacing w:before="120" w:beforeLines="50" w:after="120" w:afterLines="50" w:line="360" w:lineRule="auto"/>
        <w:rPr>
          <w:sz w:val="24"/>
          <w:highlight w:val="none"/>
        </w:rPr>
      </w:pPr>
      <w:r>
        <w:rPr>
          <w:sz w:val="24"/>
          <w:highlight w:val="none"/>
        </w:rPr>
        <w:t>注1：</w:t>
      </w:r>
    </w:p>
    <w:p w14:paraId="240F4231">
      <w:pPr>
        <w:spacing w:line="360" w:lineRule="auto"/>
        <w:rPr>
          <w:sz w:val="24"/>
          <w:highlight w:val="none"/>
        </w:rPr>
      </w:pPr>
      <w:r>
        <w:rPr>
          <w:sz w:val="24"/>
          <w:highlight w:val="none"/>
        </w:rPr>
        <w:t>1）信用信息查询渠道：</w:t>
      </w:r>
      <w:r>
        <w:rPr>
          <w:rFonts w:hint="eastAsia"/>
          <w:sz w:val="24"/>
          <w:highlight w:val="none"/>
        </w:rPr>
        <w:t>“</w:t>
      </w:r>
      <w:r>
        <w:rPr>
          <w:sz w:val="24"/>
          <w:highlight w:val="none"/>
        </w:rPr>
        <w:t>信用中国</w:t>
      </w:r>
      <w:r>
        <w:rPr>
          <w:rFonts w:hint="eastAsia"/>
          <w:sz w:val="24"/>
          <w:highlight w:val="none"/>
        </w:rPr>
        <w:t>”</w:t>
      </w:r>
      <w:r>
        <w:rPr>
          <w:sz w:val="24"/>
          <w:highlight w:val="none"/>
        </w:rPr>
        <w:t>网站（www.creditchina.gov.cn）、中国政府采购网（www.ccgp.gov.cn）等。</w:t>
      </w:r>
    </w:p>
    <w:p w14:paraId="3DD94411">
      <w:pPr>
        <w:spacing w:line="360" w:lineRule="auto"/>
        <w:rPr>
          <w:sz w:val="24"/>
          <w:highlight w:val="none"/>
        </w:rPr>
      </w:pPr>
      <w:r>
        <w:rPr>
          <w:sz w:val="24"/>
          <w:highlight w:val="none"/>
        </w:rPr>
        <w:t>2）信用信息查询截止时点：同投标截止期，即查询供应商截止到投标截止期的信用信息记录。</w:t>
      </w:r>
    </w:p>
    <w:p w14:paraId="2D2FC6C9">
      <w:pPr>
        <w:spacing w:line="360" w:lineRule="auto"/>
        <w:rPr>
          <w:sz w:val="24"/>
          <w:highlight w:val="none"/>
        </w:rPr>
      </w:pPr>
      <w:r>
        <w:rPr>
          <w:sz w:val="24"/>
          <w:highlight w:val="none"/>
        </w:rPr>
        <w:t>3）信用信息查询记录和证据留存的具体方式：信用信息查询记录将以网站截图打印稿形式与其他采购文件一并保存。</w:t>
      </w:r>
    </w:p>
    <w:p w14:paraId="7D219B4F">
      <w:pPr>
        <w:spacing w:line="360" w:lineRule="auto"/>
        <w:rPr>
          <w:sz w:val="24"/>
          <w:highlight w:val="none"/>
        </w:rPr>
      </w:pPr>
      <w:r>
        <w:rPr>
          <w:sz w:val="24"/>
          <w:highlight w:val="none"/>
        </w:rPr>
        <w:t>4）信用信息的使用规则：如供应商为“信用中国”网站（www.creditchina.gov.cn）中列入失信被执行人或重大税收违法案件当事人名单的供应商，或为中国政府采购网（www.ccgp.gov.cn）政府采购严重违法失信行为记录名单中被财政部门禁止参加政府采购活动的供应商，则其投标将被拒绝。</w:t>
      </w:r>
    </w:p>
    <w:p w14:paraId="1FE89BAB">
      <w:pPr>
        <w:adjustRightInd w:val="0"/>
        <w:snapToGrid w:val="0"/>
        <w:spacing w:before="120" w:beforeLines="50" w:after="120" w:afterLines="50" w:line="360" w:lineRule="auto"/>
        <w:rPr>
          <w:b/>
          <w:sz w:val="30"/>
          <w:szCs w:val="30"/>
          <w:highlight w:val="none"/>
        </w:rPr>
      </w:pPr>
      <w:r>
        <w:rPr>
          <w:b/>
          <w:sz w:val="30"/>
          <w:szCs w:val="30"/>
          <w:highlight w:val="none"/>
        </w:rPr>
        <w:br w:type="page"/>
      </w:r>
      <w:r>
        <w:rPr>
          <w:b/>
          <w:sz w:val="30"/>
          <w:szCs w:val="30"/>
          <w:highlight w:val="none"/>
        </w:rPr>
        <w:t>附表：评分标准</w:t>
      </w:r>
    </w:p>
    <w:p w14:paraId="78324481">
      <w:pPr>
        <w:spacing w:line="300" w:lineRule="auto"/>
        <w:ind w:firstLine="480" w:firstLineChars="200"/>
        <w:rPr>
          <w:kern w:val="0"/>
          <w:sz w:val="24"/>
          <w:highlight w:val="none"/>
        </w:rPr>
      </w:pPr>
      <w:r>
        <w:rPr>
          <w:sz w:val="24"/>
          <w:highlight w:val="none"/>
        </w:rPr>
        <w:t>本次评标采用综合评价打分法，即在</w:t>
      </w:r>
      <w:r>
        <w:rPr>
          <w:kern w:val="0"/>
          <w:sz w:val="24"/>
          <w:highlight w:val="none"/>
        </w:rPr>
        <w:t>响应文件满足磋商文件全部实质性要求</w:t>
      </w:r>
      <w:r>
        <w:rPr>
          <w:sz w:val="24"/>
          <w:highlight w:val="none"/>
        </w:rPr>
        <w:t>前提下，根据磋商文件中规定的各项因素及权重（分值），评标委员会每位成员分别对每个通过初审的供应商进行综合评审后，</w:t>
      </w:r>
      <w:r>
        <w:rPr>
          <w:kern w:val="0"/>
          <w:sz w:val="24"/>
          <w:highlight w:val="none"/>
        </w:rPr>
        <w:t>评审得分最高的供应商为中标候选人的评标方法。</w:t>
      </w:r>
    </w:p>
    <w:p w14:paraId="5693C18D">
      <w:pPr>
        <w:spacing w:line="300" w:lineRule="auto"/>
        <w:outlineLvl w:val="1"/>
        <w:rPr>
          <w:b/>
          <w:sz w:val="24"/>
          <w:highlight w:val="none"/>
        </w:rPr>
      </w:pPr>
      <w:r>
        <w:rPr>
          <w:b/>
          <w:sz w:val="24"/>
          <w:highlight w:val="none"/>
        </w:rPr>
        <w:t>一、响应文件的初审：</w:t>
      </w:r>
    </w:p>
    <w:p w14:paraId="678BDE38">
      <w:pPr>
        <w:spacing w:line="300" w:lineRule="auto"/>
        <w:rPr>
          <w:b/>
          <w:sz w:val="24"/>
          <w:highlight w:val="none"/>
        </w:rPr>
      </w:pPr>
      <w:r>
        <w:rPr>
          <w:b/>
          <w:sz w:val="24"/>
          <w:highlight w:val="none"/>
        </w:rPr>
        <w:t>1、资格检查</w:t>
      </w:r>
    </w:p>
    <w:tbl>
      <w:tblPr>
        <w:tblStyle w:val="46"/>
        <w:tblpPr w:leftFromText="180" w:rightFromText="180" w:vertAnchor="text" w:horzAnchor="page" w:tblpX="1729" w:tblpY="491"/>
        <w:tblOverlap w:val="never"/>
        <w:tblW w:w="88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966"/>
        <w:gridCol w:w="6059"/>
      </w:tblGrid>
      <w:tr w14:paraId="6DCBB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811" w:type="dxa"/>
            <w:shd w:val="clear" w:color="auto" w:fill="FFFFFF"/>
            <w:vAlign w:val="center"/>
          </w:tcPr>
          <w:p w14:paraId="17DDB726">
            <w:pPr>
              <w:jc w:val="center"/>
              <w:rPr>
                <w:b/>
                <w:bCs/>
                <w:sz w:val="24"/>
                <w:highlight w:val="none"/>
              </w:rPr>
            </w:pPr>
            <w:r>
              <w:rPr>
                <w:b/>
                <w:bCs/>
                <w:sz w:val="24"/>
                <w:highlight w:val="none"/>
              </w:rPr>
              <w:t>序号</w:t>
            </w:r>
          </w:p>
        </w:tc>
        <w:tc>
          <w:tcPr>
            <w:tcW w:w="8025" w:type="dxa"/>
            <w:gridSpan w:val="2"/>
            <w:shd w:val="clear" w:color="auto" w:fill="FFFFFF"/>
            <w:vAlign w:val="center"/>
          </w:tcPr>
          <w:p w14:paraId="3F3EEA18">
            <w:pPr>
              <w:ind w:right="-124" w:rightChars="-59"/>
              <w:jc w:val="center"/>
              <w:rPr>
                <w:b/>
                <w:bCs/>
                <w:sz w:val="24"/>
                <w:highlight w:val="none"/>
              </w:rPr>
            </w:pPr>
            <w:r>
              <w:rPr>
                <w:b/>
                <w:bCs/>
                <w:sz w:val="24"/>
                <w:highlight w:val="none"/>
              </w:rPr>
              <w:t>评审内容</w:t>
            </w:r>
          </w:p>
        </w:tc>
      </w:tr>
      <w:tr w14:paraId="66C29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811" w:type="dxa"/>
            <w:vMerge w:val="restart"/>
            <w:vAlign w:val="center"/>
          </w:tcPr>
          <w:p w14:paraId="06EEB223">
            <w:pPr>
              <w:jc w:val="center"/>
              <w:rPr>
                <w:sz w:val="24"/>
                <w:highlight w:val="none"/>
              </w:rPr>
            </w:pPr>
            <w:r>
              <w:rPr>
                <w:sz w:val="24"/>
                <w:highlight w:val="none"/>
              </w:rPr>
              <w:t>1</w:t>
            </w:r>
          </w:p>
        </w:tc>
        <w:tc>
          <w:tcPr>
            <w:tcW w:w="1966" w:type="dxa"/>
            <w:vMerge w:val="restart"/>
            <w:vAlign w:val="center"/>
          </w:tcPr>
          <w:p w14:paraId="60C5FCC1">
            <w:pPr>
              <w:rPr>
                <w:sz w:val="24"/>
                <w:highlight w:val="none"/>
              </w:rPr>
            </w:pPr>
            <w:r>
              <w:rPr>
                <w:kern w:val="28"/>
                <w:sz w:val="24"/>
                <w:highlight w:val="none"/>
              </w:rPr>
              <w:t>具备《政府采购法》第二十二条供应商资格条件</w:t>
            </w:r>
          </w:p>
        </w:tc>
        <w:tc>
          <w:tcPr>
            <w:tcW w:w="6058" w:type="dxa"/>
            <w:vAlign w:val="center"/>
          </w:tcPr>
          <w:p w14:paraId="50FB4DC7">
            <w:pPr>
              <w:rPr>
                <w:sz w:val="24"/>
                <w:highlight w:val="none"/>
              </w:rPr>
            </w:pPr>
            <w:r>
              <w:rPr>
                <w:sz w:val="24"/>
                <w:highlight w:val="none"/>
              </w:rPr>
              <w:t>具有独立承担民事责任的能力；</w:t>
            </w:r>
          </w:p>
        </w:tc>
      </w:tr>
      <w:tr w14:paraId="3FC6A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811" w:type="dxa"/>
            <w:vMerge w:val="continue"/>
            <w:vAlign w:val="center"/>
          </w:tcPr>
          <w:p w14:paraId="235A6228">
            <w:pPr>
              <w:jc w:val="center"/>
              <w:rPr>
                <w:kern w:val="28"/>
                <w:sz w:val="24"/>
                <w:highlight w:val="none"/>
              </w:rPr>
            </w:pPr>
          </w:p>
        </w:tc>
        <w:tc>
          <w:tcPr>
            <w:tcW w:w="1966" w:type="dxa"/>
            <w:vMerge w:val="continue"/>
            <w:vAlign w:val="center"/>
          </w:tcPr>
          <w:p w14:paraId="1E95B091">
            <w:pPr>
              <w:rPr>
                <w:kern w:val="28"/>
                <w:sz w:val="24"/>
                <w:highlight w:val="none"/>
              </w:rPr>
            </w:pPr>
          </w:p>
        </w:tc>
        <w:tc>
          <w:tcPr>
            <w:tcW w:w="6058" w:type="dxa"/>
            <w:vAlign w:val="center"/>
          </w:tcPr>
          <w:p w14:paraId="0C618284">
            <w:pPr>
              <w:rPr>
                <w:sz w:val="24"/>
                <w:highlight w:val="none"/>
              </w:rPr>
            </w:pPr>
            <w:r>
              <w:rPr>
                <w:sz w:val="24"/>
                <w:highlight w:val="none"/>
              </w:rPr>
              <w:t>具有良好的商业信誉和健全的财务会计制度；</w:t>
            </w:r>
          </w:p>
        </w:tc>
      </w:tr>
      <w:tr w14:paraId="6DDF7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811" w:type="dxa"/>
            <w:vMerge w:val="continue"/>
            <w:vAlign w:val="center"/>
          </w:tcPr>
          <w:p w14:paraId="62F7984F">
            <w:pPr>
              <w:jc w:val="center"/>
              <w:rPr>
                <w:kern w:val="28"/>
                <w:sz w:val="24"/>
                <w:highlight w:val="none"/>
              </w:rPr>
            </w:pPr>
          </w:p>
        </w:tc>
        <w:tc>
          <w:tcPr>
            <w:tcW w:w="1966" w:type="dxa"/>
            <w:vMerge w:val="continue"/>
            <w:vAlign w:val="center"/>
          </w:tcPr>
          <w:p w14:paraId="4C4DB78E">
            <w:pPr>
              <w:rPr>
                <w:kern w:val="28"/>
                <w:sz w:val="24"/>
                <w:highlight w:val="none"/>
              </w:rPr>
            </w:pPr>
          </w:p>
        </w:tc>
        <w:tc>
          <w:tcPr>
            <w:tcW w:w="6058" w:type="dxa"/>
            <w:vAlign w:val="center"/>
          </w:tcPr>
          <w:p w14:paraId="24DB95A7">
            <w:pPr>
              <w:rPr>
                <w:sz w:val="24"/>
                <w:highlight w:val="none"/>
              </w:rPr>
            </w:pPr>
            <w:r>
              <w:rPr>
                <w:sz w:val="24"/>
                <w:highlight w:val="none"/>
              </w:rPr>
              <w:t>具有履行合同所必需的设备和专业技术能力；</w:t>
            </w:r>
          </w:p>
        </w:tc>
      </w:tr>
      <w:tr w14:paraId="7E781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811" w:type="dxa"/>
            <w:vMerge w:val="continue"/>
            <w:vAlign w:val="center"/>
          </w:tcPr>
          <w:p w14:paraId="0D2F72DB">
            <w:pPr>
              <w:jc w:val="center"/>
              <w:rPr>
                <w:kern w:val="28"/>
                <w:sz w:val="24"/>
                <w:highlight w:val="none"/>
              </w:rPr>
            </w:pPr>
          </w:p>
        </w:tc>
        <w:tc>
          <w:tcPr>
            <w:tcW w:w="1966" w:type="dxa"/>
            <w:vMerge w:val="continue"/>
            <w:vAlign w:val="center"/>
          </w:tcPr>
          <w:p w14:paraId="620D792E">
            <w:pPr>
              <w:rPr>
                <w:kern w:val="28"/>
                <w:sz w:val="24"/>
                <w:highlight w:val="none"/>
              </w:rPr>
            </w:pPr>
          </w:p>
        </w:tc>
        <w:tc>
          <w:tcPr>
            <w:tcW w:w="6058" w:type="dxa"/>
            <w:vAlign w:val="center"/>
          </w:tcPr>
          <w:p w14:paraId="4F35F5EA">
            <w:pPr>
              <w:rPr>
                <w:sz w:val="24"/>
                <w:highlight w:val="none"/>
              </w:rPr>
            </w:pPr>
            <w:r>
              <w:rPr>
                <w:sz w:val="24"/>
                <w:highlight w:val="none"/>
              </w:rPr>
              <w:t>有依法缴纳税收和社会保障资金的良好记录；</w:t>
            </w:r>
          </w:p>
        </w:tc>
      </w:tr>
      <w:tr w14:paraId="2FC63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811" w:type="dxa"/>
            <w:vMerge w:val="continue"/>
            <w:vAlign w:val="center"/>
          </w:tcPr>
          <w:p w14:paraId="7890B309">
            <w:pPr>
              <w:jc w:val="center"/>
              <w:rPr>
                <w:kern w:val="28"/>
                <w:sz w:val="24"/>
                <w:highlight w:val="none"/>
              </w:rPr>
            </w:pPr>
          </w:p>
        </w:tc>
        <w:tc>
          <w:tcPr>
            <w:tcW w:w="1966" w:type="dxa"/>
            <w:vMerge w:val="continue"/>
            <w:vAlign w:val="center"/>
          </w:tcPr>
          <w:p w14:paraId="36231EB8">
            <w:pPr>
              <w:rPr>
                <w:kern w:val="28"/>
                <w:sz w:val="24"/>
                <w:highlight w:val="none"/>
              </w:rPr>
            </w:pPr>
          </w:p>
        </w:tc>
        <w:tc>
          <w:tcPr>
            <w:tcW w:w="6058" w:type="dxa"/>
            <w:vAlign w:val="center"/>
          </w:tcPr>
          <w:p w14:paraId="03232A73">
            <w:pPr>
              <w:rPr>
                <w:sz w:val="24"/>
                <w:highlight w:val="none"/>
              </w:rPr>
            </w:pPr>
            <w:r>
              <w:rPr>
                <w:sz w:val="24"/>
                <w:highlight w:val="none"/>
              </w:rPr>
              <w:t>参加招标投标活动前三年内，在经营活动中没有重大违法记录；</w:t>
            </w:r>
          </w:p>
        </w:tc>
      </w:tr>
      <w:tr w14:paraId="1FE73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811" w:type="dxa"/>
            <w:vMerge w:val="continue"/>
            <w:vAlign w:val="center"/>
          </w:tcPr>
          <w:p w14:paraId="6FDFDEE3">
            <w:pPr>
              <w:jc w:val="center"/>
              <w:rPr>
                <w:kern w:val="28"/>
                <w:sz w:val="24"/>
                <w:highlight w:val="none"/>
              </w:rPr>
            </w:pPr>
          </w:p>
        </w:tc>
        <w:tc>
          <w:tcPr>
            <w:tcW w:w="1966" w:type="dxa"/>
            <w:vMerge w:val="continue"/>
            <w:vAlign w:val="center"/>
          </w:tcPr>
          <w:p w14:paraId="13FA7EFE">
            <w:pPr>
              <w:rPr>
                <w:kern w:val="28"/>
                <w:sz w:val="24"/>
                <w:highlight w:val="none"/>
              </w:rPr>
            </w:pPr>
          </w:p>
        </w:tc>
        <w:tc>
          <w:tcPr>
            <w:tcW w:w="6058" w:type="dxa"/>
            <w:vAlign w:val="center"/>
          </w:tcPr>
          <w:p w14:paraId="48F1447E">
            <w:pPr>
              <w:rPr>
                <w:sz w:val="24"/>
                <w:highlight w:val="none"/>
              </w:rPr>
            </w:pPr>
            <w:r>
              <w:rPr>
                <w:sz w:val="24"/>
                <w:highlight w:val="none"/>
              </w:rPr>
              <w:t>法律、行政法规规定的其他条件。</w:t>
            </w:r>
          </w:p>
        </w:tc>
      </w:tr>
      <w:tr w14:paraId="14D1D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vAlign w:val="center"/>
          </w:tcPr>
          <w:p w14:paraId="7DF68864">
            <w:pPr>
              <w:jc w:val="center"/>
              <w:rPr>
                <w:kern w:val="28"/>
                <w:sz w:val="24"/>
                <w:highlight w:val="none"/>
              </w:rPr>
            </w:pPr>
            <w:r>
              <w:rPr>
                <w:kern w:val="28"/>
                <w:sz w:val="24"/>
                <w:highlight w:val="none"/>
              </w:rPr>
              <w:t>2</w:t>
            </w:r>
          </w:p>
        </w:tc>
        <w:tc>
          <w:tcPr>
            <w:tcW w:w="8025" w:type="dxa"/>
            <w:gridSpan w:val="2"/>
            <w:vAlign w:val="center"/>
          </w:tcPr>
          <w:p w14:paraId="6579A4B7">
            <w:pPr>
              <w:rPr>
                <w:sz w:val="24"/>
                <w:highlight w:val="none"/>
              </w:rPr>
            </w:pPr>
            <w:r>
              <w:rPr>
                <w:kern w:val="0"/>
                <w:sz w:val="24"/>
                <w:highlight w:val="none"/>
              </w:rPr>
              <w:t>在中华人民共和国境内依法注册的，具有独立承担民事责任能力，遵守国家法律法规，具有良好信誉，具有履行合同能力和良好的履行合同的记录，具有良好资金、财务状况的企事业法人、其他组织或者自然人（供应商为企业（包括合伙企业）的，应提供有效的“营业执照”；供应商为事业单位的，应提供有效的“事业单位法人证书”；供应商是非企业机构的，应提供有效的“执业许可证”、“登记证书”等证明文件；供应商是个体工商户的，应提供有效的“个体工商户营业执照”；供应商是自然人的，应提供有效的自然人身份证明）。</w:t>
            </w:r>
          </w:p>
        </w:tc>
      </w:tr>
      <w:tr w14:paraId="6E670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vAlign w:val="center"/>
          </w:tcPr>
          <w:p w14:paraId="3BA1BBDD">
            <w:pPr>
              <w:jc w:val="center"/>
              <w:rPr>
                <w:kern w:val="28"/>
                <w:sz w:val="24"/>
                <w:highlight w:val="none"/>
              </w:rPr>
            </w:pPr>
            <w:r>
              <w:rPr>
                <w:kern w:val="28"/>
                <w:sz w:val="24"/>
                <w:highlight w:val="none"/>
              </w:rPr>
              <w:t>3</w:t>
            </w:r>
          </w:p>
        </w:tc>
        <w:tc>
          <w:tcPr>
            <w:tcW w:w="8025" w:type="dxa"/>
            <w:gridSpan w:val="2"/>
            <w:tcBorders>
              <w:top w:val="single" w:color="auto" w:sz="4" w:space="0"/>
              <w:left w:val="single" w:color="auto" w:sz="4" w:space="0"/>
              <w:bottom w:val="single" w:color="auto" w:sz="4" w:space="0"/>
              <w:right w:val="single" w:color="auto" w:sz="4" w:space="0"/>
            </w:tcBorders>
            <w:vAlign w:val="center"/>
          </w:tcPr>
          <w:p w14:paraId="0D5D267E">
            <w:pPr>
              <w:rPr>
                <w:kern w:val="28"/>
                <w:sz w:val="24"/>
                <w:highlight w:val="none"/>
              </w:rPr>
            </w:pPr>
            <w:r>
              <w:rPr>
                <w:kern w:val="28"/>
                <w:sz w:val="24"/>
                <w:highlight w:val="none"/>
              </w:rPr>
              <w:t>为采购项目提供整体设计、规范编制或者项目管理、监理、检测等服务的供应商，不得参加本项目投标（供应商必须提供“</w:t>
            </w:r>
            <w:r>
              <w:rPr>
                <w:b/>
                <w:bCs/>
                <w:kern w:val="28"/>
                <w:sz w:val="24"/>
                <w:highlight w:val="none"/>
              </w:rPr>
              <w:t>未</w:t>
            </w:r>
            <w:r>
              <w:rPr>
                <w:kern w:val="28"/>
                <w:sz w:val="24"/>
                <w:highlight w:val="none"/>
              </w:rPr>
              <w:t>为本项目提供整体设计、规范编制或者项目管理、监理、检测等服务的声明”）（格式自拟，加盖公章）</w:t>
            </w:r>
          </w:p>
        </w:tc>
      </w:tr>
      <w:tr w14:paraId="0482A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vAlign w:val="center"/>
          </w:tcPr>
          <w:p w14:paraId="36CE7991">
            <w:pPr>
              <w:jc w:val="center"/>
              <w:rPr>
                <w:kern w:val="28"/>
                <w:sz w:val="24"/>
                <w:highlight w:val="none"/>
              </w:rPr>
            </w:pPr>
            <w:r>
              <w:rPr>
                <w:kern w:val="28"/>
                <w:sz w:val="24"/>
                <w:highlight w:val="none"/>
              </w:rPr>
              <w:t>4</w:t>
            </w:r>
          </w:p>
        </w:tc>
        <w:tc>
          <w:tcPr>
            <w:tcW w:w="8025" w:type="dxa"/>
            <w:gridSpan w:val="2"/>
            <w:tcBorders>
              <w:top w:val="single" w:color="auto" w:sz="4" w:space="0"/>
              <w:left w:val="single" w:color="auto" w:sz="4" w:space="0"/>
              <w:bottom w:val="single" w:color="auto" w:sz="4" w:space="0"/>
              <w:right w:val="single" w:color="auto" w:sz="4" w:space="0"/>
            </w:tcBorders>
            <w:vAlign w:val="center"/>
          </w:tcPr>
          <w:p w14:paraId="3CE6CA4F">
            <w:pPr>
              <w:rPr>
                <w:kern w:val="28"/>
                <w:sz w:val="24"/>
                <w:highlight w:val="none"/>
              </w:rPr>
            </w:pPr>
            <w:r>
              <w:rPr>
                <w:kern w:val="0"/>
                <w:sz w:val="24"/>
                <w:highlight w:val="none"/>
              </w:rPr>
              <w:t>投标单位负责人为同一人或者存在直接控股、管理关系的不同供应商，不得参加同一合同项下的政府采购活动（供应商必须提供“控股股东名称、控股企业的名称和存在管理、被管理关系的单位名称且不存在以上有关联关系单位同时参加同一项目投标的说明”）（</w:t>
            </w:r>
            <w:r>
              <w:rPr>
                <w:rFonts w:hint="eastAsia"/>
                <w:kern w:val="0"/>
                <w:sz w:val="24"/>
                <w:highlight w:val="none"/>
              </w:rPr>
              <w:t>统一格式</w:t>
            </w:r>
            <w:r>
              <w:rPr>
                <w:kern w:val="0"/>
                <w:sz w:val="24"/>
                <w:highlight w:val="none"/>
              </w:rPr>
              <w:t>，加盖公章）</w:t>
            </w:r>
          </w:p>
        </w:tc>
      </w:tr>
      <w:tr w14:paraId="6176B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811" w:type="dxa"/>
            <w:vAlign w:val="center"/>
          </w:tcPr>
          <w:p w14:paraId="2BC51CFB">
            <w:pPr>
              <w:jc w:val="center"/>
              <w:rPr>
                <w:kern w:val="28"/>
                <w:sz w:val="24"/>
                <w:highlight w:val="none"/>
              </w:rPr>
            </w:pPr>
            <w:r>
              <w:rPr>
                <w:kern w:val="28"/>
                <w:sz w:val="24"/>
                <w:highlight w:val="none"/>
              </w:rPr>
              <w:t>5</w:t>
            </w:r>
          </w:p>
        </w:tc>
        <w:tc>
          <w:tcPr>
            <w:tcW w:w="8025" w:type="dxa"/>
            <w:gridSpan w:val="2"/>
            <w:tcBorders>
              <w:top w:val="single" w:color="auto" w:sz="4" w:space="0"/>
              <w:left w:val="single" w:color="auto" w:sz="4" w:space="0"/>
              <w:bottom w:val="single" w:color="auto" w:sz="4" w:space="0"/>
              <w:right w:val="single" w:color="auto" w:sz="4" w:space="0"/>
            </w:tcBorders>
            <w:vAlign w:val="center"/>
          </w:tcPr>
          <w:p w14:paraId="6F772D8D">
            <w:pPr>
              <w:rPr>
                <w:sz w:val="24"/>
                <w:highlight w:val="none"/>
              </w:rPr>
            </w:pPr>
            <w:r>
              <w:rPr>
                <w:sz w:val="24"/>
                <w:highlight w:val="none"/>
              </w:rPr>
              <w:t>磋商谈判日前3个月内银行出具盖章的资信证明文件或公司上一年度（2024年度）经会计师事务所盖章审计的财务审计报告（供应商必须提供，但由专业担保机构已出具投标担保函的除外）</w:t>
            </w:r>
          </w:p>
        </w:tc>
      </w:tr>
      <w:tr w14:paraId="2E1B1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811" w:type="dxa"/>
            <w:vAlign w:val="center"/>
          </w:tcPr>
          <w:p w14:paraId="364C3353">
            <w:pPr>
              <w:jc w:val="center"/>
              <w:rPr>
                <w:kern w:val="28"/>
                <w:sz w:val="24"/>
                <w:highlight w:val="none"/>
              </w:rPr>
            </w:pPr>
            <w:r>
              <w:rPr>
                <w:kern w:val="28"/>
                <w:sz w:val="24"/>
                <w:highlight w:val="none"/>
              </w:rPr>
              <w:t>6</w:t>
            </w:r>
          </w:p>
        </w:tc>
        <w:tc>
          <w:tcPr>
            <w:tcW w:w="8025" w:type="dxa"/>
            <w:gridSpan w:val="2"/>
            <w:tcBorders>
              <w:top w:val="single" w:color="auto" w:sz="4" w:space="0"/>
              <w:left w:val="single" w:color="auto" w:sz="4" w:space="0"/>
              <w:bottom w:val="single" w:color="auto" w:sz="4" w:space="0"/>
              <w:right w:val="single" w:color="auto" w:sz="4" w:space="0"/>
            </w:tcBorders>
            <w:vAlign w:val="center"/>
          </w:tcPr>
          <w:p w14:paraId="15F9B6BB">
            <w:pPr>
              <w:tabs>
                <w:tab w:val="left" w:pos="5580"/>
              </w:tabs>
              <w:adjustRightInd w:val="0"/>
              <w:snapToGrid w:val="0"/>
              <w:rPr>
                <w:sz w:val="24"/>
                <w:highlight w:val="none"/>
              </w:rPr>
            </w:pPr>
            <w:r>
              <w:rPr>
                <w:sz w:val="24"/>
                <w:highlight w:val="none"/>
              </w:rPr>
              <w:t>依法缴纳税收的记录（提供投标截止日期之前12个月内任何一期纳税记录复印件，缴纳记录须体现有银行或税务部门印章，自行编写或网页截图无效）（依法免税的供应商，须提供相应文件证明其依法免税）</w:t>
            </w:r>
          </w:p>
        </w:tc>
      </w:tr>
      <w:tr w14:paraId="72B3A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811" w:type="dxa"/>
            <w:vAlign w:val="center"/>
          </w:tcPr>
          <w:p w14:paraId="4C0BF08C">
            <w:pPr>
              <w:jc w:val="center"/>
              <w:rPr>
                <w:sz w:val="24"/>
                <w:highlight w:val="none"/>
              </w:rPr>
            </w:pPr>
            <w:r>
              <w:rPr>
                <w:sz w:val="24"/>
                <w:highlight w:val="none"/>
              </w:rPr>
              <w:t>7</w:t>
            </w:r>
          </w:p>
        </w:tc>
        <w:tc>
          <w:tcPr>
            <w:tcW w:w="8025" w:type="dxa"/>
            <w:gridSpan w:val="2"/>
            <w:tcBorders>
              <w:top w:val="single" w:color="auto" w:sz="4" w:space="0"/>
              <w:left w:val="single" w:color="auto" w:sz="4" w:space="0"/>
              <w:bottom w:val="single" w:color="auto" w:sz="4" w:space="0"/>
              <w:right w:val="single" w:color="auto" w:sz="4" w:space="0"/>
            </w:tcBorders>
            <w:vAlign w:val="center"/>
          </w:tcPr>
          <w:p w14:paraId="2204BC85">
            <w:pPr>
              <w:jc w:val="left"/>
              <w:rPr>
                <w:sz w:val="24"/>
                <w:highlight w:val="none"/>
              </w:rPr>
            </w:pPr>
            <w:r>
              <w:rPr>
                <w:sz w:val="24"/>
                <w:highlight w:val="none"/>
              </w:rPr>
              <w:t>依法缴纳社会保障资金的记录（提供投标截止日期之前12个月内任何一期缴费记录复印件，缴纳记录须体现有银行或税务部门或社保部门印章，自行编写或网页截图无效）（依法不需要缴纳社会保障资金的供应商，须提供相应文件证明其依法不需要缴纳社会保障资金）</w:t>
            </w:r>
          </w:p>
        </w:tc>
      </w:tr>
      <w:tr w14:paraId="229B9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811" w:type="dxa"/>
            <w:vAlign w:val="center"/>
          </w:tcPr>
          <w:p w14:paraId="5EE17D37">
            <w:pPr>
              <w:jc w:val="center"/>
              <w:rPr>
                <w:sz w:val="24"/>
                <w:highlight w:val="none"/>
              </w:rPr>
            </w:pPr>
            <w:r>
              <w:rPr>
                <w:sz w:val="24"/>
                <w:highlight w:val="none"/>
              </w:rPr>
              <w:t>8</w:t>
            </w:r>
          </w:p>
        </w:tc>
        <w:tc>
          <w:tcPr>
            <w:tcW w:w="8025" w:type="dxa"/>
            <w:gridSpan w:val="2"/>
            <w:vAlign w:val="center"/>
          </w:tcPr>
          <w:p w14:paraId="20572CAC">
            <w:pPr>
              <w:jc w:val="left"/>
              <w:rPr>
                <w:sz w:val="24"/>
                <w:highlight w:val="none"/>
              </w:rPr>
            </w:pPr>
            <w:r>
              <w:rPr>
                <w:sz w:val="24"/>
                <w:highlight w:val="none"/>
              </w:rPr>
              <w:t>参加政府采购活动前三年内，在经营活动中没有重大违法记录声明。（格式自拟，加盖公章）</w:t>
            </w:r>
          </w:p>
        </w:tc>
      </w:tr>
      <w:tr w14:paraId="71DC4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811" w:type="dxa"/>
            <w:vAlign w:val="center"/>
          </w:tcPr>
          <w:p w14:paraId="1711EC12">
            <w:pPr>
              <w:jc w:val="center"/>
              <w:rPr>
                <w:sz w:val="24"/>
                <w:highlight w:val="none"/>
              </w:rPr>
            </w:pPr>
            <w:r>
              <w:rPr>
                <w:sz w:val="24"/>
                <w:highlight w:val="none"/>
              </w:rPr>
              <w:t>9</w:t>
            </w:r>
          </w:p>
        </w:tc>
        <w:tc>
          <w:tcPr>
            <w:tcW w:w="8025" w:type="dxa"/>
            <w:gridSpan w:val="2"/>
            <w:vAlign w:val="center"/>
          </w:tcPr>
          <w:p w14:paraId="38862DEB">
            <w:pPr>
              <w:jc w:val="left"/>
              <w:rPr>
                <w:sz w:val="24"/>
                <w:highlight w:val="none"/>
              </w:rPr>
            </w:pPr>
            <w:r>
              <w:rPr>
                <w:sz w:val="24"/>
                <w:highlight w:val="none"/>
              </w:rPr>
              <w:t>具有良好商业信誉和健全财务会计制度的财务状况的承诺（格式自拟，加盖公章）</w:t>
            </w:r>
          </w:p>
        </w:tc>
      </w:tr>
      <w:tr w14:paraId="04CF7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11" w:type="dxa"/>
            <w:vAlign w:val="center"/>
          </w:tcPr>
          <w:p w14:paraId="6E6EEDCE">
            <w:pPr>
              <w:jc w:val="center"/>
              <w:rPr>
                <w:sz w:val="24"/>
                <w:highlight w:val="none"/>
              </w:rPr>
            </w:pPr>
            <w:r>
              <w:rPr>
                <w:sz w:val="24"/>
                <w:highlight w:val="none"/>
              </w:rPr>
              <w:t>10</w:t>
            </w:r>
          </w:p>
        </w:tc>
        <w:tc>
          <w:tcPr>
            <w:tcW w:w="8025" w:type="dxa"/>
            <w:gridSpan w:val="2"/>
            <w:vAlign w:val="center"/>
          </w:tcPr>
          <w:p w14:paraId="1DF8F535">
            <w:pPr>
              <w:jc w:val="left"/>
              <w:rPr>
                <w:sz w:val="24"/>
                <w:highlight w:val="none"/>
              </w:rPr>
            </w:pPr>
            <w:r>
              <w:rPr>
                <w:sz w:val="24"/>
                <w:highlight w:val="none"/>
              </w:rPr>
              <w:t>具有履行合同所必需的设备和专业技术能力的承诺（格式自拟，加盖公章）</w:t>
            </w:r>
          </w:p>
        </w:tc>
      </w:tr>
      <w:tr w14:paraId="25E27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11" w:type="dxa"/>
            <w:vAlign w:val="center"/>
          </w:tcPr>
          <w:p w14:paraId="6CC13A92">
            <w:pPr>
              <w:jc w:val="center"/>
              <w:rPr>
                <w:sz w:val="24"/>
                <w:highlight w:val="none"/>
              </w:rPr>
            </w:pPr>
            <w:r>
              <w:rPr>
                <w:sz w:val="24"/>
                <w:highlight w:val="none"/>
              </w:rPr>
              <w:t>11</w:t>
            </w:r>
          </w:p>
        </w:tc>
        <w:tc>
          <w:tcPr>
            <w:tcW w:w="8025" w:type="dxa"/>
            <w:gridSpan w:val="2"/>
            <w:vAlign w:val="center"/>
          </w:tcPr>
          <w:p w14:paraId="6A46A484">
            <w:pPr>
              <w:jc w:val="left"/>
              <w:rPr>
                <w:sz w:val="24"/>
                <w:highlight w:val="none"/>
              </w:rPr>
            </w:pPr>
            <w:r>
              <w:rPr>
                <w:sz w:val="24"/>
                <w:highlight w:val="none"/>
              </w:rPr>
              <w:t>按本投标邀请的规定获取</w:t>
            </w:r>
            <w:r>
              <w:rPr>
                <w:rFonts w:hint="eastAsia"/>
                <w:sz w:val="24"/>
                <w:highlight w:val="none"/>
              </w:rPr>
              <w:t>磋商文件</w:t>
            </w:r>
          </w:p>
        </w:tc>
      </w:tr>
      <w:tr w14:paraId="7551D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11" w:type="dxa"/>
            <w:vAlign w:val="center"/>
          </w:tcPr>
          <w:p w14:paraId="410B3291">
            <w:pPr>
              <w:jc w:val="center"/>
              <w:rPr>
                <w:sz w:val="24"/>
                <w:highlight w:val="none"/>
              </w:rPr>
            </w:pPr>
            <w:r>
              <w:rPr>
                <w:sz w:val="24"/>
                <w:highlight w:val="none"/>
              </w:rPr>
              <w:t>12</w:t>
            </w:r>
          </w:p>
        </w:tc>
        <w:tc>
          <w:tcPr>
            <w:tcW w:w="8025" w:type="dxa"/>
            <w:gridSpan w:val="2"/>
            <w:vAlign w:val="center"/>
          </w:tcPr>
          <w:p w14:paraId="7F71393B">
            <w:pPr>
              <w:jc w:val="left"/>
              <w:rPr>
                <w:sz w:val="24"/>
                <w:highlight w:val="none"/>
              </w:rPr>
            </w:pPr>
            <w:r>
              <w:rPr>
                <w:sz w:val="24"/>
                <w:highlight w:val="none"/>
              </w:rPr>
              <w:t>本项目不接受联合体投标</w:t>
            </w:r>
          </w:p>
        </w:tc>
      </w:tr>
      <w:tr w14:paraId="72527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trPr>
        <w:tc>
          <w:tcPr>
            <w:tcW w:w="811" w:type="dxa"/>
            <w:vAlign w:val="center"/>
          </w:tcPr>
          <w:p w14:paraId="2CC6F512">
            <w:pPr>
              <w:jc w:val="center"/>
              <w:rPr>
                <w:kern w:val="28"/>
                <w:sz w:val="24"/>
                <w:highlight w:val="none"/>
              </w:rPr>
            </w:pPr>
            <w:r>
              <w:rPr>
                <w:kern w:val="28"/>
                <w:sz w:val="24"/>
                <w:highlight w:val="none"/>
              </w:rPr>
              <w:t>13</w:t>
            </w:r>
          </w:p>
        </w:tc>
        <w:tc>
          <w:tcPr>
            <w:tcW w:w="8025" w:type="dxa"/>
            <w:gridSpan w:val="2"/>
            <w:vAlign w:val="center"/>
          </w:tcPr>
          <w:p w14:paraId="362ABA33">
            <w:pPr>
              <w:rPr>
                <w:sz w:val="24"/>
                <w:highlight w:val="none"/>
              </w:rPr>
            </w:pPr>
            <w:r>
              <w:rPr>
                <w:sz w:val="24"/>
                <w:highlight w:val="none"/>
              </w:rPr>
              <w:t>供应商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以采购代理机构于投标截止日当天在“信用中国”网站（www.creditchina.gov.cn）、中国政府采购网（http://www.ccgp.gov.cn）查询结果为准，如相关失信记录已失效，供应商需提供相关证明资料）。</w:t>
            </w:r>
          </w:p>
        </w:tc>
      </w:tr>
      <w:tr w14:paraId="2FB56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8836" w:type="dxa"/>
            <w:gridSpan w:val="3"/>
            <w:vAlign w:val="center"/>
          </w:tcPr>
          <w:p w14:paraId="77F2CA00">
            <w:pPr>
              <w:jc w:val="center"/>
              <w:rPr>
                <w:sz w:val="24"/>
                <w:highlight w:val="none"/>
              </w:rPr>
            </w:pPr>
            <w:r>
              <w:rPr>
                <w:sz w:val="24"/>
                <w:highlight w:val="none"/>
              </w:rPr>
              <w:t>结论</w:t>
            </w:r>
          </w:p>
        </w:tc>
      </w:tr>
    </w:tbl>
    <w:p w14:paraId="1CE6C674">
      <w:pPr>
        <w:spacing w:line="300" w:lineRule="auto"/>
        <w:rPr>
          <w:sz w:val="24"/>
          <w:highlight w:val="none"/>
        </w:rPr>
      </w:pPr>
    </w:p>
    <w:p w14:paraId="7F9E1DFE">
      <w:pPr>
        <w:spacing w:line="300" w:lineRule="auto"/>
        <w:ind w:firstLine="480" w:firstLineChars="200"/>
        <w:rPr>
          <w:sz w:val="24"/>
          <w:highlight w:val="none"/>
        </w:rPr>
      </w:pPr>
      <w:r>
        <w:rPr>
          <w:sz w:val="24"/>
          <w:highlight w:val="none"/>
        </w:rPr>
        <w:t>注：结论栏中填写“合格”表示该供应商响应文件符合磋商文件的资格要求，“不合格”表示该供应商响应文件不符合磋商文件的资格性要求。</w:t>
      </w:r>
    </w:p>
    <w:p w14:paraId="58949FD5">
      <w:pPr>
        <w:pStyle w:val="27"/>
        <w:rPr>
          <w:rFonts w:ascii="Times New Roman" w:hAnsi="Times New Roman"/>
          <w:highlight w:val="none"/>
        </w:rPr>
      </w:pPr>
    </w:p>
    <w:p w14:paraId="49A325E6">
      <w:pPr>
        <w:spacing w:line="300" w:lineRule="auto"/>
        <w:rPr>
          <w:b/>
          <w:sz w:val="24"/>
          <w:highlight w:val="none"/>
        </w:rPr>
      </w:pPr>
      <w:r>
        <w:rPr>
          <w:b/>
          <w:sz w:val="24"/>
          <w:highlight w:val="none"/>
        </w:rPr>
        <w:t>2、符合性检查</w:t>
      </w:r>
    </w:p>
    <w:tbl>
      <w:tblPr>
        <w:tblStyle w:val="46"/>
        <w:tblW w:w="8789" w:type="dxa"/>
        <w:tblInd w:w="-8" w:type="dxa"/>
        <w:tblLayout w:type="fixed"/>
        <w:tblCellMar>
          <w:top w:w="0" w:type="dxa"/>
          <w:left w:w="0" w:type="dxa"/>
          <w:bottom w:w="0" w:type="dxa"/>
          <w:right w:w="0" w:type="dxa"/>
        </w:tblCellMar>
      </w:tblPr>
      <w:tblGrid>
        <w:gridCol w:w="851"/>
        <w:gridCol w:w="7938"/>
      </w:tblGrid>
      <w:tr w14:paraId="6112F091">
        <w:tblPrEx>
          <w:tblCellMar>
            <w:top w:w="0" w:type="dxa"/>
            <w:left w:w="0" w:type="dxa"/>
            <w:bottom w:w="0" w:type="dxa"/>
            <w:right w:w="0" w:type="dxa"/>
          </w:tblCellMar>
        </w:tblPrEx>
        <w:trPr>
          <w:cantSplit/>
          <w:trHeight w:val="405" w:hRule="atLeast"/>
        </w:trPr>
        <w:tc>
          <w:tcPr>
            <w:tcW w:w="851" w:type="dxa"/>
            <w:vMerge w:val="restart"/>
            <w:tcBorders>
              <w:top w:val="single" w:color="auto" w:sz="4" w:space="0"/>
              <w:left w:val="single" w:color="auto" w:sz="4" w:space="0"/>
              <w:bottom w:val="single" w:color="000000" w:sz="4" w:space="0"/>
              <w:right w:val="single" w:color="auto" w:sz="4" w:space="0"/>
            </w:tcBorders>
            <w:tcMar>
              <w:top w:w="16" w:type="dxa"/>
              <w:left w:w="16" w:type="dxa"/>
              <w:bottom w:w="0" w:type="dxa"/>
              <w:right w:w="16" w:type="dxa"/>
            </w:tcMar>
            <w:vAlign w:val="center"/>
          </w:tcPr>
          <w:p w14:paraId="115F9492">
            <w:pPr>
              <w:jc w:val="center"/>
              <w:rPr>
                <w:b/>
                <w:bCs/>
                <w:sz w:val="24"/>
                <w:highlight w:val="none"/>
              </w:rPr>
            </w:pPr>
            <w:r>
              <w:rPr>
                <w:b/>
                <w:bCs/>
                <w:sz w:val="24"/>
                <w:highlight w:val="none"/>
              </w:rPr>
              <w:t>序号</w:t>
            </w:r>
          </w:p>
        </w:tc>
        <w:tc>
          <w:tcPr>
            <w:tcW w:w="7938" w:type="dxa"/>
            <w:vMerge w:val="restart"/>
            <w:tcBorders>
              <w:top w:val="single" w:color="auto" w:sz="4" w:space="0"/>
              <w:left w:val="single" w:color="auto" w:sz="4" w:space="0"/>
              <w:bottom w:val="single" w:color="000000" w:sz="4" w:space="0"/>
              <w:right w:val="single" w:color="000000" w:sz="4" w:space="0"/>
            </w:tcBorders>
            <w:vAlign w:val="center"/>
          </w:tcPr>
          <w:p w14:paraId="17ABC158">
            <w:pPr>
              <w:jc w:val="center"/>
              <w:rPr>
                <w:b/>
                <w:bCs/>
                <w:sz w:val="24"/>
                <w:highlight w:val="none"/>
              </w:rPr>
            </w:pPr>
            <w:r>
              <w:rPr>
                <w:b/>
                <w:bCs/>
                <w:sz w:val="24"/>
                <w:highlight w:val="none"/>
              </w:rPr>
              <w:t>评审内容</w:t>
            </w:r>
          </w:p>
        </w:tc>
      </w:tr>
      <w:tr w14:paraId="3BF1782E">
        <w:tblPrEx>
          <w:tblCellMar>
            <w:top w:w="0" w:type="dxa"/>
            <w:left w:w="0" w:type="dxa"/>
            <w:bottom w:w="0" w:type="dxa"/>
            <w:right w:w="0" w:type="dxa"/>
          </w:tblCellMar>
        </w:tblPrEx>
        <w:trPr>
          <w:cantSplit/>
          <w:trHeight w:val="400" w:hRule="atLeast"/>
        </w:trPr>
        <w:tc>
          <w:tcPr>
            <w:tcW w:w="851" w:type="dxa"/>
            <w:vMerge w:val="continue"/>
            <w:tcBorders>
              <w:top w:val="single" w:color="auto" w:sz="4" w:space="0"/>
              <w:left w:val="single" w:color="auto" w:sz="4" w:space="0"/>
              <w:bottom w:val="single" w:color="000000" w:sz="4" w:space="0"/>
              <w:right w:val="single" w:color="auto" w:sz="4" w:space="0"/>
            </w:tcBorders>
            <w:vAlign w:val="center"/>
          </w:tcPr>
          <w:p w14:paraId="7E6F027E">
            <w:pPr>
              <w:spacing w:line="400" w:lineRule="exact"/>
              <w:rPr>
                <w:sz w:val="24"/>
                <w:highlight w:val="none"/>
              </w:rPr>
            </w:pPr>
          </w:p>
        </w:tc>
        <w:tc>
          <w:tcPr>
            <w:tcW w:w="7938" w:type="dxa"/>
            <w:vMerge w:val="continue"/>
            <w:tcBorders>
              <w:top w:val="single" w:color="auto" w:sz="4" w:space="0"/>
              <w:left w:val="single" w:color="auto" w:sz="4" w:space="0"/>
              <w:bottom w:val="single" w:color="000000" w:sz="4" w:space="0"/>
              <w:right w:val="single" w:color="000000" w:sz="4" w:space="0"/>
            </w:tcBorders>
            <w:vAlign w:val="center"/>
          </w:tcPr>
          <w:p w14:paraId="61736CAC">
            <w:pPr>
              <w:spacing w:line="400" w:lineRule="exact"/>
              <w:rPr>
                <w:sz w:val="24"/>
                <w:highlight w:val="none"/>
              </w:rPr>
            </w:pPr>
          </w:p>
        </w:tc>
      </w:tr>
      <w:tr w14:paraId="057ED2E2">
        <w:tblPrEx>
          <w:tblCellMar>
            <w:top w:w="0" w:type="dxa"/>
            <w:left w:w="0" w:type="dxa"/>
            <w:bottom w:w="0" w:type="dxa"/>
            <w:right w:w="0" w:type="dxa"/>
          </w:tblCellMar>
        </w:tblPrEx>
        <w:trPr>
          <w:trHeight w:val="454" w:hRule="atLeast"/>
        </w:trPr>
        <w:tc>
          <w:tcPr>
            <w:tcW w:w="851" w:type="dxa"/>
            <w:tcBorders>
              <w:top w:val="nil"/>
              <w:left w:val="single" w:color="auto" w:sz="4" w:space="0"/>
              <w:bottom w:val="single" w:color="auto" w:sz="4" w:space="0"/>
              <w:right w:val="single" w:color="auto" w:sz="4" w:space="0"/>
            </w:tcBorders>
            <w:tcMar>
              <w:top w:w="16" w:type="dxa"/>
              <w:left w:w="16" w:type="dxa"/>
              <w:bottom w:w="0" w:type="dxa"/>
              <w:right w:w="16" w:type="dxa"/>
            </w:tcMar>
            <w:vAlign w:val="center"/>
          </w:tcPr>
          <w:p w14:paraId="2C451E35">
            <w:pPr>
              <w:spacing w:line="400" w:lineRule="exact"/>
              <w:jc w:val="center"/>
              <w:rPr>
                <w:sz w:val="24"/>
                <w:highlight w:val="none"/>
              </w:rPr>
            </w:pPr>
            <w:r>
              <w:rPr>
                <w:sz w:val="24"/>
                <w:highlight w:val="none"/>
              </w:rPr>
              <w:t>1</w:t>
            </w:r>
          </w:p>
        </w:tc>
        <w:tc>
          <w:tcPr>
            <w:tcW w:w="7938" w:type="dxa"/>
            <w:tcBorders>
              <w:top w:val="nil"/>
              <w:left w:val="single" w:color="auto" w:sz="4" w:space="0"/>
              <w:bottom w:val="single" w:color="auto" w:sz="4" w:space="0"/>
              <w:right w:val="single" w:color="auto" w:sz="4" w:space="0"/>
            </w:tcBorders>
            <w:vAlign w:val="center"/>
          </w:tcPr>
          <w:p w14:paraId="4BDCDD7E">
            <w:pPr>
              <w:pStyle w:val="71"/>
              <w:widowControl w:val="0"/>
              <w:pBdr>
                <w:bottom w:val="none" w:color="auto" w:sz="0" w:space="0"/>
                <w:right w:val="none" w:color="auto" w:sz="0" w:space="0"/>
              </w:pBdr>
              <w:spacing w:before="0" w:beforeAutospacing="0" w:after="0" w:afterAutospacing="0" w:line="400" w:lineRule="exact"/>
              <w:jc w:val="both"/>
              <w:rPr>
                <w:rFonts w:ascii="Times New Roman" w:hAnsi="Times New Roman"/>
                <w:kern w:val="2"/>
                <w:sz w:val="24"/>
                <w:szCs w:val="24"/>
                <w:highlight w:val="none"/>
              </w:rPr>
            </w:pPr>
            <w:r>
              <w:rPr>
                <w:rFonts w:ascii="Times New Roman" w:hAnsi="Times New Roman"/>
                <w:sz w:val="24"/>
                <w:szCs w:val="24"/>
                <w:highlight w:val="none"/>
              </w:rPr>
              <w:t>是否由法人代表或授权代表有效签署</w:t>
            </w:r>
          </w:p>
        </w:tc>
      </w:tr>
      <w:tr w14:paraId="040B05D2">
        <w:tblPrEx>
          <w:tblCellMar>
            <w:top w:w="0" w:type="dxa"/>
            <w:left w:w="0" w:type="dxa"/>
            <w:bottom w:w="0" w:type="dxa"/>
            <w:right w:w="0" w:type="dxa"/>
          </w:tblCellMar>
        </w:tblPrEx>
        <w:trPr>
          <w:trHeight w:val="454" w:hRule="atLeast"/>
        </w:trPr>
        <w:tc>
          <w:tcPr>
            <w:tcW w:w="851" w:type="dxa"/>
            <w:tcBorders>
              <w:top w:val="nil"/>
              <w:left w:val="single" w:color="auto" w:sz="4" w:space="0"/>
              <w:bottom w:val="single" w:color="auto" w:sz="4" w:space="0"/>
              <w:right w:val="single" w:color="auto" w:sz="4" w:space="0"/>
            </w:tcBorders>
            <w:tcMar>
              <w:top w:w="16" w:type="dxa"/>
              <w:left w:w="16" w:type="dxa"/>
              <w:bottom w:w="0" w:type="dxa"/>
              <w:right w:w="16" w:type="dxa"/>
            </w:tcMar>
            <w:vAlign w:val="center"/>
          </w:tcPr>
          <w:p w14:paraId="49C16873">
            <w:pPr>
              <w:spacing w:line="400" w:lineRule="exact"/>
              <w:jc w:val="center"/>
              <w:rPr>
                <w:sz w:val="24"/>
                <w:highlight w:val="none"/>
              </w:rPr>
            </w:pPr>
            <w:r>
              <w:rPr>
                <w:sz w:val="24"/>
                <w:highlight w:val="none"/>
              </w:rPr>
              <w:t>2</w:t>
            </w:r>
          </w:p>
        </w:tc>
        <w:tc>
          <w:tcPr>
            <w:tcW w:w="7938" w:type="dxa"/>
            <w:tcBorders>
              <w:top w:val="nil"/>
              <w:left w:val="single" w:color="auto" w:sz="4" w:space="0"/>
              <w:bottom w:val="single" w:color="auto" w:sz="4" w:space="0"/>
              <w:right w:val="single" w:color="auto" w:sz="4" w:space="0"/>
            </w:tcBorders>
            <w:vAlign w:val="center"/>
          </w:tcPr>
          <w:p w14:paraId="63767454">
            <w:pPr>
              <w:pStyle w:val="71"/>
              <w:widowControl w:val="0"/>
              <w:pBdr>
                <w:bottom w:val="none" w:color="auto" w:sz="0" w:space="0"/>
                <w:right w:val="none" w:color="auto" w:sz="0" w:space="0"/>
              </w:pBdr>
              <w:spacing w:before="0" w:beforeAutospacing="0" w:after="0" w:afterAutospacing="0" w:line="400" w:lineRule="exact"/>
              <w:jc w:val="both"/>
              <w:rPr>
                <w:rFonts w:ascii="Times New Roman" w:hAnsi="Times New Roman"/>
                <w:sz w:val="24"/>
                <w:szCs w:val="24"/>
                <w:highlight w:val="none"/>
              </w:rPr>
            </w:pPr>
            <w:r>
              <w:rPr>
                <w:rFonts w:ascii="Times New Roman" w:hAnsi="Times New Roman"/>
                <w:sz w:val="24"/>
                <w:szCs w:val="24"/>
                <w:highlight w:val="none"/>
              </w:rPr>
              <w:t>是否按磋商文件规定提供法人代表授权书（如适用）</w:t>
            </w:r>
          </w:p>
        </w:tc>
      </w:tr>
      <w:tr w14:paraId="01EBF1C8">
        <w:tblPrEx>
          <w:tblCellMar>
            <w:top w:w="0" w:type="dxa"/>
            <w:left w:w="0" w:type="dxa"/>
            <w:bottom w:w="0" w:type="dxa"/>
            <w:right w:w="0" w:type="dxa"/>
          </w:tblCellMar>
        </w:tblPrEx>
        <w:trPr>
          <w:trHeight w:val="454" w:hRule="atLeast"/>
        </w:trPr>
        <w:tc>
          <w:tcPr>
            <w:tcW w:w="851" w:type="dxa"/>
            <w:tcBorders>
              <w:top w:val="single" w:color="auto" w:sz="4" w:space="0"/>
              <w:left w:val="single" w:color="auto" w:sz="4" w:space="0"/>
              <w:bottom w:val="single" w:color="000000" w:sz="4" w:space="0"/>
              <w:right w:val="single" w:color="auto" w:sz="4" w:space="0"/>
            </w:tcBorders>
            <w:vAlign w:val="center"/>
          </w:tcPr>
          <w:p w14:paraId="2AE77305">
            <w:pPr>
              <w:spacing w:line="400" w:lineRule="exact"/>
              <w:jc w:val="center"/>
              <w:rPr>
                <w:sz w:val="24"/>
                <w:highlight w:val="none"/>
              </w:rPr>
            </w:pPr>
            <w:r>
              <w:rPr>
                <w:sz w:val="24"/>
                <w:highlight w:val="none"/>
              </w:rPr>
              <w:t>3</w:t>
            </w:r>
          </w:p>
        </w:tc>
        <w:tc>
          <w:tcPr>
            <w:tcW w:w="7938" w:type="dxa"/>
            <w:tcBorders>
              <w:top w:val="single" w:color="auto" w:sz="4" w:space="0"/>
              <w:left w:val="single" w:color="auto" w:sz="4" w:space="0"/>
              <w:bottom w:val="single" w:color="000000" w:sz="4" w:space="0"/>
              <w:right w:val="single" w:color="000000" w:sz="4" w:space="0"/>
            </w:tcBorders>
            <w:vAlign w:val="center"/>
          </w:tcPr>
          <w:p w14:paraId="06223DA9">
            <w:pPr>
              <w:spacing w:line="400" w:lineRule="exact"/>
              <w:rPr>
                <w:sz w:val="24"/>
                <w:highlight w:val="none"/>
              </w:rPr>
            </w:pPr>
            <w:r>
              <w:rPr>
                <w:sz w:val="24"/>
                <w:highlight w:val="none"/>
              </w:rPr>
              <w:t>是否按磋商文件规定要求密封、签署、盖章</w:t>
            </w:r>
          </w:p>
        </w:tc>
      </w:tr>
      <w:tr w14:paraId="27B521D6">
        <w:tblPrEx>
          <w:tblCellMar>
            <w:top w:w="0" w:type="dxa"/>
            <w:left w:w="0" w:type="dxa"/>
            <w:bottom w:w="0" w:type="dxa"/>
            <w:right w:w="0" w:type="dxa"/>
          </w:tblCellMar>
        </w:tblPrEx>
        <w:trPr>
          <w:trHeight w:val="454" w:hRule="atLeast"/>
        </w:trPr>
        <w:tc>
          <w:tcPr>
            <w:tcW w:w="851"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5D041C07">
            <w:pPr>
              <w:spacing w:line="400" w:lineRule="exact"/>
              <w:jc w:val="center"/>
              <w:rPr>
                <w:sz w:val="24"/>
                <w:highlight w:val="none"/>
              </w:rPr>
            </w:pPr>
            <w:r>
              <w:rPr>
                <w:sz w:val="24"/>
                <w:highlight w:val="none"/>
              </w:rPr>
              <w:t>4</w:t>
            </w:r>
          </w:p>
        </w:tc>
        <w:tc>
          <w:tcPr>
            <w:tcW w:w="7938" w:type="dxa"/>
            <w:tcBorders>
              <w:top w:val="single" w:color="auto" w:sz="4" w:space="0"/>
              <w:left w:val="single" w:color="auto" w:sz="4" w:space="0"/>
              <w:bottom w:val="single" w:color="auto" w:sz="4" w:space="0"/>
              <w:right w:val="single" w:color="000000" w:sz="4" w:space="0"/>
            </w:tcBorders>
            <w:vAlign w:val="center"/>
          </w:tcPr>
          <w:p w14:paraId="04232546">
            <w:pPr>
              <w:spacing w:line="400" w:lineRule="exact"/>
              <w:rPr>
                <w:sz w:val="24"/>
                <w:highlight w:val="none"/>
              </w:rPr>
            </w:pPr>
            <w:r>
              <w:rPr>
                <w:sz w:val="24"/>
                <w:highlight w:val="none"/>
              </w:rPr>
              <w:t>响应有效期是否满足磋商文件（不少于90个日历日）</w:t>
            </w:r>
          </w:p>
        </w:tc>
      </w:tr>
      <w:tr w14:paraId="3F807552">
        <w:tblPrEx>
          <w:tblCellMar>
            <w:top w:w="0" w:type="dxa"/>
            <w:left w:w="0" w:type="dxa"/>
            <w:bottom w:w="0" w:type="dxa"/>
            <w:right w:w="0" w:type="dxa"/>
          </w:tblCellMar>
        </w:tblPrEx>
        <w:trPr>
          <w:trHeight w:val="454" w:hRule="atLeast"/>
        </w:trPr>
        <w:tc>
          <w:tcPr>
            <w:tcW w:w="851"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37234214">
            <w:pPr>
              <w:spacing w:line="400" w:lineRule="exact"/>
              <w:jc w:val="center"/>
              <w:rPr>
                <w:sz w:val="24"/>
                <w:highlight w:val="none"/>
              </w:rPr>
            </w:pPr>
            <w:r>
              <w:rPr>
                <w:sz w:val="24"/>
                <w:highlight w:val="none"/>
              </w:rPr>
              <w:t>5</w:t>
            </w:r>
          </w:p>
        </w:tc>
        <w:tc>
          <w:tcPr>
            <w:tcW w:w="7938" w:type="dxa"/>
            <w:tcBorders>
              <w:top w:val="single" w:color="auto" w:sz="4" w:space="0"/>
              <w:left w:val="single" w:color="auto" w:sz="4" w:space="0"/>
              <w:bottom w:val="single" w:color="auto" w:sz="4" w:space="0"/>
              <w:right w:val="single" w:color="000000" w:sz="4" w:space="0"/>
            </w:tcBorders>
            <w:vAlign w:val="center"/>
          </w:tcPr>
          <w:p w14:paraId="29A2F53A">
            <w:pPr>
              <w:pStyle w:val="71"/>
              <w:widowControl w:val="0"/>
              <w:pBdr>
                <w:bottom w:val="none" w:color="auto" w:sz="0" w:space="0"/>
                <w:right w:val="none" w:color="auto" w:sz="0" w:space="0"/>
              </w:pBdr>
              <w:spacing w:before="0" w:beforeAutospacing="0" w:after="0" w:afterAutospacing="0" w:line="400" w:lineRule="exact"/>
              <w:jc w:val="both"/>
              <w:rPr>
                <w:rFonts w:ascii="Times New Roman" w:hAnsi="Times New Roman"/>
                <w:kern w:val="2"/>
                <w:sz w:val="24"/>
                <w:szCs w:val="24"/>
                <w:highlight w:val="none"/>
              </w:rPr>
            </w:pPr>
            <w:r>
              <w:rPr>
                <w:rFonts w:ascii="Times New Roman" w:hAnsi="Times New Roman"/>
                <w:sz w:val="24"/>
                <w:szCs w:val="24"/>
                <w:highlight w:val="none"/>
              </w:rPr>
              <w:t>是否按磋商文件规定提交足额响应保证金</w:t>
            </w:r>
          </w:p>
        </w:tc>
      </w:tr>
      <w:tr w14:paraId="6BE7C1E9">
        <w:tblPrEx>
          <w:tblCellMar>
            <w:top w:w="0" w:type="dxa"/>
            <w:left w:w="0" w:type="dxa"/>
            <w:bottom w:w="0" w:type="dxa"/>
            <w:right w:w="0" w:type="dxa"/>
          </w:tblCellMar>
        </w:tblPrEx>
        <w:trPr>
          <w:trHeight w:val="454" w:hRule="atLeast"/>
        </w:trPr>
        <w:tc>
          <w:tcPr>
            <w:tcW w:w="851"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5C8A61CB">
            <w:pPr>
              <w:spacing w:line="400" w:lineRule="exact"/>
              <w:jc w:val="center"/>
              <w:rPr>
                <w:sz w:val="24"/>
                <w:highlight w:val="none"/>
              </w:rPr>
            </w:pPr>
            <w:r>
              <w:rPr>
                <w:sz w:val="24"/>
                <w:highlight w:val="none"/>
              </w:rPr>
              <w:t>6</w:t>
            </w:r>
          </w:p>
        </w:tc>
        <w:tc>
          <w:tcPr>
            <w:tcW w:w="7938" w:type="dxa"/>
            <w:tcBorders>
              <w:top w:val="single" w:color="auto" w:sz="4" w:space="0"/>
              <w:left w:val="single" w:color="auto" w:sz="4" w:space="0"/>
              <w:bottom w:val="single" w:color="auto" w:sz="4" w:space="0"/>
              <w:right w:val="single" w:color="000000" w:sz="4" w:space="0"/>
            </w:tcBorders>
            <w:vAlign w:val="center"/>
          </w:tcPr>
          <w:p w14:paraId="10170B6A">
            <w:pPr>
              <w:pStyle w:val="71"/>
              <w:widowControl w:val="0"/>
              <w:pBdr>
                <w:bottom w:val="none" w:color="auto" w:sz="0" w:space="0"/>
                <w:right w:val="none" w:color="auto" w:sz="0" w:space="0"/>
              </w:pBdr>
              <w:spacing w:before="0" w:beforeAutospacing="0" w:after="0" w:afterAutospacing="0" w:line="400" w:lineRule="exact"/>
              <w:jc w:val="both"/>
              <w:rPr>
                <w:rFonts w:ascii="Times New Roman" w:hAnsi="Times New Roman"/>
                <w:sz w:val="24"/>
                <w:szCs w:val="24"/>
                <w:highlight w:val="none"/>
              </w:rPr>
            </w:pPr>
            <w:r>
              <w:rPr>
                <w:rFonts w:ascii="Times New Roman" w:hAnsi="Times New Roman"/>
                <w:sz w:val="24"/>
                <w:szCs w:val="24"/>
                <w:highlight w:val="none"/>
              </w:rPr>
              <w:t>响应保证金的有效期是否满足磋商文件（同响应有效期）</w:t>
            </w:r>
          </w:p>
        </w:tc>
      </w:tr>
      <w:tr w14:paraId="305B0250">
        <w:tblPrEx>
          <w:tblCellMar>
            <w:top w:w="0" w:type="dxa"/>
            <w:left w:w="0" w:type="dxa"/>
            <w:bottom w:w="0" w:type="dxa"/>
            <w:right w:w="0" w:type="dxa"/>
          </w:tblCellMar>
        </w:tblPrEx>
        <w:trPr>
          <w:trHeight w:val="454" w:hRule="atLeast"/>
        </w:trPr>
        <w:tc>
          <w:tcPr>
            <w:tcW w:w="851"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2849257F">
            <w:pPr>
              <w:spacing w:line="400" w:lineRule="exact"/>
              <w:jc w:val="center"/>
              <w:rPr>
                <w:sz w:val="24"/>
                <w:highlight w:val="none"/>
              </w:rPr>
            </w:pPr>
            <w:r>
              <w:rPr>
                <w:sz w:val="24"/>
                <w:highlight w:val="none"/>
              </w:rPr>
              <w:t>7</w:t>
            </w:r>
          </w:p>
        </w:tc>
        <w:tc>
          <w:tcPr>
            <w:tcW w:w="7938" w:type="dxa"/>
            <w:tcBorders>
              <w:top w:val="single" w:color="auto" w:sz="4" w:space="0"/>
              <w:left w:val="single" w:color="auto" w:sz="4" w:space="0"/>
              <w:bottom w:val="single" w:color="auto" w:sz="4" w:space="0"/>
              <w:right w:val="single" w:color="000000" w:sz="4" w:space="0"/>
            </w:tcBorders>
            <w:vAlign w:val="center"/>
          </w:tcPr>
          <w:p w14:paraId="3F2CD12B">
            <w:pPr>
              <w:spacing w:line="400" w:lineRule="exact"/>
              <w:rPr>
                <w:sz w:val="24"/>
                <w:highlight w:val="none"/>
              </w:rPr>
            </w:pPr>
            <w:r>
              <w:rPr>
                <w:sz w:val="24"/>
                <w:highlight w:val="none"/>
              </w:rPr>
              <w:t>响应报价是否固定唯一，响应报价是否超过采购预算（设置最高限价的，以最高限价为准）</w:t>
            </w:r>
          </w:p>
        </w:tc>
      </w:tr>
      <w:tr w14:paraId="469244B4">
        <w:tblPrEx>
          <w:tblCellMar>
            <w:top w:w="0" w:type="dxa"/>
            <w:left w:w="0" w:type="dxa"/>
            <w:bottom w:w="0" w:type="dxa"/>
            <w:right w:w="0" w:type="dxa"/>
          </w:tblCellMar>
        </w:tblPrEx>
        <w:trPr>
          <w:trHeight w:val="454" w:hRule="atLeast"/>
        </w:trPr>
        <w:tc>
          <w:tcPr>
            <w:tcW w:w="851"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3FF9F8A8">
            <w:pPr>
              <w:spacing w:line="400" w:lineRule="exact"/>
              <w:jc w:val="center"/>
              <w:rPr>
                <w:sz w:val="24"/>
                <w:highlight w:val="none"/>
              </w:rPr>
            </w:pPr>
            <w:r>
              <w:rPr>
                <w:sz w:val="24"/>
                <w:highlight w:val="none"/>
              </w:rPr>
              <w:t>8</w:t>
            </w:r>
          </w:p>
        </w:tc>
        <w:tc>
          <w:tcPr>
            <w:tcW w:w="7938" w:type="dxa"/>
            <w:tcBorders>
              <w:top w:val="single" w:color="auto" w:sz="4" w:space="0"/>
              <w:left w:val="single" w:color="auto" w:sz="4" w:space="0"/>
              <w:bottom w:val="single" w:color="auto" w:sz="4" w:space="0"/>
              <w:right w:val="single" w:color="000000" w:sz="4" w:space="0"/>
            </w:tcBorders>
            <w:vAlign w:val="center"/>
          </w:tcPr>
          <w:p w14:paraId="3A828698">
            <w:pPr>
              <w:spacing w:line="400" w:lineRule="exact"/>
              <w:rPr>
                <w:sz w:val="24"/>
                <w:highlight w:val="none"/>
              </w:rPr>
            </w:pPr>
            <w:r>
              <w:rPr>
                <w:sz w:val="24"/>
                <w:highlight w:val="none"/>
              </w:rPr>
              <w:t>磋商文件中明确规定不接受进口产品及服务的，供应商是否提供了进口产品及服务</w:t>
            </w:r>
          </w:p>
        </w:tc>
      </w:tr>
      <w:tr w14:paraId="20FD1963">
        <w:tblPrEx>
          <w:tblCellMar>
            <w:top w:w="0" w:type="dxa"/>
            <w:left w:w="0" w:type="dxa"/>
            <w:bottom w:w="0" w:type="dxa"/>
            <w:right w:w="0" w:type="dxa"/>
          </w:tblCellMar>
        </w:tblPrEx>
        <w:trPr>
          <w:trHeight w:val="454" w:hRule="atLeast"/>
        </w:trPr>
        <w:tc>
          <w:tcPr>
            <w:tcW w:w="851"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3B661879">
            <w:pPr>
              <w:spacing w:line="400" w:lineRule="exact"/>
              <w:jc w:val="center"/>
              <w:rPr>
                <w:sz w:val="24"/>
                <w:highlight w:val="none"/>
              </w:rPr>
            </w:pPr>
            <w:r>
              <w:rPr>
                <w:rFonts w:hint="eastAsia"/>
                <w:sz w:val="24"/>
                <w:highlight w:val="none"/>
              </w:rPr>
              <w:t>9</w:t>
            </w:r>
          </w:p>
        </w:tc>
        <w:tc>
          <w:tcPr>
            <w:tcW w:w="7938" w:type="dxa"/>
            <w:tcBorders>
              <w:top w:val="single" w:color="auto" w:sz="4" w:space="0"/>
              <w:left w:val="single" w:color="auto" w:sz="4" w:space="0"/>
              <w:bottom w:val="single" w:color="auto" w:sz="4" w:space="0"/>
              <w:right w:val="single" w:color="000000" w:sz="4" w:space="0"/>
            </w:tcBorders>
            <w:vAlign w:val="center"/>
          </w:tcPr>
          <w:p w14:paraId="138E159C">
            <w:pPr>
              <w:spacing w:line="400" w:lineRule="exact"/>
              <w:rPr>
                <w:sz w:val="24"/>
                <w:highlight w:val="none"/>
              </w:rPr>
            </w:pPr>
            <w:r>
              <w:rPr>
                <w:rFonts w:hint="eastAsia" w:ascii="宋体" w:hAnsi="宋体"/>
                <w:sz w:val="24"/>
                <w:highlight w:val="none"/>
              </w:rPr>
              <w:t>是否按磋商文件要求提供制造厂家的授权书（进口货物适用）</w:t>
            </w:r>
          </w:p>
        </w:tc>
      </w:tr>
      <w:tr w14:paraId="665EEBAA">
        <w:tblPrEx>
          <w:tblCellMar>
            <w:top w:w="0" w:type="dxa"/>
            <w:left w:w="0" w:type="dxa"/>
            <w:bottom w:w="0" w:type="dxa"/>
            <w:right w:w="0" w:type="dxa"/>
          </w:tblCellMar>
        </w:tblPrEx>
        <w:trPr>
          <w:trHeight w:val="454" w:hRule="atLeast"/>
        </w:trPr>
        <w:tc>
          <w:tcPr>
            <w:tcW w:w="851"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7C517DAD">
            <w:pPr>
              <w:spacing w:line="400" w:lineRule="exact"/>
              <w:jc w:val="center"/>
              <w:rPr>
                <w:sz w:val="24"/>
                <w:highlight w:val="none"/>
              </w:rPr>
            </w:pPr>
            <w:r>
              <w:rPr>
                <w:rFonts w:hint="eastAsia"/>
                <w:sz w:val="24"/>
                <w:highlight w:val="none"/>
              </w:rPr>
              <w:t>10</w:t>
            </w:r>
          </w:p>
        </w:tc>
        <w:tc>
          <w:tcPr>
            <w:tcW w:w="7938" w:type="dxa"/>
            <w:tcBorders>
              <w:top w:val="single" w:color="auto" w:sz="4" w:space="0"/>
              <w:left w:val="single" w:color="auto" w:sz="4" w:space="0"/>
              <w:bottom w:val="single" w:color="auto" w:sz="4" w:space="0"/>
              <w:right w:val="single" w:color="000000" w:sz="4" w:space="0"/>
            </w:tcBorders>
            <w:vAlign w:val="center"/>
          </w:tcPr>
          <w:p w14:paraId="71F5E92E">
            <w:pPr>
              <w:spacing w:line="400" w:lineRule="exact"/>
              <w:rPr>
                <w:sz w:val="24"/>
                <w:highlight w:val="none"/>
              </w:rPr>
            </w:pPr>
            <w:r>
              <w:rPr>
                <w:sz w:val="24"/>
                <w:highlight w:val="none"/>
              </w:rPr>
              <w:t>如评标委员会发现供应商的报价明显低于其他通过符合性审查供应商的响应报价，有可能影响产品质量或者不能诚信履约的，供应商是否按要求作书面说明并提供相关证明材料。供应商不能合理说明或不能提供相关证明材料的，评标委员会</w:t>
            </w:r>
            <w:r>
              <w:rPr>
                <w:kern w:val="0"/>
                <w:sz w:val="24"/>
                <w:highlight w:val="none"/>
              </w:rPr>
              <w:t>将其作为无效响应处理</w:t>
            </w:r>
          </w:p>
        </w:tc>
      </w:tr>
      <w:tr w14:paraId="38B75190">
        <w:tblPrEx>
          <w:tblCellMar>
            <w:top w:w="0" w:type="dxa"/>
            <w:left w:w="0" w:type="dxa"/>
            <w:bottom w:w="0" w:type="dxa"/>
            <w:right w:w="0" w:type="dxa"/>
          </w:tblCellMar>
        </w:tblPrEx>
        <w:trPr>
          <w:trHeight w:val="454" w:hRule="atLeast"/>
        </w:trPr>
        <w:tc>
          <w:tcPr>
            <w:tcW w:w="851"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09CAEFD8">
            <w:pPr>
              <w:spacing w:line="400" w:lineRule="exact"/>
              <w:jc w:val="center"/>
              <w:rPr>
                <w:sz w:val="24"/>
                <w:highlight w:val="none"/>
              </w:rPr>
            </w:pPr>
            <w:r>
              <w:rPr>
                <w:sz w:val="24"/>
                <w:highlight w:val="none"/>
              </w:rPr>
              <w:t>1</w:t>
            </w:r>
            <w:r>
              <w:rPr>
                <w:rFonts w:hint="eastAsia"/>
                <w:sz w:val="24"/>
                <w:highlight w:val="none"/>
              </w:rPr>
              <w:t>1</w:t>
            </w:r>
          </w:p>
        </w:tc>
        <w:tc>
          <w:tcPr>
            <w:tcW w:w="7938" w:type="dxa"/>
            <w:tcBorders>
              <w:top w:val="single" w:color="auto" w:sz="4" w:space="0"/>
              <w:left w:val="single" w:color="auto" w:sz="4" w:space="0"/>
              <w:bottom w:val="single" w:color="auto" w:sz="4" w:space="0"/>
              <w:right w:val="single" w:color="000000" w:sz="4" w:space="0"/>
            </w:tcBorders>
            <w:vAlign w:val="center"/>
          </w:tcPr>
          <w:p w14:paraId="7231ABFC">
            <w:pPr>
              <w:spacing w:line="400" w:lineRule="exact"/>
              <w:rPr>
                <w:sz w:val="24"/>
                <w:highlight w:val="none"/>
              </w:rPr>
            </w:pPr>
            <w:r>
              <w:rPr>
                <w:sz w:val="24"/>
                <w:highlight w:val="none"/>
              </w:rPr>
              <w:t>是否符合磋商文件规定的其它实质性要求</w:t>
            </w:r>
            <w:r>
              <w:rPr>
                <w:kern w:val="1"/>
                <w:sz w:val="24"/>
                <w:highlight w:val="none"/>
              </w:rPr>
              <w:t>（须</w:t>
            </w:r>
            <w:r>
              <w:rPr>
                <w:sz w:val="24"/>
                <w:highlight w:val="none"/>
              </w:rPr>
              <w:t>满足带</w:t>
            </w:r>
            <w:r>
              <w:rPr>
                <w:rFonts w:ascii="Segoe UI Symbol" w:hAnsi="Segoe UI Symbol" w:cs="Segoe UI Symbol"/>
                <w:sz w:val="24"/>
                <w:highlight w:val="none"/>
              </w:rPr>
              <w:t>★</w:t>
            </w:r>
            <w:r>
              <w:rPr>
                <w:sz w:val="24"/>
                <w:highlight w:val="none"/>
              </w:rPr>
              <w:t>条款</w:t>
            </w:r>
            <w:r>
              <w:rPr>
                <w:kern w:val="1"/>
                <w:sz w:val="24"/>
                <w:highlight w:val="none"/>
              </w:rPr>
              <w:t>）</w:t>
            </w:r>
          </w:p>
        </w:tc>
      </w:tr>
      <w:tr w14:paraId="2D2CFFA1">
        <w:tblPrEx>
          <w:tblCellMar>
            <w:top w:w="0" w:type="dxa"/>
            <w:left w:w="0" w:type="dxa"/>
            <w:bottom w:w="0" w:type="dxa"/>
            <w:right w:w="0" w:type="dxa"/>
          </w:tblCellMar>
        </w:tblPrEx>
        <w:trPr>
          <w:trHeight w:val="454" w:hRule="atLeast"/>
        </w:trPr>
        <w:tc>
          <w:tcPr>
            <w:tcW w:w="851"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53552A93">
            <w:pPr>
              <w:spacing w:line="400" w:lineRule="exact"/>
              <w:jc w:val="center"/>
              <w:rPr>
                <w:sz w:val="24"/>
                <w:highlight w:val="none"/>
              </w:rPr>
            </w:pPr>
            <w:r>
              <w:rPr>
                <w:sz w:val="24"/>
                <w:highlight w:val="none"/>
              </w:rPr>
              <w:t>1</w:t>
            </w:r>
            <w:r>
              <w:rPr>
                <w:rFonts w:hint="eastAsia"/>
                <w:sz w:val="24"/>
                <w:highlight w:val="none"/>
              </w:rPr>
              <w:t>2</w:t>
            </w:r>
          </w:p>
        </w:tc>
        <w:tc>
          <w:tcPr>
            <w:tcW w:w="7938" w:type="dxa"/>
            <w:tcBorders>
              <w:top w:val="single" w:color="auto" w:sz="4" w:space="0"/>
              <w:left w:val="single" w:color="auto" w:sz="4" w:space="0"/>
              <w:bottom w:val="single" w:color="auto" w:sz="4" w:space="0"/>
              <w:right w:val="single" w:color="000000" w:sz="4" w:space="0"/>
            </w:tcBorders>
            <w:vAlign w:val="center"/>
          </w:tcPr>
          <w:p w14:paraId="74F038EC">
            <w:pPr>
              <w:spacing w:line="400" w:lineRule="exact"/>
              <w:rPr>
                <w:sz w:val="24"/>
                <w:highlight w:val="none"/>
              </w:rPr>
            </w:pPr>
            <w:r>
              <w:rPr>
                <w:sz w:val="24"/>
                <w:highlight w:val="none"/>
              </w:rPr>
              <w:t>响应文件是否有磋商文件中规定的其它无效响应条款</w:t>
            </w:r>
          </w:p>
        </w:tc>
      </w:tr>
      <w:tr w14:paraId="2C383F59">
        <w:tblPrEx>
          <w:tblCellMar>
            <w:top w:w="0" w:type="dxa"/>
            <w:left w:w="0" w:type="dxa"/>
            <w:bottom w:w="0" w:type="dxa"/>
            <w:right w:w="0" w:type="dxa"/>
          </w:tblCellMar>
        </w:tblPrEx>
        <w:trPr>
          <w:trHeight w:val="617" w:hRule="atLeast"/>
        </w:trPr>
        <w:tc>
          <w:tcPr>
            <w:tcW w:w="8789" w:type="dxa"/>
            <w:gridSpan w:val="2"/>
            <w:tcBorders>
              <w:top w:val="single" w:color="auto" w:sz="4" w:space="0"/>
              <w:left w:val="single" w:color="auto" w:sz="4" w:space="0"/>
              <w:bottom w:val="single" w:color="auto" w:sz="4" w:space="0"/>
              <w:right w:val="single" w:color="000000" w:sz="4" w:space="0"/>
            </w:tcBorders>
            <w:tcMar>
              <w:top w:w="16" w:type="dxa"/>
              <w:left w:w="16" w:type="dxa"/>
              <w:bottom w:w="0" w:type="dxa"/>
              <w:right w:w="16" w:type="dxa"/>
            </w:tcMar>
            <w:vAlign w:val="center"/>
          </w:tcPr>
          <w:p w14:paraId="1E658DC6">
            <w:pPr>
              <w:spacing w:line="400" w:lineRule="exact"/>
              <w:jc w:val="center"/>
              <w:rPr>
                <w:sz w:val="24"/>
                <w:highlight w:val="none"/>
              </w:rPr>
            </w:pPr>
            <w:r>
              <w:rPr>
                <w:sz w:val="24"/>
                <w:highlight w:val="none"/>
              </w:rPr>
              <w:t>结    论</w:t>
            </w:r>
          </w:p>
        </w:tc>
      </w:tr>
    </w:tbl>
    <w:p w14:paraId="580F5A18">
      <w:pPr>
        <w:pStyle w:val="27"/>
        <w:rPr>
          <w:rFonts w:ascii="Times New Roman" w:hAnsi="Times New Roman"/>
          <w:highlight w:val="none"/>
        </w:rPr>
      </w:pPr>
      <w:r>
        <w:rPr>
          <w:rFonts w:ascii="Times New Roman" w:hAnsi="Times New Roman"/>
          <w:highlight w:val="none"/>
        </w:rPr>
        <w:t xml:space="preserve"> </w:t>
      </w:r>
    </w:p>
    <w:p w14:paraId="00BA221E">
      <w:pPr>
        <w:spacing w:line="360" w:lineRule="auto"/>
        <w:ind w:firstLine="480"/>
        <w:rPr>
          <w:sz w:val="24"/>
          <w:highlight w:val="none"/>
        </w:rPr>
      </w:pPr>
      <w:r>
        <w:rPr>
          <w:sz w:val="24"/>
          <w:highlight w:val="none"/>
        </w:rPr>
        <w:t>注：结论栏中填写“合格”表示该供应商响应文件满足磋商文件的符合性要求，“不合格”表示该供应商响应文件不满足磋商文件的符合性要求。</w:t>
      </w:r>
    </w:p>
    <w:p w14:paraId="1B58D5B5">
      <w:pPr>
        <w:pStyle w:val="27"/>
        <w:rPr>
          <w:rFonts w:ascii="Times New Roman" w:hAnsi="Times New Roman"/>
          <w:highlight w:val="none"/>
        </w:rPr>
      </w:pPr>
    </w:p>
    <w:p w14:paraId="0E240DED">
      <w:pPr>
        <w:spacing w:line="360" w:lineRule="auto"/>
        <w:ind w:firstLine="480" w:firstLineChars="200"/>
        <w:rPr>
          <w:sz w:val="24"/>
          <w:highlight w:val="none"/>
        </w:rPr>
      </w:pPr>
      <w:r>
        <w:rPr>
          <w:sz w:val="24"/>
          <w:highlight w:val="none"/>
        </w:rPr>
        <w:t>资格检查和符合性检查均“合格”的，通过响应文件的初审，进入下一步具体评分环节；否则，其响应无效。</w:t>
      </w:r>
    </w:p>
    <w:p w14:paraId="74D7445A">
      <w:pPr>
        <w:pStyle w:val="27"/>
        <w:rPr>
          <w:rFonts w:ascii="Times New Roman" w:hAnsi="Times New Roman"/>
          <w:highlight w:val="none"/>
        </w:rPr>
      </w:pPr>
    </w:p>
    <w:p w14:paraId="2E841EAE">
      <w:pPr>
        <w:spacing w:line="300" w:lineRule="auto"/>
        <w:outlineLvl w:val="1"/>
        <w:rPr>
          <w:b/>
          <w:sz w:val="24"/>
          <w:highlight w:val="none"/>
        </w:rPr>
      </w:pPr>
      <w:r>
        <w:rPr>
          <w:b/>
          <w:sz w:val="24"/>
          <w:highlight w:val="none"/>
        </w:rPr>
        <w:t>二、具体评分标准（满分为100分）</w:t>
      </w:r>
    </w:p>
    <w:tbl>
      <w:tblPr>
        <w:tblStyle w:val="46"/>
        <w:tblW w:w="9214" w:type="dxa"/>
        <w:tblInd w:w="-5"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10" w:type="dxa"/>
          <w:bottom w:w="0" w:type="dxa"/>
          <w:right w:w="10" w:type="dxa"/>
        </w:tblCellMar>
      </w:tblPr>
      <w:tblGrid>
        <w:gridCol w:w="1276"/>
        <w:gridCol w:w="7088"/>
        <w:gridCol w:w="850"/>
      </w:tblGrid>
      <w:tr w14:paraId="226F489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520" w:hRule="atLeast"/>
        </w:trPr>
        <w:tc>
          <w:tcPr>
            <w:tcW w:w="1276"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03899E28">
            <w:pPr>
              <w:jc w:val="center"/>
              <w:rPr>
                <w:rFonts w:hint="eastAsia" w:ascii="宋体" w:hAnsi="宋体" w:cs="宋体"/>
                <w:sz w:val="24"/>
                <w:szCs w:val="24"/>
                <w:highlight w:val="none"/>
              </w:rPr>
            </w:pPr>
            <w:r>
              <w:rPr>
                <w:rFonts w:hint="eastAsia"/>
                <w:sz w:val="24"/>
                <w:szCs w:val="24"/>
                <w:highlight w:val="none"/>
                <w:lang w:val="zh-TW" w:eastAsia="zh-TW"/>
              </w:rPr>
              <w:t>评分</w:t>
            </w:r>
          </w:p>
          <w:p w14:paraId="518525A5">
            <w:pPr>
              <w:jc w:val="center"/>
              <w:rPr>
                <w:highlight w:val="none"/>
              </w:rPr>
            </w:pPr>
            <w:r>
              <w:rPr>
                <w:rFonts w:hint="eastAsia"/>
                <w:sz w:val="24"/>
                <w:szCs w:val="24"/>
                <w:highlight w:val="none"/>
                <w:lang w:val="zh-TW" w:eastAsia="zh-TW"/>
              </w:rPr>
              <w:t>项目</w:t>
            </w:r>
          </w:p>
        </w:tc>
        <w:tc>
          <w:tcPr>
            <w:tcW w:w="708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7C01FEDC">
            <w:pPr>
              <w:jc w:val="center"/>
              <w:rPr>
                <w:highlight w:val="none"/>
              </w:rPr>
            </w:pPr>
            <w:r>
              <w:rPr>
                <w:rFonts w:hint="eastAsia"/>
                <w:sz w:val="24"/>
                <w:szCs w:val="24"/>
                <w:highlight w:val="none"/>
                <w:lang w:val="zh-TW" w:eastAsia="zh-TW"/>
              </w:rPr>
              <w:t>评分细则</w:t>
            </w:r>
          </w:p>
        </w:tc>
        <w:tc>
          <w:tcPr>
            <w:tcW w:w="850"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739B288B">
            <w:pPr>
              <w:jc w:val="center"/>
              <w:rPr>
                <w:highlight w:val="none"/>
              </w:rPr>
            </w:pPr>
            <w:r>
              <w:rPr>
                <w:rFonts w:hint="eastAsia"/>
                <w:sz w:val="24"/>
                <w:szCs w:val="24"/>
                <w:highlight w:val="none"/>
                <w:lang w:val="zh-TW" w:eastAsia="zh-TW"/>
              </w:rPr>
              <w:t>分值</w:t>
            </w:r>
          </w:p>
        </w:tc>
      </w:tr>
      <w:tr w14:paraId="75D9BD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511" w:hRule="atLeast"/>
        </w:trPr>
        <w:tc>
          <w:tcPr>
            <w:tcW w:w="1276"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4241DC4E">
            <w:pPr>
              <w:snapToGrid w:val="0"/>
              <w:jc w:val="center"/>
              <w:rPr>
                <w:sz w:val="24"/>
                <w:szCs w:val="24"/>
                <w:highlight w:val="none"/>
              </w:rPr>
            </w:pPr>
            <w:r>
              <w:rPr>
                <w:rFonts w:hint="eastAsia" w:ascii="宋体" w:hAnsi="宋体" w:cs="宋体"/>
                <w:sz w:val="24"/>
                <w:szCs w:val="24"/>
                <w:highlight w:val="none"/>
                <w:lang w:bidi="ar"/>
              </w:rPr>
              <w:t>价格</w:t>
            </w:r>
          </w:p>
          <w:p w14:paraId="7F5CF63D">
            <w:pPr>
              <w:snapToGrid w:val="0"/>
              <w:jc w:val="center"/>
              <w:rPr>
                <w:sz w:val="24"/>
                <w:szCs w:val="24"/>
                <w:highlight w:val="none"/>
              </w:rPr>
            </w:pPr>
            <w:r>
              <w:rPr>
                <w:rFonts w:hint="eastAsia" w:ascii="宋体" w:hAnsi="宋体" w:cs="宋体"/>
                <w:sz w:val="24"/>
                <w:szCs w:val="24"/>
                <w:highlight w:val="none"/>
                <w:lang w:bidi="ar"/>
              </w:rPr>
              <w:t>部分</w:t>
            </w:r>
          </w:p>
          <w:p w14:paraId="08E92ECE">
            <w:pPr>
              <w:snapToGrid w:val="0"/>
              <w:jc w:val="center"/>
              <w:rPr>
                <w:highlight w:val="none"/>
              </w:rPr>
            </w:pPr>
            <w:r>
              <w:rPr>
                <w:rFonts w:hint="eastAsia" w:ascii="宋体" w:hAnsi="宋体" w:cs="宋体"/>
                <w:sz w:val="24"/>
                <w:szCs w:val="24"/>
                <w:highlight w:val="none"/>
                <w:lang w:bidi="ar"/>
              </w:rPr>
              <w:t>（</w:t>
            </w:r>
            <w:r>
              <w:rPr>
                <w:rFonts w:hint="eastAsia"/>
                <w:sz w:val="24"/>
                <w:szCs w:val="24"/>
                <w:highlight w:val="none"/>
                <w:lang w:bidi="ar"/>
              </w:rPr>
              <w:t>10</w:t>
            </w:r>
            <w:r>
              <w:rPr>
                <w:rFonts w:hint="eastAsia" w:ascii="宋体" w:hAnsi="宋体" w:cs="宋体"/>
                <w:sz w:val="24"/>
                <w:szCs w:val="24"/>
                <w:highlight w:val="none"/>
                <w:lang w:bidi="ar"/>
              </w:rPr>
              <w:t>分）</w:t>
            </w:r>
          </w:p>
        </w:tc>
        <w:tc>
          <w:tcPr>
            <w:tcW w:w="708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40CFDF68">
            <w:pPr>
              <w:ind w:firstLine="480" w:firstLineChars="200"/>
              <w:rPr>
                <w:sz w:val="24"/>
                <w:szCs w:val="24"/>
                <w:highlight w:val="none"/>
              </w:rPr>
            </w:pPr>
            <w:r>
              <w:rPr>
                <w:rFonts w:hint="eastAsia" w:ascii="宋体" w:hAnsi="宋体" w:cs="宋体"/>
                <w:sz w:val="24"/>
                <w:szCs w:val="24"/>
                <w:highlight w:val="none"/>
                <w:lang w:bidi="ar"/>
              </w:rPr>
              <w:t>根据</w:t>
            </w:r>
            <w:bookmarkStart w:id="5" w:name="OLE_LINK5"/>
            <w:r>
              <w:rPr>
                <w:rFonts w:hint="eastAsia" w:ascii="宋体" w:hAnsi="宋体" w:cs="宋体"/>
                <w:sz w:val="24"/>
                <w:szCs w:val="24"/>
                <w:highlight w:val="none"/>
                <w:lang w:bidi="ar"/>
              </w:rPr>
              <w:t>《政府采购竞争性磋商采购方式管理暂行办法》</w:t>
            </w:r>
            <w:bookmarkEnd w:id="5"/>
            <w:r>
              <w:rPr>
                <w:rFonts w:hint="eastAsia" w:ascii="宋体" w:hAnsi="宋体" w:cs="宋体"/>
                <w:sz w:val="24"/>
                <w:szCs w:val="24"/>
                <w:highlight w:val="none"/>
                <w:lang w:bidi="ar"/>
              </w:rPr>
              <w:t>的规定，本次价格评分统一采用低价优先法计算，即满足磋商文件要求且响应价格最低的报价为评审基准价，其价格分为满分。其他供应商的价格评分统一按照下列公式计算：</w:t>
            </w:r>
          </w:p>
          <w:p w14:paraId="446C53AC">
            <w:pPr>
              <w:ind w:firstLine="480" w:firstLineChars="200"/>
              <w:rPr>
                <w:highlight w:val="none"/>
              </w:rPr>
            </w:pPr>
            <w:r>
              <w:rPr>
                <w:rFonts w:hint="eastAsia" w:ascii="宋体" w:hAnsi="宋体" w:cs="宋体"/>
                <w:sz w:val="24"/>
                <w:szCs w:val="24"/>
                <w:highlight w:val="none"/>
                <w:lang w:bidi="ar"/>
              </w:rPr>
              <w:t>价格评分</w:t>
            </w:r>
            <w:r>
              <w:rPr>
                <w:sz w:val="24"/>
                <w:szCs w:val="24"/>
                <w:highlight w:val="none"/>
                <w:lang w:bidi="ar"/>
              </w:rPr>
              <w:t xml:space="preserve"> =</w:t>
            </w:r>
            <w:r>
              <w:rPr>
                <w:rFonts w:hint="eastAsia" w:ascii="宋体" w:hAnsi="宋体" w:cs="宋体"/>
                <w:sz w:val="24"/>
                <w:szCs w:val="24"/>
                <w:highlight w:val="none"/>
                <w:lang w:bidi="ar"/>
              </w:rPr>
              <w:t>（评审基准价</w:t>
            </w:r>
            <w:r>
              <w:rPr>
                <w:sz w:val="24"/>
                <w:szCs w:val="24"/>
                <w:highlight w:val="none"/>
                <w:lang w:bidi="ar"/>
              </w:rPr>
              <w:t>/</w:t>
            </w:r>
            <w:r>
              <w:rPr>
                <w:rFonts w:hint="eastAsia" w:ascii="宋体" w:hAnsi="宋体" w:cs="宋体"/>
                <w:sz w:val="24"/>
                <w:szCs w:val="24"/>
                <w:highlight w:val="none"/>
                <w:lang w:bidi="ar"/>
              </w:rPr>
              <w:t>响应报价）</w:t>
            </w:r>
            <w:r>
              <w:rPr>
                <w:sz w:val="24"/>
                <w:szCs w:val="24"/>
                <w:highlight w:val="none"/>
                <w:lang w:bidi="ar"/>
              </w:rPr>
              <w:t>×</w:t>
            </w:r>
            <w:r>
              <w:rPr>
                <w:rFonts w:hint="eastAsia"/>
                <w:sz w:val="24"/>
                <w:szCs w:val="24"/>
                <w:highlight w:val="none"/>
                <w:lang w:bidi="ar"/>
              </w:rPr>
              <w:t>10</w:t>
            </w:r>
          </w:p>
        </w:tc>
        <w:tc>
          <w:tcPr>
            <w:tcW w:w="850"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3FB09F3D">
            <w:pPr>
              <w:jc w:val="center"/>
              <w:rPr>
                <w:highlight w:val="none"/>
              </w:rPr>
            </w:pPr>
            <w:r>
              <w:rPr>
                <w:rFonts w:hint="eastAsia" w:ascii="宋体" w:hAnsi="宋体"/>
                <w:sz w:val="24"/>
                <w:szCs w:val="24"/>
                <w:highlight w:val="none"/>
              </w:rPr>
              <w:t>10分</w:t>
            </w:r>
          </w:p>
        </w:tc>
      </w:tr>
      <w:tr w14:paraId="66C9A3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661" w:hRule="atLeast"/>
        </w:trPr>
        <w:tc>
          <w:tcPr>
            <w:tcW w:w="1276" w:type="dxa"/>
            <w:vMerge w:val="restart"/>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3D55341B">
            <w:pPr>
              <w:jc w:val="center"/>
              <w:rPr>
                <w:rFonts w:hint="eastAsia" w:ascii="宋体" w:hAnsi="宋体" w:cs="宋体"/>
                <w:sz w:val="24"/>
                <w:szCs w:val="24"/>
                <w:highlight w:val="none"/>
              </w:rPr>
            </w:pPr>
            <w:r>
              <w:rPr>
                <w:rFonts w:hint="eastAsia"/>
                <w:sz w:val="24"/>
                <w:szCs w:val="24"/>
                <w:highlight w:val="none"/>
                <w:lang w:val="zh-TW" w:eastAsia="zh-TW"/>
              </w:rPr>
              <w:t>商务</w:t>
            </w:r>
          </w:p>
          <w:p w14:paraId="08BCB678">
            <w:pPr>
              <w:jc w:val="center"/>
              <w:rPr>
                <w:rFonts w:hint="eastAsia" w:ascii="宋体" w:hAnsi="宋体" w:cs="宋体"/>
                <w:sz w:val="24"/>
                <w:szCs w:val="24"/>
                <w:highlight w:val="none"/>
              </w:rPr>
            </w:pPr>
            <w:r>
              <w:rPr>
                <w:rFonts w:hint="eastAsia"/>
                <w:sz w:val="24"/>
                <w:szCs w:val="24"/>
                <w:highlight w:val="none"/>
                <w:lang w:val="zh-TW" w:eastAsia="zh-TW"/>
              </w:rPr>
              <w:t>部分</w:t>
            </w:r>
          </w:p>
          <w:p w14:paraId="4AB0D815">
            <w:pPr>
              <w:jc w:val="center"/>
              <w:rPr>
                <w:highlight w:val="none"/>
              </w:rPr>
            </w:pPr>
            <w:r>
              <w:rPr>
                <w:rFonts w:hint="eastAsia"/>
                <w:sz w:val="24"/>
                <w:szCs w:val="24"/>
                <w:highlight w:val="none"/>
                <w:lang w:val="zh-TW" w:eastAsia="zh-TW"/>
              </w:rPr>
              <w:t>（</w:t>
            </w:r>
            <w:r>
              <w:rPr>
                <w:rFonts w:hint="eastAsia" w:ascii="宋体" w:hAnsi="宋体"/>
                <w:sz w:val="24"/>
                <w:szCs w:val="24"/>
                <w:highlight w:val="none"/>
                <w:lang w:val="en-US" w:eastAsia="zh-CN"/>
              </w:rPr>
              <w:t>18</w:t>
            </w:r>
            <w:r>
              <w:rPr>
                <w:rFonts w:hint="eastAsia"/>
                <w:sz w:val="24"/>
                <w:szCs w:val="24"/>
                <w:highlight w:val="none"/>
                <w:lang w:val="zh-TW" w:eastAsia="zh-TW"/>
              </w:rPr>
              <w:t>分）</w:t>
            </w:r>
          </w:p>
        </w:tc>
        <w:tc>
          <w:tcPr>
            <w:tcW w:w="708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7D5E8A32">
            <w:pPr>
              <w:rPr>
                <w:rFonts w:hint="eastAsia" w:ascii="宋体" w:hAnsi="宋体" w:cs="宋体"/>
                <w:sz w:val="24"/>
                <w:szCs w:val="24"/>
                <w:highlight w:val="none"/>
              </w:rPr>
            </w:pPr>
            <w:r>
              <w:rPr>
                <w:rFonts w:ascii="宋体" w:hAnsi="宋体"/>
                <w:sz w:val="24"/>
                <w:szCs w:val="24"/>
                <w:highlight w:val="none"/>
              </w:rPr>
              <w:t>1</w:t>
            </w:r>
            <w:r>
              <w:rPr>
                <w:rFonts w:hint="eastAsia"/>
                <w:sz w:val="24"/>
                <w:szCs w:val="24"/>
                <w:highlight w:val="none"/>
                <w:lang w:val="zh-TW" w:eastAsia="zh-TW"/>
              </w:rPr>
              <w:t>、同类项目业绩</w:t>
            </w:r>
          </w:p>
          <w:p w14:paraId="2EE8A7EF">
            <w:pPr>
              <w:rPr>
                <w:highlight w:val="none"/>
              </w:rPr>
            </w:pPr>
            <w:r>
              <w:rPr>
                <w:rFonts w:hint="eastAsia"/>
                <w:sz w:val="24"/>
                <w:szCs w:val="24"/>
                <w:highlight w:val="none"/>
                <w:lang w:val="zh-TW"/>
              </w:rPr>
              <w:t>供应商</w:t>
            </w:r>
            <w:r>
              <w:rPr>
                <w:rFonts w:hint="eastAsia"/>
                <w:sz w:val="24"/>
                <w:szCs w:val="24"/>
                <w:highlight w:val="none"/>
                <w:lang w:val="zh-TW" w:eastAsia="zh-TW"/>
              </w:rPr>
              <w:t>自</w:t>
            </w:r>
            <w:r>
              <w:rPr>
                <w:rFonts w:ascii="宋体" w:hAnsi="宋体"/>
                <w:sz w:val="24"/>
                <w:szCs w:val="24"/>
                <w:highlight w:val="none"/>
              </w:rPr>
              <w:t>202</w:t>
            </w:r>
            <w:r>
              <w:rPr>
                <w:rFonts w:hint="eastAsia" w:ascii="宋体" w:hAnsi="宋体"/>
                <w:sz w:val="24"/>
                <w:szCs w:val="24"/>
                <w:highlight w:val="none"/>
              </w:rPr>
              <w:t>2</w:t>
            </w:r>
            <w:r>
              <w:rPr>
                <w:rFonts w:hint="eastAsia"/>
                <w:sz w:val="24"/>
                <w:szCs w:val="24"/>
                <w:highlight w:val="none"/>
                <w:lang w:val="zh-TW" w:eastAsia="zh-TW"/>
              </w:rPr>
              <w:t>年</w:t>
            </w:r>
            <w:r>
              <w:rPr>
                <w:rFonts w:ascii="宋体" w:hAnsi="宋体"/>
                <w:sz w:val="24"/>
                <w:szCs w:val="24"/>
                <w:highlight w:val="none"/>
              </w:rPr>
              <w:t>01</w:t>
            </w:r>
            <w:r>
              <w:rPr>
                <w:rFonts w:hint="eastAsia"/>
                <w:sz w:val="24"/>
                <w:szCs w:val="24"/>
                <w:highlight w:val="none"/>
                <w:lang w:val="zh-TW" w:eastAsia="zh-TW"/>
              </w:rPr>
              <w:t>月</w:t>
            </w:r>
            <w:r>
              <w:rPr>
                <w:rFonts w:ascii="宋体" w:hAnsi="宋体"/>
                <w:sz w:val="24"/>
                <w:szCs w:val="24"/>
                <w:highlight w:val="none"/>
              </w:rPr>
              <w:t>01</w:t>
            </w:r>
            <w:r>
              <w:rPr>
                <w:rFonts w:hint="eastAsia"/>
                <w:sz w:val="24"/>
                <w:szCs w:val="24"/>
                <w:highlight w:val="none"/>
                <w:lang w:val="zh-TW" w:eastAsia="zh-TW"/>
              </w:rPr>
              <w:t>日至今（以签订合同时间为准）的同类展览陈列项目，每提供一个得</w:t>
            </w:r>
            <w:r>
              <w:rPr>
                <w:sz w:val="24"/>
                <w:szCs w:val="24"/>
                <w:highlight w:val="none"/>
                <w:lang w:val="zh-TW" w:eastAsia="zh-TW"/>
              </w:rPr>
              <w:t>2</w:t>
            </w:r>
            <w:r>
              <w:rPr>
                <w:rFonts w:hint="eastAsia"/>
                <w:sz w:val="24"/>
                <w:szCs w:val="24"/>
                <w:highlight w:val="none"/>
                <w:lang w:val="zh-TW" w:eastAsia="zh-TW"/>
              </w:rPr>
              <w:t>分，证明材料须提供合同或项目验收证明文件；本项最高得</w:t>
            </w:r>
            <w:r>
              <w:rPr>
                <w:rFonts w:ascii="宋体" w:hAnsi="宋体"/>
                <w:sz w:val="24"/>
                <w:szCs w:val="24"/>
                <w:highlight w:val="none"/>
              </w:rPr>
              <w:t>10</w:t>
            </w:r>
            <w:r>
              <w:rPr>
                <w:rFonts w:hint="eastAsia"/>
                <w:sz w:val="24"/>
                <w:szCs w:val="24"/>
                <w:highlight w:val="none"/>
                <w:lang w:val="zh-TW" w:eastAsia="zh-TW"/>
              </w:rPr>
              <w:t>分。（需提供上述证明材料复印件或扫描件并加盖公章，未按要求提供证明材料的不得分）</w:t>
            </w:r>
          </w:p>
        </w:tc>
        <w:tc>
          <w:tcPr>
            <w:tcW w:w="850"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2E7F5AC2">
            <w:pPr>
              <w:jc w:val="center"/>
              <w:rPr>
                <w:highlight w:val="none"/>
              </w:rPr>
            </w:pPr>
            <w:r>
              <w:rPr>
                <w:rFonts w:ascii="宋体" w:hAnsi="宋体"/>
                <w:sz w:val="24"/>
                <w:szCs w:val="24"/>
                <w:highlight w:val="none"/>
              </w:rPr>
              <w:t>10</w:t>
            </w:r>
            <w:r>
              <w:rPr>
                <w:rFonts w:hint="eastAsia"/>
                <w:sz w:val="24"/>
                <w:szCs w:val="24"/>
                <w:highlight w:val="none"/>
                <w:lang w:val="zh-TW" w:eastAsia="zh-TW"/>
              </w:rPr>
              <w:t>分</w:t>
            </w:r>
          </w:p>
        </w:tc>
      </w:tr>
      <w:tr w14:paraId="095B96A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6" w:hRule="atLeast"/>
        </w:trPr>
        <w:tc>
          <w:tcPr>
            <w:tcW w:w="1276" w:type="dxa"/>
            <w:vMerge w:val="continue"/>
            <w:tcBorders>
              <w:top w:val="single" w:color="000000" w:sz="4" w:space="0"/>
              <w:left w:val="single" w:color="000000" w:sz="4" w:space="0"/>
              <w:bottom w:val="single" w:color="000000" w:sz="4" w:space="0"/>
              <w:right w:val="single" w:color="000000" w:sz="4" w:space="0"/>
            </w:tcBorders>
          </w:tcPr>
          <w:p w14:paraId="732E1E97">
            <w:pPr>
              <w:rPr>
                <w:highlight w:val="none"/>
              </w:rPr>
            </w:pPr>
          </w:p>
        </w:tc>
        <w:tc>
          <w:tcPr>
            <w:tcW w:w="708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74CE9F6F">
            <w:pPr>
              <w:rPr>
                <w:rFonts w:hint="eastAsia" w:ascii="宋体" w:hAnsi="宋体"/>
                <w:spacing w:val="-20"/>
                <w:sz w:val="24"/>
                <w:szCs w:val="24"/>
                <w:highlight w:val="none"/>
              </w:rPr>
            </w:pPr>
            <w:r>
              <w:rPr>
                <w:rFonts w:hint="eastAsia" w:ascii="宋体" w:hAnsi="宋体"/>
                <w:spacing w:val="-20"/>
                <w:sz w:val="24"/>
                <w:szCs w:val="24"/>
                <w:highlight w:val="none"/>
                <w:lang w:val="en-US" w:eastAsia="zh-CN"/>
              </w:rPr>
              <w:t>2</w:t>
            </w:r>
            <w:r>
              <w:rPr>
                <w:rFonts w:hint="eastAsia" w:ascii="宋体" w:hAnsi="宋体"/>
                <w:spacing w:val="-20"/>
                <w:sz w:val="24"/>
                <w:szCs w:val="24"/>
                <w:highlight w:val="none"/>
              </w:rPr>
              <w:t>、证书</w:t>
            </w:r>
          </w:p>
          <w:p w14:paraId="35C766BA">
            <w:pPr>
              <w:rPr>
                <w:rFonts w:hint="eastAsia" w:ascii="宋体" w:hAnsi="宋体"/>
                <w:sz w:val="24"/>
                <w:szCs w:val="24"/>
                <w:highlight w:val="none"/>
                <w:lang w:val="zh-TW" w:eastAsia="zh-TW"/>
              </w:rPr>
            </w:pPr>
            <w:r>
              <w:rPr>
                <w:rFonts w:hint="eastAsia" w:ascii="宋体" w:hAnsi="宋体"/>
                <w:sz w:val="24"/>
                <w:szCs w:val="24"/>
                <w:highlight w:val="none"/>
                <w:lang w:val="zh-TW" w:eastAsia="zh-TW"/>
              </w:rPr>
              <w:t>（1）</w:t>
            </w:r>
            <w:r>
              <w:rPr>
                <w:rFonts w:hint="eastAsia" w:ascii="宋体" w:hAnsi="宋体"/>
                <w:sz w:val="24"/>
                <w:szCs w:val="24"/>
                <w:highlight w:val="none"/>
                <w:lang w:val="zh-TW" w:eastAsia="zh-CN"/>
              </w:rPr>
              <w:t>供应商</w:t>
            </w:r>
            <w:r>
              <w:rPr>
                <w:rFonts w:hint="eastAsia" w:ascii="宋体" w:hAnsi="宋体"/>
                <w:sz w:val="24"/>
                <w:szCs w:val="24"/>
                <w:highlight w:val="none"/>
                <w:lang w:val="zh-TW" w:eastAsia="zh-TW"/>
              </w:rPr>
              <w:t>具有提供质量管理体系证书，得</w:t>
            </w:r>
            <w:r>
              <w:rPr>
                <w:rFonts w:hint="eastAsia" w:ascii="宋体" w:hAnsi="宋体"/>
                <w:sz w:val="24"/>
                <w:szCs w:val="24"/>
                <w:highlight w:val="none"/>
                <w:lang w:val="zh-TW"/>
              </w:rPr>
              <w:t>4</w:t>
            </w:r>
            <w:r>
              <w:rPr>
                <w:rFonts w:hint="eastAsia" w:ascii="宋体" w:hAnsi="宋体"/>
                <w:sz w:val="24"/>
                <w:szCs w:val="24"/>
                <w:highlight w:val="none"/>
                <w:lang w:val="zh-TW" w:eastAsia="zh-TW"/>
              </w:rPr>
              <w:t>分。</w:t>
            </w:r>
          </w:p>
          <w:p w14:paraId="3DBCBBB9">
            <w:pPr>
              <w:rPr>
                <w:rFonts w:hint="eastAsia" w:ascii="宋体" w:hAnsi="宋体"/>
                <w:sz w:val="24"/>
                <w:szCs w:val="24"/>
                <w:highlight w:val="none"/>
                <w:lang w:val="zh-TW" w:eastAsia="zh-TW"/>
              </w:rPr>
            </w:pPr>
            <w:r>
              <w:rPr>
                <w:rFonts w:hint="eastAsia" w:ascii="宋体" w:hAnsi="宋体"/>
                <w:sz w:val="24"/>
                <w:szCs w:val="24"/>
                <w:highlight w:val="none"/>
                <w:lang w:val="zh-TW" w:eastAsia="zh-TW"/>
              </w:rPr>
              <w:t>（2）</w:t>
            </w:r>
            <w:r>
              <w:rPr>
                <w:rFonts w:hint="eastAsia" w:ascii="宋体" w:hAnsi="宋体"/>
                <w:sz w:val="24"/>
                <w:szCs w:val="24"/>
                <w:highlight w:val="none"/>
                <w:lang w:val="zh-TW" w:eastAsia="zh-CN"/>
              </w:rPr>
              <w:t>供应商</w:t>
            </w:r>
            <w:r>
              <w:rPr>
                <w:rFonts w:hint="eastAsia" w:ascii="宋体" w:hAnsi="宋体"/>
                <w:sz w:val="24"/>
                <w:szCs w:val="24"/>
                <w:highlight w:val="none"/>
                <w:lang w:val="zh-TW" w:eastAsia="zh-TW"/>
              </w:rPr>
              <w:t>具有环境管理体系认证证书，得2分。</w:t>
            </w:r>
          </w:p>
          <w:p w14:paraId="0C7A6CFF">
            <w:pPr>
              <w:rPr>
                <w:rFonts w:hint="eastAsia" w:ascii="宋体" w:hAnsi="宋体"/>
                <w:sz w:val="24"/>
                <w:szCs w:val="24"/>
                <w:highlight w:val="none"/>
                <w:lang w:val="zh-TW" w:eastAsia="zh-TW"/>
              </w:rPr>
            </w:pPr>
            <w:r>
              <w:rPr>
                <w:rFonts w:hint="eastAsia" w:ascii="宋体" w:hAnsi="宋体"/>
                <w:sz w:val="24"/>
                <w:szCs w:val="24"/>
                <w:highlight w:val="none"/>
                <w:lang w:val="zh-TW" w:eastAsia="zh-TW"/>
              </w:rPr>
              <w:t>（3）</w:t>
            </w:r>
            <w:r>
              <w:rPr>
                <w:rFonts w:hint="eastAsia" w:ascii="宋体" w:hAnsi="宋体"/>
                <w:sz w:val="24"/>
                <w:szCs w:val="24"/>
                <w:highlight w:val="none"/>
                <w:lang w:val="zh-TW" w:eastAsia="zh-CN"/>
              </w:rPr>
              <w:t>供应商</w:t>
            </w:r>
            <w:r>
              <w:rPr>
                <w:rFonts w:hint="eastAsia" w:ascii="宋体" w:hAnsi="宋体"/>
                <w:sz w:val="24"/>
                <w:szCs w:val="24"/>
                <w:highlight w:val="none"/>
                <w:lang w:val="zh-TW" w:eastAsia="zh-TW"/>
              </w:rPr>
              <w:t>具有职业健康安全管理体系认证证书，得2分。</w:t>
            </w:r>
          </w:p>
          <w:p w14:paraId="6BB8CF38">
            <w:pPr>
              <w:rPr>
                <w:rFonts w:hint="default" w:eastAsia="宋体"/>
                <w:highlight w:val="none"/>
                <w:lang w:val="en-US" w:eastAsia="zh-CN"/>
              </w:rPr>
            </w:pPr>
            <w:r>
              <w:rPr>
                <w:rFonts w:hint="eastAsia" w:ascii="宋体" w:hAnsi="宋体"/>
                <w:sz w:val="24"/>
                <w:szCs w:val="24"/>
                <w:highlight w:val="none"/>
                <w:lang w:val="en-US" w:eastAsia="zh-CN"/>
              </w:rPr>
              <w:t>需提供有效期内的上述证书，未按要求提供的不得分。</w:t>
            </w:r>
          </w:p>
        </w:tc>
        <w:tc>
          <w:tcPr>
            <w:tcW w:w="850"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01CBFAA7">
            <w:pPr>
              <w:jc w:val="center"/>
              <w:rPr>
                <w:highlight w:val="none"/>
              </w:rPr>
            </w:pPr>
            <w:r>
              <w:rPr>
                <w:rFonts w:hint="eastAsia" w:ascii="宋体" w:hAnsi="宋体"/>
                <w:sz w:val="24"/>
                <w:szCs w:val="24"/>
                <w:highlight w:val="none"/>
              </w:rPr>
              <w:t>8</w:t>
            </w:r>
            <w:r>
              <w:rPr>
                <w:rFonts w:hint="eastAsia"/>
                <w:sz w:val="24"/>
                <w:szCs w:val="24"/>
                <w:highlight w:val="none"/>
              </w:rPr>
              <w:t>分</w:t>
            </w:r>
          </w:p>
        </w:tc>
      </w:tr>
      <w:tr w14:paraId="23C6F0B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941" w:hRule="atLeast"/>
        </w:trPr>
        <w:tc>
          <w:tcPr>
            <w:tcW w:w="1276" w:type="dxa"/>
            <w:vMerge w:val="restart"/>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19AEA703">
            <w:pPr>
              <w:jc w:val="center"/>
              <w:rPr>
                <w:rFonts w:hint="eastAsia" w:ascii="宋体" w:hAnsi="宋体" w:cs="宋体"/>
                <w:sz w:val="24"/>
                <w:szCs w:val="24"/>
                <w:highlight w:val="none"/>
              </w:rPr>
            </w:pPr>
            <w:r>
              <w:rPr>
                <w:rFonts w:hint="eastAsia" w:ascii="宋体" w:hAnsi="宋体"/>
                <w:sz w:val="24"/>
                <w:szCs w:val="24"/>
                <w:highlight w:val="none"/>
                <w:lang w:val="zh-TW" w:eastAsia="zh-TW"/>
              </w:rPr>
              <w:t>技术</w:t>
            </w:r>
          </w:p>
          <w:p w14:paraId="5C49E69C">
            <w:pPr>
              <w:jc w:val="center"/>
              <w:rPr>
                <w:rFonts w:hint="eastAsia" w:ascii="宋体" w:hAnsi="宋体" w:cs="宋体"/>
                <w:sz w:val="24"/>
                <w:szCs w:val="24"/>
                <w:highlight w:val="none"/>
              </w:rPr>
            </w:pPr>
            <w:r>
              <w:rPr>
                <w:rFonts w:hint="eastAsia" w:ascii="宋体" w:hAnsi="宋体"/>
                <w:sz w:val="24"/>
                <w:szCs w:val="24"/>
                <w:highlight w:val="none"/>
                <w:lang w:val="zh-TW" w:eastAsia="zh-TW"/>
              </w:rPr>
              <w:t>部分</w:t>
            </w:r>
          </w:p>
          <w:p w14:paraId="1A20D909">
            <w:pPr>
              <w:jc w:val="center"/>
              <w:rPr>
                <w:rFonts w:hint="eastAsia" w:ascii="宋体" w:hAnsi="宋体"/>
                <w:highlight w:val="none"/>
              </w:rPr>
            </w:pPr>
            <w:r>
              <w:rPr>
                <w:rFonts w:hint="eastAsia" w:ascii="宋体" w:hAnsi="宋体"/>
                <w:sz w:val="24"/>
                <w:szCs w:val="24"/>
                <w:highlight w:val="none"/>
                <w:lang w:val="zh-TW" w:eastAsia="zh-TW"/>
              </w:rPr>
              <w:t>（</w:t>
            </w:r>
            <w:r>
              <w:rPr>
                <w:rFonts w:hint="eastAsia" w:ascii="宋体" w:hAnsi="宋体"/>
                <w:sz w:val="24"/>
                <w:szCs w:val="24"/>
                <w:highlight w:val="none"/>
              </w:rPr>
              <w:t>7</w:t>
            </w:r>
            <w:r>
              <w:rPr>
                <w:rFonts w:hint="eastAsia" w:ascii="宋体" w:hAnsi="宋体"/>
                <w:sz w:val="24"/>
                <w:szCs w:val="24"/>
                <w:highlight w:val="none"/>
                <w:lang w:val="en-US" w:eastAsia="zh-CN"/>
              </w:rPr>
              <w:t>2</w:t>
            </w:r>
            <w:r>
              <w:rPr>
                <w:rFonts w:hint="eastAsia" w:ascii="宋体" w:hAnsi="宋体"/>
                <w:sz w:val="24"/>
                <w:szCs w:val="24"/>
                <w:highlight w:val="none"/>
                <w:lang w:val="zh-TW" w:eastAsia="zh-TW"/>
              </w:rPr>
              <w:t>分）</w:t>
            </w:r>
          </w:p>
        </w:tc>
        <w:tc>
          <w:tcPr>
            <w:tcW w:w="708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24771196">
            <w:pPr>
              <w:numPr>
                <w:ilvl w:val="0"/>
                <w:numId w:val="4"/>
              </w:numPr>
              <w:spacing w:line="320" w:lineRule="exact"/>
              <w:rPr>
                <w:sz w:val="24"/>
                <w:szCs w:val="32"/>
                <w:highlight w:val="none"/>
              </w:rPr>
            </w:pPr>
            <w:r>
              <w:rPr>
                <w:rFonts w:hint="eastAsia"/>
                <w:sz w:val="24"/>
                <w:szCs w:val="32"/>
                <w:highlight w:val="none"/>
              </w:rPr>
              <w:t>设计内容：</w:t>
            </w:r>
          </w:p>
          <w:p w14:paraId="06EA78A5">
            <w:pPr>
              <w:spacing w:line="320" w:lineRule="exact"/>
              <w:rPr>
                <w:sz w:val="24"/>
                <w:szCs w:val="32"/>
                <w:highlight w:val="none"/>
              </w:rPr>
            </w:pPr>
            <w:r>
              <w:rPr>
                <w:rFonts w:hint="eastAsia"/>
                <w:sz w:val="24"/>
                <w:szCs w:val="32"/>
                <w:highlight w:val="none"/>
              </w:rPr>
              <w:t>（</w:t>
            </w:r>
            <w:r>
              <w:rPr>
                <w:sz w:val="24"/>
                <w:szCs w:val="32"/>
                <w:highlight w:val="none"/>
              </w:rPr>
              <w:t>1</w:t>
            </w:r>
            <w:r>
              <w:rPr>
                <w:rFonts w:hint="eastAsia"/>
                <w:sz w:val="24"/>
                <w:szCs w:val="32"/>
                <w:highlight w:val="none"/>
              </w:rPr>
              <w:t>）室内设计方案内容全面并完美符合实际情况，工程技术方案严谨合理、具有创新性实用性得</w:t>
            </w:r>
            <w:r>
              <w:rPr>
                <w:sz w:val="24"/>
                <w:szCs w:val="32"/>
                <w:highlight w:val="none"/>
              </w:rPr>
              <w:t>15</w:t>
            </w:r>
            <w:r>
              <w:rPr>
                <w:rFonts w:hint="eastAsia"/>
                <w:sz w:val="24"/>
                <w:szCs w:val="32"/>
                <w:highlight w:val="none"/>
              </w:rPr>
              <w:t>分；</w:t>
            </w:r>
          </w:p>
          <w:p w14:paraId="6C22FA8D">
            <w:pPr>
              <w:spacing w:line="320" w:lineRule="exact"/>
              <w:rPr>
                <w:sz w:val="24"/>
                <w:szCs w:val="32"/>
                <w:highlight w:val="none"/>
              </w:rPr>
            </w:pPr>
            <w:r>
              <w:rPr>
                <w:rFonts w:hint="eastAsia"/>
                <w:sz w:val="24"/>
                <w:szCs w:val="32"/>
                <w:highlight w:val="none"/>
              </w:rPr>
              <w:t>（</w:t>
            </w:r>
            <w:r>
              <w:rPr>
                <w:sz w:val="24"/>
                <w:szCs w:val="32"/>
                <w:highlight w:val="none"/>
              </w:rPr>
              <w:t>2</w:t>
            </w:r>
            <w:r>
              <w:rPr>
                <w:rFonts w:hint="eastAsia"/>
                <w:sz w:val="24"/>
                <w:szCs w:val="32"/>
                <w:highlight w:val="none"/>
              </w:rPr>
              <w:t>）室内设计方案内容较为全面并可符合实际情况，工程技术方案合理、有一定新意得</w:t>
            </w:r>
            <w:r>
              <w:rPr>
                <w:sz w:val="24"/>
                <w:szCs w:val="32"/>
                <w:highlight w:val="none"/>
              </w:rPr>
              <w:t>10</w:t>
            </w:r>
            <w:r>
              <w:rPr>
                <w:rFonts w:hint="eastAsia"/>
                <w:sz w:val="24"/>
                <w:szCs w:val="32"/>
                <w:highlight w:val="none"/>
              </w:rPr>
              <w:t>分；</w:t>
            </w:r>
          </w:p>
          <w:p w14:paraId="14F2DE4C">
            <w:pPr>
              <w:spacing w:line="320" w:lineRule="exact"/>
              <w:rPr>
                <w:sz w:val="24"/>
                <w:szCs w:val="32"/>
                <w:highlight w:val="none"/>
              </w:rPr>
            </w:pPr>
            <w:r>
              <w:rPr>
                <w:rFonts w:hint="eastAsia"/>
                <w:sz w:val="24"/>
                <w:szCs w:val="32"/>
                <w:highlight w:val="none"/>
              </w:rPr>
              <w:t>（</w:t>
            </w:r>
            <w:r>
              <w:rPr>
                <w:sz w:val="24"/>
                <w:szCs w:val="32"/>
                <w:highlight w:val="none"/>
              </w:rPr>
              <w:t>3</w:t>
            </w:r>
            <w:r>
              <w:rPr>
                <w:rFonts w:hint="eastAsia"/>
                <w:sz w:val="24"/>
                <w:szCs w:val="32"/>
                <w:highlight w:val="none"/>
              </w:rPr>
              <w:t>）室内设计方案内容可满足实际情况，工程技术方案一般、创新性有限得</w:t>
            </w:r>
            <w:r>
              <w:rPr>
                <w:sz w:val="24"/>
                <w:szCs w:val="32"/>
                <w:highlight w:val="none"/>
              </w:rPr>
              <w:t>5</w:t>
            </w:r>
            <w:r>
              <w:rPr>
                <w:rFonts w:hint="eastAsia"/>
                <w:sz w:val="24"/>
                <w:szCs w:val="32"/>
                <w:highlight w:val="none"/>
              </w:rPr>
              <w:t>分；</w:t>
            </w:r>
          </w:p>
          <w:p w14:paraId="0917F5FE">
            <w:pPr>
              <w:rPr>
                <w:rFonts w:hint="eastAsia" w:ascii="宋体" w:hAnsi="宋体"/>
                <w:highlight w:val="none"/>
              </w:rPr>
            </w:pPr>
            <w:r>
              <w:rPr>
                <w:rFonts w:hint="eastAsia"/>
                <w:sz w:val="24"/>
                <w:szCs w:val="32"/>
                <w:highlight w:val="none"/>
              </w:rPr>
              <w:t>（</w:t>
            </w:r>
            <w:r>
              <w:rPr>
                <w:sz w:val="24"/>
                <w:szCs w:val="32"/>
                <w:highlight w:val="none"/>
              </w:rPr>
              <w:t>4</w:t>
            </w:r>
            <w:r>
              <w:rPr>
                <w:rFonts w:hint="eastAsia"/>
                <w:sz w:val="24"/>
                <w:szCs w:val="32"/>
                <w:highlight w:val="none"/>
              </w:rPr>
              <w:t>）室内设计方案内容片面且脱离实际情况，工程技术方案较差、不具有创新性实用性不得分。</w:t>
            </w:r>
          </w:p>
        </w:tc>
        <w:tc>
          <w:tcPr>
            <w:tcW w:w="850"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7744C1AD">
            <w:pPr>
              <w:jc w:val="center"/>
              <w:rPr>
                <w:highlight w:val="none"/>
              </w:rPr>
            </w:pPr>
            <w:r>
              <w:rPr>
                <w:rFonts w:hint="eastAsia" w:ascii="宋体" w:hAnsi="宋体"/>
                <w:sz w:val="24"/>
                <w:szCs w:val="24"/>
                <w:highlight w:val="none"/>
              </w:rPr>
              <w:t>15</w:t>
            </w:r>
            <w:r>
              <w:rPr>
                <w:rFonts w:hint="eastAsia"/>
                <w:sz w:val="24"/>
                <w:szCs w:val="24"/>
                <w:highlight w:val="none"/>
                <w:lang w:val="zh-TW" w:eastAsia="zh-TW"/>
              </w:rPr>
              <w:t>分</w:t>
            </w:r>
          </w:p>
        </w:tc>
      </w:tr>
      <w:tr w14:paraId="34F5B6C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553" w:hRule="atLeast"/>
        </w:trPr>
        <w:tc>
          <w:tcPr>
            <w:tcW w:w="1276" w:type="dxa"/>
            <w:vMerge w:val="continue"/>
            <w:tcBorders>
              <w:top w:val="single" w:color="000000" w:sz="4" w:space="0"/>
              <w:left w:val="single" w:color="000000" w:sz="4" w:space="0"/>
              <w:bottom w:val="single" w:color="000000" w:sz="4" w:space="0"/>
              <w:right w:val="single" w:color="000000" w:sz="4" w:space="0"/>
            </w:tcBorders>
          </w:tcPr>
          <w:p w14:paraId="3ACC2BEF">
            <w:pPr>
              <w:rPr>
                <w:rFonts w:hint="eastAsia" w:ascii="宋体" w:hAnsi="宋体"/>
                <w:highlight w:val="none"/>
              </w:rPr>
            </w:pPr>
          </w:p>
        </w:tc>
        <w:tc>
          <w:tcPr>
            <w:tcW w:w="708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20B8DCA6">
            <w:pPr>
              <w:numPr>
                <w:ilvl w:val="0"/>
                <w:numId w:val="4"/>
              </w:numPr>
              <w:spacing w:line="320" w:lineRule="exact"/>
              <w:rPr>
                <w:sz w:val="24"/>
                <w:szCs w:val="32"/>
                <w:highlight w:val="none"/>
              </w:rPr>
            </w:pPr>
            <w:r>
              <w:rPr>
                <w:rFonts w:hint="eastAsia"/>
                <w:sz w:val="24"/>
                <w:szCs w:val="32"/>
                <w:highlight w:val="none"/>
              </w:rPr>
              <w:t>材料选型：根据方案的难易程度及可实施性，对展览展示物料质量与性能情况进行综合打分。</w:t>
            </w:r>
          </w:p>
          <w:p w14:paraId="688F7ECE">
            <w:pPr>
              <w:rPr>
                <w:sz w:val="24"/>
                <w:szCs w:val="32"/>
                <w:highlight w:val="none"/>
              </w:rPr>
            </w:pPr>
            <w:r>
              <w:rPr>
                <w:rFonts w:hint="eastAsia"/>
                <w:sz w:val="24"/>
                <w:szCs w:val="32"/>
                <w:highlight w:val="none"/>
              </w:rPr>
              <w:t>（</w:t>
            </w:r>
            <w:r>
              <w:rPr>
                <w:sz w:val="24"/>
                <w:szCs w:val="32"/>
                <w:highlight w:val="none"/>
              </w:rPr>
              <w:t>1</w:t>
            </w:r>
            <w:r>
              <w:rPr>
                <w:rFonts w:hint="eastAsia"/>
                <w:sz w:val="24"/>
                <w:szCs w:val="32"/>
                <w:highlight w:val="none"/>
              </w:rPr>
              <w:t>）展览展示物料及工程用料质量及性能优异，样式、材质、美观度、制作工艺品质高，具有持久耐用性、环保性、功能适配性，材质搭配合理得</w:t>
            </w:r>
            <w:r>
              <w:rPr>
                <w:sz w:val="24"/>
                <w:szCs w:val="32"/>
                <w:highlight w:val="none"/>
              </w:rPr>
              <w:t>1</w:t>
            </w:r>
            <w:r>
              <w:rPr>
                <w:rFonts w:hint="eastAsia"/>
                <w:sz w:val="24"/>
                <w:szCs w:val="32"/>
                <w:highlight w:val="none"/>
                <w:lang w:val="en-US" w:eastAsia="zh-CN"/>
              </w:rPr>
              <w:t>7</w:t>
            </w:r>
            <w:r>
              <w:rPr>
                <w:rFonts w:hint="eastAsia"/>
                <w:sz w:val="24"/>
                <w:szCs w:val="32"/>
                <w:highlight w:val="none"/>
              </w:rPr>
              <w:t>分；</w:t>
            </w:r>
          </w:p>
          <w:p w14:paraId="4E7EA68E">
            <w:pPr>
              <w:rPr>
                <w:sz w:val="24"/>
                <w:szCs w:val="32"/>
                <w:highlight w:val="none"/>
              </w:rPr>
            </w:pPr>
            <w:r>
              <w:rPr>
                <w:rFonts w:hint="eastAsia"/>
                <w:sz w:val="24"/>
                <w:szCs w:val="32"/>
                <w:highlight w:val="none"/>
              </w:rPr>
              <w:t>（</w:t>
            </w:r>
            <w:r>
              <w:rPr>
                <w:sz w:val="24"/>
                <w:szCs w:val="32"/>
                <w:highlight w:val="none"/>
              </w:rPr>
              <w:t>2</w:t>
            </w:r>
            <w:r>
              <w:rPr>
                <w:rFonts w:hint="eastAsia"/>
                <w:sz w:val="24"/>
                <w:szCs w:val="32"/>
                <w:highlight w:val="none"/>
              </w:rPr>
              <w:t>）展览展示物料及工程用料质量及性能一般，样式、材质、美观度、制作工艺品质中等，材质搭配一般合理得</w:t>
            </w:r>
            <w:r>
              <w:rPr>
                <w:sz w:val="24"/>
                <w:szCs w:val="32"/>
                <w:highlight w:val="none"/>
              </w:rPr>
              <w:t>1</w:t>
            </w:r>
            <w:r>
              <w:rPr>
                <w:rFonts w:hint="eastAsia"/>
                <w:sz w:val="24"/>
                <w:szCs w:val="32"/>
                <w:highlight w:val="none"/>
                <w:lang w:val="en-US" w:eastAsia="zh-CN"/>
              </w:rPr>
              <w:t>2</w:t>
            </w:r>
            <w:r>
              <w:rPr>
                <w:rFonts w:hint="eastAsia"/>
                <w:sz w:val="24"/>
                <w:szCs w:val="32"/>
                <w:highlight w:val="none"/>
              </w:rPr>
              <w:t>分；</w:t>
            </w:r>
          </w:p>
          <w:p w14:paraId="29769F00">
            <w:pPr>
              <w:pStyle w:val="23"/>
              <w:rPr>
                <w:rFonts w:hint="eastAsia"/>
                <w:color w:val="auto"/>
                <w:szCs w:val="32"/>
                <w:highlight w:val="none"/>
              </w:rPr>
            </w:pPr>
            <w:r>
              <w:rPr>
                <w:rFonts w:hint="eastAsia" w:ascii="Times New Roman" w:hAnsi="Times New Roman" w:cs="Times New Roman"/>
                <w:color w:val="auto"/>
                <w:kern w:val="2"/>
                <w:szCs w:val="32"/>
                <w:highlight w:val="none"/>
              </w:rPr>
              <w:t>（</w:t>
            </w:r>
            <w:r>
              <w:rPr>
                <w:rFonts w:ascii="Times New Roman" w:hAnsi="Times New Roman" w:cs="Times New Roman"/>
                <w:color w:val="auto"/>
                <w:kern w:val="2"/>
                <w:szCs w:val="32"/>
                <w:highlight w:val="none"/>
              </w:rPr>
              <w:t>3</w:t>
            </w:r>
            <w:r>
              <w:rPr>
                <w:rFonts w:hint="eastAsia"/>
                <w:color w:val="auto"/>
                <w:highlight w:val="none"/>
              </w:rPr>
              <w:t>）</w:t>
            </w:r>
            <w:r>
              <w:rPr>
                <w:rFonts w:hint="eastAsia"/>
                <w:color w:val="auto"/>
                <w:szCs w:val="32"/>
                <w:highlight w:val="none"/>
              </w:rPr>
              <w:t>展览展示物料及工程用料质量及性能应答简略或应答较差，样式、材质、美观度、制作工艺品质一般，材质搭配不合理得</w:t>
            </w:r>
            <w:r>
              <w:rPr>
                <w:rFonts w:hint="eastAsia"/>
                <w:color w:val="auto"/>
                <w:szCs w:val="32"/>
                <w:highlight w:val="none"/>
                <w:lang w:val="en-US" w:eastAsia="zh-CN"/>
              </w:rPr>
              <w:t>7</w:t>
            </w:r>
            <w:r>
              <w:rPr>
                <w:rFonts w:hint="eastAsia"/>
                <w:color w:val="auto"/>
                <w:szCs w:val="32"/>
                <w:highlight w:val="none"/>
              </w:rPr>
              <w:t>分。</w:t>
            </w:r>
          </w:p>
        </w:tc>
        <w:tc>
          <w:tcPr>
            <w:tcW w:w="850"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30C948AC">
            <w:pPr>
              <w:jc w:val="center"/>
              <w:rPr>
                <w:rFonts w:hint="eastAsia" w:ascii="宋体" w:hAnsi="宋体"/>
                <w:sz w:val="24"/>
                <w:szCs w:val="24"/>
                <w:highlight w:val="none"/>
              </w:rPr>
            </w:pPr>
            <w:r>
              <w:rPr>
                <w:rFonts w:hint="eastAsia" w:ascii="宋体" w:hAnsi="宋体"/>
                <w:sz w:val="24"/>
                <w:szCs w:val="24"/>
                <w:highlight w:val="none"/>
              </w:rPr>
              <w:t>1</w:t>
            </w:r>
            <w:r>
              <w:rPr>
                <w:rFonts w:hint="eastAsia" w:ascii="宋体" w:hAnsi="宋体"/>
                <w:sz w:val="24"/>
                <w:szCs w:val="24"/>
                <w:highlight w:val="none"/>
                <w:lang w:val="en-US" w:eastAsia="zh-CN"/>
              </w:rPr>
              <w:t>7</w:t>
            </w:r>
            <w:r>
              <w:rPr>
                <w:rFonts w:hint="eastAsia" w:ascii="宋体" w:hAnsi="宋体"/>
                <w:sz w:val="24"/>
                <w:szCs w:val="24"/>
                <w:highlight w:val="none"/>
              </w:rPr>
              <w:t>分</w:t>
            </w:r>
          </w:p>
        </w:tc>
      </w:tr>
      <w:tr w14:paraId="2FD7622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650" w:hRule="atLeast"/>
        </w:trPr>
        <w:tc>
          <w:tcPr>
            <w:tcW w:w="1276" w:type="dxa"/>
            <w:vMerge w:val="continue"/>
            <w:tcBorders>
              <w:top w:val="single" w:color="000000" w:sz="4" w:space="0"/>
              <w:left w:val="single" w:color="000000" w:sz="4" w:space="0"/>
              <w:bottom w:val="single" w:color="000000" w:sz="4" w:space="0"/>
              <w:right w:val="single" w:color="000000" w:sz="4" w:space="0"/>
            </w:tcBorders>
          </w:tcPr>
          <w:p w14:paraId="220DD22F">
            <w:pPr>
              <w:rPr>
                <w:rFonts w:hint="eastAsia" w:ascii="宋体" w:hAnsi="宋体"/>
                <w:highlight w:val="none"/>
              </w:rPr>
            </w:pPr>
          </w:p>
        </w:tc>
        <w:tc>
          <w:tcPr>
            <w:tcW w:w="708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50C33918">
            <w:pPr>
              <w:numPr>
                <w:ilvl w:val="0"/>
                <w:numId w:val="4"/>
              </w:numPr>
              <w:spacing w:line="320" w:lineRule="exact"/>
              <w:rPr>
                <w:sz w:val="24"/>
                <w:szCs w:val="32"/>
                <w:highlight w:val="none"/>
              </w:rPr>
            </w:pPr>
            <w:r>
              <w:rPr>
                <w:rFonts w:hint="eastAsia"/>
                <w:sz w:val="24"/>
                <w:szCs w:val="32"/>
                <w:highlight w:val="none"/>
              </w:rPr>
              <w:t>施工方法、主要施工管理措施：根据主要施工方法、主要施工管理措施、结合施工平面图内容提供的施工方案应答进行综合打分。应包含施工进度安排、关键工艺细节，以及确保道路清洁通畅、来往人员安全、施工安全的保障措施等。</w:t>
            </w:r>
          </w:p>
          <w:p w14:paraId="6C723ABD">
            <w:pPr>
              <w:rPr>
                <w:rFonts w:hint="eastAsia" w:ascii="宋体" w:hAnsi="宋体" w:cs="PingFang SC Regular"/>
                <w:sz w:val="24"/>
                <w:szCs w:val="24"/>
                <w:highlight w:val="none"/>
              </w:rPr>
            </w:pPr>
            <w:r>
              <w:rPr>
                <w:rFonts w:hint="eastAsia" w:ascii="宋体" w:hAnsi="宋体"/>
                <w:sz w:val="24"/>
                <w:szCs w:val="24"/>
                <w:highlight w:val="none"/>
                <w:lang w:val="zh-TW" w:eastAsia="zh-TW"/>
              </w:rPr>
              <w:t>（</w:t>
            </w:r>
            <w:r>
              <w:rPr>
                <w:rFonts w:ascii="宋体" w:hAnsi="宋体"/>
                <w:sz w:val="24"/>
                <w:szCs w:val="24"/>
                <w:highlight w:val="none"/>
                <w:lang w:val="zh-TW" w:eastAsia="zh-TW"/>
              </w:rPr>
              <w:t>1</w:t>
            </w:r>
            <w:r>
              <w:rPr>
                <w:rFonts w:hint="eastAsia" w:ascii="宋体" w:hAnsi="宋体"/>
                <w:sz w:val="24"/>
                <w:szCs w:val="24"/>
                <w:highlight w:val="none"/>
                <w:lang w:val="zh-TW" w:eastAsia="zh-TW"/>
              </w:rPr>
              <w:t>）施工方法、主要施工管理措施应答详尽科学，切实可行，施工方案合理完善，对本项目的特点针对性强得</w:t>
            </w:r>
            <w:r>
              <w:rPr>
                <w:rFonts w:ascii="宋体" w:hAnsi="宋体"/>
                <w:sz w:val="24"/>
                <w:szCs w:val="24"/>
                <w:highlight w:val="none"/>
                <w:lang w:val="zh-TW" w:eastAsia="zh-TW"/>
              </w:rPr>
              <w:t>1</w:t>
            </w:r>
            <w:r>
              <w:rPr>
                <w:rFonts w:hint="eastAsia" w:ascii="宋体" w:hAnsi="宋体"/>
                <w:sz w:val="24"/>
                <w:szCs w:val="24"/>
                <w:highlight w:val="none"/>
                <w:lang w:val="zh-TW" w:eastAsia="zh-TW"/>
              </w:rPr>
              <w:t>0分；</w:t>
            </w:r>
          </w:p>
          <w:p w14:paraId="75444983">
            <w:pPr>
              <w:rPr>
                <w:rFonts w:hint="eastAsia" w:ascii="宋体" w:hAnsi="宋体"/>
                <w:sz w:val="24"/>
                <w:szCs w:val="24"/>
                <w:highlight w:val="none"/>
              </w:rPr>
            </w:pPr>
            <w:r>
              <w:rPr>
                <w:rFonts w:hint="eastAsia" w:ascii="宋体" w:hAnsi="宋体"/>
                <w:sz w:val="24"/>
                <w:szCs w:val="24"/>
                <w:highlight w:val="none"/>
                <w:lang w:val="zh-TW" w:eastAsia="zh-TW"/>
              </w:rPr>
              <w:t>（2）施工方法、主要施工管理措施应答一般，具有可行性，施工方案较为合理，对本项目的特点有一定针对性得5分</w:t>
            </w:r>
            <w:r>
              <w:rPr>
                <w:rFonts w:hint="eastAsia" w:ascii="宋体" w:hAnsi="宋体"/>
                <w:sz w:val="24"/>
                <w:szCs w:val="24"/>
                <w:highlight w:val="none"/>
                <w:lang w:val="zh-TW"/>
              </w:rPr>
              <w:t>；</w:t>
            </w:r>
          </w:p>
          <w:p w14:paraId="57C5134F">
            <w:pPr>
              <w:rPr>
                <w:rFonts w:hint="eastAsia" w:ascii="宋体" w:hAnsi="宋体" w:cs="PingFang SC Regular"/>
                <w:sz w:val="24"/>
                <w:szCs w:val="24"/>
                <w:highlight w:val="none"/>
              </w:rPr>
            </w:pPr>
            <w:r>
              <w:rPr>
                <w:rFonts w:hint="eastAsia" w:ascii="宋体" w:hAnsi="宋体"/>
                <w:sz w:val="24"/>
                <w:szCs w:val="24"/>
                <w:highlight w:val="none"/>
                <w:lang w:val="zh-TW" w:eastAsia="zh-TW"/>
              </w:rPr>
              <w:t>（3）施工方法、主要施工管理措施应答较差，可行性差，施工方案不合理，对本项目的特点无针对性得1分</w:t>
            </w:r>
            <w:r>
              <w:rPr>
                <w:rFonts w:hint="eastAsia" w:ascii="宋体" w:hAnsi="宋体"/>
                <w:sz w:val="24"/>
                <w:szCs w:val="24"/>
                <w:highlight w:val="none"/>
                <w:lang w:val="zh-TW"/>
              </w:rPr>
              <w:t>；</w:t>
            </w:r>
          </w:p>
          <w:p w14:paraId="1089780A">
            <w:pPr>
              <w:rPr>
                <w:rFonts w:hint="eastAsia" w:ascii="宋体" w:hAnsi="宋体"/>
                <w:highlight w:val="none"/>
              </w:rPr>
            </w:pPr>
            <w:r>
              <w:rPr>
                <w:rFonts w:hint="eastAsia" w:ascii="宋体" w:hAnsi="宋体"/>
                <w:sz w:val="24"/>
                <w:szCs w:val="24"/>
                <w:highlight w:val="none"/>
                <w:lang w:val="zh-TW" w:eastAsia="zh-TW"/>
              </w:rPr>
              <w:t>（4）以上内容均未提供，应答内容缺失严重不得分。</w:t>
            </w:r>
          </w:p>
        </w:tc>
        <w:tc>
          <w:tcPr>
            <w:tcW w:w="850"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32F9AFBB">
            <w:pPr>
              <w:jc w:val="center"/>
              <w:rPr>
                <w:highlight w:val="none"/>
              </w:rPr>
            </w:pPr>
            <w:r>
              <w:rPr>
                <w:rFonts w:ascii="宋体" w:hAnsi="宋体"/>
                <w:sz w:val="24"/>
                <w:szCs w:val="24"/>
                <w:highlight w:val="none"/>
              </w:rPr>
              <w:t>1</w:t>
            </w:r>
            <w:r>
              <w:rPr>
                <w:rFonts w:hint="eastAsia" w:ascii="宋体" w:hAnsi="宋体"/>
                <w:sz w:val="24"/>
                <w:szCs w:val="24"/>
                <w:highlight w:val="none"/>
              </w:rPr>
              <w:t>0</w:t>
            </w:r>
            <w:r>
              <w:rPr>
                <w:rFonts w:hint="eastAsia"/>
                <w:sz w:val="24"/>
                <w:szCs w:val="24"/>
                <w:highlight w:val="none"/>
                <w:lang w:val="zh-TW" w:eastAsia="zh-TW"/>
              </w:rPr>
              <w:t>分</w:t>
            </w:r>
          </w:p>
        </w:tc>
      </w:tr>
      <w:tr w14:paraId="560DFEB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3370" w:hRule="atLeast"/>
        </w:trPr>
        <w:tc>
          <w:tcPr>
            <w:tcW w:w="1276" w:type="dxa"/>
            <w:vMerge w:val="continue"/>
            <w:tcBorders>
              <w:top w:val="single" w:color="000000" w:sz="4" w:space="0"/>
              <w:left w:val="single" w:color="000000" w:sz="4" w:space="0"/>
              <w:bottom w:val="single" w:color="000000" w:sz="4" w:space="0"/>
              <w:right w:val="single" w:color="000000" w:sz="4" w:space="0"/>
            </w:tcBorders>
          </w:tcPr>
          <w:p w14:paraId="74DCC44F">
            <w:pPr>
              <w:rPr>
                <w:rFonts w:hint="eastAsia" w:ascii="宋体" w:hAnsi="宋体"/>
                <w:highlight w:val="none"/>
              </w:rPr>
            </w:pPr>
          </w:p>
        </w:tc>
        <w:tc>
          <w:tcPr>
            <w:tcW w:w="708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5464049B">
            <w:pPr>
              <w:rPr>
                <w:rFonts w:hint="eastAsia" w:ascii="宋体" w:hAnsi="宋体"/>
                <w:sz w:val="24"/>
                <w:szCs w:val="24"/>
                <w:highlight w:val="none"/>
              </w:rPr>
            </w:pPr>
            <w:r>
              <w:rPr>
                <w:rFonts w:hint="eastAsia" w:ascii="宋体" w:hAnsi="宋体"/>
                <w:sz w:val="24"/>
                <w:szCs w:val="24"/>
                <w:highlight w:val="none"/>
                <w:lang w:val="zh-TW" w:eastAsia="zh-TW"/>
              </w:rPr>
              <w:t>4、安全与文明施工方面：</w:t>
            </w:r>
          </w:p>
          <w:p w14:paraId="1C119C88">
            <w:pPr>
              <w:rPr>
                <w:rFonts w:hint="eastAsia" w:ascii="宋体" w:hAnsi="宋体"/>
                <w:sz w:val="24"/>
                <w:szCs w:val="24"/>
                <w:highlight w:val="none"/>
              </w:rPr>
            </w:pPr>
            <w:r>
              <w:rPr>
                <w:rFonts w:hint="eastAsia" w:ascii="宋体" w:hAnsi="宋体"/>
                <w:sz w:val="24"/>
                <w:szCs w:val="24"/>
                <w:highlight w:val="none"/>
                <w:lang w:val="zh-TW" w:eastAsia="zh-TW"/>
              </w:rPr>
              <w:t>（</w:t>
            </w:r>
            <w:r>
              <w:rPr>
                <w:rFonts w:ascii="宋体" w:hAnsi="宋体"/>
                <w:sz w:val="24"/>
                <w:szCs w:val="24"/>
                <w:highlight w:val="none"/>
                <w:lang w:val="zh-TW" w:eastAsia="zh-TW"/>
              </w:rPr>
              <w:t>1</w:t>
            </w:r>
            <w:r>
              <w:rPr>
                <w:rFonts w:hint="eastAsia" w:ascii="宋体" w:hAnsi="宋体"/>
                <w:sz w:val="24"/>
                <w:szCs w:val="24"/>
                <w:highlight w:val="none"/>
                <w:lang w:val="zh-TW" w:eastAsia="zh-TW"/>
              </w:rPr>
              <w:t>）安全、文明施工措施完善可行；机械设备安全管理措施全面得当；用电安全措施全面得当；环境保护措施科学可行；场地治安、防火措施完善可靠得</w:t>
            </w:r>
            <w:r>
              <w:rPr>
                <w:rFonts w:hint="eastAsia" w:ascii="宋体" w:hAnsi="宋体"/>
                <w:sz w:val="24"/>
                <w:szCs w:val="24"/>
                <w:highlight w:val="none"/>
              </w:rPr>
              <w:t>10</w:t>
            </w:r>
            <w:r>
              <w:rPr>
                <w:rFonts w:hint="eastAsia" w:ascii="宋体" w:hAnsi="宋体"/>
                <w:sz w:val="24"/>
                <w:szCs w:val="24"/>
                <w:highlight w:val="none"/>
                <w:lang w:val="zh-TW" w:eastAsia="zh-TW"/>
              </w:rPr>
              <w:t>分；</w:t>
            </w:r>
          </w:p>
          <w:p w14:paraId="6AAEC84C">
            <w:pPr>
              <w:rPr>
                <w:rFonts w:hint="eastAsia" w:ascii="宋体" w:hAnsi="宋体"/>
                <w:sz w:val="24"/>
                <w:szCs w:val="24"/>
                <w:highlight w:val="none"/>
              </w:rPr>
            </w:pPr>
            <w:r>
              <w:rPr>
                <w:rFonts w:hint="eastAsia" w:ascii="宋体" w:hAnsi="宋体"/>
                <w:sz w:val="24"/>
                <w:szCs w:val="24"/>
                <w:highlight w:val="none"/>
                <w:lang w:val="zh-TW" w:eastAsia="zh-TW"/>
              </w:rPr>
              <w:t>（</w:t>
            </w:r>
            <w:r>
              <w:rPr>
                <w:rFonts w:ascii="宋体" w:hAnsi="宋体"/>
                <w:sz w:val="24"/>
                <w:szCs w:val="24"/>
                <w:highlight w:val="none"/>
                <w:lang w:val="zh-TW" w:eastAsia="zh-TW"/>
              </w:rPr>
              <w:t>2</w:t>
            </w:r>
            <w:r>
              <w:rPr>
                <w:rFonts w:hint="eastAsia" w:ascii="宋体" w:hAnsi="宋体"/>
                <w:sz w:val="24"/>
                <w:szCs w:val="24"/>
                <w:highlight w:val="none"/>
                <w:lang w:val="zh-TW" w:eastAsia="zh-TW"/>
              </w:rPr>
              <w:t>）安全、文明施工措施较为可行；机械设备安全管理措施得当；用电安全措施较为得当；环境保护措施较为可行；场地治安、防火措施较为可靠得6分；</w:t>
            </w:r>
          </w:p>
          <w:p w14:paraId="4E4702F8">
            <w:pPr>
              <w:rPr>
                <w:rFonts w:hint="eastAsia" w:ascii="宋体" w:hAnsi="宋体"/>
                <w:sz w:val="24"/>
                <w:szCs w:val="24"/>
                <w:highlight w:val="none"/>
              </w:rPr>
            </w:pPr>
            <w:r>
              <w:rPr>
                <w:rFonts w:hint="eastAsia" w:ascii="宋体" w:hAnsi="宋体"/>
                <w:sz w:val="24"/>
                <w:szCs w:val="24"/>
                <w:highlight w:val="none"/>
                <w:lang w:val="zh-TW" w:eastAsia="zh-TW"/>
              </w:rPr>
              <w:t>（</w:t>
            </w:r>
            <w:r>
              <w:rPr>
                <w:rFonts w:ascii="宋体" w:hAnsi="宋体"/>
                <w:sz w:val="24"/>
                <w:szCs w:val="24"/>
                <w:highlight w:val="none"/>
                <w:lang w:val="zh-TW" w:eastAsia="zh-TW"/>
              </w:rPr>
              <w:t>3</w:t>
            </w:r>
            <w:r>
              <w:rPr>
                <w:rFonts w:hint="eastAsia" w:ascii="宋体" w:hAnsi="宋体"/>
                <w:sz w:val="24"/>
                <w:szCs w:val="24"/>
                <w:highlight w:val="none"/>
                <w:lang w:val="zh-TW" w:eastAsia="zh-TW"/>
              </w:rPr>
              <w:t>）安全、文明施工措施应答不完善不可行；机械设备安全管理措施不全面不得当；用电安全措施不完善不得当；环境保护措施科学不全面不可行；场地治安、防火措施不完善不可靠得</w:t>
            </w:r>
            <w:r>
              <w:rPr>
                <w:rFonts w:hint="eastAsia" w:ascii="宋体" w:hAnsi="宋体"/>
                <w:sz w:val="24"/>
                <w:szCs w:val="24"/>
                <w:highlight w:val="none"/>
              </w:rPr>
              <w:t>2</w:t>
            </w:r>
            <w:r>
              <w:rPr>
                <w:rFonts w:hint="eastAsia" w:ascii="宋体" w:hAnsi="宋体"/>
                <w:sz w:val="24"/>
                <w:szCs w:val="24"/>
                <w:highlight w:val="none"/>
                <w:lang w:val="zh-TW" w:eastAsia="zh-TW"/>
              </w:rPr>
              <w:t>分；</w:t>
            </w:r>
          </w:p>
          <w:p w14:paraId="1549CB7F">
            <w:pPr>
              <w:rPr>
                <w:rFonts w:hint="eastAsia" w:ascii="宋体" w:hAnsi="宋体"/>
                <w:highlight w:val="none"/>
              </w:rPr>
            </w:pPr>
            <w:r>
              <w:rPr>
                <w:rFonts w:hint="eastAsia" w:ascii="宋体" w:hAnsi="宋体"/>
                <w:sz w:val="24"/>
                <w:szCs w:val="24"/>
                <w:highlight w:val="none"/>
                <w:lang w:val="zh-TW" w:eastAsia="zh-TW"/>
              </w:rPr>
              <w:t>（</w:t>
            </w:r>
            <w:r>
              <w:rPr>
                <w:rFonts w:ascii="宋体" w:hAnsi="宋体"/>
                <w:sz w:val="24"/>
                <w:szCs w:val="24"/>
                <w:highlight w:val="none"/>
                <w:lang w:val="zh-TW" w:eastAsia="zh-TW"/>
              </w:rPr>
              <w:t>4</w:t>
            </w:r>
            <w:r>
              <w:rPr>
                <w:rFonts w:hint="eastAsia" w:ascii="宋体" w:hAnsi="宋体"/>
                <w:sz w:val="24"/>
                <w:szCs w:val="24"/>
                <w:highlight w:val="none"/>
                <w:lang w:val="zh-TW" w:eastAsia="zh-TW"/>
              </w:rPr>
              <w:t>）以上内容任意一项未应答不得分。</w:t>
            </w:r>
          </w:p>
        </w:tc>
        <w:tc>
          <w:tcPr>
            <w:tcW w:w="850"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4B109416">
            <w:pPr>
              <w:jc w:val="center"/>
              <w:rPr>
                <w:highlight w:val="none"/>
              </w:rPr>
            </w:pPr>
            <w:r>
              <w:rPr>
                <w:rFonts w:hint="eastAsia" w:ascii="宋体" w:hAnsi="宋体"/>
                <w:sz w:val="24"/>
                <w:szCs w:val="24"/>
                <w:highlight w:val="none"/>
              </w:rPr>
              <w:t>10</w:t>
            </w:r>
            <w:r>
              <w:rPr>
                <w:rFonts w:hint="eastAsia"/>
                <w:sz w:val="24"/>
                <w:szCs w:val="24"/>
                <w:highlight w:val="none"/>
                <w:lang w:val="zh-TW" w:eastAsia="zh-TW"/>
              </w:rPr>
              <w:t>分</w:t>
            </w:r>
          </w:p>
        </w:tc>
      </w:tr>
      <w:tr w14:paraId="7402D45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600" w:hRule="atLeast"/>
        </w:trPr>
        <w:tc>
          <w:tcPr>
            <w:tcW w:w="1276" w:type="dxa"/>
            <w:vMerge w:val="continue"/>
            <w:tcBorders>
              <w:top w:val="single" w:color="000000" w:sz="4" w:space="0"/>
              <w:left w:val="single" w:color="000000" w:sz="4" w:space="0"/>
              <w:bottom w:val="single" w:color="000000" w:sz="4" w:space="0"/>
              <w:right w:val="single" w:color="000000" w:sz="4" w:space="0"/>
            </w:tcBorders>
          </w:tcPr>
          <w:p w14:paraId="71F25DF7">
            <w:pPr>
              <w:rPr>
                <w:rFonts w:hint="eastAsia" w:ascii="宋体" w:hAnsi="宋体"/>
                <w:highlight w:val="none"/>
              </w:rPr>
            </w:pPr>
          </w:p>
        </w:tc>
        <w:tc>
          <w:tcPr>
            <w:tcW w:w="708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7A0BCD9B">
            <w:pPr>
              <w:rPr>
                <w:rFonts w:hint="eastAsia" w:ascii="宋体" w:hAnsi="宋体"/>
                <w:sz w:val="24"/>
                <w:szCs w:val="24"/>
                <w:highlight w:val="none"/>
              </w:rPr>
            </w:pPr>
            <w:r>
              <w:rPr>
                <w:rFonts w:hint="eastAsia" w:ascii="宋体" w:hAnsi="宋体"/>
                <w:sz w:val="24"/>
                <w:szCs w:val="24"/>
                <w:highlight w:val="none"/>
                <w:lang w:val="zh-TW" w:eastAsia="zh-TW"/>
              </w:rPr>
              <w:t>5、人员配备及施工机械工具配备：</w:t>
            </w:r>
          </w:p>
          <w:p w14:paraId="31DB9D55">
            <w:pPr>
              <w:rPr>
                <w:rFonts w:hint="eastAsia" w:ascii="宋体" w:hAnsi="宋体" w:cs="PingFang SC Regular"/>
                <w:sz w:val="24"/>
                <w:szCs w:val="24"/>
                <w:highlight w:val="none"/>
              </w:rPr>
            </w:pPr>
            <w:r>
              <w:rPr>
                <w:rFonts w:hint="eastAsia" w:ascii="宋体" w:hAnsi="宋体"/>
                <w:sz w:val="24"/>
                <w:szCs w:val="24"/>
                <w:highlight w:val="none"/>
                <w:lang w:val="zh-TW" w:eastAsia="zh-TW"/>
              </w:rPr>
              <w:t>（1）人员配备完整充足且专业能力强，施工机械及工具完备，完全满足项目需求得</w:t>
            </w:r>
            <w:r>
              <w:rPr>
                <w:rFonts w:hint="eastAsia" w:ascii="宋体" w:hAnsi="宋体"/>
                <w:sz w:val="24"/>
                <w:szCs w:val="24"/>
                <w:highlight w:val="none"/>
              </w:rPr>
              <w:t>10</w:t>
            </w:r>
            <w:r>
              <w:rPr>
                <w:rFonts w:hint="eastAsia" w:ascii="宋体" w:hAnsi="宋体"/>
                <w:sz w:val="24"/>
                <w:szCs w:val="24"/>
                <w:highlight w:val="none"/>
                <w:lang w:val="zh-TW" w:eastAsia="zh-TW"/>
              </w:rPr>
              <w:t>分；</w:t>
            </w:r>
          </w:p>
          <w:p w14:paraId="512FA09E">
            <w:pPr>
              <w:rPr>
                <w:rFonts w:hint="eastAsia" w:ascii="宋体" w:hAnsi="宋体" w:cs="PingFang SC Regular"/>
                <w:sz w:val="24"/>
                <w:szCs w:val="24"/>
                <w:highlight w:val="none"/>
              </w:rPr>
            </w:pPr>
            <w:r>
              <w:rPr>
                <w:rFonts w:hint="eastAsia" w:ascii="宋体" w:hAnsi="宋体"/>
                <w:sz w:val="24"/>
                <w:szCs w:val="24"/>
                <w:highlight w:val="none"/>
                <w:lang w:val="zh-TW" w:eastAsia="zh-TW"/>
              </w:rPr>
              <w:t>（</w:t>
            </w:r>
            <w:r>
              <w:rPr>
                <w:rFonts w:ascii="宋体" w:hAnsi="宋体"/>
                <w:sz w:val="24"/>
                <w:szCs w:val="24"/>
                <w:highlight w:val="none"/>
                <w:lang w:val="zh-TW" w:eastAsia="zh-TW"/>
              </w:rPr>
              <w:t>2</w:t>
            </w:r>
            <w:r>
              <w:rPr>
                <w:rFonts w:hint="eastAsia" w:ascii="宋体" w:hAnsi="宋体"/>
                <w:sz w:val="24"/>
                <w:szCs w:val="24"/>
                <w:highlight w:val="none"/>
                <w:lang w:val="zh-TW" w:eastAsia="zh-TW"/>
              </w:rPr>
              <w:t>）人员配备较为充足具有一定的能力，具有能够完成项目的施工机械及工具得</w:t>
            </w:r>
            <w:r>
              <w:rPr>
                <w:rFonts w:hint="eastAsia" w:ascii="宋体" w:hAnsi="宋体"/>
                <w:sz w:val="24"/>
                <w:szCs w:val="24"/>
                <w:highlight w:val="none"/>
              </w:rPr>
              <w:t>6</w:t>
            </w:r>
            <w:r>
              <w:rPr>
                <w:rFonts w:hint="eastAsia" w:ascii="宋体" w:hAnsi="宋体"/>
                <w:sz w:val="24"/>
                <w:szCs w:val="24"/>
                <w:highlight w:val="none"/>
                <w:lang w:val="zh-TW" w:eastAsia="zh-TW"/>
              </w:rPr>
              <w:t>分；</w:t>
            </w:r>
          </w:p>
          <w:p w14:paraId="2B31A5F7">
            <w:pPr>
              <w:rPr>
                <w:rFonts w:hint="eastAsia" w:ascii="宋体" w:hAnsi="宋体" w:cs="PingFang SC Regular"/>
                <w:sz w:val="24"/>
                <w:szCs w:val="24"/>
                <w:highlight w:val="none"/>
              </w:rPr>
            </w:pPr>
            <w:r>
              <w:rPr>
                <w:rFonts w:hint="eastAsia" w:ascii="宋体" w:hAnsi="宋体"/>
                <w:sz w:val="24"/>
                <w:szCs w:val="24"/>
                <w:highlight w:val="none"/>
                <w:lang w:val="zh-TW" w:eastAsia="zh-TW"/>
              </w:rPr>
              <w:t>（</w:t>
            </w:r>
            <w:r>
              <w:rPr>
                <w:rFonts w:ascii="宋体" w:hAnsi="宋体"/>
                <w:sz w:val="24"/>
                <w:szCs w:val="24"/>
                <w:highlight w:val="none"/>
                <w:lang w:val="zh-TW" w:eastAsia="zh-TW"/>
              </w:rPr>
              <w:t>3</w:t>
            </w:r>
            <w:r>
              <w:rPr>
                <w:rFonts w:hint="eastAsia" w:ascii="宋体" w:hAnsi="宋体"/>
                <w:sz w:val="24"/>
                <w:szCs w:val="24"/>
                <w:highlight w:val="none"/>
                <w:lang w:val="zh-TW" w:eastAsia="zh-TW"/>
              </w:rPr>
              <w:t>）人员配备一般，施工机械工具不够完备，得</w:t>
            </w:r>
            <w:r>
              <w:rPr>
                <w:rFonts w:ascii="宋体" w:hAnsi="宋体"/>
                <w:sz w:val="24"/>
                <w:szCs w:val="24"/>
                <w:highlight w:val="none"/>
                <w:lang w:val="zh-TW" w:eastAsia="zh-TW"/>
              </w:rPr>
              <w:t>2</w:t>
            </w:r>
            <w:r>
              <w:rPr>
                <w:rFonts w:hint="eastAsia" w:ascii="宋体" w:hAnsi="宋体"/>
                <w:sz w:val="24"/>
                <w:szCs w:val="24"/>
                <w:highlight w:val="none"/>
                <w:lang w:val="zh-TW" w:eastAsia="zh-TW"/>
              </w:rPr>
              <w:t>分；</w:t>
            </w:r>
          </w:p>
          <w:p w14:paraId="2AB8C308">
            <w:pPr>
              <w:rPr>
                <w:rFonts w:hint="eastAsia" w:ascii="宋体" w:hAnsi="宋体"/>
                <w:highlight w:val="none"/>
              </w:rPr>
            </w:pPr>
            <w:r>
              <w:rPr>
                <w:rFonts w:hint="eastAsia" w:ascii="宋体" w:hAnsi="宋体"/>
                <w:sz w:val="24"/>
                <w:szCs w:val="24"/>
                <w:highlight w:val="none"/>
                <w:lang w:val="zh-TW" w:eastAsia="zh-TW"/>
              </w:rPr>
              <w:t>（</w:t>
            </w:r>
            <w:r>
              <w:rPr>
                <w:rFonts w:ascii="宋体" w:hAnsi="宋体"/>
                <w:sz w:val="24"/>
                <w:szCs w:val="24"/>
                <w:highlight w:val="none"/>
                <w:lang w:val="zh-TW" w:eastAsia="zh-TW"/>
              </w:rPr>
              <w:t>4</w:t>
            </w:r>
            <w:r>
              <w:rPr>
                <w:rFonts w:hint="eastAsia" w:ascii="宋体" w:hAnsi="宋体"/>
                <w:sz w:val="24"/>
                <w:szCs w:val="24"/>
                <w:highlight w:val="none"/>
                <w:lang w:val="zh-TW" w:eastAsia="zh-TW"/>
              </w:rPr>
              <w:t>）未体现人员配备情况，无法看出具有满足项目需求的设备及工具的不得分。</w:t>
            </w:r>
          </w:p>
        </w:tc>
        <w:tc>
          <w:tcPr>
            <w:tcW w:w="850"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0D1EDCA1">
            <w:pPr>
              <w:jc w:val="center"/>
              <w:rPr>
                <w:highlight w:val="none"/>
              </w:rPr>
            </w:pPr>
            <w:r>
              <w:rPr>
                <w:rFonts w:hint="eastAsia" w:ascii="宋体" w:hAnsi="宋体"/>
                <w:sz w:val="24"/>
                <w:szCs w:val="24"/>
                <w:highlight w:val="none"/>
              </w:rPr>
              <w:t>10</w:t>
            </w:r>
            <w:r>
              <w:rPr>
                <w:rFonts w:hint="eastAsia"/>
                <w:sz w:val="24"/>
                <w:szCs w:val="24"/>
                <w:highlight w:val="none"/>
                <w:lang w:val="zh-TW" w:eastAsia="zh-TW"/>
              </w:rPr>
              <w:t>分</w:t>
            </w:r>
          </w:p>
        </w:tc>
      </w:tr>
      <w:tr w14:paraId="25662B0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2540" w:hRule="atLeast"/>
        </w:trPr>
        <w:tc>
          <w:tcPr>
            <w:tcW w:w="1276" w:type="dxa"/>
            <w:vMerge w:val="continue"/>
            <w:tcBorders>
              <w:top w:val="single" w:color="000000" w:sz="4" w:space="0"/>
              <w:left w:val="single" w:color="000000" w:sz="4" w:space="0"/>
              <w:bottom w:val="single" w:color="000000" w:sz="4" w:space="0"/>
              <w:right w:val="single" w:color="000000" w:sz="4" w:space="0"/>
            </w:tcBorders>
          </w:tcPr>
          <w:p w14:paraId="4B3CBD54">
            <w:pPr>
              <w:rPr>
                <w:highlight w:val="none"/>
              </w:rPr>
            </w:pPr>
          </w:p>
        </w:tc>
        <w:tc>
          <w:tcPr>
            <w:tcW w:w="7088"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7438299C">
            <w:pPr>
              <w:rPr>
                <w:rFonts w:hint="eastAsia" w:ascii="宋体" w:hAnsi="宋体"/>
                <w:sz w:val="24"/>
                <w:szCs w:val="24"/>
                <w:highlight w:val="none"/>
                <w:lang w:val="zh-TW" w:eastAsia="zh-TW"/>
              </w:rPr>
            </w:pPr>
            <w:r>
              <w:rPr>
                <w:rFonts w:hint="eastAsia" w:ascii="宋体" w:hAnsi="宋体"/>
                <w:sz w:val="24"/>
                <w:szCs w:val="24"/>
                <w:highlight w:val="none"/>
                <w:lang w:val="zh-TW" w:eastAsia="zh-TW"/>
              </w:rPr>
              <w:t>6、售后服务：本部分针对供应商提供的售后服务方案、应急响应时间进行综合打分。</w:t>
            </w:r>
          </w:p>
          <w:p w14:paraId="29A14DAB">
            <w:pPr>
              <w:rPr>
                <w:rFonts w:hint="eastAsia" w:ascii="宋体" w:hAnsi="宋体"/>
                <w:sz w:val="24"/>
                <w:szCs w:val="24"/>
                <w:highlight w:val="none"/>
                <w:lang w:val="zh-TW" w:eastAsia="zh-TW"/>
              </w:rPr>
            </w:pPr>
            <w:r>
              <w:rPr>
                <w:rFonts w:hint="eastAsia" w:ascii="宋体" w:hAnsi="宋体"/>
                <w:sz w:val="24"/>
                <w:szCs w:val="24"/>
                <w:highlight w:val="none"/>
                <w:lang w:val="zh-TW" w:eastAsia="zh-TW"/>
              </w:rPr>
              <w:t>（1）售后服务内容详细、完整；科学合理可行性高得10分；</w:t>
            </w:r>
          </w:p>
          <w:p w14:paraId="2C2D66AC">
            <w:pPr>
              <w:rPr>
                <w:rFonts w:hint="eastAsia" w:ascii="宋体" w:hAnsi="宋体"/>
                <w:sz w:val="24"/>
                <w:szCs w:val="24"/>
                <w:highlight w:val="none"/>
                <w:lang w:val="zh-TW" w:eastAsia="zh-TW"/>
              </w:rPr>
            </w:pPr>
            <w:r>
              <w:rPr>
                <w:rFonts w:hint="eastAsia" w:ascii="宋体" w:hAnsi="宋体"/>
                <w:sz w:val="24"/>
                <w:szCs w:val="24"/>
                <w:highlight w:val="none"/>
                <w:lang w:val="zh-TW" w:eastAsia="zh-TW"/>
              </w:rPr>
              <w:t>（2）售后服务内容较详细、较完整；较科学较合理可行性较高得6分；</w:t>
            </w:r>
          </w:p>
          <w:p w14:paraId="64C8AE3F">
            <w:pPr>
              <w:rPr>
                <w:rFonts w:hint="eastAsia" w:ascii="宋体" w:hAnsi="宋体"/>
                <w:sz w:val="24"/>
                <w:szCs w:val="24"/>
                <w:highlight w:val="none"/>
                <w:lang w:val="zh-TW" w:eastAsia="zh-TW"/>
              </w:rPr>
            </w:pPr>
            <w:r>
              <w:rPr>
                <w:rFonts w:hint="eastAsia" w:ascii="宋体" w:hAnsi="宋体"/>
                <w:sz w:val="24"/>
                <w:szCs w:val="24"/>
                <w:highlight w:val="none"/>
                <w:lang w:val="zh-TW" w:eastAsia="zh-TW"/>
              </w:rPr>
              <w:t>（3）售后服务内容不够详细、不够完整；不够科学不够合理可行性不够高得2分；</w:t>
            </w:r>
          </w:p>
          <w:p w14:paraId="01D197F5">
            <w:pPr>
              <w:rPr>
                <w:rFonts w:hint="eastAsia" w:ascii="宋体" w:hAnsi="宋体"/>
                <w:highlight w:val="none"/>
              </w:rPr>
            </w:pPr>
            <w:r>
              <w:rPr>
                <w:rFonts w:hint="eastAsia" w:ascii="宋体" w:hAnsi="宋体"/>
                <w:sz w:val="24"/>
                <w:szCs w:val="24"/>
                <w:highlight w:val="none"/>
                <w:lang w:val="zh-TW" w:eastAsia="zh-TW"/>
              </w:rPr>
              <w:t>（4）不提供相关内容不得分。</w:t>
            </w:r>
          </w:p>
        </w:tc>
        <w:tc>
          <w:tcPr>
            <w:tcW w:w="850" w:type="dxa"/>
            <w:tcBorders>
              <w:top w:val="single" w:color="000000" w:sz="4" w:space="0"/>
              <w:left w:val="single" w:color="000000" w:sz="4" w:space="0"/>
              <w:bottom w:val="single" w:color="000000" w:sz="4" w:space="0"/>
              <w:right w:val="single" w:color="000000" w:sz="4" w:space="0"/>
            </w:tcBorders>
            <w:tcMar>
              <w:top w:w="80" w:type="dxa"/>
              <w:left w:w="80" w:type="dxa"/>
              <w:bottom w:w="80" w:type="dxa"/>
              <w:right w:w="80" w:type="dxa"/>
            </w:tcMar>
            <w:vAlign w:val="center"/>
          </w:tcPr>
          <w:p w14:paraId="60BF4926">
            <w:pPr>
              <w:jc w:val="center"/>
              <w:rPr>
                <w:highlight w:val="none"/>
              </w:rPr>
            </w:pPr>
            <w:r>
              <w:rPr>
                <w:rFonts w:ascii="宋体" w:hAnsi="宋体"/>
                <w:sz w:val="24"/>
                <w:szCs w:val="24"/>
                <w:highlight w:val="none"/>
              </w:rPr>
              <w:t>10</w:t>
            </w:r>
            <w:r>
              <w:rPr>
                <w:rFonts w:hint="eastAsia"/>
                <w:sz w:val="24"/>
                <w:szCs w:val="24"/>
                <w:highlight w:val="none"/>
                <w:lang w:val="zh-TW" w:eastAsia="zh-TW"/>
              </w:rPr>
              <w:t>分</w:t>
            </w:r>
          </w:p>
        </w:tc>
      </w:tr>
    </w:tbl>
    <w:p w14:paraId="49ACB23C">
      <w:pPr>
        <w:spacing w:line="300" w:lineRule="auto"/>
        <w:rPr>
          <w:b/>
          <w:sz w:val="24"/>
          <w:highlight w:val="none"/>
        </w:rPr>
      </w:pPr>
    </w:p>
    <w:p w14:paraId="634D85A8">
      <w:pPr>
        <w:pStyle w:val="2"/>
        <w:ind w:firstLine="560"/>
        <w:rPr>
          <w:highlight w:val="none"/>
        </w:rPr>
      </w:pPr>
    </w:p>
    <w:p w14:paraId="055F802A">
      <w:pPr>
        <w:spacing w:line="300" w:lineRule="auto"/>
        <w:rPr>
          <w:b/>
          <w:sz w:val="24"/>
          <w:highlight w:val="none"/>
        </w:rPr>
      </w:pPr>
      <w:r>
        <w:rPr>
          <w:b/>
          <w:sz w:val="24"/>
          <w:highlight w:val="none"/>
        </w:rPr>
        <w:t>注：</w:t>
      </w:r>
    </w:p>
    <w:p w14:paraId="2793B077">
      <w:pPr>
        <w:spacing w:line="300" w:lineRule="auto"/>
        <w:rPr>
          <w:b/>
          <w:sz w:val="24"/>
          <w:highlight w:val="none"/>
        </w:rPr>
      </w:pPr>
      <w:r>
        <w:rPr>
          <w:rFonts w:ascii="Segoe UI Symbol" w:hAnsi="Segoe UI Symbol" w:cs="Segoe UI Symbol"/>
          <w:b/>
          <w:sz w:val="24"/>
          <w:highlight w:val="none"/>
        </w:rPr>
        <w:t>★</w:t>
      </w:r>
      <w:r>
        <w:rPr>
          <w:b/>
          <w:sz w:val="24"/>
          <w:highlight w:val="none"/>
        </w:rPr>
        <w:t>1、对于所投货物的数量作为实质性要求，不满足配置清单或采购文件要求的将被视为无效响应。</w:t>
      </w:r>
    </w:p>
    <w:p w14:paraId="6A2E248C">
      <w:pPr>
        <w:spacing w:line="300" w:lineRule="auto"/>
        <w:ind w:firstLine="240" w:firstLineChars="100"/>
        <w:rPr>
          <w:sz w:val="24"/>
          <w:highlight w:val="none"/>
        </w:rPr>
      </w:pPr>
      <w:r>
        <w:rPr>
          <w:sz w:val="24"/>
          <w:highlight w:val="none"/>
        </w:rPr>
        <w:t>2、根据财政部、工业和信息化部发布的《政府采购促进中小企业发展暂行办法》、财政部、司法部发布的《关于政府采购支持监狱企业发展有关问题的通知》及财政部、民政部、中国残疾人联合会发布的《三部门联合发布关于促进残疾人就业政府采购政策的通知》的规定，如投标产品被认定为小微型企业或监狱企业或残疾人福利性单位制造的产品（须提供相关证明文件，小微企业提供《中小企业声明函》，监狱企业提供由省级以上监狱管理局、戒毒管理局</w:t>
      </w:r>
      <w:r>
        <w:rPr>
          <w:rFonts w:hint="eastAsia"/>
          <w:sz w:val="24"/>
          <w:highlight w:val="none"/>
        </w:rPr>
        <w:t>（</w:t>
      </w:r>
      <w:r>
        <w:rPr>
          <w:sz w:val="24"/>
          <w:highlight w:val="none"/>
        </w:rPr>
        <w:t>含新疆生产建设兵团</w:t>
      </w:r>
      <w:r>
        <w:rPr>
          <w:rFonts w:hint="eastAsia"/>
          <w:sz w:val="24"/>
          <w:highlight w:val="none"/>
        </w:rPr>
        <w:t>）</w:t>
      </w:r>
      <w:r>
        <w:rPr>
          <w:sz w:val="24"/>
          <w:highlight w:val="none"/>
        </w:rPr>
        <w:t>出具的属于监狱企业的证明文件，残疾人福利性单位提供《残疾人福利性单位声明函》），可在上述第1项价格评分中，对该产品的价格给予10%的扣除，并用扣除后的价格计算价格评分。</w:t>
      </w:r>
    </w:p>
    <w:p w14:paraId="3C239C9C">
      <w:pPr>
        <w:spacing w:line="360" w:lineRule="auto"/>
        <w:ind w:firstLine="240" w:firstLineChars="100"/>
        <w:rPr>
          <w:sz w:val="24"/>
          <w:highlight w:val="none"/>
        </w:rPr>
      </w:pPr>
      <w:r>
        <w:rPr>
          <w:sz w:val="24"/>
          <w:highlight w:val="none"/>
        </w:rPr>
        <w:t>3、对于投标文件中未对磋商文件要求做明确响应的技术参数或技术条款视为不满足磋商文件要求。</w:t>
      </w:r>
    </w:p>
    <w:p w14:paraId="5454A80D">
      <w:pPr>
        <w:spacing w:line="300" w:lineRule="auto"/>
        <w:ind w:firstLine="240" w:firstLineChars="100"/>
        <w:rPr>
          <w:kern w:val="0"/>
          <w:sz w:val="24"/>
          <w:highlight w:val="none"/>
        </w:rPr>
      </w:pPr>
      <w:r>
        <w:rPr>
          <w:sz w:val="24"/>
          <w:highlight w:val="none"/>
        </w:rPr>
        <w:t>4、</w:t>
      </w:r>
      <w:r>
        <w:rPr>
          <w:kern w:val="0"/>
          <w:sz w:val="24"/>
          <w:highlight w:val="none"/>
        </w:rPr>
        <w:t>提供相同品牌产品且通过资格审查、符合性审查的不同供应商参加同一合同项下同一项目包投标的，按一家供应商计算，评审后得分最高的同品牌供应商获得成交人推荐资格；评审得分相同的，按投标报价排列，报价最低的供应商获得成交人推荐资格；得分与投标报价均相同的，按技术指标优劣排列，技术得分最高的供应商获得成交人推荐资格。</w:t>
      </w:r>
    </w:p>
    <w:p w14:paraId="5442B321">
      <w:pPr>
        <w:spacing w:line="300" w:lineRule="auto"/>
        <w:ind w:firstLine="240" w:firstLineChars="100"/>
        <w:rPr>
          <w:kern w:val="0"/>
          <w:sz w:val="24"/>
          <w:highlight w:val="none"/>
        </w:rPr>
      </w:pPr>
      <w:r>
        <w:rPr>
          <w:sz w:val="24"/>
          <w:highlight w:val="none"/>
        </w:rPr>
        <w:t>5、</w:t>
      </w:r>
      <w:r>
        <w:rPr>
          <w:kern w:val="0"/>
          <w:sz w:val="24"/>
          <w:highlight w:val="none"/>
        </w:rPr>
        <w:t>对非单一产品采购的项目包，在各包中确定核心产品，多家供应商提供的核心产品品牌相同的，按前款规定处理。</w:t>
      </w:r>
    </w:p>
    <w:p w14:paraId="70B27D15">
      <w:pPr>
        <w:spacing w:line="300" w:lineRule="auto"/>
        <w:ind w:firstLine="240" w:firstLineChars="100"/>
        <w:rPr>
          <w:kern w:val="0"/>
          <w:sz w:val="24"/>
          <w:highlight w:val="none"/>
        </w:rPr>
      </w:pPr>
      <w:r>
        <w:rPr>
          <w:kern w:val="0"/>
          <w:sz w:val="24"/>
          <w:highlight w:val="none"/>
        </w:rPr>
        <w:t>6、举例说明：投标截止日若为202</w:t>
      </w:r>
      <w:r>
        <w:rPr>
          <w:rFonts w:hint="eastAsia"/>
          <w:kern w:val="0"/>
          <w:sz w:val="24"/>
          <w:highlight w:val="none"/>
        </w:rPr>
        <w:t>5</w:t>
      </w:r>
      <w:r>
        <w:rPr>
          <w:kern w:val="0"/>
          <w:sz w:val="24"/>
          <w:highlight w:val="none"/>
        </w:rPr>
        <w:t>年12月31日，则“自投标截止日起近3年内”、“近3年内”为202</w:t>
      </w:r>
      <w:r>
        <w:rPr>
          <w:rFonts w:hint="eastAsia"/>
          <w:kern w:val="0"/>
          <w:sz w:val="24"/>
          <w:highlight w:val="none"/>
        </w:rPr>
        <w:t>2</w:t>
      </w:r>
      <w:r>
        <w:rPr>
          <w:kern w:val="0"/>
          <w:sz w:val="24"/>
          <w:highlight w:val="none"/>
        </w:rPr>
        <w:t>年12月31日至202</w:t>
      </w:r>
      <w:r>
        <w:rPr>
          <w:rFonts w:hint="eastAsia"/>
          <w:kern w:val="0"/>
          <w:sz w:val="24"/>
          <w:highlight w:val="none"/>
        </w:rPr>
        <w:t>5</w:t>
      </w:r>
      <w:r>
        <w:rPr>
          <w:kern w:val="0"/>
          <w:sz w:val="24"/>
          <w:highlight w:val="none"/>
        </w:rPr>
        <w:t>年12月31日期间（含首尾），以此类推。</w:t>
      </w:r>
    </w:p>
    <w:p w14:paraId="1DF14B57">
      <w:pPr>
        <w:spacing w:line="360" w:lineRule="auto"/>
        <w:jc w:val="center"/>
        <w:outlineLvl w:val="0"/>
        <w:rPr>
          <w:b/>
          <w:sz w:val="30"/>
          <w:szCs w:val="30"/>
          <w:highlight w:val="none"/>
        </w:rPr>
      </w:pPr>
      <w:r>
        <w:rPr>
          <w:b/>
          <w:sz w:val="24"/>
          <w:highlight w:val="none"/>
        </w:rPr>
        <w:br w:type="page"/>
      </w:r>
      <w:bookmarkStart w:id="6" w:name="_Toc31145"/>
      <w:r>
        <w:rPr>
          <w:b/>
          <w:sz w:val="30"/>
          <w:szCs w:val="30"/>
          <w:highlight w:val="none"/>
        </w:rPr>
        <w:t>第二部分 供应商须知</w:t>
      </w:r>
      <w:bookmarkEnd w:id="6"/>
    </w:p>
    <w:p w14:paraId="424B48B4">
      <w:pPr>
        <w:pStyle w:val="27"/>
        <w:rPr>
          <w:rFonts w:ascii="Times New Roman" w:hAnsi="Times New Roman"/>
          <w:highlight w:val="none"/>
        </w:rPr>
      </w:pPr>
    </w:p>
    <w:p w14:paraId="1C760B77">
      <w:pPr>
        <w:adjustRightInd w:val="0"/>
        <w:snapToGrid w:val="0"/>
        <w:jc w:val="center"/>
        <w:rPr>
          <w:b/>
          <w:sz w:val="24"/>
          <w:highlight w:val="none"/>
        </w:rPr>
      </w:pPr>
      <w:r>
        <w:rPr>
          <w:b/>
          <w:sz w:val="24"/>
          <w:highlight w:val="none"/>
        </w:rPr>
        <w:t>一、总则</w:t>
      </w:r>
    </w:p>
    <w:p w14:paraId="74EACEA3">
      <w:pPr>
        <w:adjustRightInd w:val="0"/>
        <w:snapToGrid w:val="0"/>
        <w:rPr>
          <w:sz w:val="24"/>
          <w:highlight w:val="none"/>
        </w:rPr>
      </w:pPr>
    </w:p>
    <w:p w14:paraId="55AA1042">
      <w:pPr>
        <w:numPr>
          <w:ilvl w:val="0"/>
          <w:numId w:val="3"/>
        </w:numPr>
        <w:tabs>
          <w:tab w:val="clear" w:pos="315"/>
        </w:tabs>
        <w:adjustRightInd w:val="0"/>
        <w:snapToGrid w:val="0"/>
        <w:spacing w:line="360" w:lineRule="auto"/>
        <w:ind w:left="360" w:hanging="360"/>
        <w:rPr>
          <w:b/>
          <w:sz w:val="24"/>
          <w:highlight w:val="none"/>
        </w:rPr>
      </w:pPr>
      <w:r>
        <w:rPr>
          <w:b/>
          <w:sz w:val="24"/>
          <w:highlight w:val="none"/>
        </w:rPr>
        <w:t>适用范围</w:t>
      </w:r>
    </w:p>
    <w:p w14:paraId="0ABD77E6">
      <w:pPr>
        <w:numPr>
          <w:ilvl w:val="1"/>
          <w:numId w:val="5"/>
        </w:numPr>
        <w:adjustRightInd w:val="0"/>
        <w:snapToGrid w:val="0"/>
        <w:spacing w:line="360" w:lineRule="auto"/>
        <w:rPr>
          <w:sz w:val="24"/>
          <w:highlight w:val="none"/>
        </w:rPr>
      </w:pPr>
      <w:r>
        <w:rPr>
          <w:sz w:val="24"/>
          <w:highlight w:val="none"/>
        </w:rPr>
        <w:t xml:space="preserve"> 本磋商文件仅适用于竞争性磋商邀请中所述项目的服务及货物采购。</w:t>
      </w:r>
    </w:p>
    <w:p w14:paraId="221F563B">
      <w:pPr>
        <w:numPr>
          <w:ilvl w:val="1"/>
          <w:numId w:val="5"/>
        </w:numPr>
        <w:adjustRightInd w:val="0"/>
        <w:snapToGrid w:val="0"/>
        <w:spacing w:line="360" w:lineRule="auto"/>
        <w:rPr>
          <w:sz w:val="24"/>
          <w:highlight w:val="none"/>
        </w:rPr>
      </w:pPr>
      <w:r>
        <w:rPr>
          <w:sz w:val="24"/>
          <w:highlight w:val="none"/>
        </w:rPr>
        <w:t xml:space="preserve"> 资金来源：</w:t>
      </w:r>
      <w:r>
        <w:rPr>
          <w:rFonts w:hint="eastAsia"/>
          <w:sz w:val="24"/>
          <w:highlight w:val="none"/>
        </w:rPr>
        <w:t>财政性资金或自筹</w:t>
      </w:r>
    </w:p>
    <w:p w14:paraId="2AD984F8">
      <w:pPr>
        <w:pStyle w:val="27"/>
        <w:rPr>
          <w:rFonts w:ascii="Times New Roman" w:hAnsi="Times New Roman"/>
          <w:highlight w:val="none"/>
        </w:rPr>
      </w:pPr>
    </w:p>
    <w:p w14:paraId="2A63A3EA">
      <w:pPr>
        <w:numPr>
          <w:ilvl w:val="0"/>
          <w:numId w:val="3"/>
        </w:numPr>
        <w:adjustRightInd w:val="0"/>
        <w:snapToGrid w:val="0"/>
        <w:spacing w:line="360" w:lineRule="auto"/>
        <w:rPr>
          <w:b/>
          <w:sz w:val="24"/>
          <w:highlight w:val="none"/>
        </w:rPr>
      </w:pPr>
      <w:r>
        <w:rPr>
          <w:b/>
          <w:sz w:val="24"/>
          <w:highlight w:val="none"/>
        </w:rPr>
        <w:t>定义</w:t>
      </w:r>
    </w:p>
    <w:p w14:paraId="3FDB83D2">
      <w:pPr>
        <w:adjustRightInd w:val="0"/>
        <w:snapToGrid w:val="0"/>
        <w:spacing w:line="360" w:lineRule="auto"/>
        <w:rPr>
          <w:sz w:val="24"/>
          <w:highlight w:val="none"/>
        </w:rPr>
      </w:pPr>
      <w:r>
        <w:rPr>
          <w:sz w:val="24"/>
          <w:highlight w:val="none"/>
        </w:rPr>
        <w:t>2.1 “采购代理机构”指东方国际招标有限责任公司。</w:t>
      </w:r>
    </w:p>
    <w:p w14:paraId="04B6C4C0">
      <w:pPr>
        <w:adjustRightInd w:val="0"/>
        <w:snapToGrid w:val="0"/>
        <w:spacing w:line="360" w:lineRule="auto"/>
        <w:rPr>
          <w:sz w:val="24"/>
          <w:highlight w:val="none"/>
        </w:rPr>
      </w:pPr>
      <w:r>
        <w:rPr>
          <w:sz w:val="24"/>
          <w:highlight w:val="none"/>
        </w:rPr>
        <w:t>2.2 “供应商”指向采购人递交磋商响应文件的供应商。</w:t>
      </w:r>
    </w:p>
    <w:p w14:paraId="0F432294">
      <w:pPr>
        <w:adjustRightInd w:val="0"/>
        <w:snapToGrid w:val="0"/>
        <w:spacing w:line="360" w:lineRule="auto"/>
        <w:rPr>
          <w:sz w:val="24"/>
          <w:highlight w:val="none"/>
        </w:rPr>
      </w:pPr>
      <w:r>
        <w:rPr>
          <w:sz w:val="24"/>
          <w:highlight w:val="none"/>
        </w:rPr>
        <w:t>2.3 “采购人”指</w:t>
      </w:r>
      <w:r>
        <w:rPr>
          <w:sz w:val="24"/>
          <w:highlight w:val="none"/>
          <w:u w:val="single"/>
        </w:rPr>
        <w:t>中国科学院电工研究所</w:t>
      </w:r>
      <w:r>
        <w:rPr>
          <w:sz w:val="24"/>
          <w:highlight w:val="none"/>
        </w:rPr>
        <w:t>。</w:t>
      </w:r>
    </w:p>
    <w:p w14:paraId="44F6E367">
      <w:pPr>
        <w:adjustRightInd w:val="0"/>
        <w:snapToGrid w:val="0"/>
        <w:spacing w:line="360" w:lineRule="auto"/>
        <w:rPr>
          <w:sz w:val="24"/>
          <w:highlight w:val="none"/>
        </w:rPr>
      </w:pPr>
      <w:r>
        <w:rPr>
          <w:sz w:val="24"/>
          <w:highlight w:val="none"/>
        </w:rPr>
        <w:t>2.4 “货物”指磋商文件第五部分技术规范书中所列的产品、工具、手册及其它有关技术资料和材料；包括虽未载明但在完成本项目所必须的产品、工具等。</w:t>
      </w:r>
    </w:p>
    <w:p w14:paraId="49B3D129">
      <w:pPr>
        <w:adjustRightInd w:val="0"/>
        <w:snapToGrid w:val="0"/>
        <w:spacing w:line="360" w:lineRule="auto"/>
        <w:rPr>
          <w:sz w:val="24"/>
          <w:highlight w:val="none"/>
        </w:rPr>
      </w:pPr>
      <w:r>
        <w:rPr>
          <w:sz w:val="24"/>
          <w:highlight w:val="none"/>
        </w:rPr>
        <w:t>2.5 “服务”指供应商按磋商文件第五部分的规定提供的技术支持、安装调试、技术培训以及售后服务和其它类似的义务。</w:t>
      </w:r>
    </w:p>
    <w:p w14:paraId="136B58B8">
      <w:pPr>
        <w:pStyle w:val="27"/>
        <w:rPr>
          <w:rFonts w:ascii="Times New Roman" w:hAnsi="Times New Roman"/>
          <w:highlight w:val="none"/>
        </w:rPr>
      </w:pPr>
    </w:p>
    <w:p w14:paraId="1D64D04B">
      <w:pPr>
        <w:numPr>
          <w:ilvl w:val="0"/>
          <w:numId w:val="3"/>
        </w:numPr>
        <w:adjustRightInd w:val="0"/>
        <w:snapToGrid w:val="0"/>
        <w:spacing w:line="360" w:lineRule="auto"/>
        <w:rPr>
          <w:b/>
          <w:sz w:val="24"/>
          <w:highlight w:val="none"/>
        </w:rPr>
      </w:pPr>
      <w:r>
        <w:rPr>
          <w:b/>
          <w:sz w:val="24"/>
          <w:highlight w:val="none"/>
        </w:rPr>
        <w:t>合格的供应商</w:t>
      </w:r>
    </w:p>
    <w:p w14:paraId="2E2586D6">
      <w:pPr>
        <w:adjustRightInd w:val="0"/>
        <w:snapToGrid w:val="0"/>
        <w:spacing w:line="360" w:lineRule="auto"/>
        <w:ind w:left="567" w:hanging="567"/>
        <w:rPr>
          <w:sz w:val="24"/>
          <w:highlight w:val="none"/>
        </w:rPr>
      </w:pPr>
      <w:r>
        <w:rPr>
          <w:sz w:val="24"/>
          <w:highlight w:val="none"/>
        </w:rPr>
        <w:t>3.1 合格的供应商应满足《供应商须知前附表》中规定的要求。</w:t>
      </w:r>
    </w:p>
    <w:p w14:paraId="76A5A40D">
      <w:pPr>
        <w:pStyle w:val="27"/>
        <w:rPr>
          <w:rFonts w:ascii="Times New Roman" w:hAnsi="Times New Roman"/>
          <w:highlight w:val="none"/>
        </w:rPr>
      </w:pPr>
    </w:p>
    <w:p w14:paraId="03042ABD">
      <w:pPr>
        <w:numPr>
          <w:ilvl w:val="0"/>
          <w:numId w:val="3"/>
        </w:numPr>
        <w:adjustRightInd w:val="0"/>
        <w:snapToGrid w:val="0"/>
        <w:spacing w:line="360" w:lineRule="auto"/>
        <w:rPr>
          <w:b/>
          <w:sz w:val="24"/>
          <w:highlight w:val="none"/>
        </w:rPr>
      </w:pPr>
      <w:r>
        <w:rPr>
          <w:b/>
          <w:sz w:val="24"/>
          <w:highlight w:val="none"/>
        </w:rPr>
        <w:t>磋商费用</w:t>
      </w:r>
    </w:p>
    <w:p w14:paraId="08800C95">
      <w:pPr>
        <w:adjustRightInd w:val="0"/>
        <w:snapToGrid w:val="0"/>
        <w:spacing w:line="360" w:lineRule="auto"/>
        <w:rPr>
          <w:sz w:val="24"/>
          <w:highlight w:val="none"/>
        </w:rPr>
      </w:pPr>
      <w:r>
        <w:rPr>
          <w:sz w:val="24"/>
          <w:highlight w:val="none"/>
        </w:rPr>
        <w:t>4.1 无论磋商过程中的作法和结果如何，供应商自行承担所有与参加磋商有关的全部费用。</w:t>
      </w:r>
    </w:p>
    <w:p w14:paraId="563D5CBA">
      <w:pPr>
        <w:pStyle w:val="27"/>
        <w:rPr>
          <w:rFonts w:ascii="Times New Roman" w:hAnsi="Times New Roman"/>
          <w:highlight w:val="none"/>
        </w:rPr>
      </w:pPr>
    </w:p>
    <w:p w14:paraId="1A9D1A37">
      <w:pPr>
        <w:adjustRightInd w:val="0"/>
        <w:snapToGrid w:val="0"/>
        <w:spacing w:line="360" w:lineRule="auto"/>
        <w:jc w:val="center"/>
        <w:rPr>
          <w:b/>
          <w:sz w:val="24"/>
          <w:highlight w:val="none"/>
        </w:rPr>
      </w:pPr>
      <w:r>
        <w:rPr>
          <w:b/>
          <w:sz w:val="24"/>
          <w:highlight w:val="none"/>
        </w:rPr>
        <w:t>二、 磋商文件说明</w:t>
      </w:r>
    </w:p>
    <w:p w14:paraId="7D5AC4D9">
      <w:pPr>
        <w:pStyle w:val="27"/>
        <w:rPr>
          <w:rFonts w:ascii="Times New Roman" w:hAnsi="Times New Roman"/>
          <w:highlight w:val="none"/>
        </w:rPr>
      </w:pPr>
    </w:p>
    <w:p w14:paraId="2C600154">
      <w:pPr>
        <w:numPr>
          <w:ilvl w:val="0"/>
          <w:numId w:val="3"/>
        </w:numPr>
        <w:adjustRightInd w:val="0"/>
        <w:snapToGrid w:val="0"/>
        <w:spacing w:line="360" w:lineRule="auto"/>
        <w:rPr>
          <w:b/>
          <w:sz w:val="24"/>
          <w:highlight w:val="none"/>
        </w:rPr>
      </w:pPr>
      <w:r>
        <w:rPr>
          <w:b/>
          <w:sz w:val="24"/>
          <w:highlight w:val="none"/>
        </w:rPr>
        <w:t>磋商文件的构成</w:t>
      </w:r>
    </w:p>
    <w:p w14:paraId="4A77C087">
      <w:pPr>
        <w:adjustRightInd w:val="0"/>
        <w:snapToGrid w:val="0"/>
        <w:spacing w:line="360" w:lineRule="auto"/>
        <w:rPr>
          <w:sz w:val="24"/>
          <w:highlight w:val="none"/>
        </w:rPr>
      </w:pPr>
      <w:r>
        <w:rPr>
          <w:sz w:val="24"/>
          <w:highlight w:val="none"/>
        </w:rPr>
        <w:t>5.1 磋商文件用以阐明所需货物及服务、磋商程序和合同条款。磋商文件由下述部分组成：</w:t>
      </w:r>
    </w:p>
    <w:p w14:paraId="199002A4">
      <w:pPr>
        <w:adjustRightInd w:val="0"/>
        <w:snapToGrid w:val="0"/>
        <w:spacing w:line="360" w:lineRule="auto"/>
        <w:rPr>
          <w:sz w:val="24"/>
          <w:highlight w:val="none"/>
        </w:rPr>
      </w:pPr>
      <w:r>
        <w:rPr>
          <w:sz w:val="24"/>
          <w:highlight w:val="none"/>
        </w:rPr>
        <w:t>磋商邀请书</w:t>
      </w:r>
    </w:p>
    <w:p w14:paraId="7016C4F7">
      <w:pPr>
        <w:adjustRightInd w:val="0"/>
        <w:snapToGrid w:val="0"/>
        <w:spacing w:line="360" w:lineRule="auto"/>
        <w:rPr>
          <w:sz w:val="24"/>
          <w:highlight w:val="none"/>
        </w:rPr>
      </w:pPr>
      <w:r>
        <w:rPr>
          <w:sz w:val="24"/>
          <w:highlight w:val="none"/>
        </w:rPr>
        <w:t>第一部分：供应商须知前附表</w:t>
      </w:r>
    </w:p>
    <w:p w14:paraId="5BD987CD">
      <w:pPr>
        <w:adjustRightInd w:val="0"/>
        <w:snapToGrid w:val="0"/>
        <w:spacing w:line="360" w:lineRule="auto"/>
        <w:rPr>
          <w:sz w:val="24"/>
          <w:highlight w:val="none"/>
        </w:rPr>
      </w:pPr>
      <w:r>
        <w:rPr>
          <w:sz w:val="24"/>
          <w:highlight w:val="none"/>
        </w:rPr>
        <w:t>第二部分：供应商须知</w:t>
      </w:r>
    </w:p>
    <w:p w14:paraId="3B5DB627">
      <w:pPr>
        <w:adjustRightInd w:val="0"/>
        <w:snapToGrid w:val="0"/>
        <w:spacing w:line="360" w:lineRule="auto"/>
        <w:rPr>
          <w:sz w:val="24"/>
          <w:highlight w:val="none"/>
        </w:rPr>
      </w:pPr>
      <w:r>
        <w:rPr>
          <w:sz w:val="24"/>
          <w:highlight w:val="none"/>
        </w:rPr>
        <w:t>第三部分：合同一般条款及特殊条款</w:t>
      </w:r>
    </w:p>
    <w:p w14:paraId="730FFCE6">
      <w:pPr>
        <w:adjustRightInd w:val="0"/>
        <w:snapToGrid w:val="0"/>
        <w:spacing w:line="360" w:lineRule="auto"/>
        <w:rPr>
          <w:sz w:val="24"/>
          <w:highlight w:val="none"/>
        </w:rPr>
      </w:pPr>
      <w:r>
        <w:rPr>
          <w:sz w:val="24"/>
          <w:highlight w:val="none"/>
        </w:rPr>
        <w:t>第四部分：磋商响应文件格式</w:t>
      </w:r>
    </w:p>
    <w:p w14:paraId="6E6B2870">
      <w:pPr>
        <w:adjustRightInd w:val="0"/>
        <w:snapToGrid w:val="0"/>
        <w:spacing w:line="360" w:lineRule="auto"/>
        <w:rPr>
          <w:sz w:val="24"/>
          <w:highlight w:val="none"/>
        </w:rPr>
      </w:pPr>
      <w:r>
        <w:rPr>
          <w:sz w:val="24"/>
          <w:highlight w:val="none"/>
        </w:rPr>
        <w:t>第五部分：货物需求一览表及项目需求</w:t>
      </w:r>
    </w:p>
    <w:p w14:paraId="2F45F757">
      <w:pPr>
        <w:pStyle w:val="27"/>
        <w:rPr>
          <w:rFonts w:ascii="Times New Roman" w:hAnsi="Times New Roman"/>
          <w:highlight w:val="none"/>
        </w:rPr>
      </w:pPr>
    </w:p>
    <w:p w14:paraId="0FB6B0D9">
      <w:pPr>
        <w:numPr>
          <w:ilvl w:val="0"/>
          <w:numId w:val="3"/>
        </w:numPr>
        <w:adjustRightInd w:val="0"/>
        <w:snapToGrid w:val="0"/>
        <w:spacing w:line="360" w:lineRule="auto"/>
        <w:rPr>
          <w:b/>
          <w:sz w:val="24"/>
          <w:highlight w:val="none"/>
        </w:rPr>
      </w:pPr>
      <w:r>
        <w:rPr>
          <w:b/>
          <w:sz w:val="24"/>
          <w:highlight w:val="none"/>
        </w:rPr>
        <w:t>磋商文件的修改</w:t>
      </w:r>
    </w:p>
    <w:p w14:paraId="37FD815B">
      <w:pPr>
        <w:adjustRightInd w:val="0"/>
        <w:snapToGrid w:val="0"/>
        <w:spacing w:line="360" w:lineRule="auto"/>
        <w:rPr>
          <w:sz w:val="24"/>
          <w:highlight w:val="none"/>
        </w:rPr>
      </w:pPr>
      <w:r>
        <w:rPr>
          <w:sz w:val="24"/>
          <w:highlight w:val="none"/>
        </w:rPr>
        <w:t>6.1 在递交磋商响应文件截止日期以前，采购人可主动地或依据供应商要求澄清的问题而修改磋商文件，并以书面形式通知所有购买磋商文件的供应商，对方在收到该通知后应立即以传真的形式予以确认。</w:t>
      </w:r>
    </w:p>
    <w:p w14:paraId="50693341">
      <w:pPr>
        <w:adjustRightInd w:val="0"/>
        <w:snapToGrid w:val="0"/>
        <w:spacing w:line="360" w:lineRule="auto"/>
        <w:rPr>
          <w:sz w:val="24"/>
          <w:highlight w:val="none"/>
        </w:rPr>
      </w:pPr>
      <w:r>
        <w:rPr>
          <w:sz w:val="24"/>
          <w:highlight w:val="none"/>
        </w:rPr>
        <w:t>6.2 为使供应商在准备磋商响应文件时有合理的时间考虑采购人对磋商文件的修改，如有必要，采购代理机构可酌情推迟递交磋商响应文件截止时间，并以书面形式通知所有已购买磋商文件的供应商。</w:t>
      </w:r>
    </w:p>
    <w:p w14:paraId="4363F5CD">
      <w:pPr>
        <w:adjustRightInd w:val="0"/>
        <w:snapToGrid w:val="0"/>
        <w:spacing w:line="360" w:lineRule="auto"/>
        <w:rPr>
          <w:sz w:val="24"/>
          <w:highlight w:val="none"/>
        </w:rPr>
      </w:pPr>
      <w:r>
        <w:rPr>
          <w:sz w:val="24"/>
          <w:highlight w:val="none"/>
        </w:rPr>
        <w:t>6.3 磋商文件的修改书将构成磋商文件的一部分，对供应商有约束力。</w:t>
      </w:r>
    </w:p>
    <w:p w14:paraId="082BC798">
      <w:pPr>
        <w:adjustRightInd w:val="0"/>
        <w:snapToGrid w:val="0"/>
        <w:spacing w:line="360" w:lineRule="auto"/>
        <w:rPr>
          <w:sz w:val="24"/>
          <w:highlight w:val="none"/>
        </w:rPr>
      </w:pPr>
      <w:r>
        <w:rPr>
          <w:sz w:val="24"/>
          <w:highlight w:val="none"/>
        </w:rPr>
        <w:t>6.4 在供应商递交磋商响应文件之后的磋商过程中，采购人可根据项目实际需要适当调整采购需求，并将有关调整内容告知所有合格的供应商，供应商可据此调整最终报价。</w:t>
      </w:r>
    </w:p>
    <w:p w14:paraId="0FB049A3">
      <w:pPr>
        <w:pStyle w:val="27"/>
        <w:rPr>
          <w:rFonts w:ascii="Times New Roman" w:hAnsi="Times New Roman"/>
          <w:highlight w:val="none"/>
        </w:rPr>
      </w:pPr>
    </w:p>
    <w:p w14:paraId="2DFD2ECB">
      <w:pPr>
        <w:numPr>
          <w:ilvl w:val="0"/>
          <w:numId w:val="3"/>
        </w:numPr>
        <w:adjustRightInd w:val="0"/>
        <w:snapToGrid w:val="0"/>
        <w:spacing w:line="360" w:lineRule="auto"/>
        <w:rPr>
          <w:b/>
          <w:sz w:val="24"/>
          <w:highlight w:val="none"/>
        </w:rPr>
      </w:pPr>
      <w:r>
        <w:rPr>
          <w:b/>
          <w:sz w:val="24"/>
          <w:highlight w:val="none"/>
        </w:rPr>
        <w:t>磋商文件的质疑</w:t>
      </w:r>
    </w:p>
    <w:p w14:paraId="1CA2F039">
      <w:pPr>
        <w:adjustRightInd w:val="0"/>
        <w:snapToGrid w:val="0"/>
        <w:spacing w:line="360" w:lineRule="auto"/>
        <w:rPr>
          <w:sz w:val="24"/>
          <w:highlight w:val="none"/>
        </w:rPr>
      </w:pPr>
      <w:r>
        <w:rPr>
          <w:sz w:val="24"/>
          <w:highlight w:val="none"/>
        </w:rPr>
        <w:t>7.1供应商对磋商文件提出质疑的，应在收到磋商文件之日起七个工作日内（不晚于磋商开始时间），以书面形式向采购代理机构一次性提出质疑。</w:t>
      </w:r>
    </w:p>
    <w:p w14:paraId="2657AA49">
      <w:pPr>
        <w:adjustRightInd w:val="0"/>
        <w:snapToGrid w:val="0"/>
        <w:spacing w:line="360" w:lineRule="auto"/>
        <w:rPr>
          <w:sz w:val="24"/>
          <w:highlight w:val="none"/>
        </w:rPr>
      </w:pPr>
      <w:r>
        <w:rPr>
          <w:sz w:val="24"/>
          <w:highlight w:val="none"/>
        </w:rPr>
        <w:t>7.2供应商提出质疑应当提交质疑函和必要的证明材料，并加盖公章。质疑函应当包括下列内容：</w:t>
      </w:r>
    </w:p>
    <w:p w14:paraId="058376ED">
      <w:pPr>
        <w:spacing w:before="120"/>
        <w:ind w:firstLine="480" w:firstLineChars="200"/>
        <w:rPr>
          <w:sz w:val="24"/>
          <w:highlight w:val="none"/>
        </w:rPr>
      </w:pPr>
      <w:r>
        <w:rPr>
          <w:sz w:val="24"/>
          <w:highlight w:val="none"/>
        </w:rPr>
        <w:t>（一）供应商的名称、地址、邮编、联系人及联系电话；</w:t>
      </w:r>
    </w:p>
    <w:p w14:paraId="7D332818">
      <w:pPr>
        <w:spacing w:before="120"/>
        <w:ind w:firstLine="480" w:firstLineChars="200"/>
        <w:rPr>
          <w:sz w:val="24"/>
          <w:highlight w:val="none"/>
        </w:rPr>
      </w:pPr>
      <w:r>
        <w:rPr>
          <w:sz w:val="24"/>
          <w:highlight w:val="none"/>
        </w:rPr>
        <w:t>（二）质疑项目的名称、编号；</w:t>
      </w:r>
    </w:p>
    <w:p w14:paraId="106128E4">
      <w:pPr>
        <w:spacing w:before="120"/>
        <w:ind w:firstLine="480" w:firstLineChars="200"/>
        <w:rPr>
          <w:sz w:val="24"/>
          <w:highlight w:val="none"/>
        </w:rPr>
      </w:pPr>
      <w:r>
        <w:rPr>
          <w:sz w:val="24"/>
          <w:highlight w:val="none"/>
        </w:rPr>
        <w:t>（三）具体、明确的质疑事项和与质疑事项相关的请求；</w:t>
      </w:r>
    </w:p>
    <w:p w14:paraId="3773E172">
      <w:pPr>
        <w:spacing w:before="120"/>
        <w:ind w:firstLine="480" w:firstLineChars="200"/>
        <w:rPr>
          <w:sz w:val="24"/>
          <w:highlight w:val="none"/>
        </w:rPr>
      </w:pPr>
      <w:r>
        <w:rPr>
          <w:sz w:val="24"/>
          <w:highlight w:val="none"/>
        </w:rPr>
        <w:t>（四）事实依据；</w:t>
      </w:r>
    </w:p>
    <w:p w14:paraId="41085501">
      <w:pPr>
        <w:spacing w:before="120"/>
        <w:ind w:firstLine="480" w:firstLineChars="200"/>
        <w:rPr>
          <w:sz w:val="24"/>
          <w:highlight w:val="none"/>
        </w:rPr>
      </w:pPr>
      <w:r>
        <w:rPr>
          <w:sz w:val="24"/>
          <w:highlight w:val="none"/>
        </w:rPr>
        <w:t>（五）必要的法律依据；</w:t>
      </w:r>
    </w:p>
    <w:p w14:paraId="57B28441">
      <w:pPr>
        <w:spacing w:before="120"/>
        <w:ind w:firstLine="480" w:firstLineChars="200"/>
        <w:rPr>
          <w:sz w:val="24"/>
          <w:highlight w:val="none"/>
        </w:rPr>
      </w:pPr>
      <w:r>
        <w:rPr>
          <w:sz w:val="24"/>
          <w:highlight w:val="none"/>
        </w:rPr>
        <w:t>（六）提出质疑的日期。</w:t>
      </w:r>
    </w:p>
    <w:p w14:paraId="64312E92">
      <w:pPr>
        <w:spacing w:before="120"/>
        <w:ind w:firstLine="480" w:firstLineChars="200"/>
        <w:rPr>
          <w:sz w:val="24"/>
          <w:highlight w:val="none"/>
        </w:rPr>
      </w:pPr>
    </w:p>
    <w:p w14:paraId="2830F296">
      <w:pPr>
        <w:adjustRightInd w:val="0"/>
        <w:snapToGrid w:val="0"/>
        <w:spacing w:line="360" w:lineRule="auto"/>
        <w:ind w:firstLine="480"/>
        <w:rPr>
          <w:sz w:val="24"/>
          <w:highlight w:val="none"/>
        </w:rPr>
      </w:pPr>
      <w:r>
        <w:rPr>
          <w:sz w:val="24"/>
          <w:highlight w:val="none"/>
        </w:rPr>
        <w:t>质疑期外提出的质疑及针对同一采购程序环节非“一次性提出”的质疑，采购代理机构将不予受理。</w:t>
      </w:r>
    </w:p>
    <w:p w14:paraId="454ED69A">
      <w:pPr>
        <w:tabs>
          <w:tab w:val="left" w:pos="900"/>
        </w:tabs>
        <w:spacing w:before="120"/>
        <w:ind w:firstLine="480" w:firstLineChars="200"/>
        <w:rPr>
          <w:sz w:val="24"/>
          <w:highlight w:val="none"/>
        </w:rPr>
      </w:pPr>
      <w:r>
        <w:rPr>
          <w:sz w:val="24"/>
          <w:highlight w:val="none"/>
        </w:rPr>
        <w:t>7.3 接收质疑函的方式、联系部门、联系电话和通讯地址详见《供应商须知前附表》</w:t>
      </w:r>
    </w:p>
    <w:p w14:paraId="2745F849">
      <w:pPr>
        <w:tabs>
          <w:tab w:val="left" w:pos="900"/>
        </w:tabs>
        <w:spacing w:before="120" w:line="360" w:lineRule="auto"/>
        <w:ind w:firstLine="480" w:firstLineChars="200"/>
        <w:rPr>
          <w:sz w:val="24"/>
          <w:highlight w:val="none"/>
        </w:rPr>
      </w:pPr>
      <w:r>
        <w:rPr>
          <w:sz w:val="24"/>
          <w:highlight w:val="none"/>
        </w:rPr>
        <w:t>7.4 采购人和采购代理机构在收到质疑函后7个工作日内作出答复，并以书面形式通知质疑人和其他有关潜在供应商。</w:t>
      </w:r>
    </w:p>
    <w:p w14:paraId="11916BF1">
      <w:pPr>
        <w:pStyle w:val="27"/>
        <w:rPr>
          <w:rFonts w:ascii="Times New Roman" w:hAnsi="Times New Roman"/>
          <w:highlight w:val="none"/>
        </w:rPr>
      </w:pPr>
    </w:p>
    <w:p w14:paraId="5BC6517E">
      <w:pPr>
        <w:adjustRightInd w:val="0"/>
        <w:snapToGrid w:val="0"/>
        <w:spacing w:line="360" w:lineRule="auto"/>
        <w:jc w:val="center"/>
        <w:rPr>
          <w:b/>
          <w:sz w:val="24"/>
          <w:highlight w:val="none"/>
        </w:rPr>
      </w:pPr>
      <w:r>
        <w:rPr>
          <w:b/>
          <w:sz w:val="24"/>
          <w:highlight w:val="none"/>
        </w:rPr>
        <w:t>三、磋商响应文件的编写</w:t>
      </w:r>
    </w:p>
    <w:p w14:paraId="667C2249">
      <w:pPr>
        <w:pStyle w:val="27"/>
        <w:rPr>
          <w:rFonts w:ascii="Times New Roman" w:hAnsi="Times New Roman"/>
          <w:highlight w:val="none"/>
        </w:rPr>
      </w:pPr>
    </w:p>
    <w:p w14:paraId="4FD0C524">
      <w:pPr>
        <w:adjustRightInd w:val="0"/>
        <w:snapToGrid w:val="0"/>
        <w:spacing w:line="360" w:lineRule="auto"/>
        <w:rPr>
          <w:sz w:val="24"/>
          <w:highlight w:val="none"/>
        </w:rPr>
      </w:pPr>
      <w:r>
        <w:rPr>
          <w:b/>
          <w:sz w:val="24"/>
          <w:highlight w:val="none"/>
        </w:rPr>
        <w:t>8、要求、磋商语言及计量单位</w:t>
      </w:r>
    </w:p>
    <w:p w14:paraId="1E271A8E">
      <w:pPr>
        <w:numPr>
          <w:ilvl w:val="1"/>
          <w:numId w:val="6"/>
        </w:numPr>
        <w:adjustRightInd w:val="0"/>
        <w:snapToGrid w:val="0"/>
        <w:spacing w:line="360" w:lineRule="auto"/>
        <w:rPr>
          <w:sz w:val="24"/>
          <w:highlight w:val="none"/>
        </w:rPr>
      </w:pPr>
      <w:r>
        <w:rPr>
          <w:sz w:val="24"/>
          <w:highlight w:val="none"/>
        </w:rPr>
        <w:t xml:space="preserve"> 供应商应仔细阅读磋商文件的所有内容，按磋商文件的要求提供磋商响应文件，并保证所提供的全部资料的真实性，以使其报价对磋商文件的实质性要求做出完全响应，否则，其报价可能被拒绝。</w:t>
      </w:r>
    </w:p>
    <w:p w14:paraId="1512FF79">
      <w:pPr>
        <w:numPr>
          <w:ilvl w:val="1"/>
          <w:numId w:val="6"/>
        </w:numPr>
        <w:adjustRightInd w:val="0"/>
        <w:snapToGrid w:val="0"/>
        <w:spacing w:line="360" w:lineRule="auto"/>
        <w:ind w:left="0" w:firstLine="0"/>
        <w:rPr>
          <w:sz w:val="24"/>
          <w:highlight w:val="none"/>
        </w:rPr>
      </w:pPr>
      <w:r>
        <w:rPr>
          <w:sz w:val="24"/>
          <w:highlight w:val="none"/>
        </w:rPr>
        <w:t xml:space="preserve"> 供应商递交的磋商响应文件以及供应商与采购代理机构就有关磋商的所有来往函电均应使用中文书写。</w:t>
      </w:r>
    </w:p>
    <w:p w14:paraId="0BFEA1FF">
      <w:pPr>
        <w:numPr>
          <w:ilvl w:val="1"/>
          <w:numId w:val="6"/>
        </w:numPr>
        <w:adjustRightInd w:val="0"/>
        <w:snapToGrid w:val="0"/>
        <w:spacing w:line="360" w:lineRule="auto"/>
        <w:ind w:left="0" w:firstLine="0"/>
        <w:rPr>
          <w:sz w:val="24"/>
          <w:highlight w:val="none"/>
        </w:rPr>
      </w:pPr>
      <w:r>
        <w:rPr>
          <w:sz w:val="24"/>
          <w:highlight w:val="none"/>
        </w:rPr>
        <w:t xml:space="preserve"> 除在磋商文件的技术规范中另有规定外，计量单位应使用中华人民共和国法定计量单位。</w:t>
      </w:r>
    </w:p>
    <w:p w14:paraId="44489489">
      <w:pPr>
        <w:pStyle w:val="27"/>
        <w:rPr>
          <w:rFonts w:ascii="Times New Roman" w:hAnsi="Times New Roman"/>
          <w:highlight w:val="none"/>
        </w:rPr>
      </w:pPr>
    </w:p>
    <w:p w14:paraId="1B8951A7">
      <w:pPr>
        <w:adjustRightInd w:val="0"/>
        <w:snapToGrid w:val="0"/>
        <w:spacing w:line="360" w:lineRule="auto"/>
        <w:rPr>
          <w:b/>
          <w:sz w:val="24"/>
          <w:highlight w:val="none"/>
        </w:rPr>
      </w:pPr>
      <w:r>
        <w:rPr>
          <w:b/>
          <w:sz w:val="24"/>
          <w:highlight w:val="none"/>
        </w:rPr>
        <w:t>9、磋商响应文件的组成</w:t>
      </w:r>
    </w:p>
    <w:p w14:paraId="504FF621">
      <w:pPr>
        <w:tabs>
          <w:tab w:val="left" w:pos="390"/>
        </w:tabs>
        <w:adjustRightInd w:val="0"/>
        <w:snapToGrid w:val="0"/>
        <w:spacing w:line="360" w:lineRule="auto"/>
        <w:rPr>
          <w:sz w:val="24"/>
          <w:highlight w:val="none"/>
        </w:rPr>
      </w:pPr>
      <w:r>
        <w:rPr>
          <w:sz w:val="24"/>
          <w:highlight w:val="none"/>
        </w:rPr>
        <w:t>9.1详见《供应商须知前附表》</w:t>
      </w:r>
    </w:p>
    <w:p w14:paraId="20FF5D32">
      <w:pPr>
        <w:pStyle w:val="27"/>
        <w:rPr>
          <w:rFonts w:ascii="Times New Roman" w:hAnsi="Times New Roman"/>
          <w:highlight w:val="none"/>
        </w:rPr>
      </w:pPr>
    </w:p>
    <w:p w14:paraId="7A687533">
      <w:pPr>
        <w:adjustRightInd w:val="0"/>
        <w:snapToGrid w:val="0"/>
        <w:spacing w:line="360" w:lineRule="auto"/>
        <w:rPr>
          <w:b/>
          <w:sz w:val="24"/>
          <w:highlight w:val="none"/>
        </w:rPr>
      </w:pPr>
      <w:r>
        <w:rPr>
          <w:b/>
          <w:sz w:val="24"/>
          <w:highlight w:val="none"/>
        </w:rPr>
        <w:t>10、磋商响应文件格式</w:t>
      </w:r>
    </w:p>
    <w:p w14:paraId="50DCCD06">
      <w:pPr>
        <w:adjustRightInd w:val="0"/>
        <w:snapToGrid w:val="0"/>
        <w:spacing w:line="360" w:lineRule="auto"/>
        <w:rPr>
          <w:sz w:val="24"/>
          <w:highlight w:val="none"/>
        </w:rPr>
      </w:pPr>
      <w:r>
        <w:rPr>
          <w:sz w:val="24"/>
          <w:highlight w:val="none"/>
        </w:rPr>
        <w:t>10.1 供应商应按磋商文件中第四部分附件提供的磋商响应文件格式，填写相关文件。</w:t>
      </w:r>
    </w:p>
    <w:p w14:paraId="2345528A">
      <w:pPr>
        <w:pStyle w:val="27"/>
        <w:rPr>
          <w:rFonts w:ascii="Times New Roman" w:hAnsi="Times New Roman"/>
          <w:highlight w:val="none"/>
        </w:rPr>
      </w:pPr>
    </w:p>
    <w:p w14:paraId="153543A6">
      <w:pPr>
        <w:adjustRightInd w:val="0"/>
        <w:snapToGrid w:val="0"/>
        <w:spacing w:line="360" w:lineRule="auto"/>
        <w:rPr>
          <w:b/>
          <w:sz w:val="24"/>
          <w:highlight w:val="none"/>
        </w:rPr>
      </w:pPr>
      <w:r>
        <w:rPr>
          <w:b/>
          <w:sz w:val="24"/>
          <w:highlight w:val="none"/>
        </w:rPr>
        <w:t>11、报价</w:t>
      </w:r>
    </w:p>
    <w:p w14:paraId="1A16051A">
      <w:pPr>
        <w:adjustRightInd w:val="0"/>
        <w:snapToGrid w:val="0"/>
        <w:spacing w:line="360" w:lineRule="auto"/>
        <w:rPr>
          <w:sz w:val="24"/>
          <w:highlight w:val="none"/>
        </w:rPr>
      </w:pPr>
      <w:r>
        <w:rPr>
          <w:sz w:val="24"/>
          <w:highlight w:val="none"/>
        </w:rPr>
        <w:t>11.1供应商应按磋商文件第四部分附件的报价表格式填写单价和总价。报价如果出现单价与总价不符的，以单价为准。</w:t>
      </w:r>
    </w:p>
    <w:p w14:paraId="4F480B91">
      <w:pPr>
        <w:numPr>
          <w:ilvl w:val="0"/>
          <w:numId w:val="7"/>
        </w:numPr>
        <w:tabs>
          <w:tab w:val="left" w:pos="851"/>
          <w:tab w:val="clear" w:pos="1134"/>
        </w:tabs>
        <w:adjustRightInd w:val="0"/>
        <w:snapToGrid w:val="0"/>
        <w:spacing w:line="360" w:lineRule="auto"/>
        <w:ind w:left="851"/>
        <w:rPr>
          <w:sz w:val="24"/>
          <w:highlight w:val="none"/>
        </w:rPr>
      </w:pPr>
      <w:r>
        <w:rPr>
          <w:sz w:val="24"/>
          <w:highlight w:val="none"/>
        </w:rPr>
        <w:t>磋商响应文件中报价函内容与报价一览表内容不一致的，以报价函为准；</w:t>
      </w:r>
    </w:p>
    <w:p w14:paraId="15A41A02">
      <w:pPr>
        <w:numPr>
          <w:ilvl w:val="0"/>
          <w:numId w:val="7"/>
        </w:numPr>
        <w:tabs>
          <w:tab w:val="left" w:pos="851"/>
          <w:tab w:val="clear" w:pos="1134"/>
        </w:tabs>
        <w:adjustRightInd w:val="0"/>
        <w:snapToGrid w:val="0"/>
        <w:spacing w:line="360" w:lineRule="auto"/>
        <w:ind w:left="851"/>
        <w:rPr>
          <w:sz w:val="24"/>
          <w:highlight w:val="none"/>
        </w:rPr>
      </w:pPr>
      <w:r>
        <w:rPr>
          <w:sz w:val="24"/>
          <w:highlight w:val="none"/>
        </w:rPr>
        <w:t>磋商响应文件的大写金额和小写金额不一致的，以大写金额为准；</w:t>
      </w:r>
    </w:p>
    <w:p w14:paraId="276AFE8D">
      <w:pPr>
        <w:numPr>
          <w:ilvl w:val="0"/>
          <w:numId w:val="7"/>
        </w:numPr>
        <w:tabs>
          <w:tab w:val="left" w:pos="851"/>
          <w:tab w:val="clear" w:pos="1134"/>
        </w:tabs>
        <w:adjustRightInd w:val="0"/>
        <w:snapToGrid w:val="0"/>
        <w:spacing w:line="360" w:lineRule="auto"/>
        <w:ind w:left="851"/>
        <w:rPr>
          <w:sz w:val="24"/>
          <w:highlight w:val="none"/>
        </w:rPr>
      </w:pPr>
      <w:r>
        <w:rPr>
          <w:sz w:val="24"/>
          <w:highlight w:val="none"/>
        </w:rPr>
        <w:t>总价金额与按单价汇总金额不一致的，以单价金额计算结果为准；单价金额小数点有明显错位的，应以总价为准，并修改单价；</w:t>
      </w:r>
    </w:p>
    <w:p w14:paraId="0319E22A">
      <w:pPr>
        <w:numPr>
          <w:ilvl w:val="0"/>
          <w:numId w:val="7"/>
        </w:numPr>
        <w:tabs>
          <w:tab w:val="left" w:pos="851"/>
          <w:tab w:val="clear" w:pos="1134"/>
        </w:tabs>
        <w:adjustRightInd w:val="0"/>
        <w:snapToGrid w:val="0"/>
        <w:spacing w:line="360" w:lineRule="auto"/>
        <w:ind w:left="851"/>
        <w:rPr>
          <w:sz w:val="24"/>
          <w:highlight w:val="none"/>
        </w:rPr>
      </w:pPr>
      <w:r>
        <w:rPr>
          <w:sz w:val="24"/>
          <w:highlight w:val="none"/>
        </w:rPr>
        <w:t>对不同文字文本磋商响应文件的解释发生异议的，以中文文本为准。</w:t>
      </w:r>
    </w:p>
    <w:p w14:paraId="2F7FE7F9">
      <w:pPr>
        <w:adjustRightInd w:val="0"/>
        <w:snapToGrid w:val="0"/>
        <w:spacing w:line="360" w:lineRule="auto"/>
        <w:rPr>
          <w:sz w:val="24"/>
          <w:highlight w:val="none"/>
        </w:rPr>
      </w:pPr>
      <w:r>
        <w:rPr>
          <w:sz w:val="24"/>
          <w:highlight w:val="none"/>
        </w:rPr>
        <w:t>11.2 分项报价表的总价应和报价一览表的报价相一致，且已包括供应商若成交，应缴纳的与所报价货物和服务相关的所有税费。</w:t>
      </w:r>
    </w:p>
    <w:p w14:paraId="2879CEB0">
      <w:pPr>
        <w:adjustRightInd w:val="0"/>
        <w:snapToGrid w:val="0"/>
        <w:spacing w:line="360" w:lineRule="auto"/>
        <w:rPr>
          <w:sz w:val="24"/>
          <w:highlight w:val="none"/>
        </w:rPr>
      </w:pPr>
      <w:r>
        <w:rPr>
          <w:sz w:val="24"/>
          <w:highlight w:val="none"/>
        </w:rPr>
        <w:t>11.3 报价总价包括供应商为完成本项目所发生的一切费用。供应商估算错误或漏项的风险均由供应商承担。</w:t>
      </w:r>
    </w:p>
    <w:p w14:paraId="1FAFB852">
      <w:pPr>
        <w:adjustRightInd w:val="0"/>
        <w:snapToGrid w:val="0"/>
        <w:spacing w:line="360" w:lineRule="auto"/>
        <w:rPr>
          <w:sz w:val="24"/>
          <w:highlight w:val="none"/>
        </w:rPr>
      </w:pPr>
      <w:r>
        <w:rPr>
          <w:sz w:val="24"/>
          <w:highlight w:val="none"/>
        </w:rPr>
        <w:t>11.4 供应商按上述11.1 和12.1款要求报价并填写报价仅供采购代理机构和采购人评审方便，但不限制采购人以其它方式签订合同的权力。</w:t>
      </w:r>
    </w:p>
    <w:p w14:paraId="63C08C81">
      <w:pPr>
        <w:adjustRightInd w:val="0"/>
        <w:snapToGrid w:val="0"/>
        <w:spacing w:line="360" w:lineRule="auto"/>
        <w:rPr>
          <w:sz w:val="24"/>
          <w:highlight w:val="none"/>
        </w:rPr>
      </w:pPr>
      <w:r>
        <w:rPr>
          <w:sz w:val="24"/>
          <w:highlight w:val="none"/>
        </w:rPr>
        <w:t>11.5分项报价表应包括：</w:t>
      </w:r>
    </w:p>
    <w:p w14:paraId="63CF9BBB">
      <w:pPr>
        <w:adjustRightInd w:val="0"/>
        <w:snapToGrid w:val="0"/>
        <w:spacing w:line="360" w:lineRule="auto"/>
        <w:ind w:left="283" w:leftChars="135"/>
        <w:rPr>
          <w:sz w:val="24"/>
          <w:highlight w:val="none"/>
        </w:rPr>
      </w:pPr>
      <w:r>
        <w:rPr>
          <w:sz w:val="24"/>
          <w:highlight w:val="none"/>
        </w:rPr>
        <w:t>（1）主机和标准附件价格</w:t>
      </w:r>
    </w:p>
    <w:p w14:paraId="297245F6">
      <w:pPr>
        <w:adjustRightInd w:val="0"/>
        <w:snapToGrid w:val="0"/>
        <w:spacing w:line="360" w:lineRule="auto"/>
        <w:ind w:left="283" w:leftChars="135"/>
        <w:rPr>
          <w:sz w:val="24"/>
          <w:highlight w:val="none"/>
        </w:rPr>
      </w:pPr>
      <w:r>
        <w:rPr>
          <w:sz w:val="24"/>
          <w:highlight w:val="none"/>
        </w:rPr>
        <w:t>（2）验收、安装、调试、培训及《技术规范书》中规定的其它服务费用。</w:t>
      </w:r>
    </w:p>
    <w:p w14:paraId="382CEE8A">
      <w:pPr>
        <w:adjustRightInd w:val="0"/>
        <w:snapToGrid w:val="0"/>
        <w:spacing w:line="360" w:lineRule="auto"/>
        <w:ind w:left="283" w:leftChars="135"/>
        <w:rPr>
          <w:sz w:val="24"/>
          <w:highlight w:val="none"/>
        </w:rPr>
      </w:pPr>
      <w:r>
        <w:rPr>
          <w:sz w:val="24"/>
          <w:highlight w:val="none"/>
        </w:rPr>
        <w:t>（3）交货期及交货地点：见《供应商须知前附表》。</w:t>
      </w:r>
    </w:p>
    <w:p w14:paraId="4E9418E4">
      <w:pPr>
        <w:adjustRightInd w:val="0"/>
        <w:snapToGrid w:val="0"/>
        <w:spacing w:line="360" w:lineRule="auto"/>
        <w:rPr>
          <w:sz w:val="24"/>
          <w:highlight w:val="none"/>
        </w:rPr>
      </w:pPr>
      <w:r>
        <w:rPr>
          <w:sz w:val="24"/>
          <w:highlight w:val="none"/>
        </w:rPr>
        <w:t>11.6 其他要求详见《供应商须知前附表》。</w:t>
      </w:r>
    </w:p>
    <w:p w14:paraId="13B2D6ED">
      <w:pPr>
        <w:pStyle w:val="27"/>
        <w:rPr>
          <w:rFonts w:ascii="Times New Roman" w:hAnsi="Times New Roman"/>
          <w:highlight w:val="none"/>
        </w:rPr>
      </w:pPr>
    </w:p>
    <w:p w14:paraId="43BE32F7">
      <w:pPr>
        <w:adjustRightInd w:val="0"/>
        <w:snapToGrid w:val="0"/>
        <w:spacing w:line="360" w:lineRule="auto"/>
        <w:rPr>
          <w:b/>
          <w:sz w:val="24"/>
          <w:highlight w:val="none"/>
        </w:rPr>
      </w:pPr>
      <w:r>
        <w:rPr>
          <w:b/>
          <w:sz w:val="24"/>
          <w:highlight w:val="none"/>
        </w:rPr>
        <w:t>12、报价货币</w:t>
      </w:r>
    </w:p>
    <w:p w14:paraId="2EE90930">
      <w:pPr>
        <w:adjustRightInd w:val="0"/>
        <w:snapToGrid w:val="0"/>
        <w:spacing w:line="360" w:lineRule="auto"/>
        <w:rPr>
          <w:sz w:val="24"/>
          <w:highlight w:val="none"/>
        </w:rPr>
      </w:pPr>
      <w:r>
        <w:rPr>
          <w:sz w:val="24"/>
          <w:highlight w:val="none"/>
        </w:rPr>
        <w:t>12.1 磋商响应文件、报价表中的报价一律采用《供应商须知前附表》中规定的币种填报。</w:t>
      </w:r>
    </w:p>
    <w:p w14:paraId="64B1277E">
      <w:pPr>
        <w:pStyle w:val="27"/>
        <w:rPr>
          <w:rFonts w:ascii="Times New Roman" w:hAnsi="Times New Roman"/>
          <w:highlight w:val="none"/>
        </w:rPr>
      </w:pPr>
    </w:p>
    <w:p w14:paraId="6E5C6CEC">
      <w:pPr>
        <w:adjustRightInd w:val="0"/>
        <w:snapToGrid w:val="0"/>
        <w:spacing w:line="360" w:lineRule="auto"/>
        <w:rPr>
          <w:b/>
          <w:sz w:val="24"/>
          <w:highlight w:val="none"/>
        </w:rPr>
      </w:pPr>
      <w:r>
        <w:rPr>
          <w:b/>
          <w:sz w:val="24"/>
          <w:highlight w:val="none"/>
        </w:rPr>
        <w:t>13、磋商保证金</w:t>
      </w:r>
    </w:p>
    <w:p w14:paraId="4054AAC6">
      <w:pPr>
        <w:autoSpaceDE w:val="0"/>
        <w:autoSpaceDN w:val="0"/>
        <w:adjustRightInd w:val="0"/>
        <w:snapToGrid w:val="0"/>
        <w:spacing w:line="360" w:lineRule="auto"/>
        <w:ind w:right="3"/>
        <w:textAlignment w:val="bottom"/>
        <w:rPr>
          <w:sz w:val="24"/>
          <w:highlight w:val="none"/>
        </w:rPr>
      </w:pPr>
      <w:r>
        <w:rPr>
          <w:sz w:val="24"/>
          <w:highlight w:val="none"/>
        </w:rPr>
        <w:t>13.1 供应商应于递交磋商响应文件截止时间前，提交《供应商须知前附表》中规定金额的磋商保证金。</w:t>
      </w:r>
    </w:p>
    <w:p w14:paraId="7504ED6B">
      <w:pPr>
        <w:tabs>
          <w:tab w:val="left" w:pos="7740"/>
        </w:tabs>
        <w:autoSpaceDE w:val="0"/>
        <w:autoSpaceDN w:val="0"/>
        <w:adjustRightInd w:val="0"/>
        <w:snapToGrid w:val="0"/>
        <w:spacing w:line="360" w:lineRule="auto"/>
        <w:ind w:right="3"/>
        <w:textAlignment w:val="bottom"/>
        <w:rPr>
          <w:sz w:val="24"/>
          <w:highlight w:val="none"/>
        </w:rPr>
      </w:pPr>
      <w:r>
        <w:rPr>
          <w:sz w:val="24"/>
          <w:highlight w:val="none"/>
        </w:rPr>
        <w:t>13.2 磋商保证金是用于保护本次采购免受供应商的行为而引起的风险。</w:t>
      </w:r>
    </w:p>
    <w:p w14:paraId="030C3D31">
      <w:pPr>
        <w:tabs>
          <w:tab w:val="left" w:pos="7740"/>
        </w:tabs>
        <w:autoSpaceDE w:val="0"/>
        <w:autoSpaceDN w:val="0"/>
        <w:adjustRightInd w:val="0"/>
        <w:snapToGrid w:val="0"/>
        <w:spacing w:line="360" w:lineRule="auto"/>
        <w:ind w:right="3"/>
        <w:textAlignment w:val="bottom"/>
        <w:rPr>
          <w:sz w:val="24"/>
          <w:highlight w:val="none"/>
        </w:rPr>
      </w:pPr>
      <w:r>
        <w:rPr>
          <w:sz w:val="24"/>
          <w:highlight w:val="none"/>
        </w:rPr>
        <w:t>13.3 磋商保证金的具体金额、形式详见“</w:t>
      </w:r>
      <w:r>
        <w:rPr>
          <w:b/>
          <w:sz w:val="24"/>
          <w:highlight w:val="none"/>
        </w:rPr>
        <w:t>供应商须知前附表</w:t>
      </w:r>
      <w:r>
        <w:rPr>
          <w:sz w:val="24"/>
          <w:highlight w:val="none"/>
        </w:rPr>
        <w:t>”。</w:t>
      </w:r>
    </w:p>
    <w:p w14:paraId="3CB0C464">
      <w:pPr>
        <w:autoSpaceDE w:val="0"/>
        <w:autoSpaceDN w:val="0"/>
        <w:adjustRightInd w:val="0"/>
        <w:snapToGrid w:val="0"/>
        <w:spacing w:line="360" w:lineRule="auto"/>
        <w:ind w:right="3"/>
        <w:textAlignment w:val="bottom"/>
        <w:rPr>
          <w:sz w:val="24"/>
          <w:highlight w:val="none"/>
        </w:rPr>
      </w:pPr>
      <w:r>
        <w:rPr>
          <w:sz w:val="24"/>
          <w:highlight w:val="none"/>
        </w:rPr>
        <w:t>13.4 任何未按以上规定提交磋商保证金的报价，将被视为非实质性响应性报价而予以拒绝。</w:t>
      </w:r>
    </w:p>
    <w:p w14:paraId="17C605A6">
      <w:pPr>
        <w:autoSpaceDE w:val="0"/>
        <w:autoSpaceDN w:val="0"/>
        <w:adjustRightInd w:val="0"/>
        <w:snapToGrid w:val="0"/>
        <w:spacing w:line="360" w:lineRule="auto"/>
        <w:ind w:right="3"/>
        <w:textAlignment w:val="bottom"/>
        <w:rPr>
          <w:sz w:val="24"/>
          <w:highlight w:val="none"/>
        </w:rPr>
      </w:pPr>
      <w:r>
        <w:rPr>
          <w:sz w:val="24"/>
          <w:highlight w:val="none"/>
        </w:rPr>
        <w:t>13.5 未成交的供应商的磋商保证金，将在向成交供应商发出成交通知书后，予以无息退还。</w:t>
      </w:r>
    </w:p>
    <w:p w14:paraId="2FDFE066">
      <w:pPr>
        <w:autoSpaceDE w:val="0"/>
        <w:autoSpaceDN w:val="0"/>
        <w:adjustRightInd w:val="0"/>
        <w:snapToGrid w:val="0"/>
        <w:spacing w:line="360" w:lineRule="auto"/>
        <w:ind w:right="3"/>
        <w:textAlignment w:val="bottom"/>
        <w:rPr>
          <w:sz w:val="24"/>
          <w:highlight w:val="none"/>
        </w:rPr>
      </w:pPr>
      <w:r>
        <w:rPr>
          <w:sz w:val="24"/>
          <w:highlight w:val="none"/>
        </w:rPr>
        <w:t>13.6 成交的供应商的磋商保证金，将在其缴付成交服务费后,予以无息退回。</w:t>
      </w:r>
    </w:p>
    <w:p w14:paraId="28D8DCDE">
      <w:pPr>
        <w:autoSpaceDE w:val="0"/>
        <w:autoSpaceDN w:val="0"/>
        <w:adjustRightInd w:val="0"/>
        <w:snapToGrid w:val="0"/>
        <w:spacing w:line="360" w:lineRule="auto"/>
        <w:ind w:right="893"/>
        <w:textAlignment w:val="bottom"/>
        <w:rPr>
          <w:sz w:val="24"/>
          <w:highlight w:val="none"/>
        </w:rPr>
      </w:pPr>
      <w:r>
        <w:rPr>
          <w:sz w:val="24"/>
          <w:highlight w:val="none"/>
        </w:rPr>
        <w:t>13.7 若发生下列情况，采购代理机构有权没收磋商保证金：</w:t>
      </w:r>
    </w:p>
    <w:p w14:paraId="460A9992">
      <w:pPr>
        <w:autoSpaceDE w:val="0"/>
        <w:autoSpaceDN w:val="0"/>
        <w:adjustRightInd w:val="0"/>
        <w:snapToGrid w:val="0"/>
        <w:spacing w:line="360" w:lineRule="auto"/>
        <w:ind w:left="540" w:right="893"/>
        <w:textAlignment w:val="bottom"/>
        <w:rPr>
          <w:sz w:val="24"/>
          <w:highlight w:val="none"/>
        </w:rPr>
      </w:pPr>
      <w:r>
        <w:rPr>
          <w:sz w:val="24"/>
          <w:highlight w:val="none"/>
        </w:rPr>
        <w:t>（A）如果供应商在报价有效期内撤回报价；或</w:t>
      </w:r>
    </w:p>
    <w:p w14:paraId="044D13C9">
      <w:pPr>
        <w:autoSpaceDE w:val="0"/>
        <w:autoSpaceDN w:val="0"/>
        <w:adjustRightInd w:val="0"/>
        <w:snapToGrid w:val="0"/>
        <w:spacing w:line="360" w:lineRule="auto"/>
        <w:ind w:left="540" w:right="893"/>
        <w:textAlignment w:val="bottom"/>
        <w:rPr>
          <w:sz w:val="24"/>
          <w:highlight w:val="none"/>
        </w:rPr>
      </w:pPr>
      <w:r>
        <w:rPr>
          <w:sz w:val="24"/>
          <w:highlight w:val="none"/>
        </w:rPr>
        <w:t>（B）成交供应商如果:</w:t>
      </w:r>
    </w:p>
    <w:p w14:paraId="25478DCF">
      <w:pPr>
        <w:autoSpaceDE w:val="0"/>
        <w:autoSpaceDN w:val="0"/>
        <w:adjustRightInd w:val="0"/>
        <w:snapToGrid w:val="0"/>
        <w:spacing w:line="360" w:lineRule="auto"/>
        <w:ind w:left="1080" w:right="893"/>
        <w:textAlignment w:val="bottom"/>
        <w:rPr>
          <w:sz w:val="24"/>
          <w:highlight w:val="none"/>
        </w:rPr>
      </w:pPr>
      <w:r>
        <w:rPr>
          <w:sz w:val="24"/>
          <w:highlight w:val="none"/>
        </w:rPr>
        <w:t xml:space="preserve"> （i）未根据第31条规定签订合同；或</w:t>
      </w:r>
    </w:p>
    <w:p w14:paraId="093B42F7">
      <w:pPr>
        <w:autoSpaceDE w:val="0"/>
        <w:autoSpaceDN w:val="0"/>
        <w:adjustRightInd w:val="0"/>
        <w:snapToGrid w:val="0"/>
        <w:spacing w:line="360" w:lineRule="auto"/>
        <w:ind w:left="1080" w:right="893"/>
        <w:textAlignment w:val="bottom"/>
        <w:rPr>
          <w:sz w:val="24"/>
          <w:highlight w:val="none"/>
        </w:rPr>
      </w:pPr>
      <w:r>
        <w:rPr>
          <w:sz w:val="24"/>
          <w:highlight w:val="none"/>
        </w:rPr>
        <w:t xml:space="preserve"> （ii）未按第32条规定缴付成交服务费；或</w:t>
      </w:r>
    </w:p>
    <w:p w14:paraId="673AF5F0">
      <w:pPr>
        <w:tabs>
          <w:tab w:val="left" w:pos="7740"/>
        </w:tabs>
        <w:autoSpaceDE w:val="0"/>
        <w:autoSpaceDN w:val="0"/>
        <w:adjustRightInd w:val="0"/>
        <w:snapToGrid w:val="0"/>
        <w:spacing w:line="360" w:lineRule="auto"/>
        <w:ind w:left="1080" w:right="3"/>
        <w:textAlignment w:val="bottom"/>
        <w:rPr>
          <w:sz w:val="24"/>
          <w:highlight w:val="none"/>
        </w:rPr>
      </w:pPr>
      <w:r>
        <w:rPr>
          <w:sz w:val="24"/>
          <w:highlight w:val="none"/>
        </w:rPr>
        <w:t xml:space="preserve"> （iii）在规定期限内，未能按规定方式向采购人提交履约保证金。</w:t>
      </w:r>
    </w:p>
    <w:p w14:paraId="026B2B0D">
      <w:pPr>
        <w:pStyle w:val="27"/>
        <w:rPr>
          <w:rFonts w:ascii="Times New Roman" w:hAnsi="Times New Roman"/>
          <w:highlight w:val="none"/>
        </w:rPr>
      </w:pPr>
    </w:p>
    <w:p w14:paraId="62F9196A">
      <w:pPr>
        <w:adjustRightInd w:val="0"/>
        <w:snapToGrid w:val="0"/>
        <w:spacing w:line="360" w:lineRule="auto"/>
        <w:rPr>
          <w:b/>
          <w:sz w:val="24"/>
          <w:highlight w:val="none"/>
        </w:rPr>
      </w:pPr>
      <w:r>
        <w:rPr>
          <w:b/>
          <w:sz w:val="24"/>
          <w:highlight w:val="none"/>
        </w:rPr>
        <w:t>14、报价有效期</w:t>
      </w:r>
    </w:p>
    <w:p w14:paraId="10B43EF2">
      <w:pPr>
        <w:autoSpaceDE w:val="0"/>
        <w:autoSpaceDN w:val="0"/>
        <w:adjustRightInd w:val="0"/>
        <w:snapToGrid w:val="0"/>
        <w:spacing w:line="360" w:lineRule="auto"/>
        <w:textAlignment w:val="bottom"/>
        <w:rPr>
          <w:sz w:val="24"/>
          <w:highlight w:val="none"/>
        </w:rPr>
      </w:pPr>
      <w:r>
        <w:rPr>
          <w:sz w:val="24"/>
          <w:highlight w:val="none"/>
        </w:rPr>
        <w:t>14.1 磋商响应文件将在《供应商须知前附表》中规定的有效期内有效。报价有效期不足的地报价将视为非响应性应答被予以拒绝。</w:t>
      </w:r>
    </w:p>
    <w:p w14:paraId="00A72E0C">
      <w:pPr>
        <w:autoSpaceDE w:val="0"/>
        <w:autoSpaceDN w:val="0"/>
        <w:adjustRightInd w:val="0"/>
        <w:snapToGrid w:val="0"/>
        <w:spacing w:line="360" w:lineRule="auto"/>
        <w:textAlignment w:val="bottom"/>
        <w:rPr>
          <w:sz w:val="24"/>
          <w:highlight w:val="none"/>
        </w:rPr>
      </w:pPr>
      <w:r>
        <w:rPr>
          <w:sz w:val="24"/>
          <w:highlight w:val="none"/>
        </w:rPr>
        <w:t>14.2 在特殊情况下，采购代理机构可于报价有效期满之前要求供应商同意延长有效期。要求与答复均应以书面形式往来。供应商可以拒绝上述要求而其磋商保证金不被没收。对于同意该要求的供应商，既不要求也不允许其修改磋商响应文件，但将要求其相应延长磋商保证金的有效期。第14条报价保函的有关规定在保函延长期内仍适用。</w:t>
      </w:r>
    </w:p>
    <w:p w14:paraId="51D592FA">
      <w:pPr>
        <w:pStyle w:val="27"/>
        <w:rPr>
          <w:rFonts w:ascii="Times New Roman" w:hAnsi="Times New Roman"/>
          <w:highlight w:val="none"/>
        </w:rPr>
      </w:pPr>
    </w:p>
    <w:p w14:paraId="4E06ECF8">
      <w:pPr>
        <w:adjustRightInd w:val="0"/>
        <w:snapToGrid w:val="0"/>
        <w:spacing w:line="360" w:lineRule="auto"/>
        <w:rPr>
          <w:b/>
          <w:sz w:val="24"/>
          <w:highlight w:val="none"/>
        </w:rPr>
      </w:pPr>
      <w:r>
        <w:rPr>
          <w:b/>
          <w:sz w:val="24"/>
          <w:highlight w:val="none"/>
        </w:rPr>
        <w:t>15、磋商响应文件的签署</w:t>
      </w:r>
    </w:p>
    <w:p w14:paraId="5F0A8758">
      <w:pPr>
        <w:autoSpaceDE w:val="0"/>
        <w:autoSpaceDN w:val="0"/>
        <w:adjustRightInd w:val="0"/>
        <w:snapToGrid w:val="0"/>
        <w:spacing w:line="360" w:lineRule="auto"/>
        <w:textAlignment w:val="bottom"/>
        <w:rPr>
          <w:sz w:val="24"/>
          <w:highlight w:val="none"/>
        </w:rPr>
      </w:pPr>
      <w:r>
        <w:rPr>
          <w:sz w:val="24"/>
          <w:highlight w:val="none"/>
        </w:rPr>
        <w:t>15.1 供应商应按《供应商须知前附表》中规定的份数准备磋商响应文件，在每一份磋商响应文件上编上页次，装订成册，并要明确注明“正本”和“副本”，一旦正本和副本或电子版本发现差异，以正本书面磋商响应文件为准。</w:t>
      </w:r>
    </w:p>
    <w:p w14:paraId="17170802">
      <w:pPr>
        <w:autoSpaceDE w:val="0"/>
        <w:autoSpaceDN w:val="0"/>
        <w:adjustRightInd w:val="0"/>
        <w:snapToGrid w:val="0"/>
        <w:spacing w:line="360" w:lineRule="auto"/>
        <w:textAlignment w:val="bottom"/>
        <w:rPr>
          <w:sz w:val="24"/>
          <w:highlight w:val="none"/>
        </w:rPr>
      </w:pPr>
      <w:r>
        <w:rPr>
          <w:sz w:val="24"/>
          <w:highlight w:val="none"/>
        </w:rPr>
        <w:t>15.2 磋商响应文件正本和副本须打印或用不退色墨水书写并由供应商或经正式授权并对供应商有合同约束力的人签字，后者须将“法人代表授权书”以书面形式附在磋商响应文件中。磋商响应文件的每一页须由磋商响应文件的签署人小签，未曾修改的印刷样本除外。</w:t>
      </w:r>
    </w:p>
    <w:p w14:paraId="6246A8FF">
      <w:pPr>
        <w:autoSpaceDE w:val="0"/>
        <w:autoSpaceDN w:val="0"/>
        <w:adjustRightInd w:val="0"/>
        <w:snapToGrid w:val="0"/>
        <w:spacing w:line="360" w:lineRule="auto"/>
        <w:textAlignment w:val="bottom"/>
        <w:rPr>
          <w:sz w:val="24"/>
          <w:highlight w:val="none"/>
        </w:rPr>
      </w:pPr>
      <w:r>
        <w:rPr>
          <w:sz w:val="24"/>
          <w:highlight w:val="none"/>
        </w:rPr>
        <w:t>15.3 除供应商对错处做必要修改外，磋商响应文件中不许有加行，涂抹或改写。若有修改须由签署磋商响应文件的人进行签字。</w:t>
      </w:r>
    </w:p>
    <w:p w14:paraId="36F6C141">
      <w:pPr>
        <w:autoSpaceDE w:val="0"/>
        <w:autoSpaceDN w:val="0"/>
        <w:adjustRightInd w:val="0"/>
        <w:snapToGrid w:val="0"/>
        <w:spacing w:line="360" w:lineRule="auto"/>
        <w:textAlignment w:val="bottom"/>
        <w:rPr>
          <w:sz w:val="24"/>
          <w:highlight w:val="none"/>
        </w:rPr>
      </w:pPr>
      <w:r>
        <w:rPr>
          <w:sz w:val="24"/>
          <w:highlight w:val="none"/>
        </w:rPr>
        <w:t>15.4 传真或邮递报价概不接受。</w:t>
      </w:r>
    </w:p>
    <w:p w14:paraId="2E9ABFCB">
      <w:pPr>
        <w:pStyle w:val="27"/>
        <w:rPr>
          <w:rFonts w:ascii="Times New Roman" w:hAnsi="Times New Roman"/>
          <w:highlight w:val="none"/>
        </w:rPr>
      </w:pPr>
    </w:p>
    <w:p w14:paraId="339CA6BC">
      <w:pPr>
        <w:autoSpaceDE w:val="0"/>
        <w:autoSpaceDN w:val="0"/>
        <w:adjustRightInd w:val="0"/>
        <w:snapToGrid w:val="0"/>
        <w:spacing w:line="360" w:lineRule="auto"/>
        <w:jc w:val="center"/>
        <w:textAlignment w:val="bottom"/>
        <w:rPr>
          <w:b/>
          <w:sz w:val="24"/>
          <w:highlight w:val="none"/>
        </w:rPr>
      </w:pPr>
      <w:r>
        <w:rPr>
          <w:b/>
          <w:sz w:val="24"/>
          <w:highlight w:val="none"/>
        </w:rPr>
        <w:t>四、磋商响应文件的递交</w:t>
      </w:r>
    </w:p>
    <w:p w14:paraId="500CD5BD">
      <w:pPr>
        <w:pStyle w:val="27"/>
        <w:rPr>
          <w:rFonts w:ascii="Times New Roman" w:hAnsi="Times New Roman"/>
          <w:highlight w:val="none"/>
        </w:rPr>
      </w:pPr>
    </w:p>
    <w:p w14:paraId="49762BDA">
      <w:pPr>
        <w:adjustRightInd w:val="0"/>
        <w:snapToGrid w:val="0"/>
        <w:spacing w:line="360" w:lineRule="auto"/>
        <w:rPr>
          <w:b/>
          <w:sz w:val="24"/>
          <w:highlight w:val="none"/>
        </w:rPr>
      </w:pPr>
      <w:r>
        <w:rPr>
          <w:b/>
          <w:sz w:val="24"/>
          <w:highlight w:val="none"/>
        </w:rPr>
        <w:t>16、磋商响应文件的密封和标记</w:t>
      </w:r>
    </w:p>
    <w:p w14:paraId="0C78E5BC">
      <w:pPr>
        <w:autoSpaceDE w:val="0"/>
        <w:autoSpaceDN w:val="0"/>
        <w:adjustRightInd w:val="0"/>
        <w:snapToGrid w:val="0"/>
        <w:spacing w:line="360" w:lineRule="auto"/>
        <w:textAlignment w:val="bottom"/>
        <w:rPr>
          <w:sz w:val="24"/>
          <w:highlight w:val="none"/>
        </w:rPr>
      </w:pPr>
      <w:r>
        <w:rPr>
          <w:sz w:val="24"/>
          <w:highlight w:val="none"/>
        </w:rPr>
        <w:t>16.1 供应商应将磋商响应文件正本、副本、报价信封、磋商保证金分别以封装袋分别单独密封，并在信封上标明“正本”、“副本”、“报价信封”、“磋商保证金”字样。电子版文件随“正本”递交。</w:t>
      </w:r>
    </w:p>
    <w:p w14:paraId="25D1E423">
      <w:pPr>
        <w:autoSpaceDE w:val="0"/>
        <w:autoSpaceDN w:val="0"/>
        <w:adjustRightInd w:val="0"/>
        <w:snapToGrid w:val="0"/>
        <w:spacing w:line="360" w:lineRule="auto"/>
        <w:textAlignment w:val="bottom"/>
        <w:rPr>
          <w:sz w:val="24"/>
          <w:highlight w:val="none"/>
        </w:rPr>
      </w:pPr>
      <w:r>
        <w:rPr>
          <w:sz w:val="24"/>
          <w:highlight w:val="none"/>
        </w:rPr>
        <w:t>16.2 封装袋封面均应注明：</w:t>
      </w:r>
    </w:p>
    <w:p w14:paraId="4143EC75">
      <w:pPr>
        <w:numPr>
          <w:ilvl w:val="0"/>
          <w:numId w:val="8"/>
        </w:numPr>
        <w:autoSpaceDE w:val="0"/>
        <w:autoSpaceDN w:val="0"/>
        <w:adjustRightInd w:val="0"/>
        <w:snapToGrid w:val="0"/>
        <w:spacing w:line="360" w:lineRule="auto"/>
        <w:textAlignment w:val="bottom"/>
        <w:rPr>
          <w:sz w:val="24"/>
          <w:highlight w:val="none"/>
        </w:rPr>
      </w:pPr>
      <w:r>
        <w:rPr>
          <w:sz w:val="24"/>
          <w:highlight w:val="none"/>
        </w:rPr>
        <w:t>项目名称、采购编号、包号、正本或副本</w:t>
      </w:r>
    </w:p>
    <w:p w14:paraId="13FD398F">
      <w:pPr>
        <w:numPr>
          <w:ilvl w:val="0"/>
          <w:numId w:val="8"/>
        </w:numPr>
        <w:autoSpaceDE w:val="0"/>
        <w:autoSpaceDN w:val="0"/>
        <w:adjustRightInd w:val="0"/>
        <w:snapToGrid w:val="0"/>
        <w:spacing w:line="360" w:lineRule="auto"/>
        <w:textAlignment w:val="bottom"/>
        <w:rPr>
          <w:sz w:val="24"/>
          <w:highlight w:val="none"/>
        </w:rPr>
      </w:pPr>
      <w:r>
        <w:rPr>
          <w:sz w:val="24"/>
          <w:highlight w:val="none"/>
        </w:rPr>
        <w:t>“在</w:t>
      </w:r>
      <w:r>
        <w:rPr>
          <w:sz w:val="24"/>
          <w:highlight w:val="none"/>
          <w:u w:val="single"/>
        </w:rPr>
        <w:t xml:space="preserve">      </w:t>
      </w:r>
      <w:r>
        <w:rPr>
          <w:sz w:val="24"/>
          <w:highlight w:val="none"/>
        </w:rPr>
        <w:t>年</w:t>
      </w:r>
      <w:r>
        <w:rPr>
          <w:sz w:val="24"/>
          <w:highlight w:val="none"/>
          <w:u w:val="single"/>
        </w:rPr>
        <w:t xml:space="preserve">  </w:t>
      </w:r>
      <w:r>
        <w:rPr>
          <w:sz w:val="24"/>
          <w:highlight w:val="none"/>
        </w:rPr>
        <w:t>月</w:t>
      </w:r>
      <w:r>
        <w:rPr>
          <w:sz w:val="24"/>
          <w:highlight w:val="none"/>
          <w:u w:val="single"/>
        </w:rPr>
        <w:t xml:space="preserve">  </w:t>
      </w:r>
      <w:r>
        <w:rPr>
          <w:sz w:val="24"/>
          <w:highlight w:val="none"/>
        </w:rPr>
        <w:t>日</w:t>
      </w:r>
      <w:r>
        <w:rPr>
          <w:sz w:val="24"/>
          <w:highlight w:val="none"/>
          <w:u w:val="single"/>
        </w:rPr>
        <w:t xml:space="preserve">  </w:t>
      </w:r>
      <w:r>
        <w:rPr>
          <w:sz w:val="24"/>
          <w:highlight w:val="none"/>
        </w:rPr>
        <w:t>时（递交磋商响应文件截止时间）之前不准启封”的字样。</w:t>
      </w:r>
    </w:p>
    <w:p w14:paraId="06775CF8">
      <w:pPr>
        <w:numPr>
          <w:ilvl w:val="0"/>
          <w:numId w:val="8"/>
        </w:numPr>
        <w:autoSpaceDE w:val="0"/>
        <w:autoSpaceDN w:val="0"/>
        <w:adjustRightInd w:val="0"/>
        <w:snapToGrid w:val="0"/>
        <w:spacing w:line="360" w:lineRule="auto"/>
        <w:textAlignment w:val="bottom"/>
        <w:rPr>
          <w:sz w:val="24"/>
          <w:highlight w:val="none"/>
        </w:rPr>
      </w:pPr>
      <w:r>
        <w:rPr>
          <w:sz w:val="24"/>
          <w:highlight w:val="none"/>
        </w:rPr>
        <w:t>供应商名称和地址，以便原封退还迟交的磋商响应文件。</w:t>
      </w:r>
    </w:p>
    <w:p w14:paraId="13446632">
      <w:pPr>
        <w:autoSpaceDE w:val="0"/>
        <w:autoSpaceDN w:val="0"/>
        <w:adjustRightInd w:val="0"/>
        <w:snapToGrid w:val="0"/>
        <w:spacing w:line="360" w:lineRule="auto"/>
        <w:textAlignment w:val="bottom"/>
        <w:rPr>
          <w:sz w:val="24"/>
          <w:highlight w:val="none"/>
        </w:rPr>
      </w:pPr>
      <w:r>
        <w:rPr>
          <w:sz w:val="24"/>
          <w:highlight w:val="none"/>
        </w:rPr>
        <w:t>16.3 如果未按16.1和16.2条规定密封和标记，采购代理机构对磋商响应文件的误投或提前拆封不负责任。对由此造成提前开封的磋商响应文件，采购代理机构将予以拒绝，并退回供应商。</w:t>
      </w:r>
    </w:p>
    <w:p w14:paraId="2E9A007D">
      <w:pPr>
        <w:autoSpaceDE w:val="0"/>
        <w:autoSpaceDN w:val="0"/>
        <w:adjustRightInd w:val="0"/>
        <w:snapToGrid w:val="0"/>
        <w:spacing w:line="360" w:lineRule="auto"/>
        <w:textAlignment w:val="bottom"/>
        <w:rPr>
          <w:sz w:val="24"/>
          <w:highlight w:val="none"/>
        </w:rPr>
      </w:pPr>
      <w:r>
        <w:rPr>
          <w:sz w:val="24"/>
          <w:highlight w:val="none"/>
        </w:rPr>
        <w:t>16.4 报价信封内须装有如下内容：</w:t>
      </w:r>
    </w:p>
    <w:p w14:paraId="1E13B062">
      <w:pPr>
        <w:autoSpaceDE w:val="0"/>
        <w:autoSpaceDN w:val="0"/>
        <w:adjustRightInd w:val="0"/>
        <w:snapToGrid w:val="0"/>
        <w:spacing w:line="360" w:lineRule="auto"/>
        <w:ind w:firstLine="480" w:firstLineChars="200"/>
        <w:textAlignment w:val="bottom"/>
        <w:rPr>
          <w:sz w:val="24"/>
          <w:highlight w:val="none"/>
        </w:rPr>
      </w:pPr>
      <w:r>
        <w:rPr>
          <w:sz w:val="24"/>
          <w:highlight w:val="none"/>
        </w:rPr>
        <w:t>（1）报价函原件</w:t>
      </w:r>
    </w:p>
    <w:p w14:paraId="679FE52B">
      <w:pPr>
        <w:autoSpaceDE w:val="0"/>
        <w:autoSpaceDN w:val="0"/>
        <w:adjustRightInd w:val="0"/>
        <w:snapToGrid w:val="0"/>
        <w:spacing w:line="360" w:lineRule="auto"/>
        <w:ind w:firstLine="480" w:firstLineChars="200"/>
        <w:textAlignment w:val="bottom"/>
        <w:rPr>
          <w:sz w:val="24"/>
          <w:highlight w:val="none"/>
        </w:rPr>
      </w:pPr>
      <w:r>
        <w:rPr>
          <w:sz w:val="24"/>
          <w:highlight w:val="none"/>
        </w:rPr>
        <w:t>（2）报价一览表（磋商响应文件正副本内应同时附有内容相同的报价表）</w:t>
      </w:r>
    </w:p>
    <w:p w14:paraId="2DBD6693">
      <w:pPr>
        <w:pStyle w:val="27"/>
        <w:rPr>
          <w:rFonts w:ascii="Times New Roman" w:hAnsi="Times New Roman"/>
          <w:highlight w:val="none"/>
        </w:rPr>
      </w:pPr>
    </w:p>
    <w:p w14:paraId="597126C3">
      <w:pPr>
        <w:adjustRightInd w:val="0"/>
        <w:snapToGrid w:val="0"/>
        <w:spacing w:line="360" w:lineRule="auto"/>
        <w:rPr>
          <w:b/>
          <w:sz w:val="24"/>
          <w:highlight w:val="none"/>
        </w:rPr>
      </w:pPr>
      <w:r>
        <w:rPr>
          <w:b/>
          <w:sz w:val="24"/>
          <w:highlight w:val="none"/>
        </w:rPr>
        <w:t>17、递交磋商响应文件的截止日期和地点</w:t>
      </w:r>
    </w:p>
    <w:p w14:paraId="21288717">
      <w:pPr>
        <w:tabs>
          <w:tab w:val="left" w:pos="5640"/>
        </w:tabs>
        <w:autoSpaceDE w:val="0"/>
        <w:autoSpaceDN w:val="0"/>
        <w:adjustRightInd w:val="0"/>
        <w:snapToGrid w:val="0"/>
        <w:spacing w:line="360" w:lineRule="auto"/>
        <w:textAlignment w:val="bottom"/>
        <w:rPr>
          <w:sz w:val="24"/>
          <w:highlight w:val="none"/>
        </w:rPr>
      </w:pPr>
      <w:r>
        <w:rPr>
          <w:sz w:val="24"/>
          <w:highlight w:val="none"/>
        </w:rPr>
        <w:t>17.1 递交磋商响应文件的时间不得迟于《供应商须知前附表》中规定的截止时间。</w:t>
      </w:r>
    </w:p>
    <w:p w14:paraId="14ED6E34">
      <w:pPr>
        <w:autoSpaceDE w:val="0"/>
        <w:autoSpaceDN w:val="0"/>
        <w:adjustRightInd w:val="0"/>
        <w:snapToGrid w:val="0"/>
        <w:spacing w:line="360" w:lineRule="auto"/>
        <w:textAlignment w:val="bottom"/>
        <w:rPr>
          <w:sz w:val="24"/>
          <w:highlight w:val="none"/>
        </w:rPr>
      </w:pPr>
      <w:r>
        <w:rPr>
          <w:sz w:val="24"/>
          <w:highlight w:val="none"/>
        </w:rPr>
        <w:t>17.2 采购代理机构可按照第7款的规定修改磋商文件并酌情延长递交磋商响应文件的截止时间，因此，已规定的采购代理机构和供应商的一切权利和义务将按延期后的磋商截止日期履行。</w:t>
      </w:r>
    </w:p>
    <w:p w14:paraId="4FB684C3">
      <w:pPr>
        <w:autoSpaceDE w:val="0"/>
        <w:autoSpaceDN w:val="0"/>
        <w:adjustRightInd w:val="0"/>
        <w:snapToGrid w:val="0"/>
        <w:spacing w:line="360" w:lineRule="auto"/>
        <w:textAlignment w:val="bottom"/>
        <w:rPr>
          <w:sz w:val="24"/>
          <w:highlight w:val="none"/>
        </w:rPr>
      </w:pPr>
      <w:r>
        <w:rPr>
          <w:sz w:val="24"/>
          <w:highlight w:val="none"/>
        </w:rPr>
        <w:t>17.3 磋商响应文件递交至《供应商须知前附表》中规定的磋商地点。</w:t>
      </w:r>
    </w:p>
    <w:p w14:paraId="5DEB640A">
      <w:pPr>
        <w:autoSpaceDE w:val="0"/>
        <w:autoSpaceDN w:val="0"/>
        <w:adjustRightInd w:val="0"/>
        <w:snapToGrid w:val="0"/>
        <w:spacing w:line="360" w:lineRule="auto"/>
        <w:textAlignment w:val="bottom"/>
        <w:rPr>
          <w:sz w:val="24"/>
          <w:highlight w:val="none"/>
        </w:rPr>
      </w:pPr>
      <w:r>
        <w:rPr>
          <w:sz w:val="24"/>
          <w:highlight w:val="none"/>
        </w:rPr>
        <w:t>17.4 法人代表（或法人授权代表）必须出席竞争性磋商。</w:t>
      </w:r>
    </w:p>
    <w:p w14:paraId="668435E0">
      <w:pPr>
        <w:pStyle w:val="27"/>
        <w:rPr>
          <w:rFonts w:ascii="Times New Roman" w:hAnsi="Times New Roman"/>
          <w:highlight w:val="none"/>
        </w:rPr>
      </w:pPr>
    </w:p>
    <w:p w14:paraId="6328AA93">
      <w:pPr>
        <w:adjustRightInd w:val="0"/>
        <w:snapToGrid w:val="0"/>
        <w:spacing w:line="360" w:lineRule="auto"/>
        <w:rPr>
          <w:b/>
          <w:sz w:val="24"/>
          <w:highlight w:val="none"/>
        </w:rPr>
      </w:pPr>
      <w:r>
        <w:rPr>
          <w:b/>
          <w:sz w:val="24"/>
          <w:highlight w:val="none"/>
        </w:rPr>
        <w:t>18、迟交的磋商响应文件</w:t>
      </w:r>
    </w:p>
    <w:p w14:paraId="187891DC">
      <w:pPr>
        <w:autoSpaceDE w:val="0"/>
        <w:autoSpaceDN w:val="0"/>
        <w:adjustRightInd w:val="0"/>
        <w:snapToGrid w:val="0"/>
        <w:spacing w:line="360" w:lineRule="auto"/>
        <w:textAlignment w:val="bottom"/>
        <w:rPr>
          <w:sz w:val="24"/>
          <w:highlight w:val="none"/>
        </w:rPr>
      </w:pPr>
      <w:r>
        <w:rPr>
          <w:sz w:val="24"/>
          <w:highlight w:val="none"/>
        </w:rPr>
        <w:t>18.1 采购代理机构将拒绝任何晚于递交磋商响应文件的截止时间的磋商响应文件。</w:t>
      </w:r>
    </w:p>
    <w:p w14:paraId="53D218B7">
      <w:pPr>
        <w:pStyle w:val="27"/>
        <w:rPr>
          <w:rFonts w:ascii="Times New Roman" w:hAnsi="Times New Roman"/>
          <w:highlight w:val="none"/>
        </w:rPr>
      </w:pPr>
    </w:p>
    <w:p w14:paraId="2A48CBC6">
      <w:pPr>
        <w:adjustRightInd w:val="0"/>
        <w:snapToGrid w:val="0"/>
        <w:spacing w:line="360" w:lineRule="auto"/>
        <w:rPr>
          <w:b/>
          <w:sz w:val="24"/>
          <w:highlight w:val="none"/>
        </w:rPr>
      </w:pPr>
      <w:r>
        <w:rPr>
          <w:b/>
          <w:sz w:val="24"/>
          <w:highlight w:val="none"/>
        </w:rPr>
        <w:t>19、磋商响应文件的修改和撤回</w:t>
      </w:r>
    </w:p>
    <w:p w14:paraId="465856CC">
      <w:pPr>
        <w:autoSpaceDE w:val="0"/>
        <w:autoSpaceDN w:val="0"/>
        <w:adjustRightInd w:val="0"/>
        <w:snapToGrid w:val="0"/>
        <w:spacing w:line="360" w:lineRule="auto"/>
        <w:textAlignment w:val="bottom"/>
        <w:rPr>
          <w:sz w:val="24"/>
          <w:highlight w:val="none"/>
        </w:rPr>
      </w:pPr>
      <w:r>
        <w:rPr>
          <w:sz w:val="24"/>
          <w:highlight w:val="none"/>
        </w:rPr>
        <w:t>19.1 供应商在递交磋商响应文件后可对其磋商响应文件进行修改或撤回，但采购代理机构须在递交磋商响应文件截止日期前收到该修改或撤回的书面通知，该通知须有经正式授权的供应商的授权代表签字。</w:t>
      </w:r>
    </w:p>
    <w:p w14:paraId="5304079B">
      <w:pPr>
        <w:autoSpaceDE w:val="0"/>
        <w:autoSpaceDN w:val="0"/>
        <w:adjustRightInd w:val="0"/>
        <w:snapToGrid w:val="0"/>
        <w:spacing w:line="360" w:lineRule="auto"/>
        <w:textAlignment w:val="bottom"/>
        <w:rPr>
          <w:sz w:val="24"/>
          <w:highlight w:val="none"/>
        </w:rPr>
      </w:pPr>
      <w:r>
        <w:rPr>
          <w:sz w:val="24"/>
          <w:highlight w:val="none"/>
        </w:rPr>
        <w:t>19.2 供应商对磋商响应文件的修改或撤回的通知应按第16和17款规定进行准备，密封，标注和递送，并注明“修改磋商响应文件”或“撤回报价”字样。</w:t>
      </w:r>
    </w:p>
    <w:p w14:paraId="32998E68">
      <w:pPr>
        <w:autoSpaceDE w:val="0"/>
        <w:autoSpaceDN w:val="0"/>
        <w:adjustRightInd w:val="0"/>
        <w:snapToGrid w:val="0"/>
        <w:spacing w:line="360" w:lineRule="auto"/>
        <w:textAlignment w:val="bottom"/>
        <w:rPr>
          <w:sz w:val="24"/>
          <w:highlight w:val="none"/>
        </w:rPr>
      </w:pPr>
      <w:r>
        <w:rPr>
          <w:sz w:val="24"/>
          <w:highlight w:val="none"/>
        </w:rPr>
        <w:t>19.3 递交磋商响应文件截止时间后不得修改磋商响应文件。</w:t>
      </w:r>
    </w:p>
    <w:p w14:paraId="00EFA1EB">
      <w:pPr>
        <w:autoSpaceDE w:val="0"/>
        <w:autoSpaceDN w:val="0"/>
        <w:adjustRightInd w:val="0"/>
        <w:snapToGrid w:val="0"/>
        <w:spacing w:line="360" w:lineRule="auto"/>
        <w:textAlignment w:val="bottom"/>
        <w:rPr>
          <w:sz w:val="24"/>
          <w:highlight w:val="none"/>
        </w:rPr>
      </w:pPr>
      <w:r>
        <w:rPr>
          <w:sz w:val="24"/>
          <w:highlight w:val="none"/>
        </w:rPr>
        <w:t>19.4 供应商不得在递交磋商响应文件截止日起且已提交最后报价至14款规定的磋商响应文件有效期期满前撤销磋商响应文件。否则采购代理机构将按13.7（A）条规定没收其磋商保证金。</w:t>
      </w:r>
    </w:p>
    <w:p w14:paraId="21E801B0">
      <w:pPr>
        <w:pStyle w:val="27"/>
        <w:rPr>
          <w:rFonts w:ascii="Times New Roman" w:hAnsi="Times New Roman"/>
          <w:highlight w:val="none"/>
        </w:rPr>
      </w:pPr>
    </w:p>
    <w:p w14:paraId="1C7A5CFD">
      <w:pPr>
        <w:autoSpaceDE w:val="0"/>
        <w:autoSpaceDN w:val="0"/>
        <w:adjustRightInd w:val="0"/>
        <w:snapToGrid w:val="0"/>
        <w:spacing w:line="360" w:lineRule="auto"/>
        <w:ind w:left="720" w:hanging="720"/>
        <w:jc w:val="center"/>
        <w:textAlignment w:val="bottom"/>
        <w:rPr>
          <w:b/>
          <w:sz w:val="24"/>
          <w:highlight w:val="none"/>
        </w:rPr>
      </w:pPr>
      <w:r>
        <w:rPr>
          <w:b/>
          <w:sz w:val="24"/>
          <w:highlight w:val="none"/>
        </w:rPr>
        <w:t>五、竞争性磋商及评审</w:t>
      </w:r>
    </w:p>
    <w:p w14:paraId="322861D6">
      <w:pPr>
        <w:pStyle w:val="27"/>
        <w:rPr>
          <w:rFonts w:ascii="Times New Roman" w:hAnsi="Times New Roman"/>
          <w:highlight w:val="none"/>
        </w:rPr>
      </w:pPr>
    </w:p>
    <w:p w14:paraId="4604CB2B">
      <w:pPr>
        <w:adjustRightInd w:val="0"/>
        <w:snapToGrid w:val="0"/>
        <w:spacing w:line="360" w:lineRule="auto"/>
        <w:rPr>
          <w:b/>
          <w:sz w:val="24"/>
          <w:highlight w:val="none"/>
        </w:rPr>
      </w:pPr>
      <w:r>
        <w:rPr>
          <w:b/>
          <w:sz w:val="24"/>
          <w:highlight w:val="none"/>
        </w:rPr>
        <w:t>20、磋商和评审过程的保密性</w:t>
      </w:r>
    </w:p>
    <w:p w14:paraId="0F11414B">
      <w:pPr>
        <w:autoSpaceDE w:val="0"/>
        <w:autoSpaceDN w:val="0"/>
        <w:adjustRightInd w:val="0"/>
        <w:snapToGrid w:val="0"/>
        <w:spacing w:line="360" w:lineRule="auto"/>
        <w:textAlignment w:val="bottom"/>
        <w:rPr>
          <w:sz w:val="24"/>
          <w:highlight w:val="none"/>
        </w:rPr>
      </w:pPr>
      <w:r>
        <w:rPr>
          <w:sz w:val="24"/>
          <w:highlight w:val="none"/>
        </w:rPr>
        <w:t>20.1 递交磋商响应文件后，直至向确定的成交供应商授予合同时为止，凡与审查，澄清，评估和竞争性磋商的有关资料以及成交意见等，均不得向供应商及与磋商小组无关的其他人员透露。</w:t>
      </w:r>
    </w:p>
    <w:p w14:paraId="1FF665AB">
      <w:pPr>
        <w:autoSpaceDE w:val="0"/>
        <w:autoSpaceDN w:val="0"/>
        <w:adjustRightInd w:val="0"/>
        <w:snapToGrid w:val="0"/>
        <w:spacing w:line="360" w:lineRule="auto"/>
        <w:textAlignment w:val="bottom"/>
        <w:rPr>
          <w:sz w:val="24"/>
          <w:highlight w:val="none"/>
        </w:rPr>
      </w:pPr>
      <w:r>
        <w:rPr>
          <w:sz w:val="24"/>
          <w:highlight w:val="none"/>
        </w:rPr>
        <w:t>20.2 在评审和磋商过程中，如果供应商试图在磋商响应文件审查，澄清，竞争性磋商及授予合同方面向采购方和磋商小组成员施加任何影响，以不正当手段参与竞争，其报价及在磋商中的任何承诺将被拒绝。</w:t>
      </w:r>
    </w:p>
    <w:p w14:paraId="11BB61C1">
      <w:pPr>
        <w:pStyle w:val="27"/>
        <w:rPr>
          <w:rFonts w:ascii="Times New Roman" w:hAnsi="Times New Roman"/>
          <w:highlight w:val="none"/>
        </w:rPr>
      </w:pPr>
    </w:p>
    <w:p w14:paraId="3A3BD7F2">
      <w:pPr>
        <w:adjustRightInd w:val="0"/>
        <w:snapToGrid w:val="0"/>
        <w:spacing w:line="360" w:lineRule="auto"/>
        <w:rPr>
          <w:b/>
          <w:sz w:val="24"/>
          <w:highlight w:val="none"/>
        </w:rPr>
      </w:pPr>
      <w:r>
        <w:rPr>
          <w:b/>
          <w:sz w:val="24"/>
          <w:highlight w:val="none"/>
        </w:rPr>
        <w:t>21、评审的原则和方法</w:t>
      </w:r>
    </w:p>
    <w:p w14:paraId="4AE11563">
      <w:pPr>
        <w:autoSpaceDE w:val="0"/>
        <w:autoSpaceDN w:val="0"/>
        <w:adjustRightInd w:val="0"/>
        <w:snapToGrid w:val="0"/>
        <w:spacing w:line="360" w:lineRule="auto"/>
        <w:textAlignment w:val="bottom"/>
        <w:rPr>
          <w:sz w:val="24"/>
          <w:highlight w:val="none"/>
        </w:rPr>
      </w:pPr>
      <w:r>
        <w:rPr>
          <w:sz w:val="24"/>
          <w:highlight w:val="none"/>
        </w:rPr>
        <w:t>21.1 评审原则：</w:t>
      </w:r>
    </w:p>
    <w:p w14:paraId="5610EE28">
      <w:pPr>
        <w:autoSpaceDE w:val="0"/>
        <w:autoSpaceDN w:val="0"/>
        <w:adjustRightInd w:val="0"/>
        <w:snapToGrid w:val="0"/>
        <w:spacing w:line="360" w:lineRule="auto"/>
        <w:ind w:firstLine="120" w:firstLineChars="50"/>
        <w:textAlignment w:val="bottom"/>
        <w:rPr>
          <w:sz w:val="24"/>
          <w:highlight w:val="none"/>
        </w:rPr>
      </w:pPr>
      <w:r>
        <w:rPr>
          <w:sz w:val="24"/>
          <w:highlight w:val="none"/>
        </w:rPr>
        <w:t>1）评审过程遵循公开、公平、公正、诚信、择优的原则；</w:t>
      </w:r>
    </w:p>
    <w:p w14:paraId="60CFE331">
      <w:pPr>
        <w:autoSpaceDE w:val="0"/>
        <w:autoSpaceDN w:val="0"/>
        <w:adjustRightInd w:val="0"/>
        <w:snapToGrid w:val="0"/>
        <w:spacing w:line="360" w:lineRule="auto"/>
        <w:ind w:left="567" w:leftChars="68" w:hanging="424" w:hangingChars="177"/>
        <w:textAlignment w:val="bottom"/>
        <w:rPr>
          <w:sz w:val="24"/>
          <w:highlight w:val="none"/>
        </w:rPr>
      </w:pPr>
      <w:r>
        <w:rPr>
          <w:sz w:val="24"/>
          <w:highlight w:val="none"/>
        </w:rPr>
        <w:t>2）资格审查合格的供应商，均有同等机会参加竞争性磋商；</w:t>
      </w:r>
    </w:p>
    <w:p w14:paraId="3F3C9EFB">
      <w:pPr>
        <w:autoSpaceDE w:val="0"/>
        <w:autoSpaceDN w:val="0"/>
        <w:adjustRightInd w:val="0"/>
        <w:snapToGrid w:val="0"/>
        <w:spacing w:line="360" w:lineRule="auto"/>
        <w:ind w:left="567" w:leftChars="68" w:hanging="424" w:hangingChars="177"/>
        <w:textAlignment w:val="bottom"/>
        <w:rPr>
          <w:sz w:val="24"/>
          <w:highlight w:val="none"/>
        </w:rPr>
      </w:pPr>
      <w:r>
        <w:rPr>
          <w:sz w:val="24"/>
          <w:highlight w:val="none"/>
        </w:rPr>
        <w:t>3）对所有供应商磋商响应文件的评估和比较都采用相同程序和标准。</w:t>
      </w:r>
    </w:p>
    <w:p w14:paraId="1A94CA3E">
      <w:pPr>
        <w:autoSpaceDE w:val="0"/>
        <w:autoSpaceDN w:val="0"/>
        <w:adjustRightInd w:val="0"/>
        <w:snapToGrid w:val="0"/>
        <w:spacing w:line="360" w:lineRule="auto"/>
        <w:ind w:left="567" w:leftChars="68" w:hanging="424" w:hangingChars="177"/>
        <w:textAlignment w:val="bottom"/>
        <w:rPr>
          <w:sz w:val="24"/>
          <w:highlight w:val="none"/>
        </w:rPr>
      </w:pPr>
      <w:r>
        <w:rPr>
          <w:sz w:val="24"/>
          <w:highlight w:val="none"/>
        </w:rPr>
        <w:t>4）非专门面向中小企业的项目，对于国内供应商参加竞争性磋商的，根据“关于印发《政府采购促进中小企业发展暂行办法》的通知（财库[2011]181号）”的规定，对小型和微型企业产品的价格给予10%的扣除，用扣除后的价格参与评审，小型、微型企业提供中型企业制造的货物的，视同为中型企业。参加政府采购活动的中小企业须提供“关于印发《政府采购促进中小企业发展暂行办法》的通知（财库[2011]181号）”规定的《中小企业声明函》并对声明函的真实有效性承担责任。如为代理商参加磋商，须同时提供代理商和制造商的《中小企业声明函》；如为制造商参加磋商，须提供制造商的《中小企业声明函》。未提供《中小企业声明函》的本条不适用，有关中小企业的界定按照“关于印发中小企业划型标准规定的通知（工信部联企业[2011]300号）”的规定执行。监狱企业或残疾人福利性单位视同为小微企业。</w:t>
      </w:r>
    </w:p>
    <w:p w14:paraId="7B0D310A">
      <w:pPr>
        <w:autoSpaceDE w:val="0"/>
        <w:autoSpaceDN w:val="0"/>
        <w:adjustRightInd w:val="0"/>
        <w:snapToGrid w:val="0"/>
        <w:spacing w:line="360" w:lineRule="auto"/>
        <w:textAlignment w:val="bottom"/>
        <w:rPr>
          <w:sz w:val="24"/>
          <w:highlight w:val="none"/>
        </w:rPr>
      </w:pPr>
      <w:r>
        <w:rPr>
          <w:sz w:val="24"/>
          <w:highlight w:val="none"/>
        </w:rPr>
        <w:t>21.2  评审方法：见《供应商须知前附表》</w:t>
      </w:r>
    </w:p>
    <w:p w14:paraId="4143DF6D">
      <w:pPr>
        <w:pStyle w:val="27"/>
        <w:rPr>
          <w:rFonts w:ascii="Times New Roman" w:hAnsi="Times New Roman"/>
          <w:highlight w:val="none"/>
        </w:rPr>
      </w:pPr>
    </w:p>
    <w:p w14:paraId="722B7341">
      <w:pPr>
        <w:adjustRightInd w:val="0"/>
        <w:snapToGrid w:val="0"/>
        <w:spacing w:line="360" w:lineRule="auto"/>
        <w:rPr>
          <w:b/>
          <w:sz w:val="24"/>
          <w:highlight w:val="none"/>
        </w:rPr>
      </w:pPr>
      <w:r>
        <w:rPr>
          <w:b/>
          <w:sz w:val="24"/>
          <w:highlight w:val="none"/>
        </w:rPr>
        <w:t>22、磋商响应文件的初审</w:t>
      </w:r>
    </w:p>
    <w:p w14:paraId="2E3EDB74">
      <w:pPr>
        <w:autoSpaceDE w:val="0"/>
        <w:autoSpaceDN w:val="0"/>
        <w:adjustRightInd w:val="0"/>
        <w:snapToGrid w:val="0"/>
        <w:spacing w:line="360" w:lineRule="auto"/>
        <w:textAlignment w:val="bottom"/>
        <w:rPr>
          <w:sz w:val="24"/>
          <w:highlight w:val="none"/>
        </w:rPr>
      </w:pPr>
      <w:r>
        <w:rPr>
          <w:sz w:val="24"/>
          <w:highlight w:val="none"/>
        </w:rPr>
        <w:t>22.1 递交磋商响应文件后，磋商小组将审查磋商响应文件是否完整；有无提供所需的磋商保证金；是否恰当地签署；有否计算错误；是否大致编排有序等。</w:t>
      </w:r>
    </w:p>
    <w:p w14:paraId="23BFD285">
      <w:pPr>
        <w:autoSpaceDE w:val="0"/>
        <w:autoSpaceDN w:val="0"/>
        <w:adjustRightInd w:val="0"/>
        <w:snapToGrid w:val="0"/>
        <w:spacing w:line="360" w:lineRule="auto"/>
        <w:textAlignment w:val="bottom"/>
        <w:rPr>
          <w:sz w:val="24"/>
          <w:highlight w:val="none"/>
        </w:rPr>
      </w:pPr>
      <w:r>
        <w:rPr>
          <w:sz w:val="24"/>
          <w:highlight w:val="none"/>
        </w:rPr>
        <w:t>22.2 磋商小组将拒绝符合《供应商须知前附表》中规定的非响应性报价，供应商不能通过修正或撤销不符之处而使其报价成为响应性报价。</w:t>
      </w:r>
    </w:p>
    <w:p w14:paraId="1C1495E9">
      <w:pPr>
        <w:pStyle w:val="27"/>
        <w:rPr>
          <w:rFonts w:ascii="Times New Roman" w:hAnsi="Times New Roman"/>
          <w:highlight w:val="none"/>
        </w:rPr>
      </w:pPr>
    </w:p>
    <w:p w14:paraId="55DEAB5C">
      <w:pPr>
        <w:adjustRightInd w:val="0"/>
        <w:snapToGrid w:val="0"/>
        <w:spacing w:line="360" w:lineRule="auto"/>
        <w:rPr>
          <w:b/>
          <w:sz w:val="24"/>
          <w:highlight w:val="none"/>
        </w:rPr>
      </w:pPr>
      <w:r>
        <w:rPr>
          <w:b/>
          <w:sz w:val="24"/>
          <w:highlight w:val="none"/>
        </w:rPr>
        <w:t>23、竞争性磋商</w:t>
      </w:r>
    </w:p>
    <w:p w14:paraId="29F65E53">
      <w:pPr>
        <w:autoSpaceDE w:val="0"/>
        <w:autoSpaceDN w:val="0"/>
        <w:adjustRightInd w:val="0"/>
        <w:snapToGrid w:val="0"/>
        <w:spacing w:line="360" w:lineRule="auto"/>
        <w:textAlignment w:val="bottom"/>
        <w:rPr>
          <w:sz w:val="24"/>
          <w:highlight w:val="none"/>
        </w:rPr>
      </w:pPr>
      <w:r>
        <w:rPr>
          <w:sz w:val="24"/>
          <w:highlight w:val="none"/>
        </w:rPr>
        <w:t>23.1 经过初审合格的供应商，磋商小组将分别与其进行磋商。根据供应商提供的技术方案、磋商响应文件和报价，以及必要时根据本须知6.4款所进行的调整，磋商小组将与各供应商进行一轮或多轮的磋商，并根据各轮次的磋商内容要求供应商进行报价。为保证所有合格供应商的合法权利，整个磋商过程对每个供应商都将秉承公平、公正的原则。</w:t>
      </w:r>
    </w:p>
    <w:p w14:paraId="5C863C37">
      <w:pPr>
        <w:pStyle w:val="27"/>
        <w:rPr>
          <w:rFonts w:ascii="Times New Roman" w:hAnsi="Times New Roman"/>
          <w:highlight w:val="none"/>
        </w:rPr>
      </w:pPr>
    </w:p>
    <w:p w14:paraId="12C73DB6">
      <w:pPr>
        <w:adjustRightInd w:val="0"/>
        <w:snapToGrid w:val="0"/>
        <w:spacing w:line="360" w:lineRule="auto"/>
        <w:rPr>
          <w:b/>
          <w:sz w:val="24"/>
          <w:highlight w:val="none"/>
        </w:rPr>
      </w:pPr>
      <w:r>
        <w:rPr>
          <w:b/>
          <w:sz w:val="24"/>
          <w:highlight w:val="none"/>
        </w:rPr>
        <w:t>24、最终报价</w:t>
      </w:r>
    </w:p>
    <w:p w14:paraId="716DB407">
      <w:pPr>
        <w:autoSpaceDE w:val="0"/>
        <w:autoSpaceDN w:val="0"/>
        <w:adjustRightInd w:val="0"/>
        <w:snapToGrid w:val="0"/>
        <w:spacing w:line="360" w:lineRule="auto"/>
        <w:textAlignment w:val="bottom"/>
        <w:rPr>
          <w:sz w:val="24"/>
          <w:highlight w:val="none"/>
        </w:rPr>
      </w:pPr>
      <w:r>
        <w:rPr>
          <w:sz w:val="24"/>
          <w:highlight w:val="none"/>
        </w:rPr>
        <w:t>24.1 供应商应按照磋商小组的要求在规定时间内提交竞争性磋商最终报价，超过规定时间递交的报价将被视为无效报价。</w:t>
      </w:r>
    </w:p>
    <w:p w14:paraId="4572ABD2">
      <w:pPr>
        <w:autoSpaceDE w:val="0"/>
        <w:autoSpaceDN w:val="0"/>
        <w:adjustRightInd w:val="0"/>
        <w:snapToGrid w:val="0"/>
        <w:spacing w:line="360" w:lineRule="auto"/>
        <w:textAlignment w:val="bottom"/>
        <w:rPr>
          <w:sz w:val="24"/>
          <w:highlight w:val="none"/>
        </w:rPr>
      </w:pPr>
      <w:r>
        <w:rPr>
          <w:sz w:val="24"/>
          <w:highlight w:val="none"/>
        </w:rPr>
        <w:t>24.2 已提交响应文件的供应商，在提交最后报价之前，可以根据磋商情况退出磋商。将退还退出磋商的供应商的保证金。</w:t>
      </w:r>
    </w:p>
    <w:p w14:paraId="6AF66FF1">
      <w:pPr>
        <w:rPr>
          <w:highlight w:val="none"/>
        </w:rPr>
      </w:pPr>
    </w:p>
    <w:p w14:paraId="76CB1E59">
      <w:pPr>
        <w:adjustRightInd w:val="0"/>
        <w:snapToGrid w:val="0"/>
        <w:spacing w:line="360" w:lineRule="auto"/>
        <w:rPr>
          <w:b/>
          <w:sz w:val="24"/>
          <w:highlight w:val="none"/>
        </w:rPr>
      </w:pPr>
      <w:r>
        <w:rPr>
          <w:b/>
          <w:sz w:val="24"/>
          <w:highlight w:val="none"/>
        </w:rPr>
        <w:t>25、确定成交供应商</w:t>
      </w:r>
    </w:p>
    <w:p w14:paraId="72D9D400">
      <w:pPr>
        <w:autoSpaceDE w:val="0"/>
        <w:autoSpaceDN w:val="0"/>
        <w:adjustRightInd w:val="0"/>
        <w:snapToGrid w:val="0"/>
        <w:spacing w:line="360" w:lineRule="auto"/>
        <w:textAlignment w:val="bottom"/>
        <w:rPr>
          <w:sz w:val="24"/>
          <w:highlight w:val="none"/>
        </w:rPr>
      </w:pPr>
      <w:r>
        <w:rPr>
          <w:sz w:val="24"/>
          <w:highlight w:val="none"/>
        </w:rPr>
        <w:t>25.1 磋商小组将对供应商提交的全部磋商响应文件进行详细评审和比较，根据《供应商须知前附表》中规定的原则确定成交供应商。</w:t>
      </w:r>
    </w:p>
    <w:p w14:paraId="0241554F">
      <w:pPr>
        <w:rPr>
          <w:highlight w:val="none"/>
        </w:rPr>
      </w:pPr>
    </w:p>
    <w:p w14:paraId="2DA716D5">
      <w:pPr>
        <w:adjustRightInd w:val="0"/>
        <w:snapToGrid w:val="0"/>
        <w:spacing w:line="360" w:lineRule="auto"/>
        <w:rPr>
          <w:b/>
          <w:sz w:val="24"/>
          <w:highlight w:val="none"/>
        </w:rPr>
      </w:pPr>
      <w:r>
        <w:rPr>
          <w:b/>
          <w:sz w:val="24"/>
          <w:highlight w:val="none"/>
        </w:rPr>
        <w:t>26、需向监管部门上报的情形</w:t>
      </w:r>
    </w:p>
    <w:p w14:paraId="21BED296">
      <w:pPr>
        <w:autoSpaceDE w:val="0"/>
        <w:autoSpaceDN w:val="0"/>
        <w:adjustRightInd w:val="0"/>
        <w:snapToGrid w:val="0"/>
        <w:spacing w:line="360" w:lineRule="auto"/>
        <w:textAlignment w:val="bottom"/>
        <w:rPr>
          <w:sz w:val="24"/>
          <w:highlight w:val="none"/>
        </w:rPr>
      </w:pPr>
      <w:r>
        <w:rPr>
          <w:sz w:val="24"/>
          <w:highlight w:val="none"/>
        </w:rPr>
        <w:t>26.1 评标委员会在评审过程中发现供应商有行贿、提供虚假材料或者串通等违法行为的，将及时向财政部门报告。</w:t>
      </w:r>
    </w:p>
    <w:p w14:paraId="467638B6">
      <w:pPr>
        <w:autoSpaceDE w:val="0"/>
        <w:autoSpaceDN w:val="0"/>
        <w:adjustRightInd w:val="0"/>
        <w:snapToGrid w:val="0"/>
        <w:spacing w:line="360" w:lineRule="auto"/>
        <w:textAlignment w:val="bottom"/>
        <w:rPr>
          <w:sz w:val="24"/>
          <w:highlight w:val="none"/>
        </w:rPr>
      </w:pPr>
      <w:r>
        <w:rPr>
          <w:sz w:val="24"/>
          <w:highlight w:val="none"/>
        </w:rPr>
        <w:t>26.2 政府采购评审专家在评审过程中受到非法干预的，将及时向财政、监察等部门举报。</w:t>
      </w:r>
    </w:p>
    <w:p w14:paraId="6B822190">
      <w:pPr>
        <w:pStyle w:val="27"/>
        <w:rPr>
          <w:rFonts w:ascii="Times New Roman" w:hAnsi="Times New Roman"/>
          <w:highlight w:val="none"/>
        </w:rPr>
      </w:pPr>
    </w:p>
    <w:p w14:paraId="148B3F8D">
      <w:pPr>
        <w:adjustRightInd w:val="0"/>
        <w:snapToGrid w:val="0"/>
        <w:spacing w:line="360" w:lineRule="auto"/>
        <w:jc w:val="center"/>
        <w:rPr>
          <w:b/>
          <w:sz w:val="24"/>
          <w:highlight w:val="none"/>
        </w:rPr>
      </w:pPr>
      <w:r>
        <w:rPr>
          <w:b/>
          <w:sz w:val="24"/>
          <w:highlight w:val="none"/>
        </w:rPr>
        <w:t>六、 授予合同</w:t>
      </w:r>
    </w:p>
    <w:p w14:paraId="1DD6F7F9">
      <w:pPr>
        <w:adjustRightInd w:val="0"/>
        <w:snapToGrid w:val="0"/>
        <w:spacing w:line="360" w:lineRule="auto"/>
        <w:rPr>
          <w:b/>
          <w:sz w:val="24"/>
          <w:highlight w:val="none"/>
        </w:rPr>
      </w:pPr>
      <w:r>
        <w:rPr>
          <w:b/>
          <w:sz w:val="24"/>
          <w:highlight w:val="none"/>
        </w:rPr>
        <w:t>27、合同的授予标准</w:t>
      </w:r>
    </w:p>
    <w:p w14:paraId="600789AF">
      <w:pPr>
        <w:adjustRightInd w:val="0"/>
        <w:snapToGrid w:val="0"/>
        <w:spacing w:line="360" w:lineRule="auto"/>
        <w:rPr>
          <w:sz w:val="24"/>
          <w:highlight w:val="none"/>
        </w:rPr>
      </w:pPr>
      <w:r>
        <w:rPr>
          <w:sz w:val="24"/>
          <w:highlight w:val="none"/>
        </w:rPr>
        <w:t>27.1 除</w:t>
      </w:r>
      <w:r>
        <w:rPr>
          <w:highlight w:val="none"/>
        </w:rPr>
        <w:fldChar w:fldCharType="begin"/>
      </w:r>
      <w:r>
        <w:rPr>
          <w:highlight w:val="none"/>
        </w:rPr>
        <w:instrText xml:space="preserve"> HYPERLINK \l "_授予合同" \o "招标代理接受或拒绝任何投标或所有投标的权利" </w:instrText>
      </w:r>
      <w:r>
        <w:rPr>
          <w:highlight w:val="none"/>
        </w:rPr>
        <w:fldChar w:fldCharType="separate"/>
      </w:r>
      <w:r>
        <w:rPr>
          <w:sz w:val="24"/>
          <w:highlight w:val="none"/>
        </w:rPr>
        <w:t>第26款</w:t>
      </w:r>
      <w:r>
        <w:rPr>
          <w:sz w:val="24"/>
          <w:highlight w:val="none"/>
        </w:rPr>
        <w:fldChar w:fldCharType="end"/>
      </w:r>
      <w:r>
        <w:rPr>
          <w:sz w:val="24"/>
          <w:highlight w:val="none"/>
        </w:rPr>
        <w:t>规定外，合同将授予磋商小组确定的成交供应商。成交供应商放弃成交、或因不可抗力提出不能履行合同，或者磋商文件规定应当提交履约保证金而在规定的期限内未能提交的，采购人可以与排位其后第一位的供应商签订合同，以此类推。</w:t>
      </w:r>
    </w:p>
    <w:p w14:paraId="188368E0">
      <w:pPr>
        <w:tabs>
          <w:tab w:val="left" w:pos="576"/>
        </w:tabs>
        <w:adjustRightInd w:val="0"/>
        <w:snapToGrid w:val="0"/>
        <w:spacing w:line="360" w:lineRule="auto"/>
        <w:rPr>
          <w:sz w:val="24"/>
          <w:highlight w:val="none"/>
        </w:rPr>
      </w:pPr>
      <w:r>
        <w:rPr>
          <w:sz w:val="24"/>
          <w:highlight w:val="none"/>
        </w:rPr>
        <w:t>27.2 如采购人发现成交供应商在报价、提供资料时有弄虚作假的行为，经核实，采购人有权拒绝该成交供应商的磋商响应文件。</w:t>
      </w:r>
    </w:p>
    <w:p w14:paraId="09B12FF2">
      <w:pPr>
        <w:rPr>
          <w:highlight w:val="none"/>
        </w:rPr>
      </w:pPr>
    </w:p>
    <w:p w14:paraId="33482353">
      <w:pPr>
        <w:tabs>
          <w:tab w:val="left" w:pos="420"/>
        </w:tabs>
        <w:adjustRightInd w:val="0"/>
        <w:snapToGrid w:val="0"/>
        <w:spacing w:line="360" w:lineRule="auto"/>
        <w:rPr>
          <w:b/>
          <w:sz w:val="24"/>
          <w:highlight w:val="none"/>
        </w:rPr>
      </w:pPr>
      <w:r>
        <w:rPr>
          <w:b/>
          <w:sz w:val="24"/>
          <w:highlight w:val="none"/>
        </w:rPr>
        <w:t>28、资格后审</w:t>
      </w:r>
    </w:p>
    <w:p w14:paraId="07E016A7">
      <w:pPr>
        <w:autoSpaceDE w:val="0"/>
        <w:autoSpaceDN w:val="0"/>
        <w:adjustRightInd w:val="0"/>
        <w:snapToGrid w:val="0"/>
        <w:spacing w:line="360" w:lineRule="auto"/>
        <w:textAlignment w:val="bottom"/>
        <w:rPr>
          <w:sz w:val="24"/>
          <w:highlight w:val="none"/>
        </w:rPr>
      </w:pPr>
      <w:r>
        <w:rPr>
          <w:sz w:val="24"/>
          <w:highlight w:val="none"/>
        </w:rPr>
        <w:t>本项目不适用</w:t>
      </w:r>
    </w:p>
    <w:p w14:paraId="1B68BFAF">
      <w:pPr>
        <w:rPr>
          <w:highlight w:val="none"/>
        </w:rPr>
      </w:pPr>
    </w:p>
    <w:p w14:paraId="789286C9">
      <w:pPr>
        <w:adjustRightInd w:val="0"/>
        <w:snapToGrid w:val="0"/>
        <w:spacing w:line="360" w:lineRule="auto"/>
        <w:rPr>
          <w:b/>
          <w:sz w:val="24"/>
          <w:highlight w:val="none"/>
        </w:rPr>
      </w:pPr>
      <w:r>
        <w:rPr>
          <w:b/>
          <w:sz w:val="24"/>
          <w:highlight w:val="none"/>
        </w:rPr>
        <w:t>29、成交通知书</w:t>
      </w:r>
    </w:p>
    <w:p w14:paraId="542D13F9">
      <w:pPr>
        <w:autoSpaceDE w:val="0"/>
        <w:autoSpaceDN w:val="0"/>
        <w:adjustRightInd w:val="0"/>
        <w:snapToGrid w:val="0"/>
        <w:spacing w:line="360" w:lineRule="auto"/>
        <w:textAlignment w:val="bottom"/>
        <w:rPr>
          <w:sz w:val="24"/>
          <w:highlight w:val="none"/>
        </w:rPr>
      </w:pPr>
      <w:r>
        <w:rPr>
          <w:sz w:val="24"/>
          <w:highlight w:val="none"/>
        </w:rPr>
        <w:t>29.1评审结束后，采购代理机构将在规定的发布信息媒体上发布成交结果公告。供应商对成交公告有异议的，应当在成交公告发布之日起七个工作日内，按本须知第7.2条和第7.3条规定以书面形式向采购代理机构一次性提出质疑，并对质疑内容的真实性承担责任及后果。</w:t>
      </w:r>
    </w:p>
    <w:p w14:paraId="0AE42FC7">
      <w:pPr>
        <w:autoSpaceDE w:val="0"/>
        <w:autoSpaceDN w:val="0"/>
        <w:adjustRightInd w:val="0"/>
        <w:snapToGrid w:val="0"/>
        <w:spacing w:line="360" w:lineRule="auto"/>
        <w:textAlignment w:val="bottom"/>
        <w:rPr>
          <w:sz w:val="24"/>
          <w:highlight w:val="none"/>
        </w:rPr>
      </w:pPr>
      <w:r>
        <w:rPr>
          <w:sz w:val="24"/>
          <w:highlight w:val="none"/>
        </w:rPr>
        <w:t>29.2 在报价有效期期满之前，采购代理机构将以书面形式向成交供应商发出《成交通知书》，成交供应商收到《成交通知书》后应及时向采购代理机构确认。</w:t>
      </w:r>
    </w:p>
    <w:p w14:paraId="651F45B3">
      <w:pPr>
        <w:autoSpaceDE w:val="0"/>
        <w:autoSpaceDN w:val="0"/>
        <w:adjustRightInd w:val="0"/>
        <w:snapToGrid w:val="0"/>
        <w:spacing w:line="360" w:lineRule="auto"/>
        <w:textAlignment w:val="bottom"/>
        <w:rPr>
          <w:sz w:val="24"/>
          <w:highlight w:val="none"/>
        </w:rPr>
      </w:pPr>
      <w:r>
        <w:rPr>
          <w:sz w:val="24"/>
          <w:highlight w:val="none"/>
        </w:rPr>
        <w:t>29.3 《成交通知书》是合同的组成部分。</w:t>
      </w:r>
    </w:p>
    <w:p w14:paraId="7345103C">
      <w:pPr>
        <w:autoSpaceDE w:val="0"/>
        <w:autoSpaceDN w:val="0"/>
        <w:adjustRightInd w:val="0"/>
        <w:snapToGrid w:val="0"/>
        <w:spacing w:line="360" w:lineRule="auto"/>
        <w:textAlignment w:val="bottom"/>
        <w:rPr>
          <w:sz w:val="24"/>
          <w:highlight w:val="none"/>
        </w:rPr>
      </w:pPr>
      <w:r>
        <w:rPr>
          <w:sz w:val="24"/>
          <w:highlight w:val="none"/>
        </w:rPr>
        <w:t>29.4 采购代理机构在向成交供应商发出《成交通知书》的同时，将向所有未成交的供应商发出《未成交结果通知书》。</w:t>
      </w:r>
    </w:p>
    <w:p w14:paraId="53E4D21D">
      <w:pPr>
        <w:rPr>
          <w:highlight w:val="none"/>
        </w:rPr>
      </w:pPr>
    </w:p>
    <w:p w14:paraId="01D03B25">
      <w:pPr>
        <w:adjustRightInd w:val="0"/>
        <w:snapToGrid w:val="0"/>
        <w:spacing w:line="360" w:lineRule="auto"/>
        <w:rPr>
          <w:b/>
          <w:sz w:val="24"/>
          <w:highlight w:val="none"/>
        </w:rPr>
      </w:pPr>
      <w:r>
        <w:rPr>
          <w:b/>
          <w:sz w:val="24"/>
          <w:highlight w:val="none"/>
        </w:rPr>
        <w:t>30、签订合同</w:t>
      </w:r>
    </w:p>
    <w:p w14:paraId="5F2DE0BC">
      <w:pPr>
        <w:autoSpaceDE w:val="0"/>
        <w:autoSpaceDN w:val="0"/>
        <w:adjustRightInd w:val="0"/>
        <w:snapToGrid w:val="0"/>
        <w:spacing w:line="360" w:lineRule="auto"/>
        <w:textAlignment w:val="bottom"/>
        <w:rPr>
          <w:sz w:val="24"/>
          <w:highlight w:val="none"/>
        </w:rPr>
      </w:pPr>
      <w:r>
        <w:rPr>
          <w:sz w:val="24"/>
          <w:highlight w:val="none"/>
        </w:rPr>
        <w:t>30.1 成交供应商在收到《成交通知书》后，应按照《成交通知书》指定的时间、地点，派遣其授权代表与采购人签署合同。</w:t>
      </w:r>
    </w:p>
    <w:p w14:paraId="68C8728B">
      <w:pPr>
        <w:autoSpaceDE w:val="0"/>
        <w:autoSpaceDN w:val="0"/>
        <w:adjustRightInd w:val="0"/>
        <w:snapToGrid w:val="0"/>
        <w:spacing w:line="360" w:lineRule="auto"/>
        <w:textAlignment w:val="bottom"/>
        <w:rPr>
          <w:sz w:val="24"/>
          <w:highlight w:val="none"/>
        </w:rPr>
      </w:pPr>
      <w:r>
        <w:rPr>
          <w:sz w:val="24"/>
          <w:highlight w:val="none"/>
        </w:rPr>
        <w:t>30.2 政府采购合同履行中，采购人需追加与合同标的相同的货物、工程或者服务的，在不改变合同其他条款的前提下，可以与成交人协商签订补充合同，但所有补充合同的采购金额不得超过原合同采购金额的百分之十。</w:t>
      </w:r>
    </w:p>
    <w:p w14:paraId="460BE634">
      <w:pPr>
        <w:rPr>
          <w:highlight w:val="none"/>
        </w:rPr>
      </w:pPr>
    </w:p>
    <w:p w14:paraId="26946336">
      <w:pPr>
        <w:adjustRightInd w:val="0"/>
        <w:snapToGrid w:val="0"/>
        <w:spacing w:line="360" w:lineRule="auto"/>
        <w:rPr>
          <w:b/>
          <w:sz w:val="24"/>
          <w:highlight w:val="none"/>
        </w:rPr>
      </w:pPr>
      <w:r>
        <w:rPr>
          <w:b/>
          <w:sz w:val="24"/>
          <w:highlight w:val="none"/>
        </w:rPr>
        <w:t>31、履约保证金</w:t>
      </w:r>
    </w:p>
    <w:p w14:paraId="47CA005B">
      <w:pPr>
        <w:autoSpaceDE w:val="0"/>
        <w:autoSpaceDN w:val="0"/>
        <w:adjustRightInd w:val="0"/>
        <w:snapToGrid w:val="0"/>
        <w:spacing w:line="360" w:lineRule="auto"/>
        <w:textAlignment w:val="bottom"/>
        <w:rPr>
          <w:sz w:val="24"/>
          <w:highlight w:val="none"/>
        </w:rPr>
      </w:pPr>
      <w:r>
        <w:rPr>
          <w:sz w:val="24"/>
          <w:highlight w:val="none"/>
        </w:rPr>
        <w:t>31.1 成交供应商应在合同签约后30日内，向采购人提交《供应商须知前附表》规定金额的履约保证金。在合同有效期内，若成交供应商没有违约行为，其履约保证金在产品质保期结束后由采购人无息退还。</w:t>
      </w:r>
    </w:p>
    <w:p w14:paraId="745410BC">
      <w:pPr>
        <w:rPr>
          <w:highlight w:val="none"/>
        </w:rPr>
      </w:pPr>
    </w:p>
    <w:p w14:paraId="43A1CF84">
      <w:pPr>
        <w:adjustRightInd w:val="0"/>
        <w:snapToGrid w:val="0"/>
        <w:spacing w:line="360" w:lineRule="auto"/>
        <w:rPr>
          <w:b/>
          <w:sz w:val="24"/>
          <w:highlight w:val="none"/>
        </w:rPr>
      </w:pPr>
      <w:r>
        <w:rPr>
          <w:b/>
          <w:sz w:val="24"/>
          <w:highlight w:val="none"/>
        </w:rPr>
        <w:t>32、成交服务费</w:t>
      </w:r>
    </w:p>
    <w:p w14:paraId="3CF43F3A">
      <w:pPr>
        <w:autoSpaceDE w:val="0"/>
        <w:autoSpaceDN w:val="0"/>
        <w:adjustRightInd w:val="0"/>
        <w:snapToGrid w:val="0"/>
        <w:spacing w:line="360" w:lineRule="auto"/>
        <w:textAlignment w:val="bottom"/>
        <w:rPr>
          <w:sz w:val="24"/>
          <w:highlight w:val="none"/>
        </w:rPr>
      </w:pPr>
      <w:r>
        <w:rPr>
          <w:sz w:val="24"/>
          <w:highlight w:val="none"/>
        </w:rPr>
        <w:t>32.1 成交供应商应按《供应商须知前附表》中的规定向采购代理机构交纳成交服务费。</w:t>
      </w:r>
    </w:p>
    <w:p w14:paraId="71695578">
      <w:pPr>
        <w:adjustRightInd w:val="0"/>
        <w:snapToGrid w:val="0"/>
        <w:spacing w:line="360" w:lineRule="auto"/>
        <w:jc w:val="center"/>
        <w:outlineLvl w:val="0"/>
        <w:rPr>
          <w:b/>
          <w:sz w:val="32"/>
          <w:szCs w:val="32"/>
          <w:highlight w:val="none"/>
        </w:rPr>
      </w:pPr>
      <w:r>
        <w:rPr>
          <w:sz w:val="24"/>
          <w:highlight w:val="none"/>
        </w:rPr>
        <w:br w:type="page"/>
      </w:r>
      <w:bookmarkStart w:id="7" w:name="_Toc41750270"/>
      <w:bookmarkStart w:id="8" w:name="_Toc3577"/>
      <w:r>
        <w:rPr>
          <w:b/>
          <w:sz w:val="32"/>
          <w:szCs w:val="32"/>
          <w:highlight w:val="none"/>
        </w:rPr>
        <w:t>第三部分：合同一般条款</w:t>
      </w:r>
      <w:bookmarkEnd w:id="7"/>
      <w:r>
        <w:rPr>
          <w:b/>
          <w:sz w:val="32"/>
          <w:szCs w:val="32"/>
          <w:highlight w:val="none"/>
        </w:rPr>
        <w:t>及特殊条款</w:t>
      </w:r>
      <w:bookmarkEnd w:id="8"/>
    </w:p>
    <w:p w14:paraId="746FD0DC">
      <w:pPr>
        <w:rPr>
          <w:highlight w:val="none"/>
        </w:rPr>
      </w:pPr>
    </w:p>
    <w:p w14:paraId="3AA8A70F">
      <w:pPr>
        <w:adjustRightInd w:val="0"/>
        <w:snapToGrid w:val="0"/>
        <w:spacing w:line="360" w:lineRule="auto"/>
        <w:jc w:val="center"/>
        <w:rPr>
          <w:b/>
          <w:sz w:val="24"/>
          <w:highlight w:val="none"/>
        </w:rPr>
      </w:pPr>
      <w:r>
        <w:rPr>
          <w:b/>
          <w:sz w:val="24"/>
          <w:highlight w:val="none"/>
        </w:rPr>
        <w:t>合同一般条款</w:t>
      </w:r>
    </w:p>
    <w:p w14:paraId="39A8F848">
      <w:pPr>
        <w:adjustRightInd w:val="0"/>
        <w:snapToGrid w:val="0"/>
        <w:spacing w:before="240"/>
        <w:ind w:left="2" w:right="210"/>
        <w:rPr>
          <w:sz w:val="24"/>
          <w:szCs w:val="24"/>
          <w:highlight w:val="none"/>
        </w:rPr>
      </w:pPr>
      <w:r>
        <w:rPr>
          <w:sz w:val="24"/>
          <w:szCs w:val="24"/>
          <w:highlight w:val="none"/>
        </w:rPr>
        <w:t>1．</w:t>
      </w:r>
      <w:r>
        <w:rPr>
          <w:sz w:val="24"/>
          <w:szCs w:val="24"/>
          <w:highlight w:val="none"/>
        </w:rPr>
        <w:tab/>
      </w:r>
      <w:r>
        <w:rPr>
          <w:sz w:val="24"/>
          <w:szCs w:val="24"/>
          <w:highlight w:val="none"/>
        </w:rPr>
        <w:t>定义</w:t>
      </w:r>
    </w:p>
    <w:p w14:paraId="756FF2D4">
      <w:pPr>
        <w:adjustRightInd w:val="0"/>
        <w:snapToGrid w:val="0"/>
        <w:spacing w:line="360" w:lineRule="auto"/>
        <w:ind w:firstLine="480" w:firstLineChars="200"/>
        <w:rPr>
          <w:sz w:val="24"/>
          <w:highlight w:val="none"/>
        </w:rPr>
      </w:pPr>
      <w:r>
        <w:rPr>
          <w:sz w:val="24"/>
          <w:highlight w:val="none"/>
        </w:rPr>
        <w:t>本合同下列术语应解释为：</w:t>
      </w:r>
    </w:p>
    <w:p w14:paraId="5E6AE7AE">
      <w:pPr>
        <w:adjustRightInd w:val="0"/>
        <w:snapToGrid w:val="0"/>
        <w:spacing w:line="360" w:lineRule="auto"/>
        <w:ind w:firstLine="480" w:firstLineChars="200"/>
        <w:rPr>
          <w:sz w:val="24"/>
          <w:highlight w:val="none"/>
        </w:rPr>
      </w:pPr>
      <w:r>
        <w:rPr>
          <w:sz w:val="24"/>
          <w:highlight w:val="none"/>
        </w:rPr>
        <w:t>1.1合同要素</w:t>
      </w:r>
    </w:p>
    <w:p w14:paraId="3C54FC0A">
      <w:pPr>
        <w:adjustRightInd w:val="0"/>
        <w:snapToGrid w:val="0"/>
        <w:spacing w:line="360" w:lineRule="auto"/>
        <w:ind w:firstLine="480" w:firstLineChars="200"/>
        <w:rPr>
          <w:sz w:val="24"/>
          <w:highlight w:val="none"/>
        </w:rPr>
      </w:pPr>
      <w:r>
        <w:rPr>
          <w:sz w:val="24"/>
          <w:highlight w:val="none"/>
        </w:rPr>
        <w:t>(a)“合同”系指买卖双方签署的、合同格式中载明的买卖双方所达成的协议，包括所有的附件、附录和上述文件所提到的构成合同的所有文件。</w:t>
      </w:r>
    </w:p>
    <w:p w14:paraId="44492703">
      <w:pPr>
        <w:tabs>
          <w:tab w:val="left" w:pos="1260"/>
        </w:tabs>
        <w:adjustRightInd w:val="0"/>
        <w:snapToGrid w:val="0"/>
        <w:spacing w:line="360" w:lineRule="auto"/>
        <w:ind w:firstLine="480" w:firstLineChars="200"/>
        <w:rPr>
          <w:sz w:val="24"/>
          <w:highlight w:val="none"/>
        </w:rPr>
      </w:pPr>
      <w:r>
        <w:rPr>
          <w:sz w:val="24"/>
          <w:highlight w:val="none"/>
        </w:rPr>
        <w:t>(b)“合同价”系指根据合同规定卖方在正确地完全履行合同义务后买方应支付给卖方的价格。</w:t>
      </w:r>
    </w:p>
    <w:p w14:paraId="18225795">
      <w:pPr>
        <w:adjustRightInd w:val="0"/>
        <w:snapToGrid w:val="0"/>
        <w:spacing w:line="360" w:lineRule="auto"/>
        <w:ind w:firstLine="480" w:firstLineChars="200"/>
        <w:rPr>
          <w:sz w:val="24"/>
          <w:highlight w:val="none"/>
        </w:rPr>
      </w:pPr>
      <w:r>
        <w:rPr>
          <w:sz w:val="24"/>
          <w:highlight w:val="none"/>
        </w:rPr>
        <w:t>(c) “合同条款”系指本合同条款。</w:t>
      </w:r>
    </w:p>
    <w:p w14:paraId="489F96B5">
      <w:pPr>
        <w:adjustRightInd w:val="0"/>
        <w:snapToGrid w:val="0"/>
        <w:spacing w:line="360" w:lineRule="auto"/>
        <w:ind w:firstLine="480" w:firstLineChars="200"/>
        <w:rPr>
          <w:sz w:val="24"/>
          <w:highlight w:val="none"/>
        </w:rPr>
      </w:pPr>
      <w:r>
        <w:rPr>
          <w:sz w:val="24"/>
          <w:highlight w:val="none"/>
        </w:rPr>
        <w:t>(d) “技术要求”指的是磋商文件中的技术要求。即合同附件2。</w:t>
      </w:r>
    </w:p>
    <w:p w14:paraId="077E1180">
      <w:pPr>
        <w:adjustRightInd w:val="0"/>
        <w:snapToGrid w:val="0"/>
        <w:spacing w:line="360" w:lineRule="auto"/>
        <w:ind w:left="539" w:leftChars="228" w:hanging="60" w:hangingChars="25"/>
        <w:rPr>
          <w:sz w:val="24"/>
          <w:highlight w:val="none"/>
        </w:rPr>
      </w:pPr>
      <w:r>
        <w:rPr>
          <w:sz w:val="24"/>
          <w:highlight w:val="none"/>
        </w:rPr>
        <w:t>1.2 实体</w:t>
      </w:r>
    </w:p>
    <w:p w14:paraId="1F590EE3">
      <w:pPr>
        <w:adjustRightInd w:val="0"/>
        <w:snapToGrid w:val="0"/>
        <w:spacing w:line="360" w:lineRule="auto"/>
        <w:ind w:firstLine="480" w:firstLineChars="200"/>
        <w:rPr>
          <w:sz w:val="24"/>
          <w:highlight w:val="none"/>
        </w:rPr>
      </w:pPr>
      <w:r>
        <w:rPr>
          <w:sz w:val="24"/>
          <w:highlight w:val="none"/>
        </w:rPr>
        <w:t>(a) “买方”系指购买货物和服务的单位或其指定的采购代理机构。</w:t>
      </w:r>
    </w:p>
    <w:p w14:paraId="5ED8CED6">
      <w:pPr>
        <w:adjustRightInd w:val="0"/>
        <w:snapToGrid w:val="0"/>
        <w:spacing w:line="360" w:lineRule="auto"/>
        <w:ind w:firstLine="480" w:firstLineChars="200"/>
        <w:rPr>
          <w:sz w:val="24"/>
          <w:highlight w:val="none"/>
        </w:rPr>
      </w:pPr>
      <w:r>
        <w:rPr>
          <w:sz w:val="24"/>
          <w:highlight w:val="none"/>
        </w:rPr>
        <w:t>(b) “卖方”系指提供本合同项下货物和服务的公司或实体。</w:t>
      </w:r>
    </w:p>
    <w:p w14:paraId="0B058754">
      <w:pPr>
        <w:adjustRightInd w:val="0"/>
        <w:snapToGrid w:val="0"/>
        <w:spacing w:line="360" w:lineRule="auto"/>
        <w:ind w:firstLine="480" w:firstLineChars="200"/>
        <w:rPr>
          <w:sz w:val="24"/>
          <w:highlight w:val="none"/>
        </w:rPr>
      </w:pPr>
      <w:r>
        <w:rPr>
          <w:sz w:val="24"/>
          <w:highlight w:val="none"/>
        </w:rPr>
        <w:t>(c) “项目现场代表”由买方任命的代表，负责执行买方在项目现场的合同义务。</w:t>
      </w:r>
    </w:p>
    <w:p w14:paraId="634FD9D3">
      <w:pPr>
        <w:adjustRightInd w:val="0"/>
        <w:snapToGrid w:val="0"/>
        <w:spacing w:line="360" w:lineRule="auto"/>
        <w:ind w:firstLine="480" w:firstLineChars="200"/>
        <w:rPr>
          <w:sz w:val="24"/>
          <w:highlight w:val="none"/>
        </w:rPr>
      </w:pPr>
      <w:r>
        <w:rPr>
          <w:sz w:val="24"/>
          <w:highlight w:val="none"/>
        </w:rPr>
        <w:t>1.3 事项</w:t>
      </w:r>
    </w:p>
    <w:p w14:paraId="1CADDCE4">
      <w:pPr>
        <w:adjustRightInd w:val="0"/>
        <w:snapToGrid w:val="0"/>
        <w:spacing w:line="360" w:lineRule="auto"/>
        <w:ind w:firstLine="480" w:firstLineChars="200"/>
        <w:rPr>
          <w:sz w:val="24"/>
          <w:highlight w:val="none"/>
        </w:rPr>
      </w:pPr>
      <w:r>
        <w:rPr>
          <w:sz w:val="24"/>
          <w:highlight w:val="none"/>
        </w:rPr>
        <w:t>(a) “货物”系指卖方根据合同规定须向买方提供的一切设备、机械、仪表、备件、工具、软件和／或其它材料。详见合同附件</w:t>
      </w:r>
    </w:p>
    <w:p w14:paraId="0FB2032A">
      <w:pPr>
        <w:adjustRightInd w:val="0"/>
        <w:snapToGrid w:val="0"/>
        <w:spacing w:line="360" w:lineRule="auto"/>
        <w:ind w:firstLine="480" w:firstLineChars="200"/>
        <w:rPr>
          <w:sz w:val="24"/>
          <w:highlight w:val="none"/>
        </w:rPr>
      </w:pPr>
      <w:r>
        <w:rPr>
          <w:sz w:val="24"/>
          <w:highlight w:val="none"/>
        </w:rPr>
        <w:t>(b) “服务”系指根据合同规定，卖方应提供的技术、管理和其它服务，包括但不限于：管理和质量保证、运输、保险、检验、现场准备、安装、集成、调试、培训、维修、技术支持等。详见合同附件</w:t>
      </w:r>
    </w:p>
    <w:p w14:paraId="2858670B">
      <w:pPr>
        <w:tabs>
          <w:tab w:val="left" w:pos="1800"/>
        </w:tabs>
        <w:adjustRightInd w:val="0"/>
        <w:snapToGrid w:val="0"/>
        <w:spacing w:line="360" w:lineRule="auto"/>
        <w:ind w:firstLine="480" w:firstLineChars="200"/>
        <w:rPr>
          <w:sz w:val="24"/>
          <w:highlight w:val="none"/>
        </w:rPr>
      </w:pPr>
      <w:r>
        <w:rPr>
          <w:sz w:val="24"/>
          <w:highlight w:val="none"/>
        </w:rPr>
        <w:t>(c) “资料”指卖方在合同项下，向买方提供的所有印刷或打印的文件，通过任何方式（包括声像或文本）和任何媒介向买方提供的各种指令性和信息性的帮助，但不包括口头指导。</w:t>
      </w:r>
    </w:p>
    <w:p w14:paraId="0EAB7926">
      <w:pPr>
        <w:adjustRightInd w:val="0"/>
        <w:snapToGrid w:val="0"/>
        <w:spacing w:line="360" w:lineRule="auto"/>
        <w:ind w:firstLine="480" w:firstLineChars="200"/>
        <w:rPr>
          <w:sz w:val="24"/>
          <w:highlight w:val="none"/>
        </w:rPr>
      </w:pPr>
      <w:r>
        <w:rPr>
          <w:sz w:val="24"/>
          <w:highlight w:val="none"/>
        </w:rPr>
        <w:t>(d) “知识产权”指本合同涉及的任何及所有的著作权、商标权、专利权和其它智力成果的和专有的权利和利益。</w:t>
      </w:r>
    </w:p>
    <w:p w14:paraId="16C3482C">
      <w:pPr>
        <w:adjustRightInd w:val="0"/>
        <w:snapToGrid w:val="0"/>
        <w:spacing w:line="360" w:lineRule="auto"/>
        <w:ind w:firstLine="480" w:firstLineChars="200"/>
        <w:rPr>
          <w:sz w:val="24"/>
          <w:highlight w:val="none"/>
        </w:rPr>
      </w:pPr>
      <w:r>
        <w:rPr>
          <w:sz w:val="24"/>
          <w:highlight w:val="none"/>
        </w:rPr>
        <w:t>1.4活动</w:t>
      </w:r>
    </w:p>
    <w:p w14:paraId="2D04F803">
      <w:pPr>
        <w:adjustRightInd w:val="0"/>
        <w:snapToGrid w:val="0"/>
        <w:spacing w:line="360" w:lineRule="auto"/>
        <w:ind w:firstLine="480" w:firstLineChars="200"/>
        <w:rPr>
          <w:sz w:val="24"/>
          <w:highlight w:val="none"/>
        </w:rPr>
      </w:pPr>
      <w:r>
        <w:rPr>
          <w:sz w:val="24"/>
          <w:highlight w:val="none"/>
        </w:rPr>
        <w:t>(a) “交货”是指卖方按照合同规定，向买方提供货物。</w:t>
      </w:r>
    </w:p>
    <w:p w14:paraId="7F092177">
      <w:pPr>
        <w:adjustRightInd w:val="0"/>
        <w:snapToGrid w:val="0"/>
        <w:spacing w:line="360" w:lineRule="auto"/>
        <w:ind w:firstLine="480" w:firstLineChars="200"/>
        <w:rPr>
          <w:sz w:val="24"/>
          <w:highlight w:val="none"/>
        </w:rPr>
      </w:pPr>
      <w:r>
        <w:rPr>
          <w:sz w:val="24"/>
          <w:highlight w:val="none"/>
        </w:rPr>
        <w:t>(b) “安装”是指有关货物、 备件、材料和软件的安装工作，包括按照图纸将零部件放置在适当的位置并连接起来，详见合同附件的技术要求。</w:t>
      </w:r>
    </w:p>
    <w:p w14:paraId="5EB7F8A7">
      <w:pPr>
        <w:adjustRightInd w:val="0"/>
        <w:snapToGrid w:val="0"/>
        <w:spacing w:line="360" w:lineRule="auto"/>
        <w:ind w:firstLine="480" w:firstLineChars="200"/>
        <w:rPr>
          <w:sz w:val="24"/>
          <w:highlight w:val="none"/>
        </w:rPr>
      </w:pPr>
      <w:r>
        <w:rPr>
          <w:sz w:val="24"/>
          <w:highlight w:val="none"/>
        </w:rPr>
        <w:t>(c) “调试”指卖方在完成了安装之后，为准备验收而进行的货物运转测试。详见合同附件的技术要求</w:t>
      </w:r>
    </w:p>
    <w:p w14:paraId="065E49B6">
      <w:pPr>
        <w:adjustRightInd w:val="0"/>
        <w:snapToGrid w:val="0"/>
        <w:spacing w:line="360" w:lineRule="auto"/>
        <w:ind w:firstLine="480" w:firstLineChars="200"/>
        <w:rPr>
          <w:sz w:val="24"/>
          <w:highlight w:val="none"/>
        </w:rPr>
      </w:pPr>
      <w:r>
        <w:rPr>
          <w:sz w:val="24"/>
          <w:highlight w:val="none"/>
        </w:rPr>
        <w:t>(d) “验收”是指所有合同项下所供货物在测试中达到合同附件规定的技术性能指标后，买方予以接受。</w:t>
      </w:r>
    </w:p>
    <w:p w14:paraId="4CA39BF6">
      <w:pPr>
        <w:adjustRightInd w:val="0"/>
        <w:snapToGrid w:val="0"/>
        <w:spacing w:line="360" w:lineRule="auto"/>
        <w:ind w:firstLine="480" w:firstLineChars="200"/>
        <w:rPr>
          <w:sz w:val="24"/>
          <w:highlight w:val="none"/>
        </w:rPr>
      </w:pPr>
      <w:r>
        <w:rPr>
          <w:sz w:val="24"/>
          <w:highlight w:val="none"/>
        </w:rPr>
        <w:t>1.5  地点和时间</w:t>
      </w:r>
    </w:p>
    <w:p w14:paraId="1420937B">
      <w:pPr>
        <w:adjustRightInd w:val="0"/>
        <w:snapToGrid w:val="0"/>
        <w:spacing w:line="360" w:lineRule="auto"/>
        <w:ind w:firstLine="480" w:firstLineChars="200"/>
        <w:rPr>
          <w:sz w:val="24"/>
          <w:highlight w:val="none"/>
        </w:rPr>
      </w:pPr>
      <w:r>
        <w:rPr>
          <w:sz w:val="24"/>
          <w:highlight w:val="none"/>
        </w:rPr>
        <w:t>(a) “项目现场”指的是货物交付和安装的场所。</w:t>
      </w:r>
    </w:p>
    <w:p w14:paraId="6A4A87C5">
      <w:pPr>
        <w:adjustRightInd w:val="0"/>
        <w:snapToGrid w:val="0"/>
        <w:spacing w:line="360" w:lineRule="auto"/>
        <w:ind w:firstLine="480" w:firstLineChars="200"/>
        <w:rPr>
          <w:sz w:val="24"/>
          <w:highlight w:val="none"/>
        </w:rPr>
      </w:pPr>
      <w:r>
        <w:rPr>
          <w:sz w:val="24"/>
          <w:highlight w:val="none"/>
        </w:rPr>
        <w:t>(b) “天”指日历天数。</w:t>
      </w:r>
    </w:p>
    <w:p w14:paraId="2034C38C">
      <w:pPr>
        <w:adjustRightInd w:val="0"/>
        <w:snapToGrid w:val="0"/>
        <w:spacing w:line="360" w:lineRule="auto"/>
        <w:ind w:firstLine="480" w:firstLineChars="200"/>
        <w:rPr>
          <w:sz w:val="24"/>
          <w:highlight w:val="none"/>
        </w:rPr>
      </w:pPr>
      <w:r>
        <w:rPr>
          <w:sz w:val="24"/>
          <w:highlight w:val="none"/>
        </w:rPr>
        <w:t>(c) “周”指按中国习惯开始的连续七天</w:t>
      </w:r>
    </w:p>
    <w:p w14:paraId="59008449">
      <w:pPr>
        <w:adjustRightInd w:val="0"/>
        <w:snapToGrid w:val="0"/>
        <w:spacing w:line="360" w:lineRule="auto"/>
        <w:ind w:firstLine="480" w:firstLineChars="200"/>
        <w:rPr>
          <w:sz w:val="24"/>
          <w:highlight w:val="none"/>
        </w:rPr>
      </w:pPr>
      <w:r>
        <w:rPr>
          <w:sz w:val="24"/>
          <w:highlight w:val="none"/>
        </w:rPr>
        <w:t>(d) “年”指连续的12个月。</w:t>
      </w:r>
    </w:p>
    <w:p w14:paraId="3A2FA7D8">
      <w:pPr>
        <w:tabs>
          <w:tab w:val="left" w:pos="1275"/>
        </w:tabs>
        <w:adjustRightInd w:val="0"/>
        <w:snapToGrid w:val="0"/>
        <w:spacing w:line="360" w:lineRule="auto"/>
        <w:ind w:firstLine="480" w:firstLineChars="200"/>
        <w:rPr>
          <w:sz w:val="24"/>
          <w:highlight w:val="none"/>
        </w:rPr>
      </w:pPr>
      <w:r>
        <w:rPr>
          <w:sz w:val="24"/>
          <w:highlight w:val="none"/>
        </w:rPr>
        <w:t>(e) “保证期”是指自合同验收合格之日起一定时间内，卖方保证所供货物的适当和稳定运行，并负责消除存在的任何缺陷。</w:t>
      </w:r>
    </w:p>
    <w:p w14:paraId="79FF583B">
      <w:pPr>
        <w:adjustRightInd w:val="0"/>
        <w:snapToGrid w:val="0"/>
        <w:spacing w:before="240"/>
        <w:ind w:left="2" w:right="210"/>
        <w:rPr>
          <w:sz w:val="24"/>
          <w:szCs w:val="24"/>
          <w:highlight w:val="none"/>
        </w:rPr>
      </w:pPr>
      <w:r>
        <w:rPr>
          <w:sz w:val="24"/>
          <w:szCs w:val="24"/>
          <w:highlight w:val="none"/>
        </w:rPr>
        <w:t>2．适用性</w:t>
      </w:r>
    </w:p>
    <w:p w14:paraId="5EB1CEB2">
      <w:pPr>
        <w:adjustRightInd w:val="0"/>
        <w:snapToGrid w:val="0"/>
        <w:spacing w:line="360" w:lineRule="auto"/>
        <w:ind w:left="719" w:leftChars="228" w:hanging="240" w:hangingChars="100"/>
        <w:rPr>
          <w:sz w:val="24"/>
          <w:highlight w:val="none"/>
        </w:rPr>
      </w:pPr>
      <w:r>
        <w:rPr>
          <w:sz w:val="24"/>
          <w:highlight w:val="none"/>
        </w:rPr>
        <w:t>2.1</w:t>
      </w:r>
      <w:r>
        <w:rPr>
          <w:sz w:val="24"/>
          <w:highlight w:val="none"/>
        </w:rPr>
        <w:tab/>
      </w:r>
      <w:r>
        <w:rPr>
          <w:sz w:val="24"/>
          <w:highlight w:val="none"/>
        </w:rPr>
        <w:t>本合同条款适用于没有被本合同其他部分的条款所取代的范围。</w:t>
      </w:r>
    </w:p>
    <w:p w14:paraId="463F9F4A">
      <w:pPr>
        <w:adjustRightInd w:val="0"/>
        <w:snapToGrid w:val="0"/>
        <w:spacing w:before="240"/>
        <w:ind w:left="2" w:right="210"/>
        <w:rPr>
          <w:sz w:val="24"/>
          <w:szCs w:val="24"/>
          <w:highlight w:val="none"/>
        </w:rPr>
      </w:pPr>
      <w:r>
        <w:rPr>
          <w:sz w:val="24"/>
          <w:szCs w:val="24"/>
          <w:highlight w:val="none"/>
        </w:rPr>
        <w:t>3．原产地</w:t>
      </w:r>
    </w:p>
    <w:p w14:paraId="5F291D65">
      <w:pPr>
        <w:adjustRightInd w:val="0"/>
        <w:snapToGrid w:val="0"/>
        <w:spacing w:line="360" w:lineRule="auto"/>
        <w:ind w:firstLine="480" w:firstLineChars="200"/>
        <w:rPr>
          <w:sz w:val="24"/>
          <w:highlight w:val="none"/>
        </w:rPr>
      </w:pPr>
      <w:r>
        <w:rPr>
          <w:sz w:val="24"/>
          <w:highlight w:val="none"/>
        </w:rPr>
        <w:t>3.1</w:t>
      </w:r>
      <w:r>
        <w:rPr>
          <w:sz w:val="24"/>
          <w:highlight w:val="none"/>
        </w:rPr>
        <w:tab/>
      </w:r>
      <w:r>
        <w:rPr>
          <w:sz w:val="24"/>
          <w:highlight w:val="none"/>
        </w:rPr>
        <w:t>本合同项下所提供的货物及服务均应来自于中华人民共和国或是与中华人民共和国有正常贸易往来的国家（以下简称“合格来源国”）和地区。</w:t>
      </w:r>
    </w:p>
    <w:p w14:paraId="0CD0FA17">
      <w:pPr>
        <w:adjustRightInd w:val="0"/>
        <w:snapToGrid w:val="0"/>
        <w:spacing w:line="360" w:lineRule="auto"/>
        <w:ind w:firstLine="480" w:firstLineChars="200"/>
        <w:rPr>
          <w:sz w:val="24"/>
          <w:highlight w:val="none"/>
        </w:rPr>
      </w:pPr>
      <w:r>
        <w:rPr>
          <w:sz w:val="24"/>
          <w:highlight w:val="none"/>
        </w:rPr>
        <w:t>3.2本条所述的“原产地”系指货物开采、生长，生产地或提供服务的来源地。经过制造加工、的产品或经过实质上组装主要元件而形成的产品均可称为货物，商业上公认的新产品是指在基本特征、目的或功能上与元部件有实质性区别的产品。</w:t>
      </w:r>
    </w:p>
    <w:p w14:paraId="1888BCA7">
      <w:pPr>
        <w:adjustRightInd w:val="0"/>
        <w:snapToGrid w:val="0"/>
        <w:spacing w:line="360" w:lineRule="auto"/>
        <w:ind w:firstLine="480" w:firstLineChars="200"/>
        <w:rPr>
          <w:sz w:val="24"/>
          <w:highlight w:val="none"/>
        </w:rPr>
      </w:pPr>
      <w:r>
        <w:rPr>
          <w:sz w:val="24"/>
          <w:highlight w:val="none"/>
        </w:rPr>
        <w:t>3.3</w:t>
      </w:r>
      <w:r>
        <w:rPr>
          <w:sz w:val="24"/>
          <w:highlight w:val="none"/>
        </w:rPr>
        <w:tab/>
      </w:r>
      <w:r>
        <w:rPr>
          <w:sz w:val="24"/>
          <w:highlight w:val="none"/>
        </w:rPr>
        <w:t>货物和服务的原产地有别于卖方的国籍。</w:t>
      </w:r>
    </w:p>
    <w:p w14:paraId="69B7E1E7">
      <w:pPr>
        <w:adjustRightInd w:val="0"/>
        <w:snapToGrid w:val="0"/>
        <w:spacing w:before="240"/>
        <w:ind w:left="2" w:right="210"/>
        <w:rPr>
          <w:sz w:val="24"/>
          <w:szCs w:val="24"/>
          <w:highlight w:val="none"/>
        </w:rPr>
      </w:pPr>
      <w:r>
        <w:rPr>
          <w:sz w:val="24"/>
          <w:szCs w:val="24"/>
          <w:highlight w:val="none"/>
        </w:rPr>
        <w:t xml:space="preserve">4．标准  </w:t>
      </w:r>
    </w:p>
    <w:p w14:paraId="0AD5D7C2">
      <w:pPr>
        <w:adjustRightInd w:val="0"/>
        <w:snapToGrid w:val="0"/>
        <w:spacing w:line="360" w:lineRule="auto"/>
        <w:ind w:firstLine="480" w:firstLineChars="200"/>
        <w:rPr>
          <w:sz w:val="24"/>
          <w:highlight w:val="none"/>
        </w:rPr>
      </w:pPr>
      <w:r>
        <w:rPr>
          <w:sz w:val="24"/>
          <w:highlight w:val="none"/>
        </w:rPr>
        <w:t>4.1本合同下交付的货物/服务应符合合同附件技术要求所述的标准。如果没有提及适用标准，则应符合货物/服务来源国适用的官方标准。这些标准必须是有关机构发布的最新版本的标准。</w:t>
      </w:r>
    </w:p>
    <w:p w14:paraId="237A2BCF">
      <w:pPr>
        <w:adjustRightInd w:val="0"/>
        <w:snapToGrid w:val="0"/>
        <w:spacing w:line="360" w:lineRule="auto"/>
        <w:ind w:firstLine="480" w:firstLineChars="200"/>
        <w:rPr>
          <w:sz w:val="24"/>
          <w:highlight w:val="none"/>
        </w:rPr>
      </w:pPr>
      <w:r>
        <w:rPr>
          <w:sz w:val="24"/>
          <w:highlight w:val="none"/>
        </w:rPr>
        <w:t>4.2除非技术规格中另有规定，计量单位均采用中华人民共和国法定计量单位。</w:t>
      </w:r>
    </w:p>
    <w:p w14:paraId="7CA9D02A">
      <w:pPr>
        <w:adjustRightInd w:val="0"/>
        <w:snapToGrid w:val="0"/>
        <w:spacing w:before="240"/>
        <w:ind w:left="2" w:right="210"/>
        <w:rPr>
          <w:sz w:val="24"/>
          <w:szCs w:val="24"/>
          <w:highlight w:val="none"/>
        </w:rPr>
      </w:pPr>
      <w:r>
        <w:rPr>
          <w:sz w:val="24"/>
          <w:szCs w:val="24"/>
          <w:highlight w:val="none"/>
        </w:rPr>
        <w:t>5．使用合同文件和资料</w:t>
      </w:r>
    </w:p>
    <w:p w14:paraId="5A287399">
      <w:pPr>
        <w:adjustRightInd w:val="0"/>
        <w:snapToGrid w:val="0"/>
        <w:spacing w:line="360" w:lineRule="auto"/>
        <w:ind w:firstLine="480" w:firstLineChars="200"/>
        <w:rPr>
          <w:sz w:val="24"/>
          <w:highlight w:val="none"/>
        </w:rPr>
      </w:pPr>
      <w:r>
        <w:rPr>
          <w:sz w:val="24"/>
          <w:highlight w:val="none"/>
        </w:rPr>
        <w:t>5.1</w:t>
      </w:r>
      <w:r>
        <w:rPr>
          <w:sz w:val="24"/>
          <w:highlight w:val="none"/>
        </w:rPr>
        <w:tab/>
      </w:r>
      <w:r>
        <w:rPr>
          <w:sz w:val="24"/>
          <w:highlight w:val="none"/>
        </w:rPr>
        <w:t xml:space="preserve">没有买方事先书面同意，卖方不得将由买方或代表买方提供的有关合同或任何合同条文、规格、计划、图纸或资料提供给与履行本合同无关的任何其他人。即使向与履行本合同有关的人员提供，也应注意保密并限于履行合同必须的范围。    </w:t>
      </w:r>
    </w:p>
    <w:p w14:paraId="6A945AF7">
      <w:pPr>
        <w:adjustRightInd w:val="0"/>
        <w:snapToGrid w:val="0"/>
        <w:spacing w:line="360" w:lineRule="auto"/>
        <w:ind w:firstLine="480" w:firstLineChars="200"/>
        <w:rPr>
          <w:sz w:val="24"/>
          <w:highlight w:val="none"/>
        </w:rPr>
      </w:pPr>
      <w:r>
        <w:rPr>
          <w:sz w:val="24"/>
          <w:highlight w:val="none"/>
        </w:rPr>
        <w:t>5.2</w:t>
      </w:r>
      <w:r>
        <w:rPr>
          <w:sz w:val="24"/>
          <w:highlight w:val="none"/>
        </w:rPr>
        <w:tab/>
      </w:r>
      <w:r>
        <w:rPr>
          <w:sz w:val="24"/>
          <w:highlight w:val="none"/>
        </w:rPr>
        <w:t xml:space="preserve">没有买方事先书面同意，除了履行本合同之外，卖方不应使用合同条款第5.1条所列举的任何文件和资料。    </w:t>
      </w:r>
    </w:p>
    <w:p w14:paraId="2162AE55">
      <w:pPr>
        <w:adjustRightInd w:val="0"/>
        <w:snapToGrid w:val="0"/>
        <w:spacing w:line="360" w:lineRule="auto"/>
        <w:ind w:firstLine="480" w:firstLineChars="200"/>
        <w:rPr>
          <w:sz w:val="24"/>
          <w:highlight w:val="none"/>
        </w:rPr>
      </w:pPr>
      <w:r>
        <w:rPr>
          <w:sz w:val="24"/>
          <w:highlight w:val="none"/>
        </w:rPr>
        <w:t>5.3除了合同本身以外，合同条款第5.1条所列举的任何文件是买方的财产。如果买方有要求，卖方在完成合同后应将这些文件及全部复制件还给买方。</w:t>
      </w:r>
    </w:p>
    <w:p w14:paraId="0A03146F">
      <w:pPr>
        <w:adjustRightInd w:val="0"/>
        <w:snapToGrid w:val="0"/>
        <w:spacing w:line="360" w:lineRule="auto"/>
        <w:ind w:firstLine="480" w:firstLineChars="200"/>
        <w:rPr>
          <w:sz w:val="24"/>
          <w:highlight w:val="none"/>
        </w:rPr>
      </w:pPr>
      <w:r>
        <w:rPr>
          <w:sz w:val="24"/>
          <w:highlight w:val="none"/>
        </w:rPr>
        <w:t>5.4对于在合同履行过程中所获得或了解的商业秘密，任何一方应承担保密义务。未经对方事先的书面许可，任何一方不得利用或披露这些信息。</w:t>
      </w:r>
    </w:p>
    <w:p w14:paraId="2D3AE9B0">
      <w:pPr>
        <w:adjustRightInd w:val="0"/>
        <w:snapToGrid w:val="0"/>
        <w:spacing w:line="360" w:lineRule="auto"/>
        <w:ind w:firstLine="480" w:firstLineChars="200"/>
        <w:rPr>
          <w:sz w:val="24"/>
          <w:highlight w:val="none"/>
        </w:rPr>
      </w:pPr>
      <w:r>
        <w:rPr>
          <w:sz w:val="24"/>
          <w:highlight w:val="none"/>
        </w:rPr>
        <w:t>5.5保密义务不适用于下列信息：</w:t>
      </w:r>
    </w:p>
    <w:p w14:paraId="3DADF293">
      <w:pPr>
        <w:adjustRightInd w:val="0"/>
        <w:snapToGrid w:val="0"/>
        <w:spacing w:line="360" w:lineRule="auto"/>
        <w:ind w:firstLine="480" w:firstLineChars="200"/>
        <w:rPr>
          <w:sz w:val="24"/>
          <w:highlight w:val="none"/>
        </w:rPr>
      </w:pPr>
      <w:r>
        <w:rPr>
          <w:sz w:val="24"/>
          <w:highlight w:val="none"/>
        </w:rPr>
        <w:t>5.5.1 现在或以后进入公共领域的信息；</w:t>
      </w:r>
    </w:p>
    <w:p w14:paraId="2D212E23">
      <w:pPr>
        <w:adjustRightInd w:val="0"/>
        <w:snapToGrid w:val="0"/>
        <w:spacing w:line="360" w:lineRule="auto"/>
        <w:ind w:firstLine="480" w:firstLineChars="200"/>
        <w:rPr>
          <w:sz w:val="24"/>
          <w:highlight w:val="none"/>
        </w:rPr>
      </w:pPr>
      <w:r>
        <w:rPr>
          <w:sz w:val="24"/>
          <w:highlight w:val="none"/>
        </w:rPr>
        <w:t>5.5.2 能够证明在泄露时已被一方当事人持有,而且并非是以前直接或间接地从另一方获得的信息</w:t>
      </w:r>
    </w:p>
    <w:p w14:paraId="334E75CD">
      <w:pPr>
        <w:adjustRightInd w:val="0"/>
        <w:snapToGrid w:val="0"/>
        <w:spacing w:line="360" w:lineRule="auto"/>
        <w:ind w:firstLine="480" w:firstLineChars="200"/>
        <w:rPr>
          <w:sz w:val="24"/>
          <w:highlight w:val="none"/>
        </w:rPr>
      </w:pPr>
      <w:r>
        <w:rPr>
          <w:sz w:val="24"/>
          <w:highlight w:val="none"/>
        </w:rPr>
        <w:t>5.5.3 一方当事人合法地从第三方获得并且也不对此承担保密义务的信息。</w:t>
      </w:r>
    </w:p>
    <w:p w14:paraId="31C8A043">
      <w:pPr>
        <w:adjustRightInd w:val="0"/>
        <w:snapToGrid w:val="0"/>
        <w:spacing w:before="240"/>
        <w:ind w:left="2" w:right="210"/>
        <w:rPr>
          <w:sz w:val="24"/>
          <w:szCs w:val="24"/>
          <w:highlight w:val="none"/>
        </w:rPr>
      </w:pPr>
      <w:r>
        <w:rPr>
          <w:sz w:val="24"/>
          <w:szCs w:val="24"/>
          <w:highlight w:val="none"/>
        </w:rPr>
        <w:t>6．知识产权</w:t>
      </w:r>
    </w:p>
    <w:p w14:paraId="32280900">
      <w:pPr>
        <w:adjustRightInd w:val="0"/>
        <w:snapToGrid w:val="0"/>
        <w:spacing w:line="360" w:lineRule="auto"/>
        <w:ind w:firstLine="480" w:firstLineChars="200"/>
        <w:rPr>
          <w:sz w:val="24"/>
          <w:highlight w:val="none"/>
        </w:rPr>
      </w:pPr>
      <w:r>
        <w:rPr>
          <w:sz w:val="24"/>
          <w:highlight w:val="none"/>
        </w:rPr>
        <w:t>6.1卖方应保证，买方在中华人民共和国使用该货物或货物的任何一部分时，免受第三方提出的侵犯其知识产权的索赔或诉讼。</w:t>
      </w:r>
    </w:p>
    <w:p w14:paraId="1DE130DD">
      <w:pPr>
        <w:adjustRightInd w:val="0"/>
        <w:snapToGrid w:val="0"/>
        <w:spacing w:line="360" w:lineRule="auto"/>
        <w:ind w:firstLine="480" w:firstLineChars="200"/>
        <w:rPr>
          <w:sz w:val="24"/>
          <w:highlight w:val="none"/>
        </w:rPr>
      </w:pPr>
      <w:r>
        <w:rPr>
          <w:sz w:val="24"/>
          <w:highlight w:val="none"/>
        </w:rPr>
        <w:t>6.2如果买方在使用该货物或货物的任何一部分时被任何第三方诉称侵犯了该第三方知识产权或任何其它权利，买方应立即通知卖方。卖方应负责处理这一指控并应以卖方的名义自负费用向起诉方提出抗辩。由此可能产生的一切法律责任和经济责任均由卖方承担。买方将尽可能地对卖方抗辩给予协助，由此发生的费用由卖方承担。</w:t>
      </w:r>
    </w:p>
    <w:p w14:paraId="4E4E833C">
      <w:pPr>
        <w:adjustRightInd w:val="0"/>
        <w:snapToGrid w:val="0"/>
        <w:spacing w:line="360" w:lineRule="auto"/>
        <w:ind w:firstLine="480" w:firstLineChars="200"/>
        <w:rPr>
          <w:sz w:val="24"/>
          <w:highlight w:val="none"/>
        </w:rPr>
      </w:pPr>
      <w:r>
        <w:rPr>
          <w:sz w:val="24"/>
          <w:highlight w:val="none"/>
        </w:rPr>
        <w:t>6.3如果买方发现任何第三方在买方被许可的范围内非法使用买方获得的知识产权，买方应毫不延迟地通知卖方。卖方应在收到买方通知后14日内采取适当行动以制止非法使用行为；否则，如果买方要求，卖方应授权买方根据中国法律规定对该第三方提起诉讼，并给买方尽可能的协助。买方应负担诉讼中发生的全部费用，并有权获得判决给付的全部赔偿。</w:t>
      </w:r>
    </w:p>
    <w:p w14:paraId="6E06EAF2">
      <w:pPr>
        <w:adjustRightInd w:val="0"/>
        <w:snapToGrid w:val="0"/>
        <w:spacing w:before="240"/>
        <w:ind w:left="2" w:right="210"/>
        <w:rPr>
          <w:sz w:val="24"/>
          <w:szCs w:val="24"/>
          <w:highlight w:val="none"/>
        </w:rPr>
      </w:pPr>
      <w:r>
        <w:rPr>
          <w:sz w:val="24"/>
          <w:szCs w:val="24"/>
          <w:highlight w:val="none"/>
        </w:rPr>
        <w:t>7．履约保证金</w:t>
      </w:r>
    </w:p>
    <w:p w14:paraId="55480B65">
      <w:pPr>
        <w:adjustRightInd w:val="0"/>
        <w:snapToGrid w:val="0"/>
        <w:spacing w:line="360" w:lineRule="auto"/>
        <w:ind w:firstLine="480" w:firstLineChars="200"/>
        <w:rPr>
          <w:sz w:val="24"/>
          <w:highlight w:val="none"/>
        </w:rPr>
      </w:pPr>
      <w:r>
        <w:rPr>
          <w:sz w:val="24"/>
          <w:highlight w:val="none"/>
        </w:rPr>
        <w:t>7.1 卖方应在合同签订后30日内，向买方提交主要商务条款中所规定金额的履约保证金。</w:t>
      </w:r>
    </w:p>
    <w:p w14:paraId="7A5613D2">
      <w:pPr>
        <w:adjustRightInd w:val="0"/>
        <w:snapToGrid w:val="0"/>
        <w:spacing w:line="360" w:lineRule="auto"/>
        <w:ind w:left="720" w:hanging="720"/>
        <w:rPr>
          <w:sz w:val="24"/>
          <w:highlight w:val="none"/>
        </w:rPr>
      </w:pPr>
      <w:r>
        <w:rPr>
          <w:sz w:val="24"/>
          <w:highlight w:val="none"/>
        </w:rPr>
        <w:t xml:space="preserve">    7.2履约保证金用于补偿买方因卖方不能完成其合同义务而蒙受的损失。</w:t>
      </w:r>
    </w:p>
    <w:p w14:paraId="4DA189C9">
      <w:pPr>
        <w:adjustRightInd w:val="0"/>
        <w:snapToGrid w:val="0"/>
        <w:spacing w:line="360" w:lineRule="auto"/>
        <w:ind w:firstLine="480" w:firstLineChars="200"/>
        <w:rPr>
          <w:sz w:val="24"/>
          <w:highlight w:val="none"/>
        </w:rPr>
      </w:pPr>
      <w:r>
        <w:rPr>
          <w:sz w:val="24"/>
          <w:highlight w:val="none"/>
        </w:rPr>
        <w:t>7.3履约保证金应采用以本合同货币表示、用银行保函或不可撤销的信用证的方式提交,由买方可接受的、在中华人民共和国注册和营业的省、市级别以上银行开出。其格式采用磋商文件提供的格式或其他买方可接受的格式。</w:t>
      </w:r>
    </w:p>
    <w:p w14:paraId="738C2624">
      <w:pPr>
        <w:adjustRightInd w:val="0"/>
        <w:snapToGrid w:val="0"/>
        <w:spacing w:line="360" w:lineRule="auto"/>
        <w:ind w:firstLine="480" w:firstLineChars="200"/>
        <w:rPr>
          <w:sz w:val="24"/>
          <w:highlight w:val="none"/>
        </w:rPr>
      </w:pPr>
      <w:r>
        <w:rPr>
          <w:sz w:val="24"/>
          <w:highlight w:val="none"/>
        </w:rPr>
        <w:t>7.4产品质保期结束后，买方将把履约保证金无息退还卖方。</w:t>
      </w:r>
    </w:p>
    <w:p w14:paraId="0BD587E9">
      <w:pPr>
        <w:adjustRightInd w:val="0"/>
        <w:snapToGrid w:val="0"/>
        <w:spacing w:before="240"/>
        <w:ind w:left="2" w:right="210"/>
        <w:rPr>
          <w:sz w:val="24"/>
          <w:szCs w:val="24"/>
          <w:highlight w:val="none"/>
        </w:rPr>
      </w:pPr>
      <w:r>
        <w:rPr>
          <w:sz w:val="24"/>
          <w:szCs w:val="24"/>
          <w:highlight w:val="none"/>
        </w:rPr>
        <w:t>8．检验和测试</w:t>
      </w:r>
    </w:p>
    <w:p w14:paraId="6585E9A4">
      <w:pPr>
        <w:adjustRightInd w:val="0"/>
        <w:snapToGrid w:val="0"/>
        <w:spacing w:line="360" w:lineRule="auto"/>
        <w:ind w:firstLine="480" w:firstLineChars="200"/>
        <w:rPr>
          <w:sz w:val="24"/>
          <w:highlight w:val="none"/>
        </w:rPr>
      </w:pPr>
      <w:r>
        <w:rPr>
          <w:sz w:val="24"/>
          <w:highlight w:val="none"/>
        </w:rPr>
        <w:t>8.1 在交货前，卖方应让制造厂家对货物的质量、规格、性能、数量或重量等进行详细而全面的检验。卖方/厂家应出具一份证明货物符合合同规定的检验证书，检验证书是付款时提交文件的一个组成部分，但不能作为有关质量、规格、性能、数量或重量的最终检验。制造厂家检验的结果和细节应根据情况向买方提供。</w:t>
      </w:r>
    </w:p>
    <w:p w14:paraId="71C5F8FE">
      <w:pPr>
        <w:adjustRightInd w:val="0"/>
        <w:snapToGrid w:val="0"/>
        <w:spacing w:line="360" w:lineRule="auto"/>
        <w:ind w:firstLine="480" w:firstLineChars="200"/>
        <w:rPr>
          <w:sz w:val="24"/>
          <w:highlight w:val="none"/>
        </w:rPr>
      </w:pPr>
      <w:r>
        <w:rPr>
          <w:sz w:val="24"/>
          <w:highlight w:val="none"/>
        </w:rPr>
        <w:t>8.2货物抵达现场后，买方应尽快与卖方约定时间和地点开箱，对货物的质量、规格、数量和重量进行检验，并出具收到货物证明。如果买方发现货物规格或数量与合同不符，有权向卖方提出索赔。</w:t>
      </w:r>
    </w:p>
    <w:p w14:paraId="44D0183B">
      <w:pPr>
        <w:adjustRightInd w:val="0"/>
        <w:snapToGrid w:val="0"/>
        <w:spacing w:line="360" w:lineRule="auto"/>
        <w:ind w:firstLine="480" w:firstLineChars="200"/>
        <w:rPr>
          <w:sz w:val="24"/>
          <w:highlight w:val="none"/>
        </w:rPr>
      </w:pPr>
      <w:r>
        <w:rPr>
          <w:sz w:val="24"/>
          <w:highlight w:val="none"/>
        </w:rPr>
        <w:t>8.3卖方须根据合同规定完成安装调试及现场培训和合同规定提供现场技术服务，其后进行集中培训，系统进入试运行期。系统连续成功运行90天后，由买方组织有关部门进行全面的测试和验收，有关测试和验收的程序和标准，见合同附件“技术要求”。系统验收期应最晚不迟于交货后180天内。</w:t>
      </w:r>
    </w:p>
    <w:p w14:paraId="6DE99B8A">
      <w:pPr>
        <w:adjustRightInd w:val="0"/>
        <w:snapToGrid w:val="0"/>
        <w:spacing w:line="360" w:lineRule="auto"/>
        <w:ind w:firstLine="480" w:firstLineChars="200"/>
        <w:rPr>
          <w:sz w:val="24"/>
          <w:highlight w:val="none"/>
        </w:rPr>
      </w:pPr>
      <w:r>
        <w:rPr>
          <w:sz w:val="24"/>
          <w:highlight w:val="none"/>
        </w:rPr>
        <w:t>8.4如果在合同条款第18条规定的保证期满前，买方发现卖方所提供的货物或其组成部分与合同要求不符，或被证实有缺陷，包括潜在的缺陷，或使用不合适的材料，买方应及时通知卖方，并向卖方提出索赔。</w:t>
      </w:r>
    </w:p>
    <w:p w14:paraId="78468B6F">
      <w:pPr>
        <w:adjustRightInd w:val="0"/>
        <w:snapToGrid w:val="0"/>
        <w:spacing w:line="360" w:lineRule="auto"/>
        <w:ind w:firstLine="480" w:firstLineChars="200"/>
        <w:rPr>
          <w:sz w:val="24"/>
          <w:highlight w:val="none"/>
        </w:rPr>
      </w:pPr>
      <w:r>
        <w:rPr>
          <w:sz w:val="24"/>
          <w:highlight w:val="none"/>
        </w:rPr>
        <w:t>8.5合同条款第8条的规定不能免除卖方在本合同项下的保证义务或其他义务。</w:t>
      </w:r>
    </w:p>
    <w:p w14:paraId="1740B125">
      <w:pPr>
        <w:adjustRightInd w:val="0"/>
        <w:snapToGrid w:val="0"/>
        <w:spacing w:before="240"/>
        <w:ind w:left="2" w:right="210"/>
        <w:rPr>
          <w:sz w:val="24"/>
          <w:szCs w:val="24"/>
          <w:highlight w:val="none"/>
        </w:rPr>
      </w:pPr>
      <w:r>
        <w:rPr>
          <w:sz w:val="24"/>
          <w:szCs w:val="24"/>
          <w:highlight w:val="none"/>
        </w:rPr>
        <w:t>9．包装</w:t>
      </w:r>
    </w:p>
    <w:p w14:paraId="00C6AF69">
      <w:pPr>
        <w:adjustRightInd w:val="0"/>
        <w:snapToGrid w:val="0"/>
        <w:spacing w:line="360" w:lineRule="auto"/>
        <w:ind w:firstLine="480" w:firstLineChars="200"/>
        <w:rPr>
          <w:sz w:val="24"/>
          <w:highlight w:val="none"/>
        </w:rPr>
      </w:pPr>
      <w:r>
        <w:rPr>
          <w:sz w:val="24"/>
          <w:highlight w:val="none"/>
        </w:rPr>
        <w:t>9.1卖方提供的货物应为原厂包装，能够防止货物在转运中损坏或变质。这类包装应采取防潮、防晒、防锈防腐蚀、防震动及防止其它损坏的必要保护措施，从而保护货物能够经受多次搬运、装卸及远洋和内陆的长途运输。卖方应承担由于其包装或其防护措施不妥而引起货物锈蚀、损坏和丢失的任何损失的责任或费用。</w:t>
      </w:r>
    </w:p>
    <w:p w14:paraId="59B01BA7">
      <w:pPr>
        <w:adjustRightInd w:val="0"/>
        <w:snapToGrid w:val="0"/>
        <w:spacing w:line="360" w:lineRule="auto"/>
        <w:ind w:firstLine="480" w:firstLineChars="200"/>
        <w:rPr>
          <w:sz w:val="24"/>
          <w:highlight w:val="none"/>
        </w:rPr>
      </w:pPr>
      <w:r>
        <w:rPr>
          <w:sz w:val="24"/>
          <w:highlight w:val="none"/>
        </w:rPr>
        <w:t>9.2每件包装箱内应附一份详细装箱清单和质量合格证。</w:t>
      </w:r>
    </w:p>
    <w:p w14:paraId="07D55954">
      <w:pPr>
        <w:adjustRightInd w:val="0"/>
        <w:snapToGrid w:val="0"/>
        <w:spacing w:before="240"/>
        <w:ind w:left="2" w:right="210"/>
        <w:rPr>
          <w:sz w:val="24"/>
          <w:szCs w:val="24"/>
          <w:highlight w:val="none"/>
        </w:rPr>
      </w:pPr>
      <w:r>
        <w:rPr>
          <w:sz w:val="24"/>
          <w:szCs w:val="24"/>
          <w:highlight w:val="none"/>
        </w:rPr>
        <w:t>10．装运标记</w:t>
      </w:r>
    </w:p>
    <w:p w14:paraId="3A4E460D">
      <w:pPr>
        <w:adjustRightInd w:val="0"/>
        <w:snapToGrid w:val="0"/>
        <w:spacing w:line="360" w:lineRule="auto"/>
        <w:ind w:firstLine="480" w:firstLineChars="200"/>
        <w:rPr>
          <w:sz w:val="24"/>
          <w:highlight w:val="none"/>
        </w:rPr>
      </w:pPr>
      <w:r>
        <w:rPr>
          <w:sz w:val="24"/>
          <w:highlight w:val="none"/>
        </w:rPr>
        <w:t>10.1卖方应在每一包装箱相邻的四面用不可擦除的油漆和明显的中文做出以下标记：</w:t>
      </w:r>
    </w:p>
    <w:p w14:paraId="7A5452BD">
      <w:pPr>
        <w:adjustRightInd w:val="0"/>
        <w:snapToGrid w:val="0"/>
        <w:spacing w:line="360" w:lineRule="auto"/>
        <w:ind w:firstLine="720" w:firstLineChars="300"/>
        <w:rPr>
          <w:sz w:val="24"/>
          <w:highlight w:val="none"/>
        </w:rPr>
      </w:pPr>
      <w:r>
        <w:rPr>
          <w:sz w:val="24"/>
          <w:highlight w:val="none"/>
        </w:rPr>
        <w:t>A收货人</w:t>
      </w:r>
    </w:p>
    <w:p w14:paraId="7A062452">
      <w:pPr>
        <w:adjustRightInd w:val="0"/>
        <w:snapToGrid w:val="0"/>
        <w:spacing w:line="360" w:lineRule="auto"/>
        <w:ind w:firstLine="720" w:firstLineChars="300"/>
        <w:rPr>
          <w:sz w:val="24"/>
          <w:highlight w:val="none"/>
        </w:rPr>
      </w:pPr>
      <w:r>
        <w:rPr>
          <w:sz w:val="24"/>
          <w:highlight w:val="none"/>
        </w:rPr>
        <w:t>B合同号</w:t>
      </w:r>
    </w:p>
    <w:p w14:paraId="3295CEFE">
      <w:pPr>
        <w:adjustRightInd w:val="0"/>
        <w:snapToGrid w:val="0"/>
        <w:spacing w:line="360" w:lineRule="auto"/>
        <w:ind w:firstLine="720" w:firstLineChars="300"/>
        <w:rPr>
          <w:sz w:val="24"/>
          <w:highlight w:val="none"/>
        </w:rPr>
      </w:pPr>
      <w:r>
        <w:rPr>
          <w:sz w:val="24"/>
          <w:highlight w:val="none"/>
        </w:rPr>
        <w:t xml:space="preserve">C 目的地 </w:t>
      </w:r>
    </w:p>
    <w:p w14:paraId="454B7BD3">
      <w:pPr>
        <w:adjustRightInd w:val="0"/>
        <w:snapToGrid w:val="0"/>
        <w:spacing w:line="360" w:lineRule="auto"/>
        <w:ind w:firstLine="720" w:firstLineChars="300"/>
        <w:rPr>
          <w:sz w:val="24"/>
          <w:highlight w:val="none"/>
        </w:rPr>
      </w:pPr>
      <w:r>
        <w:rPr>
          <w:sz w:val="24"/>
          <w:highlight w:val="none"/>
        </w:rPr>
        <w:t>D货物名称和箱号</w:t>
      </w:r>
    </w:p>
    <w:p w14:paraId="098B6E61">
      <w:pPr>
        <w:adjustRightInd w:val="0"/>
        <w:snapToGrid w:val="0"/>
        <w:spacing w:line="360" w:lineRule="auto"/>
        <w:ind w:firstLine="720" w:firstLineChars="300"/>
        <w:rPr>
          <w:sz w:val="24"/>
          <w:highlight w:val="none"/>
        </w:rPr>
      </w:pPr>
      <w:r>
        <w:rPr>
          <w:sz w:val="24"/>
          <w:highlight w:val="none"/>
        </w:rPr>
        <w:t>E毛重／净重(用 kg表示)</w:t>
      </w:r>
    </w:p>
    <w:p w14:paraId="5BF9FB38">
      <w:pPr>
        <w:adjustRightInd w:val="0"/>
        <w:snapToGrid w:val="0"/>
        <w:spacing w:line="360" w:lineRule="auto"/>
        <w:ind w:firstLine="720" w:firstLineChars="300"/>
        <w:rPr>
          <w:sz w:val="24"/>
          <w:highlight w:val="none"/>
        </w:rPr>
      </w:pPr>
      <w:r>
        <w:rPr>
          <w:sz w:val="24"/>
          <w:highlight w:val="none"/>
        </w:rPr>
        <w:t>F尺寸(长×宽×高用 cm表示)</w:t>
      </w:r>
    </w:p>
    <w:p w14:paraId="3F5DC4E7">
      <w:pPr>
        <w:adjustRightInd w:val="0"/>
        <w:snapToGrid w:val="0"/>
        <w:spacing w:line="360" w:lineRule="auto"/>
        <w:ind w:firstLine="480" w:firstLineChars="200"/>
        <w:rPr>
          <w:sz w:val="24"/>
          <w:highlight w:val="none"/>
        </w:rPr>
      </w:pPr>
      <w:r>
        <w:rPr>
          <w:sz w:val="24"/>
          <w:highlight w:val="none"/>
        </w:rPr>
        <w:t>10.2 如果单件包装箱的重量在2吨或2吨以上，卖方应在包装箱两侧用中文和通用的运输标记标注“重心”和“起吊点”以便装、卸和搬运。根据货物的特点和运输的不同要求，卖方应在包装箱上清楚地标注“小心轻放”、“此端朝上，请勿倒置”、“保持干燥”等字样和其他适当标记。</w:t>
      </w:r>
    </w:p>
    <w:p w14:paraId="2E983A6B">
      <w:pPr>
        <w:adjustRightInd w:val="0"/>
        <w:snapToGrid w:val="0"/>
        <w:spacing w:before="240"/>
        <w:ind w:left="2" w:right="210"/>
        <w:rPr>
          <w:sz w:val="24"/>
          <w:szCs w:val="24"/>
          <w:highlight w:val="none"/>
        </w:rPr>
      </w:pPr>
      <w:r>
        <w:rPr>
          <w:sz w:val="24"/>
          <w:szCs w:val="24"/>
          <w:highlight w:val="none"/>
        </w:rPr>
        <w:t>11. 装运/交付条件</w:t>
      </w:r>
    </w:p>
    <w:p w14:paraId="0168F9A3">
      <w:pPr>
        <w:adjustRightInd w:val="0"/>
        <w:snapToGrid w:val="0"/>
        <w:spacing w:line="360" w:lineRule="auto"/>
        <w:ind w:firstLine="480" w:firstLineChars="200"/>
        <w:rPr>
          <w:sz w:val="24"/>
          <w:highlight w:val="none"/>
        </w:rPr>
      </w:pPr>
      <w:r>
        <w:rPr>
          <w:sz w:val="24"/>
          <w:highlight w:val="none"/>
        </w:rPr>
        <w:t>11.1 卖方应负责安排运输工具、运输货物和支付运费，确保按照合同规定的交货期交货。</w:t>
      </w:r>
    </w:p>
    <w:p w14:paraId="5842C639">
      <w:pPr>
        <w:adjustRightInd w:val="0"/>
        <w:snapToGrid w:val="0"/>
        <w:spacing w:line="360" w:lineRule="auto"/>
        <w:ind w:left="719" w:leftChars="228" w:hanging="240" w:hangingChars="100"/>
        <w:rPr>
          <w:sz w:val="24"/>
          <w:highlight w:val="none"/>
        </w:rPr>
      </w:pPr>
      <w:r>
        <w:rPr>
          <w:sz w:val="24"/>
          <w:highlight w:val="none"/>
        </w:rPr>
        <w:t>11.2 最终用户签发的收到货物证明的日期应视为实际交货日期。</w:t>
      </w:r>
    </w:p>
    <w:p w14:paraId="33D0BA04">
      <w:pPr>
        <w:adjustRightInd w:val="0"/>
        <w:snapToGrid w:val="0"/>
        <w:spacing w:line="360" w:lineRule="auto"/>
        <w:ind w:firstLine="480" w:firstLineChars="200"/>
        <w:rPr>
          <w:sz w:val="24"/>
          <w:highlight w:val="none"/>
        </w:rPr>
      </w:pPr>
      <w:r>
        <w:rPr>
          <w:sz w:val="24"/>
          <w:highlight w:val="none"/>
        </w:rPr>
        <w:t>11.3 卖方装运的货物不应超过合同规定的数量。否则，买方对超运数量或重量而产生的一切费用和后果不承担责任。</w:t>
      </w:r>
    </w:p>
    <w:p w14:paraId="0388AFC5">
      <w:pPr>
        <w:adjustRightInd w:val="0"/>
        <w:snapToGrid w:val="0"/>
        <w:spacing w:line="360" w:lineRule="auto"/>
        <w:ind w:firstLine="480" w:firstLineChars="200"/>
        <w:rPr>
          <w:sz w:val="24"/>
          <w:highlight w:val="none"/>
        </w:rPr>
      </w:pPr>
      <w:r>
        <w:rPr>
          <w:sz w:val="24"/>
          <w:highlight w:val="none"/>
        </w:rPr>
        <w:t>11.4 最终用户签发的已完成培训义务的证明的日期应视为实际完成培训的日期。</w:t>
      </w:r>
    </w:p>
    <w:p w14:paraId="14AD4C2D">
      <w:pPr>
        <w:tabs>
          <w:tab w:val="left" w:pos="735"/>
        </w:tabs>
        <w:adjustRightInd w:val="0"/>
        <w:snapToGrid w:val="0"/>
        <w:spacing w:line="360" w:lineRule="auto"/>
        <w:ind w:firstLine="480" w:firstLineChars="200"/>
        <w:rPr>
          <w:sz w:val="24"/>
          <w:highlight w:val="none"/>
        </w:rPr>
      </w:pPr>
      <w:r>
        <w:rPr>
          <w:sz w:val="24"/>
          <w:highlight w:val="none"/>
        </w:rPr>
        <w:t>11.5 最终用户签发的合同验收证明的日期应视为货物最终验收、保证期起算的日期。</w:t>
      </w:r>
    </w:p>
    <w:p w14:paraId="7034FBD1">
      <w:pPr>
        <w:adjustRightInd w:val="0"/>
        <w:snapToGrid w:val="0"/>
        <w:spacing w:before="240"/>
        <w:ind w:left="2" w:right="210"/>
        <w:rPr>
          <w:sz w:val="24"/>
          <w:szCs w:val="24"/>
          <w:highlight w:val="none"/>
        </w:rPr>
      </w:pPr>
      <w:r>
        <w:rPr>
          <w:sz w:val="24"/>
          <w:szCs w:val="24"/>
          <w:highlight w:val="none"/>
        </w:rPr>
        <w:t>12．装运通知</w:t>
      </w:r>
    </w:p>
    <w:p w14:paraId="11720E49">
      <w:pPr>
        <w:adjustRightInd w:val="0"/>
        <w:snapToGrid w:val="0"/>
        <w:spacing w:line="360" w:lineRule="auto"/>
        <w:rPr>
          <w:sz w:val="24"/>
          <w:highlight w:val="none"/>
        </w:rPr>
      </w:pPr>
      <w:r>
        <w:rPr>
          <w:b/>
          <w:bCs/>
          <w:kern w:val="0"/>
          <w:sz w:val="24"/>
          <w:highlight w:val="none"/>
        </w:rPr>
        <w:t xml:space="preserve">    </w:t>
      </w:r>
      <w:r>
        <w:rPr>
          <w:kern w:val="0"/>
          <w:sz w:val="24"/>
          <w:highlight w:val="none"/>
        </w:rPr>
        <w:t>卖方应在货到项目现场一周前通知买方和最终用户</w:t>
      </w:r>
      <w:r>
        <w:rPr>
          <w:sz w:val="24"/>
          <w:highlight w:val="none"/>
        </w:rPr>
        <w:t>。</w:t>
      </w:r>
    </w:p>
    <w:p w14:paraId="18A3661D">
      <w:pPr>
        <w:adjustRightInd w:val="0"/>
        <w:snapToGrid w:val="0"/>
        <w:spacing w:before="240"/>
        <w:ind w:left="2" w:right="210"/>
        <w:rPr>
          <w:sz w:val="24"/>
          <w:szCs w:val="24"/>
          <w:highlight w:val="none"/>
        </w:rPr>
      </w:pPr>
      <w:r>
        <w:rPr>
          <w:sz w:val="24"/>
          <w:szCs w:val="24"/>
          <w:highlight w:val="none"/>
        </w:rPr>
        <w:t>13．交货和单据</w:t>
      </w:r>
    </w:p>
    <w:p w14:paraId="44C284C9">
      <w:pPr>
        <w:adjustRightInd w:val="0"/>
        <w:snapToGrid w:val="0"/>
        <w:spacing w:line="360" w:lineRule="auto"/>
        <w:ind w:firstLine="480" w:firstLineChars="200"/>
        <w:rPr>
          <w:sz w:val="24"/>
          <w:highlight w:val="none"/>
        </w:rPr>
      </w:pPr>
      <w:r>
        <w:rPr>
          <w:sz w:val="24"/>
          <w:highlight w:val="none"/>
        </w:rPr>
        <w:t>13.1卖方应按照合同附件规定的条件交货和提供服务。卖方应提供的装运细节和／或其他单据在合同其它条款中有具体规定。</w:t>
      </w:r>
    </w:p>
    <w:p w14:paraId="33A45EA0">
      <w:pPr>
        <w:adjustRightInd w:val="0"/>
        <w:snapToGrid w:val="0"/>
        <w:spacing w:line="360" w:lineRule="auto"/>
        <w:ind w:firstLine="480" w:firstLineChars="200"/>
        <w:rPr>
          <w:sz w:val="24"/>
          <w:highlight w:val="none"/>
        </w:rPr>
      </w:pPr>
      <w:r>
        <w:rPr>
          <w:sz w:val="24"/>
          <w:highlight w:val="none"/>
        </w:rPr>
        <w:t>13.2卖方应在货物交付和服务完成后，为合同支付的需要，根据本合同条款第20条（支付条款）的规定，向买方寄交该支付条款规定的相关“支付单据”。</w:t>
      </w:r>
    </w:p>
    <w:p w14:paraId="18FEB3CB">
      <w:pPr>
        <w:adjustRightInd w:val="0"/>
        <w:snapToGrid w:val="0"/>
        <w:spacing w:line="360" w:lineRule="auto"/>
        <w:ind w:firstLine="480" w:firstLineChars="200"/>
        <w:rPr>
          <w:sz w:val="24"/>
          <w:highlight w:val="none"/>
        </w:rPr>
      </w:pPr>
      <w:r>
        <w:rPr>
          <w:sz w:val="24"/>
          <w:highlight w:val="none"/>
        </w:rPr>
        <w:t>13.3交货的时间、地点要求详见合同特殊条款。</w:t>
      </w:r>
    </w:p>
    <w:p w14:paraId="3FD69A38">
      <w:pPr>
        <w:adjustRightInd w:val="0"/>
        <w:snapToGrid w:val="0"/>
        <w:spacing w:before="240"/>
        <w:ind w:left="2" w:right="210"/>
        <w:rPr>
          <w:sz w:val="24"/>
          <w:szCs w:val="24"/>
          <w:highlight w:val="none"/>
        </w:rPr>
      </w:pPr>
      <w:r>
        <w:rPr>
          <w:sz w:val="24"/>
          <w:szCs w:val="24"/>
          <w:highlight w:val="none"/>
        </w:rPr>
        <w:t>14．保  险</w:t>
      </w:r>
    </w:p>
    <w:p w14:paraId="18505902">
      <w:pPr>
        <w:adjustRightInd w:val="0"/>
        <w:snapToGrid w:val="0"/>
        <w:spacing w:line="360" w:lineRule="auto"/>
        <w:ind w:firstLine="480" w:firstLineChars="200"/>
        <w:rPr>
          <w:sz w:val="24"/>
          <w:highlight w:val="none"/>
        </w:rPr>
      </w:pPr>
      <w:r>
        <w:rPr>
          <w:sz w:val="24"/>
          <w:highlight w:val="none"/>
        </w:rPr>
        <w:t>l4.1卖方对本合同下提供的货物应对其在制造、购置、运输、存放及交货过程中的丢失或损坏进行全面保险, 还应对其在项目现场进行技术服务的人员进行必要的保险。</w:t>
      </w:r>
    </w:p>
    <w:p w14:paraId="5CDB25A5">
      <w:pPr>
        <w:adjustRightInd w:val="0"/>
        <w:snapToGrid w:val="0"/>
        <w:spacing w:before="240"/>
        <w:ind w:left="2" w:right="210"/>
        <w:rPr>
          <w:sz w:val="24"/>
          <w:szCs w:val="24"/>
          <w:highlight w:val="none"/>
        </w:rPr>
      </w:pPr>
      <w:r>
        <w:rPr>
          <w:sz w:val="24"/>
          <w:szCs w:val="24"/>
          <w:highlight w:val="none"/>
        </w:rPr>
        <w:t>15. 运  输</w:t>
      </w:r>
    </w:p>
    <w:p w14:paraId="76450D41">
      <w:pPr>
        <w:adjustRightInd w:val="0"/>
        <w:snapToGrid w:val="0"/>
        <w:spacing w:line="360" w:lineRule="auto"/>
        <w:ind w:firstLine="480" w:firstLineChars="200"/>
        <w:rPr>
          <w:sz w:val="24"/>
          <w:highlight w:val="none"/>
        </w:rPr>
      </w:pPr>
      <w:r>
        <w:rPr>
          <w:sz w:val="24"/>
          <w:highlight w:val="none"/>
        </w:rPr>
        <w:t>卖方应将货物运至买方项目现场，负责办理货物运至买方指定目的地，包括合同规定的保险和储存在内的一切事项，有关费用（包括清关、提货、 支付海关监管费、内陆运输、保险等）应包括在合同价中。</w:t>
      </w:r>
    </w:p>
    <w:p w14:paraId="714BEBDE">
      <w:pPr>
        <w:adjustRightInd w:val="0"/>
        <w:snapToGrid w:val="0"/>
        <w:spacing w:before="240"/>
        <w:ind w:left="2" w:right="210"/>
        <w:rPr>
          <w:sz w:val="24"/>
          <w:szCs w:val="24"/>
          <w:highlight w:val="none"/>
        </w:rPr>
      </w:pPr>
      <w:r>
        <w:rPr>
          <w:sz w:val="24"/>
          <w:szCs w:val="24"/>
          <w:highlight w:val="none"/>
        </w:rPr>
        <w:t>16．伴随服务</w:t>
      </w:r>
    </w:p>
    <w:p w14:paraId="10C92741">
      <w:pPr>
        <w:adjustRightInd w:val="0"/>
        <w:snapToGrid w:val="0"/>
        <w:spacing w:line="360" w:lineRule="auto"/>
        <w:ind w:firstLine="480" w:firstLineChars="200"/>
        <w:rPr>
          <w:sz w:val="24"/>
          <w:highlight w:val="none"/>
        </w:rPr>
      </w:pPr>
      <w:r>
        <w:rPr>
          <w:sz w:val="24"/>
          <w:highlight w:val="none"/>
        </w:rPr>
        <w:t>16.1 卖方被要求按照合同附件的规定，提供下列服务：</w:t>
      </w:r>
    </w:p>
    <w:p w14:paraId="1F4ED959">
      <w:pPr>
        <w:adjustRightInd w:val="0"/>
        <w:snapToGrid w:val="0"/>
        <w:spacing w:line="360" w:lineRule="auto"/>
        <w:ind w:firstLine="480" w:firstLineChars="200"/>
        <w:rPr>
          <w:sz w:val="24"/>
          <w:highlight w:val="none"/>
        </w:rPr>
      </w:pPr>
      <w:r>
        <w:rPr>
          <w:sz w:val="24"/>
          <w:highlight w:val="none"/>
        </w:rPr>
        <w:t>实施所供货物的的现场安装调试和试运行；</w:t>
      </w:r>
    </w:p>
    <w:p w14:paraId="0656E340">
      <w:pPr>
        <w:tabs>
          <w:tab w:val="left" w:pos="975"/>
        </w:tabs>
        <w:adjustRightInd w:val="0"/>
        <w:snapToGrid w:val="0"/>
        <w:spacing w:line="360" w:lineRule="auto"/>
        <w:ind w:firstLine="480" w:firstLineChars="200"/>
        <w:rPr>
          <w:sz w:val="24"/>
          <w:highlight w:val="none"/>
        </w:rPr>
      </w:pPr>
      <w:r>
        <w:rPr>
          <w:sz w:val="24"/>
          <w:highlight w:val="none"/>
        </w:rPr>
        <w:t>（1）提供货物所需备件和专用工具；</w:t>
      </w:r>
    </w:p>
    <w:p w14:paraId="5E5E26B8">
      <w:pPr>
        <w:tabs>
          <w:tab w:val="left" w:pos="975"/>
        </w:tabs>
        <w:adjustRightInd w:val="0"/>
        <w:snapToGrid w:val="0"/>
        <w:spacing w:line="360" w:lineRule="auto"/>
        <w:ind w:firstLine="480" w:firstLineChars="200"/>
        <w:rPr>
          <w:sz w:val="24"/>
          <w:highlight w:val="none"/>
        </w:rPr>
      </w:pPr>
      <w:r>
        <w:rPr>
          <w:sz w:val="24"/>
          <w:highlight w:val="none"/>
        </w:rPr>
        <w:t>（2）为所供货物提供详细的技术文件；</w:t>
      </w:r>
    </w:p>
    <w:p w14:paraId="404CA534">
      <w:pPr>
        <w:adjustRightInd w:val="0"/>
        <w:snapToGrid w:val="0"/>
        <w:spacing w:line="360" w:lineRule="auto"/>
        <w:ind w:firstLine="480" w:firstLineChars="200"/>
        <w:rPr>
          <w:sz w:val="24"/>
          <w:highlight w:val="none"/>
        </w:rPr>
      </w:pPr>
      <w:r>
        <w:rPr>
          <w:sz w:val="24"/>
          <w:highlight w:val="none"/>
        </w:rPr>
        <w:t>在双方商定的一定期限内对所供货物提供维修和技术支持，但前提条件是该服务并不能免除卖方在合同保证期内所承担的义务；和在卖方厂家和/或在项目现场就所供货物对买方人员进行培训，并根据合同提供集中培训。</w:t>
      </w:r>
    </w:p>
    <w:p w14:paraId="4F370EE9">
      <w:pPr>
        <w:adjustRightInd w:val="0"/>
        <w:snapToGrid w:val="0"/>
        <w:spacing w:line="360" w:lineRule="auto"/>
        <w:ind w:firstLine="480" w:firstLineChars="200"/>
        <w:rPr>
          <w:sz w:val="24"/>
          <w:highlight w:val="none"/>
        </w:rPr>
      </w:pPr>
      <w:r>
        <w:rPr>
          <w:sz w:val="24"/>
          <w:highlight w:val="none"/>
        </w:rPr>
        <w:t>16.2 卖方应提供附件技术要求中规定的所有服务。为履行要求的伴随服务的报价应包括在合同价中。</w:t>
      </w:r>
    </w:p>
    <w:p w14:paraId="12E2A3A3">
      <w:pPr>
        <w:adjustRightInd w:val="0"/>
        <w:snapToGrid w:val="0"/>
        <w:spacing w:before="240"/>
        <w:ind w:left="2" w:right="210"/>
        <w:rPr>
          <w:sz w:val="24"/>
          <w:szCs w:val="24"/>
          <w:highlight w:val="none"/>
        </w:rPr>
      </w:pPr>
      <w:r>
        <w:rPr>
          <w:sz w:val="24"/>
          <w:szCs w:val="24"/>
          <w:highlight w:val="none"/>
        </w:rPr>
        <w:t>17.备  件</w:t>
      </w:r>
    </w:p>
    <w:p w14:paraId="64910786">
      <w:pPr>
        <w:adjustRightInd w:val="0"/>
        <w:snapToGrid w:val="0"/>
        <w:spacing w:line="360" w:lineRule="auto"/>
        <w:ind w:firstLine="480" w:firstLineChars="200"/>
        <w:rPr>
          <w:sz w:val="24"/>
          <w:highlight w:val="none"/>
        </w:rPr>
      </w:pPr>
      <w:r>
        <w:rPr>
          <w:sz w:val="24"/>
          <w:highlight w:val="none"/>
        </w:rPr>
        <w:t>17.1正如合同条款所规定，卖方可能被要求提供下列与备件有关的材料、通知和资料：</w:t>
      </w:r>
    </w:p>
    <w:p w14:paraId="622BB8B5">
      <w:pPr>
        <w:adjustRightInd w:val="0"/>
        <w:snapToGrid w:val="0"/>
        <w:spacing w:line="360" w:lineRule="auto"/>
        <w:ind w:firstLine="480" w:firstLineChars="200"/>
        <w:rPr>
          <w:sz w:val="24"/>
          <w:highlight w:val="none"/>
        </w:rPr>
      </w:pPr>
      <w:r>
        <w:rPr>
          <w:sz w:val="24"/>
          <w:highlight w:val="none"/>
        </w:rPr>
        <w:t>（1）买方从卖方选购备件，但前提条件是该选择并不能免除卖方在合同保证期内所承担的义务；和</w:t>
      </w:r>
    </w:p>
    <w:p w14:paraId="685B9190">
      <w:pPr>
        <w:adjustRightInd w:val="0"/>
        <w:snapToGrid w:val="0"/>
        <w:spacing w:line="360" w:lineRule="auto"/>
        <w:ind w:firstLine="480" w:firstLineChars="200"/>
        <w:rPr>
          <w:sz w:val="24"/>
          <w:highlight w:val="none"/>
        </w:rPr>
      </w:pPr>
      <w:r>
        <w:rPr>
          <w:sz w:val="24"/>
          <w:highlight w:val="none"/>
        </w:rPr>
        <w:t>（2）在备件停止生产的情况下：</w:t>
      </w:r>
    </w:p>
    <w:p w14:paraId="51B91251">
      <w:pPr>
        <w:adjustRightInd w:val="0"/>
        <w:snapToGrid w:val="0"/>
        <w:spacing w:line="360" w:lineRule="auto"/>
        <w:ind w:firstLine="480" w:firstLineChars="200"/>
        <w:rPr>
          <w:sz w:val="24"/>
          <w:highlight w:val="none"/>
        </w:rPr>
      </w:pPr>
      <w:r>
        <w:rPr>
          <w:sz w:val="24"/>
          <w:highlight w:val="none"/>
        </w:rPr>
        <w:t>(i)事先将要停止生产的计划通知买方使买方有足够的时间采购所需的备件；和</w:t>
      </w:r>
    </w:p>
    <w:p w14:paraId="4EE028B3">
      <w:pPr>
        <w:adjustRightInd w:val="0"/>
        <w:snapToGrid w:val="0"/>
        <w:spacing w:line="360" w:lineRule="auto"/>
        <w:ind w:left="1440" w:hanging="1440"/>
        <w:rPr>
          <w:sz w:val="24"/>
          <w:highlight w:val="none"/>
        </w:rPr>
      </w:pPr>
      <w:r>
        <w:rPr>
          <w:sz w:val="24"/>
          <w:highlight w:val="none"/>
        </w:rPr>
        <w:t xml:space="preserve">    (ii) 在停止生产后，如果买方要求，免费向买方提供备件的蓝图、图纸和规格。</w:t>
      </w:r>
    </w:p>
    <w:p w14:paraId="5BCBE1E3">
      <w:pPr>
        <w:adjustRightInd w:val="0"/>
        <w:snapToGrid w:val="0"/>
        <w:spacing w:line="360" w:lineRule="auto"/>
        <w:ind w:firstLine="480" w:firstLineChars="200"/>
        <w:rPr>
          <w:sz w:val="24"/>
          <w:highlight w:val="none"/>
        </w:rPr>
      </w:pPr>
      <w:r>
        <w:rPr>
          <w:sz w:val="24"/>
          <w:highlight w:val="none"/>
        </w:rPr>
        <w:t xml:space="preserve">17.2  </w:t>
      </w:r>
      <w:r>
        <w:rPr>
          <w:sz w:val="24"/>
          <w:highlight w:val="none"/>
        </w:rPr>
        <w:tab/>
      </w:r>
      <w:r>
        <w:rPr>
          <w:sz w:val="24"/>
          <w:highlight w:val="none"/>
        </w:rPr>
        <w:t>卖方应按照合同附件中的规定提供所需的的备件。</w:t>
      </w:r>
    </w:p>
    <w:p w14:paraId="3483971B">
      <w:pPr>
        <w:adjustRightInd w:val="0"/>
        <w:snapToGrid w:val="0"/>
        <w:spacing w:before="240"/>
        <w:ind w:left="2" w:right="210"/>
        <w:rPr>
          <w:sz w:val="24"/>
          <w:szCs w:val="24"/>
          <w:highlight w:val="none"/>
        </w:rPr>
      </w:pPr>
      <w:r>
        <w:rPr>
          <w:sz w:val="24"/>
          <w:szCs w:val="24"/>
          <w:highlight w:val="none"/>
        </w:rPr>
        <w:t>18．质量保证</w:t>
      </w:r>
    </w:p>
    <w:p w14:paraId="47C8916E">
      <w:pPr>
        <w:tabs>
          <w:tab w:val="left" w:pos="4515"/>
        </w:tabs>
        <w:adjustRightInd w:val="0"/>
        <w:snapToGrid w:val="0"/>
        <w:spacing w:line="360" w:lineRule="auto"/>
        <w:ind w:firstLine="480" w:firstLineChars="200"/>
        <w:rPr>
          <w:sz w:val="24"/>
          <w:highlight w:val="none"/>
        </w:rPr>
      </w:pPr>
      <w:r>
        <w:rPr>
          <w:sz w:val="24"/>
          <w:highlight w:val="none"/>
        </w:rPr>
        <w:t>18.1卖方应保证所供货物及其集成没有设计、工程、材料和工艺上的缺陷，没有因卖方的行为或疏忽而产生的缺陷。</w:t>
      </w:r>
    </w:p>
    <w:p w14:paraId="19A23046">
      <w:pPr>
        <w:adjustRightInd w:val="0"/>
        <w:snapToGrid w:val="0"/>
        <w:spacing w:line="360" w:lineRule="auto"/>
        <w:ind w:firstLine="480" w:firstLineChars="200"/>
        <w:rPr>
          <w:sz w:val="24"/>
          <w:highlight w:val="none"/>
        </w:rPr>
      </w:pPr>
      <w:r>
        <w:rPr>
          <w:sz w:val="24"/>
          <w:highlight w:val="none"/>
        </w:rPr>
        <w:t>18.2卖方应保证合同项下所供货物是全新的、未使用过的，应含有设计上和材料的全部最新改进。</w:t>
      </w:r>
    </w:p>
    <w:p w14:paraId="6DFB315D">
      <w:pPr>
        <w:adjustRightInd w:val="0"/>
        <w:snapToGrid w:val="0"/>
        <w:spacing w:line="360" w:lineRule="auto"/>
        <w:ind w:firstLine="480" w:firstLineChars="200"/>
        <w:rPr>
          <w:sz w:val="24"/>
          <w:highlight w:val="none"/>
        </w:rPr>
      </w:pPr>
      <w:r>
        <w:rPr>
          <w:sz w:val="24"/>
          <w:highlight w:val="none"/>
        </w:rPr>
        <w:t>18.3卖方应保证所供货物和或其任何组成部分，在正常使用和保养下，在其使用寿命期内，均能够满足合同附件规定的性能、可靠性和扩展性。</w:t>
      </w:r>
    </w:p>
    <w:p w14:paraId="691895DF">
      <w:pPr>
        <w:adjustRightInd w:val="0"/>
        <w:snapToGrid w:val="0"/>
        <w:spacing w:line="360" w:lineRule="auto"/>
        <w:ind w:firstLine="480" w:firstLineChars="200"/>
        <w:rPr>
          <w:sz w:val="24"/>
          <w:highlight w:val="none"/>
        </w:rPr>
      </w:pPr>
      <w:r>
        <w:rPr>
          <w:sz w:val="24"/>
          <w:highlight w:val="none"/>
        </w:rPr>
        <w:t xml:space="preserve">18.4 </w:t>
      </w:r>
      <w:r>
        <w:rPr>
          <w:b/>
          <w:bCs/>
          <w:sz w:val="24"/>
          <w:highlight w:val="none"/>
        </w:rPr>
        <w:t>除另有规定，本保证应在：货物现场测试合格交验后___个月内保持有效。</w:t>
      </w:r>
    </w:p>
    <w:p w14:paraId="0FB6811A">
      <w:pPr>
        <w:adjustRightInd w:val="0"/>
        <w:snapToGrid w:val="0"/>
        <w:spacing w:line="360" w:lineRule="auto"/>
        <w:ind w:firstLine="480" w:firstLineChars="200"/>
        <w:rPr>
          <w:sz w:val="24"/>
          <w:highlight w:val="none"/>
        </w:rPr>
      </w:pPr>
      <w:r>
        <w:rPr>
          <w:sz w:val="24"/>
          <w:highlight w:val="none"/>
        </w:rPr>
        <w:t>18.5 保证期内所产生的索赔买方应尽快以书面形式向卖方提出，买方同时向卖方提供合理的机会来检查缺陷。</w:t>
      </w:r>
    </w:p>
    <w:p w14:paraId="20B6603B">
      <w:pPr>
        <w:adjustRightInd w:val="0"/>
        <w:snapToGrid w:val="0"/>
        <w:spacing w:line="360" w:lineRule="auto"/>
        <w:ind w:firstLine="480" w:firstLineChars="200"/>
        <w:rPr>
          <w:sz w:val="24"/>
          <w:highlight w:val="none"/>
        </w:rPr>
      </w:pPr>
      <w:r>
        <w:rPr>
          <w:sz w:val="24"/>
          <w:highlight w:val="none"/>
        </w:rPr>
        <w:t>18.6 卖方收到通知后应在48小时内以合理的速度免费维修或更换有缺陷的货物或部件，被修理或更换的货物或部件从出厂地或进口港/地至最终目的地的内陆运费由卖方承担。</w:t>
      </w:r>
    </w:p>
    <w:p w14:paraId="0A74CCF9">
      <w:pPr>
        <w:adjustRightInd w:val="0"/>
        <w:snapToGrid w:val="0"/>
        <w:spacing w:line="360" w:lineRule="auto"/>
        <w:ind w:firstLine="480" w:firstLineChars="200"/>
        <w:rPr>
          <w:sz w:val="24"/>
          <w:highlight w:val="none"/>
        </w:rPr>
      </w:pPr>
      <w:r>
        <w:rPr>
          <w:sz w:val="24"/>
          <w:highlight w:val="none"/>
        </w:rPr>
        <w:t>18.7 如果卖方收到通知后在合同规定的时间内没有以合理的速度弥补缺陷，买方可采取必要的补救措施，但其风险和费用将由卖方承担，买方根据合同规定对卖方行使的其他权力不受影响。</w:t>
      </w:r>
    </w:p>
    <w:p w14:paraId="466234AD">
      <w:pPr>
        <w:adjustRightInd w:val="0"/>
        <w:snapToGrid w:val="0"/>
        <w:spacing w:line="360" w:lineRule="auto"/>
        <w:ind w:firstLine="480" w:firstLineChars="200"/>
        <w:rPr>
          <w:sz w:val="24"/>
          <w:highlight w:val="none"/>
        </w:rPr>
      </w:pPr>
      <w:r>
        <w:rPr>
          <w:sz w:val="24"/>
          <w:highlight w:val="none"/>
        </w:rPr>
        <w:t>18.8 卖方不负责维修或替换或弥补由于下列原因造成的缺陷或损坏：</w:t>
      </w:r>
    </w:p>
    <w:p w14:paraId="6CEDED9C">
      <w:pPr>
        <w:adjustRightInd w:val="0"/>
        <w:snapToGrid w:val="0"/>
        <w:spacing w:line="360" w:lineRule="auto"/>
        <w:ind w:firstLine="480" w:firstLineChars="200"/>
        <w:rPr>
          <w:sz w:val="24"/>
          <w:highlight w:val="none"/>
        </w:rPr>
      </w:pPr>
      <w:r>
        <w:rPr>
          <w:sz w:val="24"/>
          <w:highlight w:val="none"/>
        </w:rPr>
        <w:t>（a）买方不恰当地操作和维护</w:t>
      </w:r>
    </w:p>
    <w:p w14:paraId="53894B5A">
      <w:pPr>
        <w:adjustRightInd w:val="0"/>
        <w:snapToGrid w:val="0"/>
        <w:spacing w:line="360" w:lineRule="auto"/>
        <w:ind w:firstLine="480" w:firstLineChars="200"/>
        <w:rPr>
          <w:sz w:val="24"/>
          <w:highlight w:val="none"/>
        </w:rPr>
      </w:pPr>
      <w:r>
        <w:rPr>
          <w:sz w:val="24"/>
          <w:highlight w:val="none"/>
        </w:rPr>
        <w:t>（b）正常的磨损</w:t>
      </w:r>
    </w:p>
    <w:p w14:paraId="1DAA27C2">
      <w:pPr>
        <w:adjustRightInd w:val="0"/>
        <w:snapToGrid w:val="0"/>
        <w:spacing w:line="360" w:lineRule="auto"/>
        <w:ind w:firstLine="480" w:firstLineChars="200"/>
        <w:rPr>
          <w:sz w:val="24"/>
          <w:highlight w:val="none"/>
        </w:rPr>
      </w:pPr>
      <w:r>
        <w:rPr>
          <w:sz w:val="24"/>
          <w:highlight w:val="none"/>
        </w:rPr>
        <w:t>（c）使用了不是卖方提供的货物</w:t>
      </w:r>
    </w:p>
    <w:p w14:paraId="66F42BF4">
      <w:pPr>
        <w:adjustRightInd w:val="0"/>
        <w:snapToGrid w:val="0"/>
        <w:spacing w:line="360" w:lineRule="auto"/>
        <w:ind w:firstLine="480" w:firstLineChars="200"/>
        <w:rPr>
          <w:sz w:val="24"/>
          <w:highlight w:val="none"/>
        </w:rPr>
      </w:pPr>
      <w:r>
        <w:rPr>
          <w:sz w:val="24"/>
          <w:highlight w:val="none"/>
        </w:rPr>
        <w:t>（d）买方或第三方对货物做出的修改，而事先没有得到卖方的确认许可；</w:t>
      </w:r>
    </w:p>
    <w:p w14:paraId="5E3CA5A4">
      <w:pPr>
        <w:adjustRightInd w:val="0"/>
        <w:snapToGrid w:val="0"/>
        <w:spacing w:before="240"/>
        <w:ind w:left="2" w:right="210"/>
        <w:rPr>
          <w:sz w:val="24"/>
          <w:szCs w:val="24"/>
          <w:highlight w:val="none"/>
        </w:rPr>
      </w:pPr>
      <w:r>
        <w:rPr>
          <w:sz w:val="24"/>
          <w:szCs w:val="24"/>
          <w:highlight w:val="none"/>
        </w:rPr>
        <w:t>19. 索  赔</w:t>
      </w:r>
    </w:p>
    <w:p w14:paraId="0287EE54">
      <w:pPr>
        <w:adjustRightInd w:val="0"/>
        <w:snapToGrid w:val="0"/>
        <w:spacing w:line="360" w:lineRule="auto"/>
        <w:ind w:firstLine="480" w:firstLineChars="200"/>
        <w:rPr>
          <w:sz w:val="24"/>
          <w:highlight w:val="none"/>
        </w:rPr>
      </w:pPr>
      <w:r>
        <w:rPr>
          <w:sz w:val="24"/>
          <w:highlight w:val="none"/>
        </w:rPr>
        <w:t>19.1根据买方检验结果，如果卖方所供货物的数量、质量或规格与合同不符，或证实货物是有缺陷的，包括潜在缺陷或使用不符合要求的材料等，买方在合同条款第18条或合同的其他地方规定的检验、安装、调试、验收和质量保证期内提出了索赔，卖方应按照买方同意的下列一种或几种方式结合起来解决索赔事宜：</w:t>
      </w:r>
    </w:p>
    <w:p w14:paraId="3E411BC9">
      <w:pPr>
        <w:adjustRightInd w:val="0"/>
        <w:snapToGrid w:val="0"/>
        <w:spacing w:line="360" w:lineRule="auto"/>
        <w:ind w:firstLine="480" w:firstLineChars="200"/>
        <w:rPr>
          <w:sz w:val="24"/>
          <w:highlight w:val="none"/>
        </w:rPr>
      </w:pPr>
      <w:r>
        <w:rPr>
          <w:sz w:val="24"/>
          <w:highlight w:val="none"/>
        </w:rPr>
        <w:t>(a)</w:t>
      </w:r>
      <w:r>
        <w:rPr>
          <w:sz w:val="24"/>
          <w:highlight w:val="none"/>
        </w:rPr>
        <w:tab/>
      </w:r>
      <w:r>
        <w:rPr>
          <w:sz w:val="24"/>
          <w:highlight w:val="none"/>
        </w:rPr>
        <w:t>卖方同意退货并用合同规定的货币将货款退还给买方，并承担由此发生的一切损失和费用，包括利息、银行手续费、运费、保险费、检验费、仓储费、装 卸费以及为看管和保护退回货物所需的其它必要费用。</w:t>
      </w:r>
    </w:p>
    <w:p w14:paraId="0F930E5A">
      <w:pPr>
        <w:adjustRightInd w:val="0"/>
        <w:snapToGrid w:val="0"/>
        <w:spacing w:line="360" w:lineRule="auto"/>
        <w:ind w:firstLine="480" w:firstLineChars="200"/>
        <w:rPr>
          <w:sz w:val="24"/>
          <w:highlight w:val="none"/>
        </w:rPr>
      </w:pPr>
      <w:r>
        <w:rPr>
          <w:sz w:val="24"/>
          <w:highlight w:val="none"/>
        </w:rPr>
        <w:t>(b) 根据货物低劣程度、损坏程度以及买方所遭受损失的金额，经买卖双方商定降低货物的价格。</w:t>
      </w:r>
    </w:p>
    <w:p w14:paraId="5B5A34B4">
      <w:pPr>
        <w:adjustRightInd w:val="0"/>
        <w:snapToGrid w:val="0"/>
        <w:spacing w:line="360" w:lineRule="auto"/>
        <w:ind w:firstLine="480" w:firstLineChars="200"/>
        <w:rPr>
          <w:sz w:val="24"/>
          <w:highlight w:val="none"/>
        </w:rPr>
      </w:pPr>
      <w:r>
        <w:rPr>
          <w:sz w:val="24"/>
          <w:highlight w:val="none"/>
        </w:rPr>
        <w:t>(c) 用符合合同规定的规格、质量和性能要求的新零件、部件和／或货物来更换有缺陷的部分和／或修补缺陷部分，卖方应承担一切费用和风险并负担买方蒙受的全部直接损失费用。同时，卖方应按合同条款第18条规定，相应延长所更换货物的质量保证期。</w:t>
      </w:r>
    </w:p>
    <w:p w14:paraId="20736C71">
      <w:pPr>
        <w:adjustRightInd w:val="0"/>
        <w:snapToGrid w:val="0"/>
        <w:spacing w:line="360" w:lineRule="auto"/>
        <w:ind w:firstLine="480" w:firstLineChars="200"/>
        <w:rPr>
          <w:sz w:val="24"/>
          <w:highlight w:val="none"/>
        </w:rPr>
      </w:pPr>
      <w:r>
        <w:rPr>
          <w:sz w:val="24"/>
          <w:highlight w:val="none"/>
        </w:rPr>
        <w:t>(d) 赔偿买方的损失</w:t>
      </w:r>
    </w:p>
    <w:p w14:paraId="1B592BF8">
      <w:pPr>
        <w:adjustRightInd w:val="0"/>
        <w:snapToGrid w:val="0"/>
        <w:spacing w:line="360" w:lineRule="auto"/>
        <w:ind w:firstLine="480" w:firstLineChars="200"/>
        <w:rPr>
          <w:sz w:val="24"/>
          <w:highlight w:val="none"/>
        </w:rPr>
      </w:pPr>
      <w:r>
        <w:rPr>
          <w:sz w:val="24"/>
          <w:highlight w:val="none"/>
        </w:rPr>
        <w:t>19.2如果在买方发出索赔通知后七(7)天内，卖方未作答复，上述索赔应视为已被卖方接受。如卖方未能在买方发出索赔通知后三十(30)天内或买方同意的延长期限内，按照买方同意的上述规定的任何一种方法解决索赔事宜，买方将从议付货款或从卖方开具的履约保证金中扣回索赔金额。</w:t>
      </w:r>
    </w:p>
    <w:p w14:paraId="27EE889F">
      <w:pPr>
        <w:adjustRightInd w:val="0"/>
        <w:snapToGrid w:val="0"/>
        <w:spacing w:line="360" w:lineRule="auto"/>
        <w:ind w:firstLine="480" w:firstLineChars="200"/>
        <w:rPr>
          <w:sz w:val="24"/>
          <w:highlight w:val="none"/>
        </w:rPr>
      </w:pPr>
      <w:r>
        <w:rPr>
          <w:sz w:val="24"/>
          <w:highlight w:val="none"/>
        </w:rPr>
        <w:t>19.3如果卖方所提供的服务不符合合同规定，卖方将自负费用，对其进行改进、修正、更换、增补，以使其满足合同的要求。如果这种改进、修正、更换、增补仍不能满足合同的要求，买方将根据合同条款扣除卖方的履约保函。</w:t>
      </w:r>
    </w:p>
    <w:p w14:paraId="371BBA4C">
      <w:pPr>
        <w:adjustRightInd w:val="0"/>
        <w:snapToGrid w:val="0"/>
        <w:spacing w:before="240"/>
        <w:ind w:left="2" w:right="210"/>
        <w:rPr>
          <w:sz w:val="24"/>
          <w:szCs w:val="24"/>
          <w:highlight w:val="none"/>
        </w:rPr>
      </w:pPr>
      <w:r>
        <w:rPr>
          <w:sz w:val="24"/>
          <w:szCs w:val="24"/>
          <w:highlight w:val="none"/>
        </w:rPr>
        <w:t>20. 付   款</w:t>
      </w:r>
    </w:p>
    <w:p w14:paraId="5CE7A95B">
      <w:pPr>
        <w:adjustRightInd w:val="0"/>
        <w:snapToGrid w:val="0"/>
        <w:spacing w:line="360" w:lineRule="auto"/>
        <w:ind w:firstLine="480" w:firstLineChars="200"/>
        <w:rPr>
          <w:sz w:val="24"/>
          <w:highlight w:val="none"/>
        </w:rPr>
      </w:pPr>
      <w:r>
        <w:rPr>
          <w:sz w:val="24"/>
          <w:highlight w:val="none"/>
        </w:rPr>
        <w:t>20.1本合同项下的付款方法和条件在“合同特殊条款”中规定。</w:t>
      </w:r>
    </w:p>
    <w:p w14:paraId="51AED8D7">
      <w:pPr>
        <w:adjustRightInd w:val="0"/>
        <w:snapToGrid w:val="0"/>
        <w:spacing w:before="240"/>
        <w:ind w:left="2" w:right="210"/>
        <w:rPr>
          <w:sz w:val="24"/>
          <w:szCs w:val="24"/>
          <w:highlight w:val="none"/>
        </w:rPr>
      </w:pPr>
      <w:r>
        <w:rPr>
          <w:sz w:val="24"/>
          <w:szCs w:val="24"/>
          <w:highlight w:val="none"/>
        </w:rPr>
        <w:t>21. 价   格</w:t>
      </w:r>
    </w:p>
    <w:p w14:paraId="3B05F87A">
      <w:pPr>
        <w:adjustRightInd w:val="0"/>
        <w:snapToGrid w:val="0"/>
        <w:spacing w:line="360" w:lineRule="auto"/>
        <w:ind w:firstLine="480" w:firstLineChars="200"/>
        <w:rPr>
          <w:sz w:val="24"/>
          <w:highlight w:val="none"/>
        </w:rPr>
      </w:pPr>
      <w:r>
        <w:rPr>
          <w:sz w:val="24"/>
          <w:highlight w:val="none"/>
        </w:rPr>
        <w:t>21.1卖方在本合同项下提交货物和履行服务收取的价格在合同格式中给出。</w:t>
      </w:r>
    </w:p>
    <w:p w14:paraId="100DD18E">
      <w:pPr>
        <w:adjustRightInd w:val="0"/>
        <w:snapToGrid w:val="0"/>
        <w:spacing w:before="240"/>
        <w:ind w:left="2" w:right="210"/>
        <w:rPr>
          <w:sz w:val="24"/>
          <w:szCs w:val="24"/>
          <w:highlight w:val="none"/>
        </w:rPr>
      </w:pPr>
      <w:r>
        <w:rPr>
          <w:sz w:val="24"/>
          <w:szCs w:val="24"/>
          <w:highlight w:val="none"/>
        </w:rPr>
        <w:t>22. 变更指令</w:t>
      </w:r>
    </w:p>
    <w:p w14:paraId="3D93F5FE">
      <w:pPr>
        <w:adjustRightInd w:val="0"/>
        <w:snapToGrid w:val="0"/>
        <w:spacing w:line="360" w:lineRule="auto"/>
        <w:ind w:firstLine="480" w:firstLineChars="200"/>
        <w:rPr>
          <w:sz w:val="24"/>
          <w:highlight w:val="none"/>
        </w:rPr>
      </w:pPr>
      <w:r>
        <w:rPr>
          <w:sz w:val="24"/>
          <w:highlight w:val="none"/>
        </w:rPr>
        <w:t>22.1 根据合同条款第35条的规定，买方可以在任何时候书面向卖方发出指令，在本合同的一般范围内变更下述一项或几项：</w:t>
      </w:r>
    </w:p>
    <w:p w14:paraId="0CCF62D6">
      <w:pPr>
        <w:adjustRightInd w:val="0"/>
        <w:snapToGrid w:val="0"/>
        <w:spacing w:line="360" w:lineRule="auto"/>
        <w:rPr>
          <w:sz w:val="24"/>
          <w:highlight w:val="none"/>
        </w:rPr>
      </w:pPr>
      <w:r>
        <w:rPr>
          <w:sz w:val="24"/>
          <w:highlight w:val="none"/>
        </w:rPr>
        <w:t>（1）本合同项下提供的货物是专为买方制造时，变更图纸、设计或规格；</w:t>
      </w:r>
    </w:p>
    <w:p w14:paraId="3D513588">
      <w:pPr>
        <w:adjustRightInd w:val="0"/>
        <w:snapToGrid w:val="0"/>
        <w:spacing w:line="360" w:lineRule="auto"/>
        <w:ind w:left="1080" w:hanging="1080"/>
        <w:rPr>
          <w:sz w:val="24"/>
          <w:highlight w:val="none"/>
        </w:rPr>
      </w:pPr>
      <w:r>
        <w:rPr>
          <w:sz w:val="24"/>
          <w:highlight w:val="none"/>
        </w:rPr>
        <w:t>（2）运输或包装的方法；</w:t>
      </w:r>
    </w:p>
    <w:p w14:paraId="4673415B">
      <w:pPr>
        <w:adjustRightInd w:val="0"/>
        <w:snapToGrid w:val="0"/>
        <w:spacing w:line="360" w:lineRule="auto"/>
        <w:ind w:left="1080" w:hanging="1080"/>
        <w:rPr>
          <w:sz w:val="24"/>
          <w:highlight w:val="none"/>
        </w:rPr>
      </w:pPr>
      <w:r>
        <w:rPr>
          <w:sz w:val="24"/>
          <w:highlight w:val="none"/>
        </w:rPr>
        <w:t>（3）交货地点；</w:t>
      </w:r>
    </w:p>
    <w:p w14:paraId="4A79DF0F">
      <w:pPr>
        <w:adjustRightInd w:val="0"/>
        <w:snapToGrid w:val="0"/>
        <w:spacing w:line="360" w:lineRule="auto"/>
        <w:ind w:left="1080" w:hanging="1080"/>
        <w:rPr>
          <w:sz w:val="24"/>
          <w:highlight w:val="none"/>
        </w:rPr>
      </w:pPr>
      <w:r>
        <w:rPr>
          <w:sz w:val="24"/>
          <w:highlight w:val="none"/>
        </w:rPr>
        <w:t>（4）卖方提供的服务。</w:t>
      </w:r>
    </w:p>
    <w:p w14:paraId="56F98749">
      <w:pPr>
        <w:adjustRightInd w:val="0"/>
        <w:snapToGrid w:val="0"/>
        <w:spacing w:line="360" w:lineRule="auto"/>
        <w:ind w:firstLine="480" w:firstLineChars="200"/>
        <w:rPr>
          <w:sz w:val="24"/>
          <w:highlight w:val="none"/>
        </w:rPr>
      </w:pPr>
      <w:r>
        <w:rPr>
          <w:sz w:val="24"/>
          <w:highlight w:val="none"/>
        </w:rPr>
        <w:t>22.2 如果上述变更使卖方履行合同义务的费用或时间增加或减少，合同价或交货时间或两者将进行公平的调整，同时相应修改合同。卖方根据本条进行调整的要求必须在收到买方的变更指令后十四（14）天内提出。</w:t>
      </w:r>
    </w:p>
    <w:p w14:paraId="4D9B29E2">
      <w:pPr>
        <w:adjustRightInd w:val="0"/>
        <w:snapToGrid w:val="0"/>
        <w:spacing w:before="240"/>
        <w:ind w:left="2" w:right="210"/>
        <w:rPr>
          <w:sz w:val="24"/>
          <w:szCs w:val="24"/>
          <w:highlight w:val="none"/>
        </w:rPr>
      </w:pPr>
      <w:r>
        <w:rPr>
          <w:sz w:val="24"/>
          <w:szCs w:val="24"/>
          <w:highlight w:val="none"/>
        </w:rPr>
        <w:t>23．合同修改</w:t>
      </w:r>
    </w:p>
    <w:p w14:paraId="39FAEA11">
      <w:pPr>
        <w:adjustRightInd w:val="0"/>
        <w:snapToGrid w:val="0"/>
        <w:spacing w:line="360" w:lineRule="auto"/>
        <w:ind w:firstLine="480" w:firstLineChars="200"/>
        <w:rPr>
          <w:sz w:val="24"/>
          <w:highlight w:val="none"/>
        </w:rPr>
      </w:pPr>
      <w:r>
        <w:rPr>
          <w:sz w:val="24"/>
          <w:highlight w:val="none"/>
        </w:rPr>
        <w:t>23.1除了合同条款第22条的规定外，任何对合同条件的变更或修改均须双方签订书面的修改书。</w:t>
      </w:r>
    </w:p>
    <w:p w14:paraId="1430A230">
      <w:pPr>
        <w:adjustRightInd w:val="0"/>
        <w:snapToGrid w:val="0"/>
        <w:spacing w:before="240"/>
        <w:ind w:left="2" w:right="210"/>
        <w:rPr>
          <w:sz w:val="24"/>
          <w:szCs w:val="24"/>
          <w:highlight w:val="none"/>
        </w:rPr>
      </w:pPr>
      <w:r>
        <w:rPr>
          <w:sz w:val="24"/>
          <w:szCs w:val="24"/>
          <w:highlight w:val="none"/>
        </w:rPr>
        <w:t>24．转  让</w:t>
      </w:r>
    </w:p>
    <w:p w14:paraId="4E05D610">
      <w:pPr>
        <w:adjustRightInd w:val="0"/>
        <w:snapToGrid w:val="0"/>
        <w:spacing w:line="360" w:lineRule="auto"/>
        <w:ind w:firstLine="480" w:firstLineChars="200"/>
        <w:rPr>
          <w:sz w:val="24"/>
          <w:highlight w:val="none"/>
        </w:rPr>
      </w:pPr>
      <w:r>
        <w:rPr>
          <w:sz w:val="24"/>
          <w:highlight w:val="none"/>
        </w:rPr>
        <w:t>24.1 本合同不允许转让。</w:t>
      </w:r>
    </w:p>
    <w:p w14:paraId="18DAD989">
      <w:pPr>
        <w:adjustRightInd w:val="0"/>
        <w:snapToGrid w:val="0"/>
        <w:spacing w:before="240"/>
        <w:ind w:left="2" w:right="210"/>
        <w:rPr>
          <w:sz w:val="24"/>
          <w:szCs w:val="24"/>
          <w:highlight w:val="none"/>
        </w:rPr>
      </w:pPr>
      <w:r>
        <w:rPr>
          <w:sz w:val="24"/>
          <w:szCs w:val="24"/>
          <w:highlight w:val="none"/>
        </w:rPr>
        <w:t>25．分  包</w:t>
      </w:r>
    </w:p>
    <w:p w14:paraId="72F197FA">
      <w:pPr>
        <w:adjustRightInd w:val="0"/>
        <w:snapToGrid w:val="0"/>
        <w:spacing w:line="360" w:lineRule="auto"/>
        <w:ind w:firstLine="480" w:firstLineChars="200"/>
        <w:rPr>
          <w:sz w:val="24"/>
          <w:highlight w:val="none"/>
        </w:rPr>
      </w:pPr>
      <w:r>
        <w:rPr>
          <w:sz w:val="24"/>
          <w:highlight w:val="none"/>
        </w:rPr>
        <w:t>25.1本合同不允许分包。</w:t>
      </w:r>
    </w:p>
    <w:p w14:paraId="6F18DFD1">
      <w:pPr>
        <w:adjustRightInd w:val="0"/>
        <w:snapToGrid w:val="0"/>
        <w:spacing w:before="240"/>
        <w:ind w:left="2" w:right="210"/>
        <w:rPr>
          <w:sz w:val="24"/>
          <w:szCs w:val="24"/>
          <w:highlight w:val="none"/>
        </w:rPr>
      </w:pPr>
      <w:r>
        <w:rPr>
          <w:sz w:val="24"/>
          <w:szCs w:val="24"/>
          <w:highlight w:val="none"/>
        </w:rPr>
        <w:t>26．卖方履约延误</w:t>
      </w:r>
    </w:p>
    <w:p w14:paraId="54F797D7">
      <w:pPr>
        <w:adjustRightInd w:val="0"/>
        <w:snapToGrid w:val="0"/>
        <w:spacing w:line="360" w:lineRule="auto"/>
        <w:ind w:left="719" w:leftChars="228" w:hanging="240" w:hangingChars="100"/>
        <w:rPr>
          <w:sz w:val="24"/>
          <w:highlight w:val="none"/>
        </w:rPr>
      </w:pPr>
      <w:r>
        <w:rPr>
          <w:sz w:val="24"/>
          <w:highlight w:val="none"/>
        </w:rPr>
        <w:t>26.1卖方应按照合同附件中买方规定的时间表交货和提供服务。</w:t>
      </w:r>
    </w:p>
    <w:p w14:paraId="52801555">
      <w:pPr>
        <w:tabs>
          <w:tab w:val="left" w:pos="885"/>
        </w:tabs>
        <w:adjustRightInd w:val="0"/>
        <w:snapToGrid w:val="0"/>
        <w:spacing w:line="360" w:lineRule="auto"/>
        <w:ind w:firstLine="480" w:firstLineChars="200"/>
        <w:rPr>
          <w:sz w:val="24"/>
          <w:highlight w:val="none"/>
        </w:rPr>
      </w:pPr>
      <w:r>
        <w:rPr>
          <w:sz w:val="24"/>
          <w:highlight w:val="none"/>
        </w:rPr>
        <w:t>26.2履行合同过程中，如果卖方及其分包人遇到妨碍按时交货和提供服务的情况时，应及时以书面形式将拖延的事实、可能拖延的时间和原因通知买方。买方在收到卖方通知后，应尽快对情况进行评价，并确定是否酌情延长交货时间和提供服务以及是否收取误期赔偿费。延期应通过修改合同的方式由双方认可。</w:t>
      </w:r>
    </w:p>
    <w:p w14:paraId="453CB2EC">
      <w:pPr>
        <w:adjustRightInd w:val="0"/>
        <w:snapToGrid w:val="0"/>
        <w:spacing w:line="360" w:lineRule="auto"/>
        <w:ind w:firstLine="480" w:firstLineChars="200"/>
        <w:rPr>
          <w:sz w:val="24"/>
          <w:highlight w:val="none"/>
        </w:rPr>
      </w:pPr>
      <w:r>
        <w:rPr>
          <w:sz w:val="24"/>
          <w:highlight w:val="none"/>
        </w:rPr>
        <w:t>26.3除了合同条款第29条的情况外，除非延期是根据合同条款第26.2条的规定取得同意而不收取误期赔偿费之外，卖方拖延交货和提供服务，将按合同条款第27条的规定被收取误期赔偿费。</w:t>
      </w:r>
    </w:p>
    <w:p w14:paraId="7AA2B362">
      <w:pPr>
        <w:adjustRightInd w:val="0"/>
        <w:snapToGrid w:val="0"/>
        <w:spacing w:before="240"/>
        <w:ind w:left="2" w:right="210"/>
        <w:rPr>
          <w:sz w:val="24"/>
          <w:szCs w:val="24"/>
          <w:highlight w:val="none"/>
        </w:rPr>
      </w:pPr>
      <w:r>
        <w:rPr>
          <w:sz w:val="24"/>
          <w:szCs w:val="24"/>
          <w:highlight w:val="none"/>
        </w:rPr>
        <w:t>27. 误期赔偿费</w:t>
      </w:r>
    </w:p>
    <w:p w14:paraId="3B961BE3">
      <w:pPr>
        <w:adjustRightInd w:val="0"/>
        <w:snapToGrid w:val="0"/>
        <w:spacing w:line="360" w:lineRule="auto"/>
        <w:ind w:firstLine="480" w:firstLineChars="200"/>
        <w:rPr>
          <w:sz w:val="24"/>
          <w:highlight w:val="none"/>
        </w:rPr>
      </w:pPr>
      <w:r>
        <w:rPr>
          <w:sz w:val="24"/>
          <w:highlight w:val="none"/>
        </w:rPr>
        <w:t xml:space="preserve">27.1除合同条款第29条规定的情况外，如果卖方没有按照合同规定的时间交货和提供服务，买方应在不影响合同项下的其他补救措施的情况下，从合同价中扣除误期赔偿费。每延误七天的赔偿费按迟交货物交货价或未提供服务的服务费用的百分之一(1％)计收，不足七天按七天计算。直至交货或提供服务为止。 </w:t>
      </w:r>
    </w:p>
    <w:p w14:paraId="69EF4023">
      <w:pPr>
        <w:adjustRightInd w:val="0"/>
        <w:snapToGrid w:val="0"/>
        <w:spacing w:before="240"/>
        <w:ind w:left="2" w:right="210"/>
        <w:rPr>
          <w:sz w:val="24"/>
          <w:szCs w:val="24"/>
          <w:highlight w:val="none"/>
        </w:rPr>
      </w:pPr>
      <w:r>
        <w:rPr>
          <w:sz w:val="24"/>
          <w:szCs w:val="24"/>
          <w:highlight w:val="none"/>
        </w:rPr>
        <w:t>28．违约终止合同</w:t>
      </w:r>
    </w:p>
    <w:p w14:paraId="31E31E11">
      <w:pPr>
        <w:adjustRightInd w:val="0"/>
        <w:snapToGrid w:val="0"/>
        <w:spacing w:line="360" w:lineRule="auto"/>
        <w:ind w:firstLine="480" w:firstLineChars="200"/>
        <w:rPr>
          <w:sz w:val="24"/>
          <w:highlight w:val="none"/>
        </w:rPr>
      </w:pPr>
      <w:r>
        <w:rPr>
          <w:sz w:val="24"/>
          <w:highlight w:val="none"/>
        </w:rPr>
        <w:t>28.1 在买方对卖方违约而采取的任何补救措施不受影响的情况下，买方可向卖方发出书面违约通知书，提出终止部分或全部合同：</w:t>
      </w:r>
    </w:p>
    <w:p w14:paraId="0FD31695">
      <w:pPr>
        <w:adjustRightInd w:val="0"/>
        <w:snapToGrid w:val="0"/>
        <w:spacing w:line="360" w:lineRule="auto"/>
        <w:ind w:firstLine="480" w:firstLineChars="200"/>
        <w:rPr>
          <w:sz w:val="24"/>
          <w:highlight w:val="none"/>
        </w:rPr>
      </w:pPr>
      <w:r>
        <w:rPr>
          <w:sz w:val="24"/>
          <w:highlight w:val="none"/>
        </w:rPr>
        <w:t>（1）如果卖方未能在合同规定的限期或买方根据合同条款第26条的规定同意延长的限期内提供部分或全部货物和或服务；</w:t>
      </w:r>
    </w:p>
    <w:p w14:paraId="43B18442">
      <w:pPr>
        <w:adjustRightInd w:val="0"/>
        <w:snapToGrid w:val="0"/>
        <w:spacing w:line="360" w:lineRule="auto"/>
        <w:ind w:left="1260" w:hanging="1260"/>
        <w:rPr>
          <w:sz w:val="24"/>
          <w:highlight w:val="none"/>
        </w:rPr>
      </w:pPr>
      <w:r>
        <w:rPr>
          <w:sz w:val="24"/>
          <w:highlight w:val="none"/>
        </w:rPr>
        <w:t xml:space="preserve">    （2）如果卖方未能履行合同规定的其它任何义务。</w:t>
      </w:r>
    </w:p>
    <w:p w14:paraId="4DA8F19C">
      <w:pPr>
        <w:adjustRightInd w:val="0"/>
        <w:snapToGrid w:val="0"/>
        <w:spacing w:line="360" w:lineRule="auto"/>
        <w:ind w:firstLine="480" w:firstLineChars="200"/>
        <w:rPr>
          <w:sz w:val="24"/>
          <w:highlight w:val="none"/>
        </w:rPr>
      </w:pPr>
      <w:r>
        <w:rPr>
          <w:sz w:val="24"/>
          <w:highlight w:val="none"/>
        </w:rPr>
        <w:t>（3）如果买方认为卖方在本合同的竞争和实施过程中有腐败和欺诈行为。为此目的，定义下述条件：</w:t>
      </w:r>
    </w:p>
    <w:p w14:paraId="0DA0A1C9">
      <w:pPr>
        <w:adjustRightInd w:val="0"/>
        <w:snapToGrid w:val="0"/>
        <w:spacing w:line="360" w:lineRule="auto"/>
        <w:ind w:firstLine="480" w:firstLineChars="200"/>
        <w:rPr>
          <w:sz w:val="24"/>
          <w:highlight w:val="none"/>
        </w:rPr>
      </w:pPr>
      <w:r>
        <w:rPr>
          <w:sz w:val="24"/>
          <w:highlight w:val="none"/>
        </w:rPr>
        <w:t>(i)“腐败行为”是指提供、给予、接受或索取任何有价值的物品来影响公共官员在采购过程或合同实施过程中的行为；</w:t>
      </w:r>
    </w:p>
    <w:p w14:paraId="53925417">
      <w:pPr>
        <w:adjustRightInd w:val="0"/>
        <w:snapToGrid w:val="0"/>
        <w:spacing w:line="360" w:lineRule="auto"/>
        <w:ind w:firstLine="480" w:firstLineChars="200"/>
        <w:rPr>
          <w:sz w:val="24"/>
          <w:highlight w:val="none"/>
        </w:rPr>
      </w:pPr>
      <w:r>
        <w:rPr>
          <w:sz w:val="24"/>
          <w:highlight w:val="none"/>
        </w:rPr>
        <w:t>(ii)“欺诈行为”是指为了影响采购过程或合同实施过程而谎报事实，损害买方的利益。</w:t>
      </w:r>
    </w:p>
    <w:p w14:paraId="46BC3850">
      <w:pPr>
        <w:adjustRightInd w:val="0"/>
        <w:snapToGrid w:val="0"/>
        <w:spacing w:line="360" w:lineRule="auto"/>
        <w:ind w:firstLine="480" w:firstLineChars="200"/>
        <w:rPr>
          <w:sz w:val="24"/>
          <w:highlight w:val="none"/>
        </w:rPr>
      </w:pPr>
      <w:r>
        <w:rPr>
          <w:sz w:val="24"/>
          <w:highlight w:val="none"/>
        </w:rPr>
        <w:t>28.2 如果买方根据上述第28.1条的规定，终止了全部或部分合同，买方可以依其认为适当的条件和方法购买与未交货物/服务或类似的货物/服务，卖方应对购买类似货物/服务所超出的那部分费用负责。但是，卖方应继续执行合同中未终止的部分。</w:t>
      </w:r>
    </w:p>
    <w:p w14:paraId="2F0FDFCE">
      <w:pPr>
        <w:adjustRightInd w:val="0"/>
        <w:snapToGrid w:val="0"/>
        <w:spacing w:before="240"/>
        <w:ind w:left="2" w:right="210"/>
        <w:rPr>
          <w:sz w:val="24"/>
          <w:szCs w:val="24"/>
          <w:highlight w:val="none"/>
        </w:rPr>
      </w:pPr>
      <w:r>
        <w:rPr>
          <w:sz w:val="24"/>
          <w:szCs w:val="24"/>
          <w:highlight w:val="none"/>
        </w:rPr>
        <w:t>29.不可抗力</w:t>
      </w:r>
    </w:p>
    <w:p w14:paraId="633F1F09">
      <w:pPr>
        <w:adjustRightInd w:val="0"/>
        <w:snapToGrid w:val="0"/>
        <w:spacing w:line="360" w:lineRule="auto"/>
        <w:ind w:firstLine="480" w:firstLineChars="200"/>
        <w:rPr>
          <w:sz w:val="24"/>
          <w:highlight w:val="none"/>
        </w:rPr>
      </w:pPr>
      <w:r>
        <w:rPr>
          <w:sz w:val="24"/>
          <w:highlight w:val="none"/>
        </w:rPr>
        <w:t>29.1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p>
    <w:p w14:paraId="0CA7EAC6">
      <w:pPr>
        <w:adjustRightInd w:val="0"/>
        <w:snapToGrid w:val="0"/>
        <w:spacing w:line="360" w:lineRule="auto"/>
        <w:ind w:firstLine="480" w:firstLineChars="200"/>
        <w:rPr>
          <w:b/>
          <w:bCs/>
          <w:sz w:val="24"/>
          <w:highlight w:val="none"/>
        </w:rPr>
      </w:pPr>
      <w:r>
        <w:rPr>
          <w:sz w:val="24"/>
          <w:highlight w:val="none"/>
        </w:rPr>
        <w:t>29.2 受阻一方应在不可抗力事件发生后尽快用电报、传真或电传通知对方，并于事件发生后14天内将有关当局出具的证明文件用特快专递或挂号信寄给对方审阅确认。一旦不可抗力事件的影响持续120天以上，双方应通过友好协商在合理的时间内达成进一步履行合同的协议，买方也可考虑解除合同。</w:t>
      </w:r>
    </w:p>
    <w:p w14:paraId="16631022">
      <w:pPr>
        <w:adjustRightInd w:val="0"/>
        <w:snapToGrid w:val="0"/>
        <w:spacing w:before="240"/>
        <w:ind w:left="2" w:right="210"/>
        <w:rPr>
          <w:sz w:val="24"/>
          <w:szCs w:val="24"/>
          <w:highlight w:val="none"/>
        </w:rPr>
      </w:pPr>
      <w:r>
        <w:rPr>
          <w:sz w:val="24"/>
          <w:szCs w:val="24"/>
          <w:highlight w:val="none"/>
        </w:rPr>
        <w:t>30. 因破产而终止合同</w:t>
      </w:r>
    </w:p>
    <w:p w14:paraId="105BEC7A">
      <w:pPr>
        <w:adjustRightInd w:val="0"/>
        <w:snapToGrid w:val="0"/>
        <w:spacing w:line="360" w:lineRule="auto"/>
        <w:ind w:firstLine="480" w:firstLineChars="200"/>
        <w:rPr>
          <w:sz w:val="24"/>
          <w:highlight w:val="none"/>
        </w:rPr>
      </w:pPr>
      <w:r>
        <w:rPr>
          <w:sz w:val="24"/>
          <w:highlight w:val="none"/>
        </w:rPr>
        <w:t xml:space="preserve">30.1如果卖方破产或无清偿能力，买方可在任何时候以书面形式通知卖方，提出终止合同而不给卖方补偿。该终止合同将不损害或影响买方已经采取或将要采取的任何行动或补救措施的权力。  </w:t>
      </w:r>
    </w:p>
    <w:p w14:paraId="6A97885E">
      <w:pPr>
        <w:adjustRightInd w:val="0"/>
        <w:snapToGrid w:val="0"/>
        <w:spacing w:before="240"/>
        <w:ind w:left="2" w:right="210"/>
        <w:rPr>
          <w:sz w:val="24"/>
          <w:szCs w:val="24"/>
          <w:highlight w:val="none"/>
        </w:rPr>
      </w:pPr>
      <w:r>
        <w:rPr>
          <w:sz w:val="24"/>
          <w:szCs w:val="24"/>
          <w:highlight w:val="none"/>
        </w:rPr>
        <w:t>31. 因买方的便利而终止合同</w:t>
      </w:r>
    </w:p>
    <w:p w14:paraId="62650B9A">
      <w:pPr>
        <w:adjustRightInd w:val="0"/>
        <w:snapToGrid w:val="0"/>
        <w:spacing w:line="360" w:lineRule="auto"/>
        <w:ind w:firstLine="480" w:firstLineChars="200"/>
        <w:rPr>
          <w:sz w:val="24"/>
          <w:highlight w:val="none"/>
        </w:rPr>
      </w:pPr>
      <w:r>
        <w:rPr>
          <w:sz w:val="24"/>
          <w:highlight w:val="none"/>
        </w:rPr>
        <w:t>31.1 买方可在任何时候出于自身的便利向卖方发出书面通知全部或部分终止合同，终止通知应明确该终止合同是出于买方的便利，合同终止的程度，以及终止的生效日期。</w:t>
      </w:r>
    </w:p>
    <w:p w14:paraId="7DABE3E8">
      <w:pPr>
        <w:adjustRightInd w:val="0"/>
        <w:snapToGrid w:val="0"/>
        <w:spacing w:line="360" w:lineRule="auto"/>
        <w:ind w:firstLine="480" w:firstLineChars="200"/>
        <w:rPr>
          <w:sz w:val="24"/>
          <w:highlight w:val="none"/>
        </w:rPr>
      </w:pPr>
      <w:r>
        <w:rPr>
          <w:sz w:val="24"/>
          <w:highlight w:val="none"/>
        </w:rPr>
        <w:t>31.2对卖方在收到终止通知后三十(30)天内已完成并准备装运的货物，买方应按原合同价格和条款予以接收，对于剩下的货物，买方可：</w:t>
      </w:r>
    </w:p>
    <w:p w14:paraId="51E70801">
      <w:pPr>
        <w:adjustRightInd w:val="0"/>
        <w:snapToGrid w:val="0"/>
        <w:spacing w:line="360" w:lineRule="auto"/>
        <w:rPr>
          <w:sz w:val="24"/>
          <w:highlight w:val="none"/>
        </w:rPr>
      </w:pPr>
      <w:r>
        <w:rPr>
          <w:sz w:val="24"/>
          <w:highlight w:val="none"/>
        </w:rPr>
        <w:t>（1）让任一部分按照原来的合同价格和条款来完成和交货；和／或</w:t>
      </w:r>
    </w:p>
    <w:p w14:paraId="6D0ECB99">
      <w:pPr>
        <w:adjustRightInd w:val="0"/>
        <w:snapToGrid w:val="0"/>
        <w:spacing w:line="360" w:lineRule="auto"/>
        <w:rPr>
          <w:sz w:val="24"/>
          <w:highlight w:val="none"/>
        </w:rPr>
      </w:pPr>
      <w:r>
        <w:rPr>
          <w:sz w:val="24"/>
          <w:highlight w:val="none"/>
        </w:rPr>
        <w:t>（2）取消该剩下的货物，并按双方商定的金额向卖方支付部分完成的货物和服务以及卖方以前已采购的材料和部件的费用。</w:t>
      </w:r>
    </w:p>
    <w:p w14:paraId="76AC33F8">
      <w:pPr>
        <w:adjustRightInd w:val="0"/>
        <w:snapToGrid w:val="0"/>
        <w:spacing w:before="240"/>
        <w:ind w:left="2" w:right="210"/>
        <w:rPr>
          <w:sz w:val="24"/>
          <w:szCs w:val="24"/>
          <w:highlight w:val="none"/>
        </w:rPr>
      </w:pPr>
      <w:r>
        <w:rPr>
          <w:sz w:val="24"/>
          <w:szCs w:val="24"/>
          <w:highlight w:val="none"/>
        </w:rPr>
        <w:t>32.争端的解决</w:t>
      </w:r>
    </w:p>
    <w:p w14:paraId="40E002AA">
      <w:pPr>
        <w:adjustRightInd w:val="0"/>
        <w:snapToGrid w:val="0"/>
        <w:spacing w:line="360" w:lineRule="auto"/>
        <w:ind w:firstLine="480" w:firstLineChars="200"/>
        <w:rPr>
          <w:sz w:val="24"/>
          <w:highlight w:val="none"/>
        </w:rPr>
      </w:pPr>
      <w:r>
        <w:rPr>
          <w:sz w:val="24"/>
          <w:highlight w:val="none"/>
        </w:rPr>
        <w:t>合同实施或与合同有关的一切争端应通过双方友好协商解决。如果友好协商开始后60天还不能解决：</w:t>
      </w:r>
    </w:p>
    <w:p w14:paraId="7970444B">
      <w:pPr>
        <w:adjustRightInd w:val="0"/>
        <w:snapToGrid w:val="0"/>
        <w:spacing w:line="360" w:lineRule="auto"/>
        <w:ind w:firstLine="480" w:firstLineChars="200"/>
        <w:rPr>
          <w:sz w:val="24"/>
          <w:highlight w:val="none"/>
        </w:rPr>
      </w:pPr>
      <w:r>
        <w:rPr>
          <w:sz w:val="24"/>
          <w:highlight w:val="none"/>
        </w:rPr>
        <w:t>32.1国内贸易合同履行过程中如有争议，双方应先友好协商，经协商不成的，则向有管辖权的人民法院提起诉讼。</w:t>
      </w:r>
    </w:p>
    <w:p w14:paraId="74039115">
      <w:pPr>
        <w:adjustRightInd w:val="0"/>
        <w:snapToGrid w:val="0"/>
        <w:spacing w:line="360" w:lineRule="auto"/>
        <w:ind w:firstLine="480" w:firstLineChars="200"/>
        <w:rPr>
          <w:sz w:val="24"/>
          <w:highlight w:val="none"/>
        </w:rPr>
      </w:pPr>
      <w:r>
        <w:rPr>
          <w:sz w:val="24"/>
          <w:highlight w:val="none"/>
        </w:rPr>
        <w:t>32.2 国外贸易合同履行过程中如有争议，应提交仲裁。</w:t>
      </w:r>
    </w:p>
    <w:p w14:paraId="0123D4C9">
      <w:pPr>
        <w:adjustRightInd w:val="0"/>
        <w:snapToGrid w:val="0"/>
        <w:spacing w:line="360" w:lineRule="auto"/>
        <w:ind w:firstLine="480" w:firstLineChars="200"/>
        <w:rPr>
          <w:sz w:val="24"/>
          <w:highlight w:val="none"/>
        </w:rPr>
      </w:pPr>
      <w:r>
        <w:rPr>
          <w:sz w:val="24"/>
          <w:highlight w:val="none"/>
        </w:rPr>
        <w:t>32.2.1仲裁应由中国国际经济贸易仲裁委员会按其仲裁规则和程序在中国境内进行。</w:t>
      </w:r>
    </w:p>
    <w:p w14:paraId="191D0DBF">
      <w:pPr>
        <w:adjustRightInd w:val="0"/>
        <w:snapToGrid w:val="0"/>
        <w:spacing w:line="360" w:lineRule="auto"/>
        <w:ind w:firstLine="480" w:firstLineChars="200"/>
        <w:rPr>
          <w:sz w:val="24"/>
          <w:highlight w:val="none"/>
        </w:rPr>
      </w:pPr>
      <w:r>
        <w:rPr>
          <w:sz w:val="24"/>
          <w:highlight w:val="none"/>
        </w:rPr>
        <w:t>32.2.2仲裁裁决应为最终裁决，对双方均具有约束力。</w:t>
      </w:r>
    </w:p>
    <w:p w14:paraId="6DEEBC14">
      <w:pPr>
        <w:adjustRightInd w:val="0"/>
        <w:snapToGrid w:val="0"/>
        <w:spacing w:line="360" w:lineRule="auto"/>
        <w:ind w:firstLine="480" w:firstLineChars="200"/>
        <w:rPr>
          <w:sz w:val="24"/>
          <w:highlight w:val="none"/>
        </w:rPr>
      </w:pPr>
      <w:r>
        <w:rPr>
          <w:sz w:val="24"/>
          <w:highlight w:val="none"/>
        </w:rPr>
        <w:t>32.2.3仲裁费除仲裁机关另有裁决外均应由败诉方负担。</w:t>
      </w:r>
    </w:p>
    <w:p w14:paraId="3D698C98">
      <w:pPr>
        <w:adjustRightInd w:val="0"/>
        <w:snapToGrid w:val="0"/>
        <w:spacing w:line="360" w:lineRule="auto"/>
        <w:ind w:firstLine="480" w:firstLineChars="200"/>
        <w:rPr>
          <w:sz w:val="24"/>
          <w:highlight w:val="none"/>
        </w:rPr>
      </w:pPr>
      <w:r>
        <w:rPr>
          <w:sz w:val="24"/>
          <w:highlight w:val="none"/>
        </w:rPr>
        <w:t>32.2.4在仲裁期间，除正在进行仲裁的部分外，本合同其它部分应继续执行。</w:t>
      </w:r>
    </w:p>
    <w:p w14:paraId="17316986">
      <w:pPr>
        <w:adjustRightInd w:val="0"/>
        <w:snapToGrid w:val="0"/>
        <w:spacing w:before="240"/>
        <w:ind w:left="2" w:right="210"/>
        <w:rPr>
          <w:sz w:val="24"/>
          <w:szCs w:val="24"/>
          <w:highlight w:val="none"/>
        </w:rPr>
      </w:pPr>
      <w:r>
        <w:rPr>
          <w:sz w:val="24"/>
          <w:szCs w:val="24"/>
          <w:highlight w:val="none"/>
        </w:rPr>
        <w:t>33. 合同语言</w:t>
      </w:r>
    </w:p>
    <w:p w14:paraId="2C97F65F">
      <w:pPr>
        <w:adjustRightInd w:val="0"/>
        <w:snapToGrid w:val="0"/>
        <w:spacing w:line="360" w:lineRule="auto"/>
        <w:ind w:firstLine="480" w:firstLineChars="200"/>
        <w:rPr>
          <w:sz w:val="24"/>
          <w:highlight w:val="none"/>
        </w:rPr>
      </w:pPr>
      <w:r>
        <w:rPr>
          <w:sz w:val="24"/>
          <w:highlight w:val="none"/>
        </w:rPr>
        <w:t>33.1除非双方另行同意，本合同语言为中文。双方交换的与合同有关的信件和其他文件应用合同语言书写。</w:t>
      </w:r>
    </w:p>
    <w:p w14:paraId="1CC9F531">
      <w:pPr>
        <w:adjustRightInd w:val="0"/>
        <w:snapToGrid w:val="0"/>
        <w:spacing w:before="240"/>
        <w:ind w:left="2" w:right="210"/>
        <w:rPr>
          <w:sz w:val="24"/>
          <w:szCs w:val="24"/>
          <w:highlight w:val="none"/>
        </w:rPr>
      </w:pPr>
      <w:r>
        <w:rPr>
          <w:sz w:val="24"/>
          <w:szCs w:val="24"/>
          <w:highlight w:val="none"/>
        </w:rPr>
        <w:t>34. 适用法律</w:t>
      </w:r>
    </w:p>
    <w:p w14:paraId="12F6E5F7">
      <w:pPr>
        <w:adjustRightInd w:val="0"/>
        <w:snapToGrid w:val="0"/>
        <w:spacing w:line="360" w:lineRule="auto"/>
        <w:ind w:left="719" w:leftChars="228" w:hanging="240" w:hangingChars="100"/>
        <w:rPr>
          <w:sz w:val="24"/>
          <w:highlight w:val="none"/>
        </w:rPr>
      </w:pPr>
      <w:r>
        <w:rPr>
          <w:sz w:val="24"/>
          <w:highlight w:val="none"/>
        </w:rPr>
        <w:t>34.1本合同应按照中华人民共和国的现行法律进行解释。</w:t>
      </w:r>
    </w:p>
    <w:p w14:paraId="15D3A694">
      <w:pPr>
        <w:adjustRightInd w:val="0"/>
        <w:snapToGrid w:val="0"/>
        <w:spacing w:before="240"/>
        <w:ind w:left="2" w:right="210"/>
        <w:rPr>
          <w:sz w:val="24"/>
          <w:szCs w:val="24"/>
          <w:highlight w:val="none"/>
        </w:rPr>
      </w:pPr>
      <w:r>
        <w:rPr>
          <w:sz w:val="24"/>
          <w:szCs w:val="24"/>
          <w:highlight w:val="none"/>
        </w:rPr>
        <w:t>35. 通   知</w:t>
      </w:r>
    </w:p>
    <w:p w14:paraId="23B545CE">
      <w:pPr>
        <w:tabs>
          <w:tab w:val="left" w:pos="735"/>
        </w:tabs>
        <w:adjustRightInd w:val="0"/>
        <w:snapToGrid w:val="0"/>
        <w:spacing w:line="360" w:lineRule="auto"/>
        <w:ind w:firstLine="480" w:firstLineChars="200"/>
        <w:rPr>
          <w:sz w:val="24"/>
          <w:highlight w:val="none"/>
        </w:rPr>
      </w:pPr>
      <w:r>
        <w:rPr>
          <w:sz w:val="24"/>
          <w:highlight w:val="none"/>
        </w:rPr>
        <w:t>35.1本合同一方给对方的通知应用书面形式或电报、要对方经书面确认。</w:t>
      </w:r>
    </w:p>
    <w:p w14:paraId="29A8C1E4">
      <w:pPr>
        <w:adjustRightInd w:val="0"/>
        <w:snapToGrid w:val="0"/>
        <w:spacing w:line="360" w:lineRule="auto"/>
        <w:ind w:firstLine="480" w:firstLineChars="200"/>
        <w:rPr>
          <w:sz w:val="24"/>
          <w:highlight w:val="none"/>
        </w:rPr>
      </w:pPr>
      <w:r>
        <w:rPr>
          <w:sz w:val="24"/>
          <w:highlight w:val="none"/>
        </w:rPr>
        <w:t>35.2通知以送到日期或通知书的生效日期为生效日期，两者中以晚的一个日期为准。</w:t>
      </w:r>
    </w:p>
    <w:p w14:paraId="021AA3DC">
      <w:pPr>
        <w:adjustRightInd w:val="0"/>
        <w:snapToGrid w:val="0"/>
        <w:spacing w:before="240"/>
        <w:ind w:left="2" w:right="210"/>
        <w:rPr>
          <w:sz w:val="24"/>
          <w:szCs w:val="24"/>
          <w:highlight w:val="none"/>
        </w:rPr>
      </w:pPr>
      <w:r>
        <w:rPr>
          <w:sz w:val="24"/>
          <w:szCs w:val="24"/>
          <w:highlight w:val="none"/>
        </w:rPr>
        <w:t>36. 税   费</w:t>
      </w:r>
    </w:p>
    <w:p w14:paraId="57C0CA60">
      <w:pPr>
        <w:adjustRightInd w:val="0"/>
        <w:snapToGrid w:val="0"/>
        <w:spacing w:line="360" w:lineRule="auto"/>
        <w:ind w:firstLine="480" w:firstLineChars="200"/>
        <w:rPr>
          <w:sz w:val="24"/>
          <w:highlight w:val="none"/>
        </w:rPr>
      </w:pPr>
      <w:r>
        <w:rPr>
          <w:sz w:val="24"/>
          <w:highlight w:val="none"/>
        </w:rPr>
        <w:t>36.1中国政府根据现行税法对卖方征收的与本合同有关的一切税费均应由卖方负担。</w:t>
      </w:r>
    </w:p>
    <w:p w14:paraId="269B108F">
      <w:pPr>
        <w:adjustRightInd w:val="0"/>
        <w:snapToGrid w:val="0"/>
        <w:spacing w:line="360" w:lineRule="auto"/>
        <w:ind w:firstLine="480" w:firstLineChars="200"/>
        <w:rPr>
          <w:sz w:val="24"/>
          <w:highlight w:val="none"/>
        </w:rPr>
      </w:pPr>
      <w:r>
        <w:rPr>
          <w:sz w:val="24"/>
          <w:highlight w:val="none"/>
        </w:rPr>
        <w:t>36.2中国政府根据现行税法对买方征收的与本合同有关的一切税费均应由买方负担（合同中已规定由卖方支付的税费除外）。</w:t>
      </w:r>
    </w:p>
    <w:p w14:paraId="358D4831">
      <w:pPr>
        <w:adjustRightInd w:val="0"/>
        <w:snapToGrid w:val="0"/>
        <w:spacing w:line="360" w:lineRule="auto"/>
        <w:ind w:firstLine="480" w:firstLineChars="200"/>
        <w:rPr>
          <w:sz w:val="24"/>
          <w:highlight w:val="none"/>
        </w:rPr>
      </w:pPr>
      <w:r>
        <w:rPr>
          <w:sz w:val="24"/>
          <w:highlight w:val="none"/>
        </w:rPr>
        <w:t>36.3在中国境外发生的与本合同执行有关的一切税费均应由卖方负担。</w:t>
      </w:r>
    </w:p>
    <w:p w14:paraId="6BF2F149">
      <w:pPr>
        <w:adjustRightInd w:val="0"/>
        <w:snapToGrid w:val="0"/>
        <w:spacing w:before="240"/>
        <w:ind w:left="2" w:right="210"/>
        <w:rPr>
          <w:sz w:val="24"/>
          <w:szCs w:val="24"/>
          <w:highlight w:val="none"/>
        </w:rPr>
      </w:pPr>
      <w:r>
        <w:rPr>
          <w:sz w:val="24"/>
          <w:szCs w:val="24"/>
          <w:highlight w:val="none"/>
        </w:rPr>
        <w:t>37. 合同生效及其他</w:t>
      </w:r>
    </w:p>
    <w:p w14:paraId="0931CD19">
      <w:pPr>
        <w:adjustRightInd w:val="0"/>
        <w:snapToGrid w:val="0"/>
        <w:spacing w:line="360" w:lineRule="auto"/>
        <w:ind w:left="719" w:leftChars="228" w:hanging="240" w:hangingChars="100"/>
        <w:rPr>
          <w:sz w:val="24"/>
          <w:highlight w:val="none"/>
        </w:rPr>
      </w:pPr>
      <w:r>
        <w:rPr>
          <w:sz w:val="24"/>
          <w:highlight w:val="none"/>
        </w:rPr>
        <w:t>37.1本合同应在双方签字和买方收到卖方提交的履约保证金后生效。</w:t>
      </w:r>
    </w:p>
    <w:p w14:paraId="5A6869AF">
      <w:pPr>
        <w:adjustRightInd w:val="0"/>
        <w:snapToGrid w:val="0"/>
        <w:spacing w:line="360" w:lineRule="auto"/>
        <w:ind w:firstLine="480" w:firstLineChars="200"/>
        <w:rPr>
          <w:sz w:val="24"/>
          <w:highlight w:val="none"/>
        </w:rPr>
      </w:pPr>
      <w:r>
        <w:rPr>
          <w:sz w:val="24"/>
          <w:highlight w:val="none"/>
        </w:rPr>
        <w:t>37.2如果本合同的货物在进口时需要进口许可证的话，卖方负责办理进口许可证，费用自理。</w:t>
      </w:r>
    </w:p>
    <w:p w14:paraId="507EC381">
      <w:pPr>
        <w:adjustRightInd w:val="0"/>
        <w:snapToGrid w:val="0"/>
        <w:spacing w:line="360" w:lineRule="auto"/>
        <w:ind w:firstLine="480" w:firstLineChars="200"/>
        <w:rPr>
          <w:sz w:val="24"/>
          <w:highlight w:val="none"/>
        </w:rPr>
      </w:pPr>
      <w:r>
        <w:rPr>
          <w:sz w:val="24"/>
          <w:highlight w:val="none"/>
        </w:rPr>
        <w:t>37.3本合同一式X份，以中文书就，双方各执X份。</w:t>
      </w:r>
    </w:p>
    <w:p w14:paraId="0F8DB57B">
      <w:pPr>
        <w:adjustRightInd w:val="0"/>
        <w:snapToGrid w:val="0"/>
        <w:spacing w:line="360" w:lineRule="auto"/>
        <w:ind w:firstLine="480" w:firstLineChars="200"/>
        <w:rPr>
          <w:sz w:val="24"/>
          <w:highlight w:val="none"/>
        </w:rPr>
      </w:pPr>
      <w:r>
        <w:rPr>
          <w:sz w:val="24"/>
          <w:highlight w:val="none"/>
        </w:rPr>
        <w:t>37.4下述合同附件为本合同不可分割的部分并与本合同具有同等效力：</w:t>
      </w:r>
    </w:p>
    <w:p w14:paraId="710C5C6C">
      <w:pPr>
        <w:adjustRightInd w:val="0"/>
        <w:snapToGrid w:val="0"/>
        <w:spacing w:line="360" w:lineRule="auto"/>
        <w:ind w:firstLine="480" w:firstLineChars="200"/>
        <w:rPr>
          <w:sz w:val="24"/>
          <w:highlight w:val="none"/>
        </w:rPr>
      </w:pPr>
      <w:r>
        <w:rPr>
          <w:sz w:val="24"/>
          <w:highlight w:val="none"/>
        </w:rPr>
        <w:t>（1）合同范围及分项价格一览表（货物，培训，维修和技术支持）</w:t>
      </w:r>
    </w:p>
    <w:p w14:paraId="6EA983A9">
      <w:pPr>
        <w:adjustRightInd w:val="0"/>
        <w:snapToGrid w:val="0"/>
        <w:spacing w:line="360" w:lineRule="auto"/>
        <w:ind w:firstLine="480" w:firstLineChars="200"/>
        <w:rPr>
          <w:sz w:val="24"/>
          <w:highlight w:val="none"/>
        </w:rPr>
      </w:pPr>
      <w:r>
        <w:rPr>
          <w:sz w:val="24"/>
          <w:highlight w:val="none"/>
        </w:rPr>
        <w:t>（2）技术要求</w:t>
      </w:r>
    </w:p>
    <w:p w14:paraId="12285A3B">
      <w:pPr>
        <w:adjustRightInd w:val="0"/>
        <w:snapToGrid w:val="0"/>
        <w:spacing w:line="360" w:lineRule="auto"/>
        <w:ind w:firstLine="480" w:firstLineChars="200"/>
        <w:rPr>
          <w:sz w:val="24"/>
          <w:highlight w:val="none"/>
        </w:rPr>
      </w:pPr>
      <w:r>
        <w:rPr>
          <w:sz w:val="24"/>
          <w:highlight w:val="none"/>
        </w:rPr>
        <w:t>（3）合同实施计划</w:t>
      </w:r>
    </w:p>
    <w:p w14:paraId="49210C46">
      <w:pPr>
        <w:adjustRightInd w:val="0"/>
        <w:snapToGrid w:val="0"/>
        <w:spacing w:line="360" w:lineRule="auto"/>
        <w:ind w:firstLine="480" w:firstLineChars="200"/>
        <w:rPr>
          <w:sz w:val="24"/>
          <w:highlight w:val="none"/>
        </w:rPr>
      </w:pPr>
      <w:r>
        <w:rPr>
          <w:sz w:val="24"/>
          <w:highlight w:val="none"/>
        </w:rPr>
        <w:t>（4）履约保函</w:t>
      </w:r>
    </w:p>
    <w:p w14:paraId="54CDDCD5">
      <w:pPr>
        <w:adjustRightInd w:val="0"/>
        <w:snapToGrid w:val="0"/>
        <w:spacing w:line="360" w:lineRule="auto"/>
        <w:ind w:firstLine="480" w:firstLineChars="200"/>
        <w:rPr>
          <w:sz w:val="24"/>
          <w:highlight w:val="none"/>
        </w:rPr>
      </w:pPr>
      <w:r>
        <w:rPr>
          <w:sz w:val="24"/>
          <w:highlight w:val="none"/>
        </w:rPr>
        <w:t>（5）预付款保函</w:t>
      </w:r>
    </w:p>
    <w:p w14:paraId="158671FD">
      <w:pPr>
        <w:tabs>
          <w:tab w:val="left" w:pos="735"/>
        </w:tabs>
        <w:adjustRightInd w:val="0"/>
        <w:snapToGrid w:val="0"/>
        <w:spacing w:line="360" w:lineRule="auto"/>
        <w:ind w:firstLine="480" w:firstLineChars="200"/>
        <w:rPr>
          <w:sz w:val="24"/>
          <w:highlight w:val="none"/>
        </w:rPr>
      </w:pPr>
      <w:r>
        <w:rPr>
          <w:sz w:val="24"/>
          <w:highlight w:val="none"/>
        </w:rPr>
        <w:t>（6）付款计划</w:t>
      </w:r>
    </w:p>
    <w:p w14:paraId="1D25451C">
      <w:pPr>
        <w:tabs>
          <w:tab w:val="left" w:pos="735"/>
        </w:tabs>
        <w:spacing w:line="360" w:lineRule="auto"/>
        <w:ind w:firstLine="720"/>
        <w:rPr>
          <w:sz w:val="24"/>
          <w:highlight w:val="none"/>
        </w:rPr>
      </w:pPr>
    </w:p>
    <w:p w14:paraId="258CD54D">
      <w:pPr>
        <w:tabs>
          <w:tab w:val="left" w:pos="735"/>
        </w:tabs>
        <w:spacing w:line="360" w:lineRule="auto"/>
        <w:ind w:firstLine="720"/>
        <w:rPr>
          <w:sz w:val="24"/>
          <w:highlight w:val="none"/>
        </w:rPr>
      </w:pPr>
    </w:p>
    <w:p w14:paraId="42618793">
      <w:pPr>
        <w:tabs>
          <w:tab w:val="left" w:pos="735"/>
        </w:tabs>
        <w:spacing w:line="360" w:lineRule="auto"/>
        <w:ind w:firstLine="720"/>
        <w:rPr>
          <w:sz w:val="24"/>
          <w:highlight w:val="none"/>
        </w:rPr>
      </w:pPr>
    </w:p>
    <w:p w14:paraId="647C3A12">
      <w:pPr>
        <w:pStyle w:val="27"/>
        <w:rPr>
          <w:rFonts w:ascii="Times New Roman" w:hAnsi="Times New Roman"/>
          <w:highlight w:val="none"/>
        </w:rPr>
      </w:pPr>
      <w:r>
        <w:rPr>
          <w:rFonts w:ascii="Times New Roman" w:hAnsi="Times New Roman"/>
          <w:highlight w:val="none"/>
        </w:rPr>
        <w:br w:type="page"/>
      </w:r>
    </w:p>
    <w:p w14:paraId="13D2D61E">
      <w:pPr>
        <w:tabs>
          <w:tab w:val="left" w:pos="735"/>
        </w:tabs>
        <w:spacing w:line="360" w:lineRule="auto"/>
        <w:jc w:val="center"/>
        <w:rPr>
          <w:b/>
          <w:sz w:val="24"/>
          <w:highlight w:val="none"/>
        </w:rPr>
      </w:pPr>
      <w:r>
        <w:rPr>
          <w:b/>
          <w:sz w:val="24"/>
          <w:highlight w:val="none"/>
        </w:rPr>
        <w:t>合同特殊条款</w:t>
      </w:r>
    </w:p>
    <w:p w14:paraId="5DD4BCD0">
      <w:pPr>
        <w:pStyle w:val="27"/>
        <w:rPr>
          <w:rFonts w:ascii="Times New Roman" w:hAnsi="Times New Roman"/>
          <w:highlight w:val="none"/>
        </w:rPr>
      </w:pPr>
    </w:p>
    <w:p w14:paraId="4B6C3AC3">
      <w:pPr>
        <w:adjustRightInd w:val="0"/>
        <w:snapToGrid w:val="0"/>
        <w:spacing w:line="360" w:lineRule="auto"/>
        <w:ind w:firstLine="454"/>
        <w:rPr>
          <w:sz w:val="24"/>
          <w:highlight w:val="none"/>
        </w:rPr>
      </w:pPr>
      <w:r>
        <w:rPr>
          <w:sz w:val="24"/>
          <w:highlight w:val="none"/>
        </w:rPr>
        <w:t>合同特殊条款是合同一般条款的补充和修改。如果两者之间有抵触，应以特殊条款为准。</w:t>
      </w:r>
    </w:p>
    <w:p w14:paraId="3D2573B5">
      <w:pPr>
        <w:adjustRightInd w:val="0"/>
        <w:snapToGrid w:val="0"/>
        <w:spacing w:line="360" w:lineRule="auto"/>
        <w:ind w:firstLine="480" w:firstLineChars="200"/>
        <w:rPr>
          <w:sz w:val="24"/>
          <w:highlight w:val="none"/>
        </w:rPr>
      </w:pPr>
      <w:r>
        <w:rPr>
          <w:sz w:val="24"/>
          <w:highlight w:val="none"/>
        </w:rPr>
        <w:t>1.2   买方：本合同买方系指：</w:t>
      </w:r>
      <w:r>
        <w:rPr>
          <w:sz w:val="24"/>
          <w:highlight w:val="none"/>
          <w:u w:val="single"/>
        </w:rPr>
        <w:t xml:space="preserve">  采购人  </w:t>
      </w:r>
    </w:p>
    <w:p w14:paraId="5ADED258">
      <w:pPr>
        <w:adjustRightInd w:val="0"/>
        <w:snapToGrid w:val="0"/>
        <w:spacing w:line="360" w:lineRule="auto"/>
        <w:ind w:firstLine="960" w:firstLineChars="400"/>
        <w:rPr>
          <w:sz w:val="24"/>
          <w:highlight w:val="none"/>
        </w:rPr>
      </w:pPr>
      <w:r>
        <w:rPr>
          <w:sz w:val="24"/>
          <w:highlight w:val="none"/>
        </w:rPr>
        <w:t xml:space="preserve"> 卖方：本合同卖方系指：</w:t>
      </w:r>
      <w:r>
        <w:rPr>
          <w:sz w:val="24"/>
          <w:highlight w:val="none"/>
          <w:u w:val="single"/>
        </w:rPr>
        <w:t xml:space="preserve">  成交供应商  </w:t>
      </w:r>
    </w:p>
    <w:p w14:paraId="2C443079">
      <w:pPr>
        <w:adjustRightInd w:val="0"/>
        <w:snapToGrid w:val="0"/>
        <w:spacing w:line="360" w:lineRule="auto"/>
        <w:ind w:firstLine="480" w:firstLineChars="200"/>
        <w:rPr>
          <w:sz w:val="24"/>
          <w:highlight w:val="none"/>
        </w:rPr>
      </w:pPr>
      <w:r>
        <w:rPr>
          <w:sz w:val="24"/>
          <w:highlight w:val="none"/>
        </w:rPr>
        <w:t>1.5   项目现场：本合同项下的货物安装和运行地点位于：</w:t>
      </w:r>
      <w:r>
        <w:rPr>
          <w:sz w:val="24"/>
          <w:highlight w:val="none"/>
          <w:u w:val="single"/>
        </w:rPr>
        <w:t>买方指定地点。</w:t>
      </w:r>
    </w:p>
    <w:p w14:paraId="56F7E198">
      <w:pPr>
        <w:adjustRightInd w:val="0"/>
        <w:snapToGrid w:val="0"/>
        <w:spacing w:line="360" w:lineRule="auto"/>
        <w:ind w:firstLine="480" w:firstLineChars="200"/>
        <w:rPr>
          <w:sz w:val="24"/>
          <w:highlight w:val="none"/>
        </w:rPr>
      </w:pPr>
      <w:r>
        <w:rPr>
          <w:sz w:val="24"/>
          <w:highlight w:val="none"/>
        </w:rPr>
        <w:t>13.3  交货时间要求:详见“第五部分：项目需求”</w:t>
      </w:r>
    </w:p>
    <w:p w14:paraId="371AD03E">
      <w:pPr>
        <w:adjustRightInd w:val="0"/>
        <w:snapToGrid w:val="0"/>
        <w:spacing w:line="360" w:lineRule="auto"/>
        <w:ind w:firstLine="480" w:firstLineChars="200"/>
        <w:rPr>
          <w:sz w:val="24"/>
          <w:highlight w:val="none"/>
          <w:u w:val="single"/>
        </w:rPr>
      </w:pPr>
      <w:r>
        <w:rPr>
          <w:sz w:val="24"/>
          <w:highlight w:val="none"/>
        </w:rPr>
        <w:t xml:space="preserve">       交货地点要求：</w:t>
      </w:r>
      <w:r>
        <w:rPr>
          <w:sz w:val="24"/>
          <w:highlight w:val="none"/>
          <w:u w:val="single"/>
        </w:rPr>
        <w:t>买方指定地点</w:t>
      </w:r>
    </w:p>
    <w:p w14:paraId="5DD59A98">
      <w:pPr>
        <w:adjustRightInd w:val="0"/>
        <w:snapToGrid w:val="0"/>
        <w:spacing w:line="360" w:lineRule="auto"/>
        <w:ind w:firstLine="480" w:firstLineChars="200"/>
        <w:rPr>
          <w:sz w:val="24"/>
          <w:highlight w:val="none"/>
        </w:rPr>
      </w:pPr>
      <w:r>
        <w:rPr>
          <w:sz w:val="24"/>
          <w:highlight w:val="none"/>
        </w:rPr>
        <w:t>18.4  质量保证期：详见“第五部分：项目需求”</w:t>
      </w:r>
    </w:p>
    <w:p w14:paraId="2C367AE8">
      <w:pPr>
        <w:adjustRightInd w:val="0"/>
        <w:snapToGrid w:val="0"/>
        <w:spacing w:line="360" w:lineRule="auto"/>
        <w:ind w:firstLine="480" w:firstLineChars="200"/>
        <w:rPr>
          <w:sz w:val="24"/>
          <w:highlight w:val="none"/>
        </w:rPr>
      </w:pPr>
      <w:r>
        <w:rPr>
          <w:sz w:val="24"/>
          <w:highlight w:val="none"/>
        </w:rPr>
        <w:t>20.1  付款方式：详见“第五部分：项目需求”</w:t>
      </w:r>
    </w:p>
    <w:p w14:paraId="67E91A83">
      <w:pPr>
        <w:pStyle w:val="2"/>
        <w:ind w:firstLine="560"/>
        <w:rPr>
          <w:highlight w:val="none"/>
        </w:rPr>
      </w:pPr>
    </w:p>
    <w:p w14:paraId="441A85BB">
      <w:pPr>
        <w:adjustRightInd w:val="0"/>
        <w:snapToGrid w:val="0"/>
        <w:spacing w:line="360" w:lineRule="auto"/>
        <w:jc w:val="center"/>
        <w:rPr>
          <w:b/>
          <w:sz w:val="24"/>
          <w:highlight w:val="none"/>
        </w:rPr>
        <w:sectPr>
          <w:pgSz w:w="11907" w:h="16839"/>
          <w:pgMar w:top="1440" w:right="1440" w:bottom="1418" w:left="1622" w:header="720" w:footer="794" w:gutter="0"/>
          <w:cols w:space="720" w:num="1"/>
          <w:titlePg/>
          <w:docGrid w:linePitch="286" w:charSpace="0"/>
        </w:sectPr>
      </w:pPr>
    </w:p>
    <w:p w14:paraId="3744EBE5">
      <w:pPr>
        <w:pStyle w:val="22"/>
        <w:ind w:firstLine="560"/>
        <w:jc w:val="center"/>
        <w:rPr>
          <w:sz w:val="28"/>
          <w:szCs w:val="28"/>
          <w:highlight w:val="none"/>
        </w:rPr>
      </w:pPr>
      <w:r>
        <w:rPr>
          <w:sz w:val="28"/>
          <w:szCs w:val="28"/>
          <w:highlight w:val="none"/>
        </w:rPr>
        <w:t>（本合同条款仅供参考，最终以甲方提供的样本并经甲乙双方协商一致的合同为准。）</w:t>
      </w:r>
    </w:p>
    <w:p w14:paraId="2F10A560">
      <w:pPr>
        <w:spacing w:line="300" w:lineRule="auto"/>
        <w:rPr>
          <w:sz w:val="28"/>
          <w:szCs w:val="32"/>
          <w:highlight w:val="none"/>
        </w:rPr>
      </w:pPr>
    </w:p>
    <w:p w14:paraId="182CA1F0">
      <w:pPr>
        <w:spacing w:line="300" w:lineRule="auto"/>
        <w:ind w:firstLine="5920" w:firstLineChars="1850"/>
        <w:rPr>
          <w:color w:val="000000"/>
          <w:sz w:val="32"/>
          <w:szCs w:val="32"/>
          <w:highlight w:val="none"/>
        </w:rPr>
      </w:pPr>
      <w:r>
        <w:rPr>
          <w:color w:val="000000"/>
          <w:sz w:val="32"/>
          <w:szCs w:val="32"/>
          <w:highlight w:val="none"/>
        </w:rPr>
        <w:t>合同编号：</w:t>
      </w:r>
    </w:p>
    <w:p w14:paraId="6623344F">
      <w:pPr>
        <w:spacing w:line="400" w:lineRule="exact"/>
        <w:rPr>
          <w:color w:val="000000"/>
          <w:highlight w:val="none"/>
        </w:rPr>
      </w:pPr>
      <w:r>
        <w:rPr>
          <w:color w:val="000000"/>
          <w:highlight w:val="none"/>
        </w:rPr>
        <w:t xml:space="preserve"> </w:t>
      </w:r>
    </w:p>
    <w:p w14:paraId="0AA3DADC">
      <w:pPr>
        <w:spacing w:line="400" w:lineRule="exact"/>
        <w:rPr>
          <w:color w:val="000000"/>
          <w:highlight w:val="none"/>
        </w:rPr>
      </w:pPr>
    </w:p>
    <w:p w14:paraId="3927B6EB">
      <w:pPr>
        <w:spacing w:line="400" w:lineRule="exact"/>
        <w:rPr>
          <w:color w:val="000000"/>
          <w:highlight w:val="none"/>
        </w:rPr>
      </w:pPr>
    </w:p>
    <w:p w14:paraId="228B841E">
      <w:pPr>
        <w:spacing w:line="400" w:lineRule="exact"/>
        <w:rPr>
          <w:color w:val="000000"/>
          <w:highlight w:val="none"/>
        </w:rPr>
      </w:pPr>
    </w:p>
    <w:p w14:paraId="16B35D89">
      <w:pPr>
        <w:spacing w:line="400" w:lineRule="exact"/>
        <w:jc w:val="center"/>
        <w:rPr>
          <w:color w:val="000000"/>
          <w:highlight w:val="none"/>
        </w:rPr>
      </w:pPr>
      <w:r>
        <w:rPr>
          <w:color w:val="000000"/>
          <w:highlight w:val="none"/>
        </w:rPr>
        <w:t xml:space="preserve"> </w:t>
      </w:r>
    </w:p>
    <w:p w14:paraId="2BED98F6">
      <w:pPr>
        <w:snapToGrid w:val="0"/>
        <w:spacing w:line="300" w:lineRule="auto"/>
        <w:jc w:val="center"/>
        <w:rPr>
          <w:rFonts w:hint="eastAsia" w:ascii="宋体" w:hAnsi="宋体"/>
          <w:b/>
          <w:sz w:val="44"/>
          <w:szCs w:val="48"/>
          <w:highlight w:val="none"/>
        </w:rPr>
      </w:pPr>
      <w:r>
        <w:rPr>
          <w:rFonts w:ascii="宋体" w:hAnsi="宋体"/>
          <w:b/>
          <w:sz w:val="44"/>
          <w:szCs w:val="48"/>
          <w:highlight w:val="none"/>
        </w:rPr>
        <w:t>中国科学院电工研究所</w:t>
      </w:r>
    </w:p>
    <w:p w14:paraId="376E8D15">
      <w:pPr>
        <w:snapToGrid w:val="0"/>
        <w:spacing w:line="300" w:lineRule="auto"/>
        <w:jc w:val="center"/>
        <w:rPr>
          <w:rFonts w:hint="eastAsia" w:ascii="宋体" w:hAnsi="宋体"/>
          <w:b/>
          <w:sz w:val="44"/>
          <w:szCs w:val="48"/>
          <w:highlight w:val="none"/>
        </w:rPr>
      </w:pPr>
      <w:r>
        <w:rPr>
          <w:rFonts w:ascii="宋体" w:hAnsi="宋体"/>
          <w:b/>
          <w:sz w:val="44"/>
          <w:szCs w:val="48"/>
          <w:highlight w:val="none"/>
        </w:rPr>
        <w:t>外包合同</w:t>
      </w:r>
    </w:p>
    <w:p w14:paraId="0FD0EC49">
      <w:pPr>
        <w:snapToGrid w:val="0"/>
        <w:spacing w:line="300" w:lineRule="auto"/>
        <w:jc w:val="center"/>
        <w:rPr>
          <w:rFonts w:hint="eastAsia" w:ascii="宋体" w:hAnsi="宋体"/>
          <w:sz w:val="20"/>
          <w:highlight w:val="none"/>
        </w:rPr>
      </w:pPr>
    </w:p>
    <w:p w14:paraId="06C4A03B">
      <w:pPr>
        <w:spacing w:line="300" w:lineRule="auto"/>
        <w:rPr>
          <w:rFonts w:hint="eastAsia" w:ascii="宋体" w:hAnsi="宋体"/>
          <w:sz w:val="40"/>
          <w:szCs w:val="44"/>
          <w:highlight w:val="none"/>
        </w:rPr>
      </w:pPr>
    </w:p>
    <w:p w14:paraId="4EA81A75">
      <w:pPr>
        <w:spacing w:line="360" w:lineRule="auto"/>
        <w:rPr>
          <w:rFonts w:hint="eastAsia" w:ascii="宋体" w:hAnsi="宋体"/>
          <w:sz w:val="24"/>
          <w:szCs w:val="28"/>
          <w:highlight w:val="none"/>
        </w:rPr>
      </w:pPr>
    </w:p>
    <w:p w14:paraId="6117B9D8">
      <w:pPr>
        <w:spacing w:line="360" w:lineRule="auto"/>
        <w:ind w:firstLine="643" w:firstLineChars="200"/>
        <w:rPr>
          <w:rFonts w:hint="eastAsia" w:ascii="宋体" w:hAnsi="宋体"/>
          <w:b/>
          <w:sz w:val="32"/>
          <w:szCs w:val="28"/>
          <w:highlight w:val="none"/>
        </w:rPr>
      </w:pPr>
      <w:r>
        <w:rPr>
          <w:rFonts w:ascii="宋体" w:hAnsi="宋体"/>
          <w:b/>
          <w:sz w:val="32"/>
          <w:szCs w:val="28"/>
          <w:highlight w:val="none"/>
        </w:rPr>
        <w:t>甲方：中国科学院电工研究所</w:t>
      </w:r>
    </w:p>
    <w:p w14:paraId="3C18BEF1">
      <w:pPr>
        <w:spacing w:line="360" w:lineRule="auto"/>
        <w:ind w:firstLine="643" w:firstLineChars="200"/>
        <w:rPr>
          <w:rFonts w:hint="eastAsia" w:ascii="宋体" w:hAnsi="宋体"/>
          <w:b/>
          <w:sz w:val="32"/>
          <w:szCs w:val="28"/>
          <w:highlight w:val="none"/>
        </w:rPr>
      </w:pPr>
      <w:r>
        <w:rPr>
          <w:rFonts w:ascii="宋体" w:hAnsi="宋体"/>
          <w:b/>
          <w:sz w:val="32"/>
          <w:szCs w:val="28"/>
          <w:highlight w:val="none"/>
        </w:rPr>
        <w:t>地址：北京市海淀区中关村北二条6号</w:t>
      </w:r>
    </w:p>
    <w:p w14:paraId="24F6982E">
      <w:pPr>
        <w:spacing w:line="360" w:lineRule="auto"/>
        <w:ind w:firstLine="643" w:firstLineChars="200"/>
        <w:rPr>
          <w:rFonts w:hint="eastAsia" w:ascii="宋体" w:hAnsi="宋体"/>
          <w:b/>
          <w:sz w:val="32"/>
          <w:szCs w:val="28"/>
          <w:highlight w:val="none"/>
        </w:rPr>
      </w:pPr>
    </w:p>
    <w:p w14:paraId="637848CA">
      <w:pPr>
        <w:spacing w:line="360" w:lineRule="auto"/>
        <w:ind w:firstLine="643" w:firstLineChars="200"/>
        <w:rPr>
          <w:rFonts w:hint="eastAsia" w:ascii="宋体" w:hAnsi="宋体"/>
          <w:b/>
          <w:sz w:val="32"/>
          <w:szCs w:val="28"/>
          <w:highlight w:val="none"/>
        </w:rPr>
      </w:pPr>
      <w:r>
        <w:rPr>
          <w:rFonts w:ascii="宋体" w:hAnsi="宋体"/>
          <w:b/>
          <w:sz w:val="32"/>
          <w:szCs w:val="28"/>
          <w:highlight w:val="none"/>
        </w:rPr>
        <w:t>乙方：</w:t>
      </w:r>
    </w:p>
    <w:p w14:paraId="56CAEC5F">
      <w:pPr>
        <w:spacing w:line="360" w:lineRule="auto"/>
        <w:ind w:firstLine="643" w:firstLineChars="200"/>
        <w:rPr>
          <w:rFonts w:hint="eastAsia" w:ascii="宋体" w:hAnsi="宋体"/>
          <w:b/>
          <w:sz w:val="32"/>
          <w:szCs w:val="28"/>
          <w:highlight w:val="none"/>
        </w:rPr>
      </w:pPr>
      <w:r>
        <w:rPr>
          <w:rFonts w:ascii="宋体" w:hAnsi="宋体"/>
          <w:b/>
          <w:sz w:val="32"/>
          <w:szCs w:val="28"/>
          <w:highlight w:val="none"/>
        </w:rPr>
        <w:t>地址：</w:t>
      </w:r>
    </w:p>
    <w:p w14:paraId="13B4A5E1">
      <w:pPr>
        <w:spacing w:line="360" w:lineRule="auto"/>
        <w:rPr>
          <w:rFonts w:hint="eastAsia" w:ascii="宋体" w:hAnsi="宋体"/>
          <w:b/>
          <w:sz w:val="28"/>
          <w:szCs w:val="28"/>
          <w:highlight w:val="none"/>
        </w:rPr>
      </w:pPr>
    </w:p>
    <w:p w14:paraId="05931B0A">
      <w:pPr>
        <w:spacing w:line="360" w:lineRule="auto"/>
        <w:ind w:firstLine="562" w:firstLineChars="200"/>
        <w:rPr>
          <w:rFonts w:hint="eastAsia" w:ascii="宋体" w:hAnsi="宋体"/>
          <w:b/>
          <w:sz w:val="28"/>
          <w:szCs w:val="28"/>
          <w:highlight w:val="none"/>
        </w:rPr>
      </w:pPr>
    </w:p>
    <w:p w14:paraId="1E9ACA4A">
      <w:pPr>
        <w:spacing w:line="300" w:lineRule="auto"/>
        <w:jc w:val="center"/>
        <w:rPr>
          <w:rFonts w:hint="eastAsia" w:ascii="宋体" w:hAnsi="宋体"/>
          <w:b/>
          <w:sz w:val="32"/>
          <w:szCs w:val="32"/>
          <w:highlight w:val="none"/>
        </w:rPr>
      </w:pPr>
      <w:r>
        <w:rPr>
          <w:rFonts w:ascii="宋体" w:hAnsi="宋体"/>
          <w:b/>
          <w:sz w:val="32"/>
          <w:szCs w:val="32"/>
          <w:highlight w:val="none"/>
        </w:rPr>
        <w:t>签订日期：   年   月     日</w:t>
      </w:r>
    </w:p>
    <w:p w14:paraId="6F17C531">
      <w:pPr>
        <w:spacing w:line="360" w:lineRule="auto"/>
        <w:ind w:firstLine="560" w:firstLineChars="200"/>
        <w:rPr>
          <w:rFonts w:hint="eastAsia" w:ascii="宋体" w:hAnsi="宋体"/>
          <w:sz w:val="28"/>
          <w:szCs w:val="28"/>
          <w:highlight w:val="none"/>
        </w:rPr>
      </w:pPr>
    </w:p>
    <w:p w14:paraId="31EAB254">
      <w:pPr>
        <w:spacing w:line="360" w:lineRule="auto"/>
        <w:ind w:firstLine="560" w:firstLineChars="200"/>
        <w:rPr>
          <w:rFonts w:hint="eastAsia" w:ascii="宋体" w:hAnsi="宋体"/>
          <w:sz w:val="28"/>
          <w:szCs w:val="28"/>
          <w:highlight w:val="none"/>
        </w:rPr>
      </w:pPr>
      <w:r>
        <w:rPr>
          <w:rFonts w:ascii="宋体" w:hAnsi="宋体"/>
          <w:sz w:val="28"/>
          <w:szCs w:val="28"/>
          <w:highlight w:val="none"/>
        </w:rPr>
        <w:br w:type="page"/>
      </w:r>
    </w:p>
    <w:p w14:paraId="0A03F149">
      <w:pPr>
        <w:pStyle w:val="27"/>
        <w:rPr>
          <w:highlight w:val="none"/>
        </w:rPr>
      </w:pPr>
    </w:p>
    <w:p w14:paraId="1C976085">
      <w:pPr>
        <w:spacing w:line="360" w:lineRule="auto"/>
        <w:ind w:firstLine="480" w:firstLineChars="200"/>
        <w:rPr>
          <w:rFonts w:hint="eastAsia" w:ascii="宋体" w:hAnsi="宋体"/>
          <w:sz w:val="24"/>
          <w:szCs w:val="28"/>
          <w:highlight w:val="none"/>
        </w:rPr>
      </w:pPr>
      <w:r>
        <w:rPr>
          <w:rFonts w:ascii="宋体" w:hAnsi="宋体"/>
          <w:sz w:val="24"/>
          <w:szCs w:val="28"/>
          <w:highlight w:val="none"/>
        </w:rPr>
        <w:t>甲、乙双方本着友好合作、平等互利的原则，根据《中华人民共和国</w:t>
      </w:r>
      <w:r>
        <w:rPr>
          <w:rFonts w:hint="eastAsia" w:ascii="宋体" w:hAnsi="宋体"/>
          <w:sz w:val="24"/>
          <w:szCs w:val="28"/>
          <w:highlight w:val="none"/>
        </w:rPr>
        <w:t>民法典</w:t>
      </w:r>
      <w:r>
        <w:rPr>
          <w:rFonts w:ascii="宋体" w:hAnsi="宋体"/>
          <w:sz w:val="24"/>
          <w:szCs w:val="28"/>
          <w:highlight w:val="none"/>
        </w:rPr>
        <w:t>》及其他法律法规的有关规定，经友好协商，同意就以下条款订立本合同，共同信守执行。</w:t>
      </w:r>
    </w:p>
    <w:p w14:paraId="3F923FF4">
      <w:pPr>
        <w:pStyle w:val="27"/>
        <w:rPr>
          <w:highlight w:val="none"/>
        </w:rPr>
      </w:pPr>
    </w:p>
    <w:p w14:paraId="43A90043">
      <w:pPr>
        <w:spacing w:line="360" w:lineRule="auto"/>
        <w:jc w:val="center"/>
        <w:rPr>
          <w:rFonts w:hint="eastAsia" w:ascii="宋体" w:hAnsi="宋体"/>
          <w:b/>
          <w:sz w:val="24"/>
          <w:szCs w:val="28"/>
          <w:highlight w:val="none"/>
        </w:rPr>
      </w:pPr>
      <w:r>
        <w:rPr>
          <w:rFonts w:ascii="宋体" w:hAnsi="宋体"/>
          <w:b/>
          <w:sz w:val="24"/>
          <w:szCs w:val="28"/>
          <w:highlight w:val="none"/>
        </w:rPr>
        <w:t>一  合同标的</w:t>
      </w:r>
    </w:p>
    <w:p w14:paraId="6C4C8856">
      <w:pPr>
        <w:spacing w:line="360" w:lineRule="auto"/>
        <w:ind w:firstLine="480" w:firstLineChars="200"/>
        <w:rPr>
          <w:rFonts w:hint="eastAsia" w:ascii="宋体" w:hAnsi="宋体"/>
          <w:sz w:val="24"/>
          <w:szCs w:val="28"/>
          <w:highlight w:val="none"/>
        </w:rPr>
      </w:pPr>
      <w:r>
        <w:rPr>
          <w:rFonts w:ascii="宋体" w:hAnsi="宋体"/>
          <w:sz w:val="24"/>
          <w:szCs w:val="28"/>
          <w:highlight w:val="none"/>
        </w:rPr>
        <w:t>1.1</w:t>
      </w:r>
      <w:r>
        <w:rPr>
          <w:rFonts w:hint="eastAsia" w:ascii="宋体" w:hAnsi="宋体"/>
          <w:sz w:val="24"/>
          <w:szCs w:val="28"/>
          <w:highlight w:val="none"/>
        </w:rPr>
        <w:t>乙方向甲方</w:t>
      </w:r>
      <w:r>
        <w:rPr>
          <w:rFonts w:ascii="宋体" w:hAnsi="宋体"/>
          <w:sz w:val="24"/>
          <w:szCs w:val="28"/>
          <w:highlight w:val="none"/>
        </w:rPr>
        <w:t>提供</w:t>
      </w:r>
      <w:r>
        <w:rPr>
          <w:rFonts w:ascii="宋体" w:hAnsi="宋体"/>
          <w:sz w:val="24"/>
          <w:szCs w:val="28"/>
          <w:highlight w:val="none"/>
          <w:u w:val="single"/>
        </w:rPr>
        <w:t xml:space="preserve">  </w:t>
      </w:r>
      <w:r>
        <w:rPr>
          <w:rFonts w:hint="eastAsia" w:ascii="宋体" w:hAnsi="宋体"/>
          <w:sz w:val="24"/>
          <w:szCs w:val="28"/>
          <w:highlight w:val="none"/>
          <w:u w:val="single"/>
        </w:rPr>
        <w:t xml:space="preserve">  </w:t>
      </w:r>
      <w:r>
        <w:rPr>
          <w:rFonts w:ascii="宋体" w:hAnsi="宋体"/>
          <w:sz w:val="24"/>
          <w:szCs w:val="28"/>
          <w:highlight w:val="none"/>
          <w:u w:val="single"/>
        </w:rPr>
        <w:t xml:space="preserve">       </w:t>
      </w:r>
      <w:r>
        <w:rPr>
          <w:rFonts w:hint="eastAsia" w:ascii="宋体" w:hAnsi="宋体"/>
          <w:sz w:val="24"/>
          <w:szCs w:val="28"/>
          <w:highlight w:val="none"/>
          <w:u w:val="single"/>
        </w:rPr>
        <w:t xml:space="preserve">                   </w:t>
      </w:r>
      <w:r>
        <w:rPr>
          <w:rFonts w:hint="eastAsia" w:ascii="宋体" w:hAnsi="宋体"/>
          <w:sz w:val="24"/>
          <w:szCs w:val="28"/>
          <w:highlight w:val="none"/>
        </w:rPr>
        <w:t>产品</w:t>
      </w:r>
      <w:r>
        <w:rPr>
          <w:rFonts w:ascii="宋体" w:hAnsi="宋体"/>
          <w:sz w:val="24"/>
          <w:szCs w:val="28"/>
          <w:highlight w:val="none"/>
        </w:rPr>
        <w:t>/服务</w:t>
      </w:r>
      <w:r>
        <w:rPr>
          <w:rFonts w:hint="eastAsia" w:ascii="宋体" w:hAnsi="宋体"/>
          <w:sz w:val="24"/>
          <w:szCs w:val="28"/>
          <w:highlight w:val="none"/>
        </w:rPr>
        <w:t>。详见如下参数表格：（可根据具体标的物参数修改或另行制作表格）。</w:t>
      </w:r>
    </w:p>
    <w:p w14:paraId="63434877">
      <w:pPr>
        <w:spacing w:line="360" w:lineRule="auto"/>
        <w:ind w:firstLine="480" w:firstLineChars="200"/>
        <w:jc w:val="right"/>
        <w:rPr>
          <w:rFonts w:hint="eastAsia" w:ascii="宋体" w:hAnsi="宋体"/>
          <w:sz w:val="24"/>
          <w:szCs w:val="28"/>
          <w:highlight w:val="none"/>
        </w:rPr>
      </w:pPr>
      <w:r>
        <w:rPr>
          <w:rFonts w:hint="eastAsia" w:ascii="宋体" w:hAnsi="宋体"/>
          <w:sz w:val="24"/>
          <w:szCs w:val="28"/>
          <w:highlight w:val="none"/>
        </w:rPr>
        <w:t>货币单位：人民币元</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7"/>
        <w:gridCol w:w="1217"/>
        <w:gridCol w:w="1217"/>
        <w:gridCol w:w="1217"/>
        <w:gridCol w:w="1218"/>
        <w:gridCol w:w="1218"/>
        <w:gridCol w:w="1218"/>
      </w:tblGrid>
      <w:tr w14:paraId="6BB5E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217" w:type="dxa"/>
            <w:vAlign w:val="center"/>
          </w:tcPr>
          <w:p w14:paraId="2E18DCEA">
            <w:pPr>
              <w:spacing w:line="360" w:lineRule="auto"/>
              <w:jc w:val="center"/>
              <w:rPr>
                <w:rFonts w:hint="eastAsia" w:ascii="宋体" w:hAnsi="宋体"/>
                <w:sz w:val="22"/>
                <w:szCs w:val="28"/>
                <w:highlight w:val="none"/>
              </w:rPr>
            </w:pPr>
            <w:r>
              <w:rPr>
                <w:rFonts w:hint="eastAsia" w:ascii="宋体" w:hAnsi="宋体"/>
                <w:sz w:val="22"/>
                <w:szCs w:val="28"/>
                <w:highlight w:val="none"/>
              </w:rPr>
              <w:t>序号</w:t>
            </w:r>
          </w:p>
        </w:tc>
        <w:tc>
          <w:tcPr>
            <w:tcW w:w="1217" w:type="dxa"/>
            <w:vAlign w:val="center"/>
          </w:tcPr>
          <w:p w14:paraId="160112C6">
            <w:pPr>
              <w:spacing w:line="360" w:lineRule="auto"/>
              <w:jc w:val="center"/>
              <w:rPr>
                <w:rFonts w:hint="eastAsia" w:ascii="宋体" w:hAnsi="宋体"/>
                <w:sz w:val="22"/>
                <w:szCs w:val="28"/>
                <w:highlight w:val="none"/>
              </w:rPr>
            </w:pPr>
            <w:r>
              <w:rPr>
                <w:rFonts w:hint="eastAsia" w:ascii="宋体" w:hAnsi="宋体"/>
                <w:sz w:val="22"/>
                <w:szCs w:val="28"/>
                <w:highlight w:val="none"/>
              </w:rPr>
              <w:t>产品/服务名称</w:t>
            </w:r>
          </w:p>
        </w:tc>
        <w:tc>
          <w:tcPr>
            <w:tcW w:w="1217" w:type="dxa"/>
            <w:vAlign w:val="center"/>
          </w:tcPr>
          <w:p w14:paraId="6DD553AE">
            <w:pPr>
              <w:spacing w:line="360" w:lineRule="auto"/>
              <w:jc w:val="center"/>
              <w:rPr>
                <w:rFonts w:hint="eastAsia" w:ascii="宋体" w:hAnsi="宋体"/>
                <w:sz w:val="22"/>
                <w:szCs w:val="28"/>
                <w:highlight w:val="none"/>
              </w:rPr>
            </w:pPr>
            <w:r>
              <w:rPr>
                <w:rFonts w:hint="eastAsia" w:ascii="宋体" w:hAnsi="宋体"/>
                <w:sz w:val="22"/>
                <w:szCs w:val="28"/>
                <w:highlight w:val="none"/>
              </w:rPr>
              <w:t>规格型号</w:t>
            </w:r>
          </w:p>
        </w:tc>
        <w:tc>
          <w:tcPr>
            <w:tcW w:w="1217" w:type="dxa"/>
            <w:vAlign w:val="center"/>
          </w:tcPr>
          <w:p w14:paraId="4DEC8ED4">
            <w:pPr>
              <w:spacing w:line="360" w:lineRule="auto"/>
              <w:jc w:val="center"/>
              <w:rPr>
                <w:rFonts w:hint="eastAsia" w:ascii="宋体" w:hAnsi="宋体"/>
                <w:sz w:val="22"/>
                <w:szCs w:val="28"/>
                <w:highlight w:val="none"/>
              </w:rPr>
            </w:pPr>
            <w:r>
              <w:rPr>
                <w:rFonts w:hint="eastAsia" w:ascii="宋体" w:hAnsi="宋体"/>
                <w:sz w:val="22"/>
                <w:szCs w:val="28"/>
                <w:highlight w:val="none"/>
              </w:rPr>
              <w:t>单位</w:t>
            </w:r>
          </w:p>
        </w:tc>
        <w:tc>
          <w:tcPr>
            <w:tcW w:w="1218" w:type="dxa"/>
            <w:vAlign w:val="center"/>
          </w:tcPr>
          <w:p w14:paraId="3092E255">
            <w:pPr>
              <w:spacing w:line="360" w:lineRule="auto"/>
              <w:jc w:val="center"/>
              <w:rPr>
                <w:rFonts w:hint="eastAsia" w:ascii="宋体" w:hAnsi="宋体"/>
                <w:sz w:val="22"/>
                <w:szCs w:val="28"/>
                <w:highlight w:val="none"/>
              </w:rPr>
            </w:pPr>
            <w:r>
              <w:rPr>
                <w:rFonts w:hint="eastAsia" w:ascii="宋体" w:hAnsi="宋体"/>
                <w:sz w:val="22"/>
                <w:szCs w:val="28"/>
                <w:highlight w:val="none"/>
              </w:rPr>
              <w:t>数量</w:t>
            </w:r>
          </w:p>
        </w:tc>
        <w:tc>
          <w:tcPr>
            <w:tcW w:w="1218" w:type="dxa"/>
            <w:vAlign w:val="center"/>
          </w:tcPr>
          <w:p w14:paraId="4196D4C4">
            <w:pPr>
              <w:spacing w:line="360" w:lineRule="auto"/>
              <w:jc w:val="center"/>
              <w:rPr>
                <w:rFonts w:hint="eastAsia" w:ascii="宋体" w:hAnsi="宋体"/>
                <w:sz w:val="22"/>
                <w:szCs w:val="28"/>
                <w:highlight w:val="none"/>
              </w:rPr>
            </w:pPr>
            <w:r>
              <w:rPr>
                <w:rFonts w:hint="eastAsia" w:ascii="宋体" w:hAnsi="宋体"/>
                <w:sz w:val="22"/>
                <w:szCs w:val="28"/>
                <w:highlight w:val="none"/>
              </w:rPr>
              <w:t>单价</w:t>
            </w:r>
          </w:p>
        </w:tc>
        <w:tc>
          <w:tcPr>
            <w:tcW w:w="1218" w:type="dxa"/>
            <w:vAlign w:val="center"/>
          </w:tcPr>
          <w:p w14:paraId="4A0DA43A">
            <w:pPr>
              <w:spacing w:line="360" w:lineRule="auto"/>
              <w:jc w:val="center"/>
              <w:rPr>
                <w:rFonts w:hint="eastAsia" w:ascii="宋体" w:hAnsi="宋体"/>
                <w:sz w:val="22"/>
                <w:szCs w:val="28"/>
                <w:highlight w:val="none"/>
              </w:rPr>
            </w:pPr>
            <w:r>
              <w:rPr>
                <w:rFonts w:hint="eastAsia" w:ascii="宋体" w:hAnsi="宋体"/>
                <w:sz w:val="22"/>
                <w:szCs w:val="28"/>
                <w:highlight w:val="none"/>
              </w:rPr>
              <w:t>金额小计</w:t>
            </w:r>
          </w:p>
        </w:tc>
      </w:tr>
      <w:tr w14:paraId="2E6D8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vAlign w:val="center"/>
          </w:tcPr>
          <w:p w14:paraId="485CDC88">
            <w:pPr>
              <w:spacing w:line="360" w:lineRule="auto"/>
              <w:jc w:val="center"/>
              <w:rPr>
                <w:rFonts w:hint="eastAsia" w:ascii="宋体" w:hAnsi="宋体"/>
                <w:sz w:val="22"/>
                <w:szCs w:val="28"/>
                <w:highlight w:val="none"/>
              </w:rPr>
            </w:pPr>
            <w:r>
              <w:rPr>
                <w:rFonts w:hint="eastAsia" w:ascii="宋体" w:hAnsi="宋体"/>
                <w:sz w:val="22"/>
                <w:szCs w:val="28"/>
                <w:highlight w:val="none"/>
              </w:rPr>
              <w:t>1</w:t>
            </w:r>
          </w:p>
        </w:tc>
        <w:tc>
          <w:tcPr>
            <w:tcW w:w="1217" w:type="dxa"/>
            <w:vAlign w:val="center"/>
          </w:tcPr>
          <w:p w14:paraId="74E3BE71">
            <w:pPr>
              <w:spacing w:line="360" w:lineRule="auto"/>
              <w:jc w:val="center"/>
              <w:rPr>
                <w:rFonts w:hint="eastAsia" w:ascii="宋体" w:hAnsi="宋体"/>
                <w:sz w:val="22"/>
                <w:szCs w:val="28"/>
                <w:highlight w:val="none"/>
              </w:rPr>
            </w:pPr>
          </w:p>
        </w:tc>
        <w:tc>
          <w:tcPr>
            <w:tcW w:w="1217" w:type="dxa"/>
            <w:vAlign w:val="center"/>
          </w:tcPr>
          <w:p w14:paraId="1D243BEB">
            <w:pPr>
              <w:spacing w:line="360" w:lineRule="auto"/>
              <w:jc w:val="center"/>
              <w:rPr>
                <w:rFonts w:hint="eastAsia" w:ascii="宋体" w:hAnsi="宋体"/>
                <w:sz w:val="22"/>
                <w:szCs w:val="28"/>
                <w:highlight w:val="none"/>
              </w:rPr>
            </w:pPr>
          </w:p>
        </w:tc>
        <w:tc>
          <w:tcPr>
            <w:tcW w:w="1217" w:type="dxa"/>
            <w:vAlign w:val="center"/>
          </w:tcPr>
          <w:p w14:paraId="144B0AAC">
            <w:pPr>
              <w:spacing w:line="360" w:lineRule="auto"/>
              <w:jc w:val="center"/>
              <w:rPr>
                <w:rFonts w:hint="eastAsia" w:ascii="宋体" w:hAnsi="宋体"/>
                <w:sz w:val="22"/>
                <w:szCs w:val="28"/>
                <w:highlight w:val="none"/>
              </w:rPr>
            </w:pPr>
          </w:p>
        </w:tc>
        <w:tc>
          <w:tcPr>
            <w:tcW w:w="1218" w:type="dxa"/>
            <w:vAlign w:val="center"/>
          </w:tcPr>
          <w:p w14:paraId="107C3DE7">
            <w:pPr>
              <w:spacing w:line="360" w:lineRule="auto"/>
              <w:jc w:val="center"/>
              <w:rPr>
                <w:rFonts w:hint="eastAsia" w:ascii="宋体" w:hAnsi="宋体"/>
                <w:sz w:val="22"/>
                <w:szCs w:val="28"/>
                <w:highlight w:val="none"/>
              </w:rPr>
            </w:pPr>
          </w:p>
        </w:tc>
        <w:tc>
          <w:tcPr>
            <w:tcW w:w="1218" w:type="dxa"/>
            <w:vAlign w:val="center"/>
          </w:tcPr>
          <w:p w14:paraId="0B188E3D">
            <w:pPr>
              <w:spacing w:line="360" w:lineRule="auto"/>
              <w:jc w:val="center"/>
              <w:rPr>
                <w:rFonts w:hint="eastAsia" w:ascii="宋体" w:hAnsi="宋体"/>
                <w:sz w:val="22"/>
                <w:szCs w:val="28"/>
                <w:highlight w:val="none"/>
              </w:rPr>
            </w:pPr>
          </w:p>
        </w:tc>
        <w:tc>
          <w:tcPr>
            <w:tcW w:w="1218" w:type="dxa"/>
            <w:vAlign w:val="center"/>
          </w:tcPr>
          <w:p w14:paraId="79631B2D">
            <w:pPr>
              <w:spacing w:line="360" w:lineRule="auto"/>
              <w:jc w:val="center"/>
              <w:rPr>
                <w:rFonts w:hint="eastAsia" w:ascii="宋体" w:hAnsi="宋体"/>
                <w:sz w:val="22"/>
                <w:szCs w:val="28"/>
                <w:highlight w:val="none"/>
              </w:rPr>
            </w:pPr>
          </w:p>
        </w:tc>
      </w:tr>
      <w:tr w14:paraId="1FD56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7" w:type="dxa"/>
            <w:vAlign w:val="center"/>
          </w:tcPr>
          <w:p w14:paraId="041306FC">
            <w:pPr>
              <w:spacing w:line="360" w:lineRule="auto"/>
              <w:jc w:val="center"/>
              <w:rPr>
                <w:rFonts w:hint="eastAsia" w:ascii="宋体" w:hAnsi="宋体"/>
                <w:sz w:val="22"/>
                <w:szCs w:val="28"/>
                <w:highlight w:val="none"/>
              </w:rPr>
            </w:pPr>
            <w:r>
              <w:rPr>
                <w:rFonts w:hint="eastAsia" w:ascii="宋体" w:hAnsi="宋体"/>
                <w:sz w:val="22"/>
                <w:szCs w:val="28"/>
                <w:highlight w:val="none"/>
              </w:rPr>
              <w:t>2</w:t>
            </w:r>
          </w:p>
        </w:tc>
        <w:tc>
          <w:tcPr>
            <w:tcW w:w="1217" w:type="dxa"/>
            <w:vAlign w:val="center"/>
          </w:tcPr>
          <w:p w14:paraId="2B81CD20">
            <w:pPr>
              <w:spacing w:line="360" w:lineRule="auto"/>
              <w:jc w:val="center"/>
              <w:rPr>
                <w:rFonts w:hint="eastAsia" w:ascii="宋体" w:hAnsi="宋体"/>
                <w:sz w:val="22"/>
                <w:szCs w:val="28"/>
                <w:highlight w:val="none"/>
              </w:rPr>
            </w:pPr>
          </w:p>
        </w:tc>
        <w:tc>
          <w:tcPr>
            <w:tcW w:w="1217" w:type="dxa"/>
            <w:vAlign w:val="center"/>
          </w:tcPr>
          <w:p w14:paraId="3A84E57C">
            <w:pPr>
              <w:spacing w:line="360" w:lineRule="auto"/>
              <w:jc w:val="center"/>
              <w:rPr>
                <w:rFonts w:hint="eastAsia" w:ascii="宋体" w:hAnsi="宋体"/>
                <w:sz w:val="22"/>
                <w:szCs w:val="28"/>
                <w:highlight w:val="none"/>
              </w:rPr>
            </w:pPr>
          </w:p>
        </w:tc>
        <w:tc>
          <w:tcPr>
            <w:tcW w:w="1217" w:type="dxa"/>
            <w:vAlign w:val="center"/>
          </w:tcPr>
          <w:p w14:paraId="3B56D69E">
            <w:pPr>
              <w:spacing w:line="360" w:lineRule="auto"/>
              <w:jc w:val="center"/>
              <w:rPr>
                <w:rFonts w:hint="eastAsia" w:ascii="宋体" w:hAnsi="宋体"/>
                <w:sz w:val="22"/>
                <w:szCs w:val="28"/>
                <w:highlight w:val="none"/>
              </w:rPr>
            </w:pPr>
          </w:p>
        </w:tc>
        <w:tc>
          <w:tcPr>
            <w:tcW w:w="1218" w:type="dxa"/>
            <w:vAlign w:val="center"/>
          </w:tcPr>
          <w:p w14:paraId="48C0D1B0">
            <w:pPr>
              <w:spacing w:line="360" w:lineRule="auto"/>
              <w:jc w:val="center"/>
              <w:rPr>
                <w:rFonts w:hint="eastAsia" w:ascii="宋体" w:hAnsi="宋体"/>
                <w:sz w:val="22"/>
                <w:szCs w:val="28"/>
                <w:highlight w:val="none"/>
              </w:rPr>
            </w:pPr>
          </w:p>
        </w:tc>
        <w:tc>
          <w:tcPr>
            <w:tcW w:w="1218" w:type="dxa"/>
            <w:vAlign w:val="center"/>
          </w:tcPr>
          <w:p w14:paraId="7CBE3068">
            <w:pPr>
              <w:spacing w:line="360" w:lineRule="auto"/>
              <w:jc w:val="center"/>
              <w:rPr>
                <w:rFonts w:hint="eastAsia" w:ascii="宋体" w:hAnsi="宋体"/>
                <w:sz w:val="22"/>
                <w:szCs w:val="28"/>
                <w:highlight w:val="none"/>
              </w:rPr>
            </w:pPr>
          </w:p>
        </w:tc>
        <w:tc>
          <w:tcPr>
            <w:tcW w:w="1218" w:type="dxa"/>
            <w:vAlign w:val="center"/>
          </w:tcPr>
          <w:p w14:paraId="2DB0D999">
            <w:pPr>
              <w:spacing w:line="360" w:lineRule="auto"/>
              <w:jc w:val="center"/>
              <w:rPr>
                <w:rFonts w:hint="eastAsia" w:ascii="宋体" w:hAnsi="宋体"/>
                <w:sz w:val="22"/>
                <w:szCs w:val="28"/>
                <w:highlight w:val="none"/>
              </w:rPr>
            </w:pPr>
          </w:p>
        </w:tc>
      </w:tr>
    </w:tbl>
    <w:p w14:paraId="0322A4A9">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1.2乙方保证向甲方提供合格的产品</w:t>
      </w:r>
      <w:r>
        <w:rPr>
          <w:rFonts w:ascii="宋体" w:hAnsi="宋体"/>
          <w:sz w:val="24"/>
          <w:szCs w:val="28"/>
          <w:highlight w:val="none"/>
        </w:rPr>
        <w:t>/服务</w:t>
      </w:r>
      <w:r>
        <w:rPr>
          <w:rFonts w:hint="eastAsia" w:ascii="宋体" w:hAnsi="宋体"/>
          <w:sz w:val="24"/>
          <w:szCs w:val="28"/>
          <w:highlight w:val="none"/>
        </w:rPr>
        <w:t>、相关配件、技术资料、安装调试、现场服务和相关培训。</w:t>
      </w:r>
    </w:p>
    <w:p w14:paraId="365EB10C">
      <w:pPr>
        <w:spacing w:line="360" w:lineRule="auto"/>
        <w:ind w:firstLine="480" w:firstLineChars="200"/>
        <w:rPr>
          <w:rFonts w:hint="eastAsia" w:ascii="宋体" w:hAnsi="宋体"/>
          <w:sz w:val="24"/>
          <w:szCs w:val="28"/>
          <w:highlight w:val="none"/>
        </w:rPr>
      </w:pPr>
      <w:r>
        <w:rPr>
          <w:rFonts w:ascii="宋体" w:hAnsi="宋体"/>
          <w:sz w:val="24"/>
          <w:szCs w:val="28"/>
          <w:highlight w:val="none"/>
        </w:rPr>
        <w:t>1.</w:t>
      </w:r>
      <w:r>
        <w:rPr>
          <w:rFonts w:hint="eastAsia" w:ascii="宋体" w:hAnsi="宋体"/>
          <w:sz w:val="24"/>
          <w:szCs w:val="28"/>
          <w:highlight w:val="none"/>
        </w:rPr>
        <w:t>3产品</w:t>
      </w:r>
      <w:r>
        <w:rPr>
          <w:rFonts w:ascii="宋体" w:hAnsi="宋体"/>
          <w:sz w:val="24"/>
          <w:szCs w:val="28"/>
          <w:highlight w:val="none"/>
        </w:rPr>
        <w:t>/服务</w:t>
      </w:r>
      <w:r>
        <w:rPr>
          <w:rFonts w:hint="eastAsia" w:ascii="宋体" w:hAnsi="宋体"/>
          <w:sz w:val="24"/>
          <w:szCs w:val="28"/>
          <w:highlight w:val="none"/>
        </w:rPr>
        <w:t>质量要求。可另附“技术协议”进行约定</w:t>
      </w:r>
      <w:r>
        <w:rPr>
          <w:rFonts w:ascii="宋体" w:hAnsi="宋体"/>
          <w:sz w:val="24"/>
          <w:szCs w:val="28"/>
          <w:highlight w:val="none"/>
        </w:rPr>
        <w:t>。</w:t>
      </w:r>
    </w:p>
    <w:p w14:paraId="62A70B75">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1.3.1功能要求</w:t>
      </w:r>
    </w:p>
    <w:p w14:paraId="0A8EE868">
      <w:pPr>
        <w:spacing w:line="360" w:lineRule="auto"/>
        <w:ind w:firstLine="480" w:firstLineChars="200"/>
        <w:rPr>
          <w:rFonts w:hint="eastAsia" w:ascii="宋体" w:hAnsi="宋体"/>
          <w:sz w:val="24"/>
          <w:szCs w:val="28"/>
          <w:highlight w:val="none"/>
        </w:rPr>
      </w:pPr>
    </w:p>
    <w:p w14:paraId="73469661">
      <w:pPr>
        <w:spacing w:line="360" w:lineRule="auto"/>
        <w:ind w:firstLine="480" w:firstLineChars="200"/>
        <w:rPr>
          <w:rFonts w:hint="eastAsia" w:ascii="宋体" w:hAnsi="宋体"/>
          <w:sz w:val="24"/>
          <w:szCs w:val="28"/>
          <w:highlight w:val="none"/>
        </w:rPr>
      </w:pPr>
    </w:p>
    <w:p w14:paraId="1CBB5583">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1.3.2性能指标</w:t>
      </w:r>
    </w:p>
    <w:p w14:paraId="12310B87">
      <w:pPr>
        <w:spacing w:line="360" w:lineRule="auto"/>
        <w:ind w:firstLine="480" w:firstLineChars="200"/>
        <w:rPr>
          <w:rFonts w:hint="eastAsia" w:ascii="宋体" w:hAnsi="宋体"/>
          <w:sz w:val="24"/>
          <w:szCs w:val="28"/>
          <w:highlight w:val="none"/>
        </w:rPr>
      </w:pPr>
    </w:p>
    <w:p w14:paraId="45B09E08">
      <w:pPr>
        <w:spacing w:line="360" w:lineRule="auto"/>
        <w:ind w:firstLine="480" w:firstLineChars="200"/>
        <w:rPr>
          <w:rFonts w:hint="eastAsia" w:ascii="宋体" w:hAnsi="宋体"/>
          <w:sz w:val="24"/>
          <w:szCs w:val="28"/>
          <w:highlight w:val="none"/>
        </w:rPr>
      </w:pPr>
    </w:p>
    <w:p w14:paraId="33683F62">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1.3.3通用质量特性</w:t>
      </w:r>
    </w:p>
    <w:p w14:paraId="4B8C4B76">
      <w:pPr>
        <w:spacing w:line="360" w:lineRule="auto"/>
        <w:ind w:firstLine="480" w:firstLineChars="200"/>
        <w:rPr>
          <w:rFonts w:hint="eastAsia" w:ascii="宋体" w:hAnsi="宋体"/>
          <w:sz w:val="24"/>
          <w:szCs w:val="28"/>
          <w:highlight w:val="none"/>
        </w:rPr>
      </w:pPr>
    </w:p>
    <w:p w14:paraId="45E8EA0F">
      <w:pPr>
        <w:spacing w:line="360" w:lineRule="auto"/>
        <w:ind w:firstLine="480" w:firstLineChars="200"/>
        <w:rPr>
          <w:rFonts w:hint="eastAsia" w:ascii="宋体" w:hAnsi="宋体"/>
          <w:sz w:val="24"/>
          <w:szCs w:val="28"/>
          <w:highlight w:val="none"/>
        </w:rPr>
      </w:pPr>
    </w:p>
    <w:p w14:paraId="624D89EA">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1.3.4一般指标</w:t>
      </w:r>
    </w:p>
    <w:p w14:paraId="1A8D4DDD">
      <w:pPr>
        <w:spacing w:line="360" w:lineRule="auto"/>
        <w:ind w:firstLine="480" w:firstLineChars="200"/>
        <w:rPr>
          <w:rFonts w:hint="eastAsia" w:ascii="宋体" w:hAnsi="宋体"/>
          <w:sz w:val="24"/>
          <w:szCs w:val="28"/>
          <w:highlight w:val="none"/>
        </w:rPr>
      </w:pPr>
    </w:p>
    <w:p w14:paraId="67D4BC30">
      <w:pPr>
        <w:spacing w:line="360" w:lineRule="auto"/>
        <w:ind w:firstLine="480" w:firstLineChars="200"/>
        <w:rPr>
          <w:rFonts w:hint="eastAsia" w:ascii="宋体" w:hAnsi="宋体"/>
          <w:sz w:val="24"/>
          <w:szCs w:val="28"/>
          <w:highlight w:val="none"/>
        </w:rPr>
      </w:pPr>
    </w:p>
    <w:p w14:paraId="1DA640B0">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1.3.5其他</w:t>
      </w:r>
    </w:p>
    <w:p w14:paraId="72F4827F">
      <w:pPr>
        <w:spacing w:line="360" w:lineRule="auto"/>
        <w:ind w:firstLine="480" w:firstLineChars="200"/>
        <w:rPr>
          <w:rFonts w:hint="eastAsia" w:ascii="宋体" w:hAnsi="宋体"/>
          <w:sz w:val="24"/>
          <w:szCs w:val="28"/>
          <w:highlight w:val="none"/>
        </w:rPr>
      </w:pPr>
    </w:p>
    <w:p w14:paraId="62C825B2">
      <w:pPr>
        <w:spacing w:line="360" w:lineRule="auto"/>
        <w:ind w:firstLine="480" w:firstLineChars="200"/>
        <w:rPr>
          <w:rFonts w:hint="eastAsia" w:ascii="宋体" w:hAnsi="宋体"/>
          <w:sz w:val="24"/>
          <w:szCs w:val="28"/>
          <w:highlight w:val="none"/>
        </w:rPr>
      </w:pPr>
    </w:p>
    <w:p w14:paraId="6B88125C">
      <w:pPr>
        <w:spacing w:line="360" w:lineRule="auto"/>
        <w:jc w:val="center"/>
        <w:rPr>
          <w:rFonts w:hint="eastAsia" w:ascii="宋体" w:hAnsi="宋体"/>
          <w:b/>
          <w:sz w:val="24"/>
          <w:szCs w:val="28"/>
          <w:highlight w:val="none"/>
        </w:rPr>
      </w:pPr>
      <w:r>
        <w:rPr>
          <w:rFonts w:ascii="宋体" w:hAnsi="宋体"/>
          <w:b/>
          <w:sz w:val="24"/>
          <w:szCs w:val="28"/>
          <w:highlight w:val="none"/>
        </w:rPr>
        <w:t xml:space="preserve">二  </w:t>
      </w:r>
      <w:r>
        <w:rPr>
          <w:rFonts w:hint="eastAsia" w:ascii="宋体" w:hAnsi="宋体"/>
          <w:b/>
          <w:sz w:val="24"/>
          <w:szCs w:val="28"/>
          <w:highlight w:val="none"/>
        </w:rPr>
        <w:t>费用标准及</w:t>
      </w:r>
      <w:r>
        <w:rPr>
          <w:rFonts w:ascii="宋体" w:hAnsi="宋体"/>
          <w:b/>
          <w:sz w:val="24"/>
          <w:szCs w:val="28"/>
          <w:highlight w:val="none"/>
        </w:rPr>
        <w:t>支付方式</w:t>
      </w:r>
    </w:p>
    <w:p w14:paraId="1BFCDA3D">
      <w:pPr>
        <w:spacing w:line="360" w:lineRule="auto"/>
        <w:ind w:firstLine="480" w:firstLineChars="200"/>
        <w:rPr>
          <w:rFonts w:hint="eastAsia" w:ascii="宋体" w:hAnsi="宋体"/>
          <w:sz w:val="24"/>
          <w:szCs w:val="28"/>
          <w:highlight w:val="none"/>
        </w:rPr>
      </w:pPr>
      <w:r>
        <w:rPr>
          <w:rFonts w:ascii="宋体" w:hAnsi="宋体"/>
          <w:sz w:val="24"/>
          <w:szCs w:val="28"/>
          <w:highlight w:val="none"/>
        </w:rPr>
        <w:t>2.1本合同总价为人民币</w:t>
      </w:r>
      <w:r>
        <w:rPr>
          <w:rFonts w:ascii="宋体" w:hAnsi="宋体"/>
          <w:sz w:val="24"/>
          <w:szCs w:val="28"/>
          <w:highlight w:val="none"/>
          <w:u w:val="single"/>
        </w:rPr>
        <w:t xml:space="preserve">     </w:t>
      </w:r>
      <w:r>
        <w:rPr>
          <w:rFonts w:ascii="宋体" w:hAnsi="宋体"/>
          <w:sz w:val="24"/>
          <w:szCs w:val="28"/>
          <w:highlight w:val="none"/>
        </w:rPr>
        <w:t>万元（大写：</w:t>
      </w:r>
      <w:r>
        <w:rPr>
          <w:rFonts w:ascii="宋体" w:hAnsi="宋体"/>
          <w:sz w:val="24"/>
          <w:szCs w:val="28"/>
          <w:highlight w:val="none"/>
          <w:u w:val="single"/>
        </w:rPr>
        <w:t xml:space="preserve">               </w:t>
      </w:r>
      <w:r>
        <w:rPr>
          <w:rFonts w:ascii="宋体" w:hAnsi="宋体"/>
          <w:sz w:val="24"/>
          <w:szCs w:val="28"/>
          <w:highlight w:val="none"/>
        </w:rPr>
        <w:t>圆整）。</w:t>
      </w:r>
    </w:p>
    <w:p w14:paraId="15B043F8">
      <w:pPr>
        <w:spacing w:line="360" w:lineRule="auto"/>
        <w:ind w:firstLine="480" w:firstLineChars="200"/>
        <w:rPr>
          <w:rFonts w:hint="eastAsia" w:ascii="宋体" w:hAnsi="宋体"/>
          <w:sz w:val="24"/>
          <w:szCs w:val="28"/>
          <w:highlight w:val="none"/>
        </w:rPr>
      </w:pPr>
      <w:r>
        <w:rPr>
          <w:rFonts w:ascii="宋体" w:hAnsi="宋体"/>
          <w:sz w:val="24"/>
          <w:szCs w:val="28"/>
          <w:highlight w:val="none"/>
        </w:rPr>
        <w:t>该价格为固定价格，在合同有效期内不受原材料价格和其他因素的影响而改变。</w:t>
      </w:r>
      <w:r>
        <w:rPr>
          <w:rFonts w:hint="eastAsia" w:ascii="宋体" w:hAnsi="宋体"/>
          <w:sz w:val="24"/>
          <w:szCs w:val="28"/>
          <w:highlight w:val="none"/>
        </w:rPr>
        <w:t>该</w:t>
      </w:r>
      <w:r>
        <w:rPr>
          <w:rFonts w:ascii="宋体" w:hAnsi="宋体"/>
          <w:sz w:val="24"/>
          <w:szCs w:val="28"/>
          <w:highlight w:val="none"/>
        </w:rPr>
        <w:t>价格已包含乙方为履行本合同所发生的所有费用。根据国家有关税务的法律、法规和规定，乙方应该交纳的与本合同有关的税费，由乙方承担。本合同价格为含税价</w:t>
      </w:r>
      <w:r>
        <w:rPr>
          <w:rFonts w:hint="eastAsia" w:ascii="宋体" w:hAnsi="宋体"/>
          <w:sz w:val="24"/>
          <w:szCs w:val="28"/>
          <w:highlight w:val="none"/>
        </w:rPr>
        <w:t>，</w:t>
      </w:r>
      <w:r>
        <w:rPr>
          <w:rFonts w:ascii="宋体" w:hAnsi="宋体"/>
          <w:sz w:val="24"/>
          <w:szCs w:val="28"/>
          <w:highlight w:val="none"/>
        </w:rPr>
        <w:t>乙方提供的设备、技术资料、技术服务等所有税费</w:t>
      </w:r>
      <w:r>
        <w:rPr>
          <w:rFonts w:hint="eastAsia" w:ascii="宋体" w:hAnsi="宋体"/>
          <w:sz w:val="24"/>
          <w:szCs w:val="28"/>
          <w:highlight w:val="none"/>
        </w:rPr>
        <w:t>（</w:t>
      </w:r>
      <w:r>
        <w:rPr>
          <w:rFonts w:ascii="宋体" w:hAnsi="宋体"/>
          <w:sz w:val="24"/>
          <w:szCs w:val="28"/>
          <w:highlight w:val="none"/>
        </w:rPr>
        <w:t>包括保险费</w:t>
      </w:r>
      <w:r>
        <w:rPr>
          <w:rFonts w:hint="eastAsia" w:ascii="宋体" w:hAnsi="宋体"/>
          <w:sz w:val="24"/>
          <w:szCs w:val="28"/>
          <w:highlight w:val="none"/>
        </w:rPr>
        <w:t>）</w:t>
      </w:r>
      <w:r>
        <w:rPr>
          <w:rFonts w:ascii="宋体" w:hAnsi="宋体"/>
          <w:sz w:val="24"/>
          <w:szCs w:val="28"/>
          <w:highlight w:val="none"/>
        </w:rPr>
        <w:t>已全部包含在合同价格内，由乙方承担。</w:t>
      </w:r>
    </w:p>
    <w:p w14:paraId="4C280A05">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2.2经费支付方式及节点（可根据具体情况调整）</w:t>
      </w:r>
    </w:p>
    <w:p w14:paraId="5AB8761E">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2.2.1第一次付款</w:t>
      </w:r>
      <w:r>
        <w:rPr>
          <w:rFonts w:hint="eastAsia" w:ascii="宋体" w:hAnsi="宋体"/>
          <w:sz w:val="24"/>
          <w:szCs w:val="28"/>
          <w:highlight w:val="none"/>
          <w:u w:val="single"/>
        </w:rPr>
        <w:t xml:space="preserve">     </w:t>
      </w:r>
      <w:r>
        <w:rPr>
          <w:rFonts w:hint="eastAsia" w:ascii="宋体" w:hAnsi="宋体"/>
          <w:sz w:val="24"/>
          <w:szCs w:val="28"/>
          <w:highlight w:val="none"/>
        </w:rPr>
        <w:t>％，</w:t>
      </w:r>
      <w:r>
        <w:rPr>
          <w:rFonts w:hint="eastAsia" w:ascii="宋体" w:hAnsi="宋体"/>
          <w:sz w:val="24"/>
          <w:szCs w:val="28"/>
          <w:highlight w:val="none"/>
          <w:u w:val="single"/>
        </w:rPr>
        <w:t xml:space="preserve">       </w:t>
      </w:r>
      <w:r>
        <w:rPr>
          <w:rFonts w:hint="eastAsia" w:ascii="宋体" w:hAnsi="宋体"/>
          <w:sz w:val="24"/>
          <w:szCs w:val="28"/>
          <w:highlight w:val="none"/>
        </w:rPr>
        <w:t>万元，节点：合同生效后甲方向乙方支付预付款。</w:t>
      </w:r>
    </w:p>
    <w:p w14:paraId="0AE18CC9">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2.2.2第二次付款</w:t>
      </w:r>
      <w:r>
        <w:rPr>
          <w:rFonts w:hint="eastAsia" w:ascii="宋体" w:hAnsi="宋体"/>
          <w:sz w:val="24"/>
          <w:szCs w:val="28"/>
          <w:highlight w:val="none"/>
          <w:u w:val="single"/>
        </w:rPr>
        <w:t xml:space="preserve">    </w:t>
      </w:r>
      <w:r>
        <w:rPr>
          <w:rFonts w:hint="eastAsia" w:ascii="宋体" w:hAnsi="宋体"/>
          <w:sz w:val="24"/>
          <w:szCs w:val="28"/>
          <w:highlight w:val="none"/>
        </w:rPr>
        <w:t xml:space="preserve"> ％，</w:t>
      </w:r>
      <w:r>
        <w:rPr>
          <w:rFonts w:hint="eastAsia" w:ascii="宋体" w:hAnsi="宋体"/>
          <w:sz w:val="24"/>
          <w:szCs w:val="28"/>
          <w:highlight w:val="none"/>
          <w:u w:val="single"/>
        </w:rPr>
        <w:t xml:space="preserve">       </w:t>
      </w:r>
      <w:r>
        <w:rPr>
          <w:rFonts w:hint="eastAsia" w:ascii="宋体" w:hAnsi="宋体"/>
          <w:sz w:val="24"/>
          <w:szCs w:val="28"/>
          <w:highlight w:val="none"/>
        </w:rPr>
        <w:t>万元，节点：</w:t>
      </w:r>
      <w:bookmarkStart w:id="9" w:name="OLE_LINK17"/>
      <w:bookmarkStart w:id="10" w:name="OLE_LINK16"/>
      <w:r>
        <w:rPr>
          <w:rFonts w:hint="eastAsia" w:ascii="宋体" w:hAnsi="宋体"/>
          <w:sz w:val="24"/>
          <w:szCs w:val="28"/>
          <w:highlight w:val="none"/>
        </w:rPr>
        <w:t>乙方提供的产品/服务按照甲方要求送达指定地点后进行支付。</w:t>
      </w:r>
    </w:p>
    <w:bookmarkEnd w:id="9"/>
    <w:bookmarkEnd w:id="10"/>
    <w:p w14:paraId="1212DE0C">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2.2.3第三次付款</w:t>
      </w:r>
      <w:r>
        <w:rPr>
          <w:rFonts w:hint="eastAsia" w:ascii="宋体" w:hAnsi="宋体"/>
          <w:sz w:val="24"/>
          <w:szCs w:val="28"/>
          <w:highlight w:val="none"/>
          <w:u w:val="single"/>
        </w:rPr>
        <w:t xml:space="preserve">    </w:t>
      </w:r>
      <w:r>
        <w:rPr>
          <w:rFonts w:hint="eastAsia" w:ascii="宋体" w:hAnsi="宋体"/>
          <w:sz w:val="24"/>
          <w:szCs w:val="28"/>
          <w:highlight w:val="none"/>
        </w:rPr>
        <w:t xml:space="preserve"> ％，</w:t>
      </w:r>
      <w:r>
        <w:rPr>
          <w:rFonts w:hint="eastAsia" w:ascii="宋体" w:hAnsi="宋体"/>
          <w:sz w:val="24"/>
          <w:szCs w:val="28"/>
          <w:highlight w:val="none"/>
          <w:u w:val="single"/>
        </w:rPr>
        <w:t xml:space="preserve">       </w:t>
      </w:r>
      <w:r>
        <w:rPr>
          <w:rFonts w:hint="eastAsia" w:ascii="宋体" w:hAnsi="宋体"/>
          <w:sz w:val="24"/>
          <w:szCs w:val="28"/>
          <w:highlight w:val="none"/>
        </w:rPr>
        <w:t>万元，节点：乙方提供的产品/服务经甲方验收合格后进行支付。</w:t>
      </w:r>
    </w:p>
    <w:p w14:paraId="2E460A05">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2.3每次</w:t>
      </w:r>
      <w:r>
        <w:rPr>
          <w:rFonts w:ascii="宋体" w:hAnsi="宋体"/>
          <w:sz w:val="24"/>
          <w:szCs w:val="28"/>
          <w:highlight w:val="none"/>
        </w:rPr>
        <w:t>付款前乙方应向甲方出具等额的合法增值税</w:t>
      </w:r>
      <w:r>
        <w:rPr>
          <w:rFonts w:hint="eastAsia" w:ascii="宋体" w:hAnsi="宋体"/>
          <w:sz w:val="24"/>
          <w:szCs w:val="28"/>
          <w:highlight w:val="none"/>
          <w:u w:val="single"/>
        </w:rPr>
        <w:t xml:space="preserve">     </w:t>
      </w:r>
      <w:r>
        <w:rPr>
          <w:rFonts w:ascii="宋体" w:hAnsi="宋体"/>
          <w:sz w:val="24"/>
          <w:szCs w:val="28"/>
          <w:highlight w:val="none"/>
        </w:rPr>
        <w:t>发票，甲方收到发票后</w:t>
      </w:r>
      <w:r>
        <w:rPr>
          <w:rFonts w:ascii="宋体" w:hAnsi="宋体"/>
          <w:sz w:val="24"/>
          <w:szCs w:val="28"/>
          <w:highlight w:val="none"/>
          <w:u w:val="single"/>
        </w:rPr>
        <w:t xml:space="preserve">    </w:t>
      </w:r>
      <w:r>
        <w:rPr>
          <w:rFonts w:hint="eastAsia" w:ascii="宋体" w:hAnsi="宋体"/>
          <w:sz w:val="24"/>
          <w:szCs w:val="28"/>
          <w:highlight w:val="none"/>
        </w:rPr>
        <w:t>个</w:t>
      </w:r>
      <w:r>
        <w:rPr>
          <w:rFonts w:ascii="宋体" w:hAnsi="宋体"/>
          <w:sz w:val="24"/>
          <w:szCs w:val="28"/>
          <w:highlight w:val="none"/>
        </w:rPr>
        <w:t>工作日内付款。</w:t>
      </w:r>
    </w:p>
    <w:p w14:paraId="2123B7F2">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2.4</w:t>
      </w:r>
      <w:r>
        <w:rPr>
          <w:rFonts w:ascii="宋体" w:hAnsi="宋体"/>
          <w:sz w:val="24"/>
          <w:szCs w:val="28"/>
          <w:highlight w:val="none"/>
        </w:rPr>
        <w:t>甲方采用银行转账或双方约定的其他方式支付合同款，乙方开具的增值税发票应事先得到甲方的认可。</w:t>
      </w:r>
    </w:p>
    <w:p w14:paraId="7E6077F0">
      <w:pPr>
        <w:spacing w:line="360" w:lineRule="auto"/>
        <w:ind w:firstLine="480" w:firstLineChars="200"/>
        <w:rPr>
          <w:rFonts w:hint="eastAsia" w:ascii="宋体" w:hAnsi="宋体"/>
          <w:sz w:val="24"/>
          <w:szCs w:val="28"/>
          <w:highlight w:val="none"/>
        </w:rPr>
      </w:pPr>
      <w:r>
        <w:rPr>
          <w:rFonts w:ascii="宋体" w:hAnsi="宋体"/>
          <w:sz w:val="24"/>
          <w:szCs w:val="28"/>
          <w:highlight w:val="none"/>
        </w:rPr>
        <w:t>乙方收款信息：</w:t>
      </w:r>
    </w:p>
    <w:p w14:paraId="472C3527">
      <w:pPr>
        <w:spacing w:line="360" w:lineRule="auto"/>
        <w:ind w:firstLine="480" w:firstLineChars="200"/>
        <w:rPr>
          <w:rFonts w:hint="eastAsia" w:ascii="宋体" w:hAnsi="宋体"/>
          <w:sz w:val="24"/>
          <w:szCs w:val="28"/>
          <w:highlight w:val="none"/>
        </w:rPr>
      </w:pPr>
      <w:r>
        <w:rPr>
          <w:rFonts w:ascii="宋体" w:hAnsi="宋体"/>
          <w:sz w:val="24"/>
          <w:szCs w:val="28"/>
          <w:highlight w:val="none"/>
        </w:rPr>
        <w:t>开户银行：</w:t>
      </w:r>
    </w:p>
    <w:p w14:paraId="19438B7E">
      <w:pPr>
        <w:spacing w:line="360" w:lineRule="auto"/>
        <w:ind w:firstLine="480" w:firstLineChars="200"/>
        <w:rPr>
          <w:rFonts w:hint="eastAsia" w:ascii="宋体" w:hAnsi="宋体"/>
          <w:sz w:val="24"/>
          <w:szCs w:val="28"/>
          <w:highlight w:val="none"/>
        </w:rPr>
      </w:pPr>
      <w:r>
        <w:rPr>
          <w:rFonts w:ascii="宋体" w:hAnsi="宋体"/>
          <w:sz w:val="24"/>
          <w:szCs w:val="28"/>
          <w:highlight w:val="none"/>
        </w:rPr>
        <w:t>开户名称：</w:t>
      </w:r>
    </w:p>
    <w:p w14:paraId="1DE74FF6">
      <w:pPr>
        <w:spacing w:line="360" w:lineRule="auto"/>
        <w:ind w:firstLine="480" w:firstLineChars="200"/>
        <w:rPr>
          <w:rFonts w:hint="eastAsia" w:ascii="宋体" w:hAnsi="宋体"/>
          <w:sz w:val="24"/>
          <w:szCs w:val="28"/>
          <w:highlight w:val="none"/>
        </w:rPr>
      </w:pPr>
      <w:r>
        <w:rPr>
          <w:rFonts w:ascii="宋体" w:hAnsi="宋体"/>
          <w:sz w:val="24"/>
          <w:szCs w:val="28"/>
          <w:highlight w:val="none"/>
        </w:rPr>
        <w:t>账号：</w:t>
      </w:r>
    </w:p>
    <w:p w14:paraId="6486C5EB">
      <w:pPr>
        <w:spacing w:line="360" w:lineRule="auto"/>
        <w:ind w:firstLine="480" w:firstLineChars="200"/>
        <w:rPr>
          <w:rFonts w:hint="eastAsia" w:ascii="宋体" w:hAnsi="宋体"/>
          <w:sz w:val="24"/>
          <w:szCs w:val="28"/>
          <w:highlight w:val="none"/>
        </w:rPr>
      </w:pPr>
      <w:r>
        <w:rPr>
          <w:rFonts w:ascii="宋体" w:hAnsi="宋体"/>
          <w:sz w:val="24"/>
          <w:szCs w:val="28"/>
          <w:highlight w:val="none"/>
        </w:rPr>
        <w:t>税号：</w:t>
      </w:r>
    </w:p>
    <w:p w14:paraId="5C457DA5">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乙方联系人：</w:t>
      </w:r>
    </w:p>
    <w:p w14:paraId="66921BD8">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乙方联系方式：</w:t>
      </w:r>
    </w:p>
    <w:p w14:paraId="3BC2ACBC">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联系地址及邮编：</w:t>
      </w:r>
    </w:p>
    <w:p w14:paraId="5DCB281E">
      <w:pPr>
        <w:pStyle w:val="27"/>
        <w:rPr>
          <w:highlight w:val="none"/>
        </w:rPr>
      </w:pPr>
    </w:p>
    <w:p w14:paraId="717E3ECE">
      <w:pPr>
        <w:spacing w:line="360" w:lineRule="auto"/>
        <w:jc w:val="center"/>
        <w:rPr>
          <w:rFonts w:hint="eastAsia" w:ascii="宋体" w:hAnsi="宋体"/>
          <w:b/>
          <w:sz w:val="24"/>
          <w:szCs w:val="28"/>
          <w:highlight w:val="none"/>
        </w:rPr>
      </w:pPr>
      <w:r>
        <w:rPr>
          <w:rFonts w:hint="eastAsia" w:ascii="宋体" w:hAnsi="宋体"/>
          <w:b/>
          <w:sz w:val="24"/>
          <w:szCs w:val="28"/>
          <w:highlight w:val="none"/>
        </w:rPr>
        <w:t>三  履行期限、地点和方式</w:t>
      </w:r>
    </w:p>
    <w:p w14:paraId="4312D6A2">
      <w:pPr>
        <w:spacing w:line="360" w:lineRule="auto"/>
        <w:ind w:firstLine="480" w:firstLineChars="200"/>
        <w:jc w:val="left"/>
        <w:rPr>
          <w:rFonts w:hint="eastAsia" w:ascii="宋体" w:hAnsi="宋体"/>
          <w:sz w:val="24"/>
          <w:szCs w:val="28"/>
          <w:highlight w:val="none"/>
        </w:rPr>
      </w:pPr>
      <w:r>
        <w:rPr>
          <w:rFonts w:hint="eastAsia" w:ascii="宋体" w:hAnsi="宋体"/>
          <w:sz w:val="24"/>
          <w:szCs w:val="28"/>
          <w:highlight w:val="none"/>
        </w:rPr>
        <w:t>3</w:t>
      </w:r>
      <w:r>
        <w:rPr>
          <w:rFonts w:ascii="宋体" w:hAnsi="宋体"/>
          <w:sz w:val="24"/>
          <w:szCs w:val="28"/>
          <w:highlight w:val="none"/>
        </w:rPr>
        <w:t>.1本合同经甲乙双方代表签字盖章后立即生效，至双方的责任、义务履行完毕后失效。</w:t>
      </w:r>
    </w:p>
    <w:p w14:paraId="2D9C2B86">
      <w:pPr>
        <w:spacing w:line="360" w:lineRule="auto"/>
        <w:ind w:firstLine="480" w:firstLineChars="200"/>
        <w:jc w:val="left"/>
        <w:rPr>
          <w:rFonts w:hint="eastAsia" w:ascii="宋体" w:hAnsi="宋体"/>
          <w:sz w:val="24"/>
          <w:szCs w:val="28"/>
          <w:highlight w:val="none"/>
        </w:rPr>
      </w:pPr>
      <w:r>
        <w:rPr>
          <w:rFonts w:hint="eastAsia" w:ascii="宋体" w:hAnsi="宋体"/>
          <w:sz w:val="24"/>
          <w:szCs w:val="28"/>
          <w:highlight w:val="none"/>
        </w:rPr>
        <w:t>3.2交货期限：</w:t>
      </w:r>
      <w:r>
        <w:rPr>
          <w:rFonts w:ascii="宋体" w:hAnsi="宋体"/>
          <w:sz w:val="24"/>
          <w:szCs w:val="28"/>
          <w:highlight w:val="none"/>
          <w:u w:val="single"/>
        </w:rPr>
        <w:t xml:space="preserve">                   </w:t>
      </w:r>
    </w:p>
    <w:p w14:paraId="0BB311CA">
      <w:pPr>
        <w:spacing w:line="360" w:lineRule="auto"/>
        <w:ind w:firstLine="480" w:firstLineChars="200"/>
        <w:jc w:val="left"/>
        <w:rPr>
          <w:rFonts w:hint="eastAsia" w:ascii="宋体" w:hAnsi="宋体"/>
          <w:sz w:val="24"/>
          <w:szCs w:val="28"/>
          <w:highlight w:val="none"/>
          <w:u w:val="single"/>
        </w:rPr>
      </w:pPr>
      <w:r>
        <w:rPr>
          <w:rFonts w:hint="eastAsia" w:ascii="宋体" w:hAnsi="宋体"/>
          <w:sz w:val="24"/>
          <w:szCs w:val="28"/>
          <w:highlight w:val="none"/>
        </w:rPr>
        <w:t>3.3交货</w:t>
      </w:r>
      <w:r>
        <w:rPr>
          <w:rFonts w:ascii="宋体" w:hAnsi="宋体"/>
          <w:sz w:val="24"/>
          <w:szCs w:val="28"/>
          <w:highlight w:val="none"/>
        </w:rPr>
        <w:t>地点：</w:t>
      </w:r>
      <w:r>
        <w:rPr>
          <w:rFonts w:ascii="宋体" w:hAnsi="宋体"/>
          <w:sz w:val="24"/>
          <w:szCs w:val="28"/>
          <w:highlight w:val="none"/>
          <w:u w:val="single"/>
        </w:rPr>
        <w:t xml:space="preserve">                   </w:t>
      </w:r>
    </w:p>
    <w:p w14:paraId="29C09F4C">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3</w:t>
      </w:r>
      <w:r>
        <w:rPr>
          <w:rFonts w:ascii="宋体" w:hAnsi="宋体"/>
          <w:sz w:val="24"/>
          <w:szCs w:val="28"/>
          <w:highlight w:val="none"/>
        </w:rPr>
        <w:t>.</w:t>
      </w:r>
      <w:r>
        <w:rPr>
          <w:rFonts w:hint="eastAsia" w:ascii="宋体" w:hAnsi="宋体"/>
          <w:sz w:val="24"/>
          <w:szCs w:val="28"/>
          <w:highlight w:val="none"/>
        </w:rPr>
        <w:t>4</w:t>
      </w:r>
      <w:r>
        <w:rPr>
          <w:rFonts w:ascii="宋体" w:hAnsi="宋体"/>
          <w:sz w:val="24"/>
          <w:szCs w:val="28"/>
          <w:highlight w:val="none"/>
        </w:rPr>
        <w:t>运输方式：由乙方负责</w:t>
      </w:r>
      <w:r>
        <w:rPr>
          <w:rFonts w:hint="eastAsia" w:ascii="宋体" w:hAnsi="宋体"/>
          <w:sz w:val="24"/>
          <w:szCs w:val="28"/>
          <w:highlight w:val="none"/>
        </w:rPr>
        <w:t>产品/服务的包装、</w:t>
      </w:r>
      <w:r>
        <w:rPr>
          <w:rFonts w:ascii="宋体" w:hAnsi="宋体"/>
          <w:sz w:val="24"/>
          <w:szCs w:val="28"/>
          <w:highlight w:val="none"/>
        </w:rPr>
        <w:t>运输</w:t>
      </w:r>
      <w:r>
        <w:rPr>
          <w:rFonts w:hint="eastAsia" w:ascii="宋体" w:hAnsi="宋体"/>
          <w:sz w:val="24"/>
          <w:szCs w:val="28"/>
          <w:highlight w:val="none"/>
        </w:rPr>
        <w:t>及交付</w:t>
      </w:r>
      <w:r>
        <w:rPr>
          <w:rFonts w:ascii="宋体" w:hAnsi="宋体"/>
          <w:sz w:val="24"/>
          <w:szCs w:val="28"/>
          <w:highlight w:val="none"/>
        </w:rPr>
        <w:t>，</w:t>
      </w:r>
      <w:r>
        <w:rPr>
          <w:rFonts w:hint="eastAsia" w:ascii="宋体" w:hAnsi="宋体"/>
          <w:sz w:val="24"/>
          <w:szCs w:val="28"/>
          <w:highlight w:val="none"/>
        </w:rPr>
        <w:t>相关</w:t>
      </w:r>
      <w:r>
        <w:rPr>
          <w:rFonts w:ascii="宋体" w:hAnsi="宋体"/>
          <w:sz w:val="24"/>
          <w:szCs w:val="28"/>
          <w:highlight w:val="none"/>
        </w:rPr>
        <w:t>费用由乙方承担。</w:t>
      </w:r>
      <w:r>
        <w:rPr>
          <w:rFonts w:hint="eastAsia" w:ascii="宋体" w:hAnsi="宋体"/>
          <w:sz w:val="24"/>
          <w:szCs w:val="28"/>
          <w:highlight w:val="none"/>
        </w:rPr>
        <w:t>乙方交付的产品/服务须符合国家标准中关于包装、储运指示标志的规定及设备承运部门的规定，具有适合长途运输、多次搬运和装卸的坚固包装，以确保合同货物安全、无损地运抵现场。</w:t>
      </w:r>
    </w:p>
    <w:p w14:paraId="405851B1">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3.5产品/服务</w:t>
      </w:r>
      <w:r>
        <w:rPr>
          <w:rFonts w:ascii="宋体" w:hAnsi="宋体"/>
          <w:sz w:val="24"/>
          <w:szCs w:val="28"/>
          <w:highlight w:val="none"/>
        </w:rPr>
        <w:t>的所有权自交付之后转移，</w:t>
      </w:r>
      <w:r>
        <w:rPr>
          <w:rFonts w:hint="eastAsia" w:ascii="宋体" w:hAnsi="宋体"/>
          <w:sz w:val="24"/>
          <w:szCs w:val="28"/>
          <w:highlight w:val="none"/>
        </w:rPr>
        <w:t>产品/服务</w:t>
      </w:r>
      <w:r>
        <w:rPr>
          <w:rFonts w:ascii="宋体" w:hAnsi="宋体"/>
          <w:sz w:val="24"/>
          <w:szCs w:val="28"/>
          <w:highlight w:val="none"/>
        </w:rPr>
        <w:t>损毁灭失的风险在交付前由乙方承担，交付后由甲方承担。</w:t>
      </w:r>
    </w:p>
    <w:p w14:paraId="172BDA0E">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3.6</w:t>
      </w:r>
      <w:r>
        <w:rPr>
          <w:rFonts w:ascii="宋体" w:hAnsi="宋体"/>
          <w:sz w:val="24"/>
          <w:szCs w:val="28"/>
          <w:highlight w:val="none"/>
        </w:rPr>
        <w:t>产品合格证、维修使用说明、质量保证书、技术资料等文件资料由乙方在交付设备的时候一同交付，或者在交货期满前交付，</w:t>
      </w:r>
      <w:r>
        <w:rPr>
          <w:rFonts w:hint="eastAsia" w:ascii="宋体" w:hAnsi="宋体"/>
          <w:sz w:val="24"/>
          <w:szCs w:val="28"/>
          <w:highlight w:val="none"/>
        </w:rPr>
        <w:t>《</w:t>
      </w:r>
      <w:r>
        <w:rPr>
          <w:rFonts w:ascii="宋体" w:hAnsi="宋体"/>
          <w:sz w:val="24"/>
          <w:szCs w:val="28"/>
          <w:highlight w:val="none"/>
        </w:rPr>
        <w:t>技术协议</w:t>
      </w:r>
      <w:r>
        <w:rPr>
          <w:rFonts w:hint="eastAsia" w:ascii="宋体" w:hAnsi="宋体"/>
          <w:sz w:val="24"/>
          <w:szCs w:val="28"/>
          <w:highlight w:val="none"/>
        </w:rPr>
        <w:t>》</w:t>
      </w:r>
      <w:r>
        <w:rPr>
          <w:rFonts w:ascii="宋体" w:hAnsi="宋体"/>
          <w:sz w:val="24"/>
          <w:szCs w:val="28"/>
          <w:highlight w:val="none"/>
        </w:rPr>
        <w:t>另有约定的，按</w:t>
      </w:r>
      <w:r>
        <w:rPr>
          <w:rFonts w:hint="eastAsia" w:ascii="宋体" w:hAnsi="宋体"/>
          <w:sz w:val="24"/>
          <w:szCs w:val="28"/>
          <w:highlight w:val="none"/>
        </w:rPr>
        <w:t>《</w:t>
      </w:r>
      <w:r>
        <w:rPr>
          <w:rFonts w:ascii="宋体" w:hAnsi="宋体"/>
          <w:sz w:val="24"/>
          <w:szCs w:val="28"/>
          <w:highlight w:val="none"/>
        </w:rPr>
        <w:t>技术协议</w:t>
      </w:r>
      <w:r>
        <w:rPr>
          <w:rFonts w:hint="eastAsia" w:ascii="宋体" w:hAnsi="宋体"/>
          <w:sz w:val="24"/>
          <w:szCs w:val="28"/>
          <w:highlight w:val="none"/>
        </w:rPr>
        <w:t>》</w:t>
      </w:r>
      <w:r>
        <w:rPr>
          <w:rFonts w:ascii="宋体" w:hAnsi="宋体"/>
          <w:sz w:val="24"/>
          <w:szCs w:val="28"/>
          <w:highlight w:val="none"/>
        </w:rPr>
        <w:t>的约定执行。</w:t>
      </w:r>
    </w:p>
    <w:p w14:paraId="4420EBC5">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3.7</w:t>
      </w:r>
      <w:r>
        <w:rPr>
          <w:rFonts w:ascii="宋体" w:hAnsi="宋体"/>
          <w:sz w:val="24"/>
          <w:szCs w:val="28"/>
          <w:highlight w:val="none"/>
        </w:rPr>
        <w:t>乙方须按甲方要求派有关工作人员到交货地点协助</w:t>
      </w:r>
      <w:r>
        <w:rPr>
          <w:rFonts w:hint="eastAsia" w:ascii="宋体" w:hAnsi="宋体"/>
          <w:sz w:val="24"/>
          <w:szCs w:val="28"/>
          <w:highlight w:val="none"/>
        </w:rPr>
        <w:t>产品/服务</w:t>
      </w:r>
      <w:r>
        <w:rPr>
          <w:rFonts w:ascii="宋体" w:hAnsi="宋体"/>
          <w:sz w:val="24"/>
          <w:szCs w:val="28"/>
          <w:highlight w:val="none"/>
        </w:rPr>
        <w:t>的接收</w:t>
      </w:r>
      <w:r>
        <w:rPr>
          <w:rFonts w:hint="eastAsia" w:ascii="宋体" w:hAnsi="宋体"/>
          <w:sz w:val="24"/>
          <w:szCs w:val="28"/>
          <w:highlight w:val="none"/>
        </w:rPr>
        <w:t>、安装、调试、</w:t>
      </w:r>
      <w:r>
        <w:rPr>
          <w:rFonts w:ascii="宋体" w:hAnsi="宋体"/>
          <w:sz w:val="24"/>
          <w:szCs w:val="28"/>
          <w:highlight w:val="none"/>
        </w:rPr>
        <w:t>验收</w:t>
      </w:r>
      <w:r>
        <w:rPr>
          <w:rFonts w:hint="eastAsia" w:ascii="宋体" w:hAnsi="宋体"/>
          <w:sz w:val="24"/>
          <w:szCs w:val="28"/>
          <w:highlight w:val="none"/>
        </w:rPr>
        <w:t>以及有关的技术指导</w:t>
      </w:r>
      <w:r>
        <w:rPr>
          <w:rFonts w:ascii="宋体" w:hAnsi="宋体"/>
          <w:sz w:val="24"/>
          <w:szCs w:val="28"/>
          <w:highlight w:val="none"/>
        </w:rPr>
        <w:t>。</w:t>
      </w:r>
    </w:p>
    <w:p w14:paraId="3C945152">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3.8产品/服务</w:t>
      </w:r>
      <w:r>
        <w:rPr>
          <w:rFonts w:ascii="宋体" w:hAnsi="宋体"/>
          <w:sz w:val="24"/>
          <w:szCs w:val="28"/>
          <w:highlight w:val="none"/>
        </w:rPr>
        <w:t>到货后甲乙双方应根据</w:t>
      </w:r>
      <w:r>
        <w:rPr>
          <w:rFonts w:hint="eastAsia" w:ascii="宋体" w:hAnsi="宋体"/>
          <w:sz w:val="24"/>
          <w:szCs w:val="28"/>
          <w:highlight w:val="none"/>
        </w:rPr>
        <w:t>合同约定的条款</w:t>
      </w:r>
      <w:r>
        <w:rPr>
          <w:rFonts w:ascii="宋体" w:hAnsi="宋体"/>
          <w:sz w:val="24"/>
          <w:szCs w:val="28"/>
          <w:highlight w:val="none"/>
        </w:rPr>
        <w:t>对实际运到合同</w:t>
      </w:r>
      <w:r>
        <w:rPr>
          <w:rFonts w:hint="eastAsia" w:ascii="宋体" w:hAnsi="宋体"/>
          <w:sz w:val="24"/>
          <w:szCs w:val="28"/>
          <w:highlight w:val="none"/>
        </w:rPr>
        <w:t>产品</w:t>
      </w:r>
      <w:r>
        <w:rPr>
          <w:rFonts w:ascii="宋体" w:hAnsi="宋体"/>
          <w:sz w:val="24"/>
          <w:szCs w:val="28"/>
          <w:highlight w:val="none"/>
        </w:rPr>
        <w:t>进行清点核对，如发现合同</w:t>
      </w:r>
      <w:r>
        <w:rPr>
          <w:rFonts w:hint="eastAsia" w:ascii="宋体" w:hAnsi="宋体"/>
          <w:sz w:val="24"/>
          <w:szCs w:val="28"/>
          <w:highlight w:val="none"/>
        </w:rPr>
        <w:t>产品</w:t>
      </w:r>
      <w:r>
        <w:rPr>
          <w:rFonts w:ascii="宋体" w:hAnsi="宋体"/>
          <w:sz w:val="24"/>
          <w:szCs w:val="28"/>
          <w:highlight w:val="none"/>
        </w:rPr>
        <w:t>与</w:t>
      </w:r>
      <w:r>
        <w:rPr>
          <w:rFonts w:hint="eastAsia" w:ascii="宋体" w:hAnsi="宋体"/>
          <w:sz w:val="24"/>
          <w:szCs w:val="28"/>
          <w:highlight w:val="none"/>
        </w:rPr>
        <w:t>合同</w:t>
      </w:r>
      <w:r>
        <w:rPr>
          <w:rFonts w:ascii="宋体" w:hAnsi="宋体"/>
          <w:sz w:val="24"/>
          <w:szCs w:val="28"/>
          <w:highlight w:val="none"/>
        </w:rPr>
        <w:t>不一致将被认定为乙方缺少、丢失或者过量供货，该清点过程双方作好记录并签字确认。</w:t>
      </w:r>
    </w:p>
    <w:p w14:paraId="7B10EC44">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3.9</w:t>
      </w:r>
      <w:r>
        <w:rPr>
          <w:rFonts w:ascii="宋体" w:hAnsi="宋体"/>
          <w:sz w:val="24"/>
          <w:szCs w:val="28"/>
          <w:highlight w:val="none"/>
        </w:rPr>
        <w:t>乙方须对合同</w:t>
      </w:r>
      <w:r>
        <w:rPr>
          <w:rFonts w:hint="eastAsia" w:ascii="宋体" w:hAnsi="宋体"/>
          <w:sz w:val="24"/>
          <w:szCs w:val="28"/>
          <w:highlight w:val="none"/>
        </w:rPr>
        <w:t>产品/服务</w:t>
      </w:r>
      <w:r>
        <w:rPr>
          <w:rFonts w:ascii="宋体" w:hAnsi="宋体"/>
          <w:sz w:val="24"/>
          <w:szCs w:val="28"/>
          <w:highlight w:val="none"/>
        </w:rPr>
        <w:t>，根据水运、陆运和空运等运输方式，向保险公司以甲方为受益人投保发运合同总价110％的运输一切险或其他险种，保险区段为乙方发货地点到甲方指定仓库或场地的合同交货地点为止。</w:t>
      </w:r>
    </w:p>
    <w:p w14:paraId="52AC5818">
      <w:pPr>
        <w:pStyle w:val="27"/>
        <w:rPr>
          <w:highlight w:val="none"/>
        </w:rPr>
      </w:pPr>
    </w:p>
    <w:p w14:paraId="062C5843">
      <w:pPr>
        <w:spacing w:line="360" w:lineRule="auto"/>
        <w:jc w:val="center"/>
        <w:rPr>
          <w:rFonts w:hint="eastAsia" w:ascii="宋体" w:hAnsi="宋体"/>
          <w:b/>
          <w:sz w:val="24"/>
          <w:szCs w:val="28"/>
          <w:highlight w:val="none"/>
        </w:rPr>
      </w:pPr>
      <w:r>
        <w:rPr>
          <w:rFonts w:hint="eastAsia" w:ascii="宋体" w:hAnsi="宋体"/>
          <w:b/>
          <w:sz w:val="24"/>
          <w:szCs w:val="28"/>
          <w:highlight w:val="none"/>
        </w:rPr>
        <w:t>四  质量保证</w:t>
      </w:r>
    </w:p>
    <w:p w14:paraId="1DA9B7C1">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4.1乙方应具备完成标的产品</w:t>
      </w:r>
      <w:r>
        <w:rPr>
          <w:rFonts w:ascii="宋体" w:hAnsi="宋体"/>
          <w:sz w:val="24"/>
          <w:szCs w:val="28"/>
          <w:highlight w:val="none"/>
        </w:rPr>
        <w:t>/服务</w:t>
      </w:r>
      <w:r>
        <w:rPr>
          <w:rFonts w:hint="eastAsia" w:ascii="宋体" w:hAnsi="宋体"/>
          <w:sz w:val="24"/>
          <w:szCs w:val="28"/>
          <w:highlight w:val="none"/>
        </w:rPr>
        <w:t>的资质和技术证书。乙方的资质和技术证书变化时，应当在</w:t>
      </w:r>
      <w:r>
        <w:rPr>
          <w:rFonts w:hint="eastAsia" w:ascii="宋体" w:hAnsi="宋体"/>
          <w:sz w:val="24"/>
          <w:szCs w:val="28"/>
          <w:highlight w:val="none"/>
          <w:u w:val="single"/>
        </w:rPr>
        <w:t xml:space="preserve">    </w:t>
      </w:r>
      <w:r>
        <w:rPr>
          <w:rFonts w:hint="eastAsia" w:ascii="宋体" w:hAnsi="宋体"/>
          <w:sz w:val="24"/>
          <w:szCs w:val="28"/>
          <w:highlight w:val="none"/>
        </w:rPr>
        <w:t>个工作日内书面通知甲方。</w:t>
      </w:r>
    </w:p>
    <w:p w14:paraId="0E245698">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4.2乙方按照甲方确定的研制、生产相关工作要求，开展产品</w:t>
      </w:r>
      <w:r>
        <w:rPr>
          <w:rFonts w:ascii="宋体" w:hAnsi="宋体"/>
          <w:sz w:val="24"/>
          <w:szCs w:val="28"/>
          <w:highlight w:val="none"/>
        </w:rPr>
        <w:t>/服务</w:t>
      </w:r>
      <w:r>
        <w:rPr>
          <w:rFonts w:hint="eastAsia" w:ascii="宋体" w:hAnsi="宋体"/>
          <w:sz w:val="24"/>
          <w:szCs w:val="28"/>
          <w:highlight w:val="none"/>
        </w:rPr>
        <w:t>的设计工作，编制产品</w:t>
      </w:r>
      <w:r>
        <w:rPr>
          <w:rFonts w:ascii="宋体" w:hAnsi="宋体"/>
          <w:sz w:val="24"/>
          <w:szCs w:val="28"/>
          <w:highlight w:val="none"/>
        </w:rPr>
        <w:t>/服务</w:t>
      </w:r>
      <w:r>
        <w:rPr>
          <w:rFonts w:hint="eastAsia" w:ascii="宋体" w:hAnsi="宋体"/>
          <w:sz w:val="24"/>
          <w:szCs w:val="28"/>
          <w:highlight w:val="none"/>
        </w:rPr>
        <w:t>设计方案，并于合同签订后</w:t>
      </w:r>
      <w:r>
        <w:rPr>
          <w:rFonts w:hint="eastAsia" w:ascii="宋体" w:hAnsi="宋体"/>
          <w:sz w:val="24"/>
          <w:szCs w:val="28"/>
          <w:highlight w:val="none"/>
          <w:u w:val="single"/>
        </w:rPr>
        <w:t xml:space="preserve">   </w:t>
      </w:r>
      <w:r>
        <w:rPr>
          <w:rFonts w:hint="eastAsia" w:ascii="宋体" w:hAnsi="宋体"/>
          <w:sz w:val="24"/>
          <w:szCs w:val="28"/>
          <w:highlight w:val="none"/>
        </w:rPr>
        <w:t>个工作日内提交甲方。</w:t>
      </w:r>
    </w:p>
    <w:p w14:paraId="0FC118D3">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4.3文件和记录控制</w:t>
      </w:r>
    </w:p>
    <w:p w14:paraId="4DEDA9A7">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甲方应当向乙方提供产品技术指标要求、技术状态文件、验证要求规范等相关技术资料，并进行技术交底。</w:t>
      </w:r>
    </w:p>
    <w:p w14:paraId="2E97BA50">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乙方成套资料管理应当符合甲方技术资料管理相关文件的规定。乙方提供的成套技术资料的项目包括</w:t>
      </w:r>
      <w:r>
        <w:rPr>
          <w:rFonts w:hint="eastAsia" w:ascii="宋体" w:hAnsi="宋体"/>
          <w:sz w:val="24"/>
          <w:szCs w:val="28"/>
          <w:highlight w:val="none"/>
          <w:u w:val="single"/>
        </w:rPr>
        <w:t xml:space="preserve">              </w:t>
      </w:r>
      <w:r>
        <w:rPr>
          <w:rFonts w:hint="eastAsia" w:ascii="宋体" w:hAnsi="宋体"/>
          <w:sz w:val="24"/>
          <w:szCs w:val="28"/>
          <w:highlight w:val="none"/>
        </w:rPr>
        <w:t>。乙方保证产品实现过程的质量记录完整、清晰、易于检索。甲方有查阅的权利，未经乙方同意，不得泄露给第三方。</w:t>
      </w:r>
    </w:p>
    <w:p w14:paraId="442BC32C">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u w:val="single"/>
        </w:rPr>
        <w:t xml:space="preserve">       </w:t>
      </w:r>
      <w:r>
        <w:rPr>
          <w:rFonts w:hint="eastAsia" w:ascii="宋体" w:hAnsi="宋体"/>
          <w:sz w:val="24"/>
          <w:szCs w:val="28"/>
          <w:highlight w:val="none"/>
        </w:rPr>
        <w:t>（如××特殊过程）过程应当记录</w:t>
      </w:r>
      <w:r>
        <w:rPr>
          <w:rFonts w:hint="eastAsia" w:ascii="宋体" w:hAnsi="宋体"/>
          <w:sz w:val="24"/>
          <w:szCs w:val="28"/>
          <w:highlight w:val="none"/>
          <w:u w:val="single"/>
        </w:rPr>
        <w:t xml:space="preserve">           </w:t>
      </w:r>
      <w:r>
        <w:rPr>
          <w:rFonts w:hint="eastAsia" w:ascii="宋体" w:hAnsi="宋体"/>
          <w:sz w:val="24"/>
          <w:szCs w:val="28"/>
          <w:highlight w:val="none"/>
        </w:rPr>
        <w:t>（如过程参数，质量检验记录，试验、化验、分析报告及图表）。</w:t>
      </w:r>
    </w:p>
    <w:p w14:paraId="79D6A50A">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4.4乙方在研制过程中发现重大、严重质量问题，或其产品质量存在质量问题或隐患时应当在</w:t>
      </w:r>
      <w:r>
        <w:rPr>
          <w:rFonts w:hint="eastAsia" w:ascii="宋体" w:hAnsi="宋体"/>
          <w:sz w:val="24"/>
          <w:szCs w:val="28"/>
          <w:highlight w:val="none"/>
          <w:u w:val="single"/>
        </w:rPr>
        <w:t xml:space="preserve">    </w:t>
      </w:r>
      <w:r>
        <w:rPr>
          <w:rFonts w:hint="eastAsia" w:ascii="宋体" w:hAnsi="宋体"/>
          <w:sz w:val="24"/>
          <w:szCs w:val="28"/>
          <w:highlight w:val="none"/>
        </w:rPr>
        <w:t>日内报送甲方，按</w:t>
      </w:r>
      <w:r>
        <w:rPr>
          <w:rFonts w:hint="eastAsia" w:ascii="宋体" w:hAnsi="宋体"/>
          <w:sz w:val="24"/>
          <w:szCs w:val="28"/>
          <w:highlight w:val="none"/>
          <w:u w:val="single"/>
        </w:rPr>
        <w:t xml:space="preserve">     </w:t>
      </w:r>
      <w:r>
        <w:rPr>
          <w:rFonts w:hint="eastAsia" w:ascii="宋体" w:hAnsi="宋体"/>
          <w:sz w:val="24"/>
          <w:szCs w:val="28"/>
          <w:highlight w:val="none"/>
        </w:rPr>
        <w:t>（如周、月、季度）向甲方报送问题和整改措施，纠正措施实施报告应当保证甲方按需可查。</w:t>
      </w:r>
    </w:p>
    <w:p w14:paraId="2B80F0AF">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4.5乙方应当按如甲方专用要求及相应计量法律法规建立完善计量标准的使用、控制和量值溯源、传递控制程序，确保使用的计量器具和测试仪器、设备按规定检定合格并在有效期内使用，以及数据记录的完整和可追溯，甲方有权监督检查。</w:t>
      </w:r>
    </w:p>
    <w:p w14:paraId="0798FCEC">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4.6乙方应当对合同相关的</w:t>
      </w:r>
      <w:r>
        <w:rPr>
          <w:rFonts w:hint="eastAsia" w:ascii="宋体" w:hAnsi="宋体"/>
          <w:sz w:val="24"/>
          <w:szCs w:val="28"/>
          <w:highlight w:val="none"/>
          <w:u w:val="single"/>
        </w:rPr>
        <w:t xml:space="preserve">        </w:t>
      </w:r>
      <w:r>
        <w:rPr>
          <w:rFonts w:hint="eastAsia" w:ascii="宋体" w:hAnsi="宋体"/>
          <w:sz w:val="24"/>
          <w:szCs w:val="28"/>
          <w:highlight w:val="none"/>
        </w:rPr>
        <w:t>（如设计、特种工艺、生产、检验）人员进行相关培训，确保人员能力素质满足岗位要求。乙方从事合同相关的</w:t>
      </w:r>
      <w:r>
        <w:rPr>
          <w:rFonts w:hint="eastAsia" w:ascii="宋体" w:hAnsi="宋体"/>
          <w:sz w:val="24"/>
          <w:szCs w:val="28"/>
          <w:highlight w:val="none"/>
          <w:u w:val="single"/>
        </w:rPr>
        <w:t xml:space="preserve">      </w:t>
      </w:r>
      <w:r>
        <w:rPr>
          <w:rFonts w:hint="eastAsia" w:ascii="宋体" w:hAnsi="宋体"/>
          <w:sz w:val="24"/>
          <w:szCs w:val="28"/>
          <w:highlight w:val="none"/>
        </w:rPr>
        <w:t>（如焊接、热处理）过程的人员，需取得</w:t>
      </w:r>
      <w:r>
        <w:rPr>
          <w:rFonts w:hint="eastAsia" w:ascii="宋体" w:hAnsi="宋体"/>
          <w:sz w:val="24"/>
          <w:szCs w:val="28"/>
          <w:highlight w:val="none"/>
          <w:u w:val="single"/>
        </w:rPr>
        <w:t xml:space="preserve">    </w:t>
      </w:r>
      <w:r>
        <w:rPr>
          <w:rFonts w:hint="eastAsia" w:ascii="宋体" w:hAnsi="宋体"/>
          <w:sz w:val="24"/>
          <w:szCs w:val="28"/>
          <w:highlight w:val="none"/>
        </w:rPr>
        <w:t>（如融化焊接与热切割作业、压力焊作业）资质。</w:t>
      </w:r>
    </w:p>
    <w:p w14:paraId="4F35B0E1">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4.7乙方对合同相关的外包外协应当经过甲方同意。乙方应当向甲方提供合同相关的配套供应商名录，如配套供应商名录变化，应当在</w:t>
      </w:r>
      <w:r>
        <w:rPr>
          <w:rFonts w:hint="eastAsia" w:ascii="宋体" w:hAnsi="宋体"/>
          <w:sz w:val="24"/>
          <w:szCs w:val="28"/>
          <w:highlight w:val="none"/>
          <w:u w:val="single"/>
        </w:rPr>
        <w:t xml:space="preserve">    </w:t>
      </w:r>
      <w:r>
        <w:rPr>
          <w:rFonts w:hint="eastAsia" w:ascii="宋体" w:hAnsi="宋体"/>
          <w:sz w:val="24"/>
          <w:szCs w:val="28"/>
          <w:highlight w:val="none"/>
        </w:rPr>
        <w:t>个工作日内向甲方提供相关资料。</w:t>
      </w:r>
    </w:p>
    <w:p w14:paraId="5FB2A685">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4.8乙方应当依据甲方专用要求，开展元器件、标准件和原材料的选择和使用工作。</w:t>
      </w:r>
    </w:p>
    <w:p w14:paraId="1D7C05F5">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4.9</w:t>
      </w:r>
      <w:r>
        <w:rPr>
          <w:rFonts w:ascii="宋体" w:hAnsi="宋体"/>
          <w:sz w:val="24"/>
          <w:szCs w:val="28"/>
          <w:highlight w:val="none"/>
        </w:rPr>
        <w:t>本合同的质量保证期为甲方签署合同验收合格证明后</w:t>
      </w:r>
      <w:r>
        <w:rPr>
          <w:rFonts w:ascii="宋体" w:hAnsi="宋体"/>
          <w:sz w:val="24"/>
          <w:szCs w:val="28"/>
          <w:highlight w:val="none"/>
          <w:u w:val="single"/>
        </w:rPr>
        <w:t xml:space="preserve">    </w:t>
      </w:r>
      <w:r>
        <w:rPr>
          <w:rFonts w:ascii="宋体" w:hAnsi="宋体"/>
          <w:sz w:val="24"/>
          <w:szCs w:val="28"/>
          <w:highlight w:val="none"/>
        </w:rPr>
        <w:t>个月，</w:t>
      </w:r>
      <w:r>
        <w:rPr>
          <w:rFonts w:hint="eastAsia" w:ascii="宋体" w:hAnsi="宋体"/>
          <w:sz w:val="24"/>
          <w:szCs w:val="28"/>
          <w:highlight w:val="none"/>
        </w:rPr>
        <w:t>在质保期内的，接到合同相关产品/服务质量服务保障通知后，应当在</w:t>
      </w:r>
      <w:r>
        <w:rPr>
          <w:rFonts w:hint="eastAsia" w:ascii="宋体" w:hAnsi="宋体"/>
          <w:sz w:val="24"/>
          <w:szCs w:val="28"/>
          <w:highlight w:val="none"/>
          <w:u w:val="single"/>
        </w:rPr>
        <w:t xml:space="preserve">    </w:t>
      </w:r>
      <w:r>
        <w:rPr>
          <w:rFonts w:hint="eastAsia" w:ascii="宋体" w:hAnsi="宋体"/>
          <w:sz w:val="24"/>
          <w:szCs w:val="28"/>
          <w:highlight w:val="none"/>
        </w:rPr>
        <w:t>个工作日内到达现场提供服务保障；在质保期外的，应当向甲方及甲方提供服务保障，发生的费用由甲乙双方另行签订合同明确。</w:t>
      </w:r>
    </w:p>
    <w:p w14:paraId="165B54B7">
      <w:pPr>
        <w:spacing w:line="360" w:lineRule="auto"/>
        <w:ind w:firstLine="480" w:firstLineChars="200"/>
        <w:rPr>
          <w:rFonts w:hint="eastAsia" w:ascii="宋体" w:hAnsi="宋体"/>
          <w:sz w:val="24"/>
          <w:szCs w:val="28"/>
          <w:highlight w:val="none"/>
        </w:rPr>
      </w:pPr>
      <w:r>
        <w:rPr>
          <w:rFonts w:ascii="宋体" w:hAnsi="宋体"/>
          <w:sz w:val="24"/>
          <w:szCs w:val="28"/>
          <w:highlight w:val="none"/>
        </w:rPr>
        <w:t>如在质保期</w:t>
      </w:r>
      <w:r>
        <w:rPr>
          <w:rFonts w:hint="eastAsia" w:ascii="宋体" w:hAnsi="宋体"/>
          <w:sz w:val="24"/>
          <w:szCs w:val="28"/>
          <w:highlight w:val="none"/>
        </w:rPr>
        <w:t>内</w:t>
      </w:r>
      <w:r>
        <w:rPr>
          <w:rFonts w:ascii="宋体" w:hAnsi="宋体"/>
          <w:sz w:val="24"/>
          <w:szCs w:val="28"/>
          <w:highlight w:val="none"/>
        </w:rPr>
        <w:t>因乙方原因更换了相关设备或部件，则该设备或部件的质保期重新计算。如因乙方原因合同设备在质量保证期内发生质量问题，给甲方造成停产停工或科研项目停滞等损失的，乙方应负责赔偿。</w:t>
      </w:r>
    </w:p>
    <w:p w14:paraId="0714EF61">
      <w:pPr>
        <w:spacing w:line="360" w:lineRule="auto"/>
        <w:ind w:firstLine="480" w:firstLineChars="200"/>
        <w:rPr>
          <w:rFonts w:hint="eastAsia" w:ascii="宋体" w:hAnsi="宋体"/>
          <w:sz w:val="24"/>
          <w:szCs w:val="28"/>
          <w:highlight w:val="none"/>
        </w:rPr>
      </w:pPr>
      <w:r>
        <w:rPr>
          <w:rFonts w:ascii="宋体" w:hAnsi="宋体"/>
          <w:sz w:val="24"/>
          <w:szCs w:val="28"/>
          <w:highlight w:val="none"/>
        </w:rPr>
        <w:t>如合同设备存在潜在缺陷，则乙方对合同设备的义务不受本合同质量保证期的约束，乙方对潜在缺陷承担义务的期限为质量保证期满后</w:t>
      </w:r>
      <w:r>
        <w:rPr>
          <w:rFonts w:ascii="宋体" w:hAnsi="宋体"/>
          <w:sz w:val="24"/>
          <w:szCs w:val="28"/>
          <w:highlight w:val="none"/>
          <w:u w:val="single"/>
        </w:rPr>
        <w:t xml:space="preserve">    </w:t>
      </w:r>
      <w:r>
        <w:rPr>
          <w:rFonts w:ascii="宋体" w:hAnsi="宋体"/>
          <w:sz w:val="24"/>
          <w:szCs w:val="28"/>
          <w:highlight w:val="none"/>
        </w:rPr>
        <w:t>个月。潜在缺陷是指</w:t>
      </w:r>
      <w:r>
        <w:rPr>
          <w:rFonts w:hint="eastAsia" w:ascii="宋体" w:hAnsi="宋体"/>
          <w:sz w:val="24"/>
          <w:szCs w:val="28"/>
          <w:highlight w:val="none"/>
        </w:rPr>
        <w:t>产品/服务</w:t>
      </w:r>
      <w:r>
        <w:rPr>
          <w:rFonts w:ascii="宋体" w:hAnsi="宋体"/>
          <w:sz w:val="24"/>
          <w:szCs w:val="28"/>
          <w:highlight w:val="none"/>
        </w:rPr>
        <w:t>的隐患在正常情况下不能在制造、安装的过程中被发现。</w:t>
      </w:r>
    </w:p>
    <w:p w14:paraId="7D93C071">
      <w:pPr>
        <w:pStyle w:val="27"/>
        <w:rPr>
          <w:highlight w:val="none"/>
        </w:rPr>
      </w:pPr>
      <w:bookmarkStart w:id="11" w:name="_Toc513648150"/>
      <w:bookmarkStart w:id="12" w:name="_Toc513649104"/>
    </w:p>
    <w:p w14:paraId="29BECDC2">
      <w:pPr>
        <w:spacing w:line="360" w:lineRule="auto"/>
        <w:jc w:val="center"/>
        <w:rPr>
          <w:rFonts w:hint="eastAsia" w:ascii="宋体" w:hAnsi="宋体"/>
          <w:b/>
          <w:sz w:val="24"/>
          <w:szCs w:val="28"/>
          <w:highlight w:val="none"/>
        </w:rPr>
      </w:pPr>
      <w:r>
        <w:rPr>
          <w:rFonts w:hint="eastAsia" w:ascii="宋体" w:hAnsi="宋体"/>
          <w:b/>
          <w:sz w:val="24"/>
          <w:szCs w:val="28"/>
          <w:highlight w:val="none"/>
        </w:rPr>
        <w:t>五  质量监督和验收要求</w:t>
      </w:r>
      <w:bookmarkEnd w:id="11"/>
      <w:bookmarkEnd w:id="12"/>
    </w:p>
    <w:p w14:paraId="3EA6CFCA">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5.1乙方应当接受甲方的监督和评价，应当确保甲方及经甲方同意的有关方有权进入与本合同有关现场，开展过程、产品、关键质量控制点、强制性检验点监督，以验证乙方对合同要求的遵守情况，乙方应当提供必要的数据、记录、文件等资源支持。</w:t>
      </w:r>
    </w:p>
    <w:p w14:paraId="3CD40AB4">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5.2</w:t>
      </w:r>
      <w:r>
        <w:rPr>
          <w:rFonts w:ascii="宋体" w:hAnsi="宋体"/>
          <w:sz w:val="24"/>
          <w:szCs w:val="28"/>
          <w:highlight w:val="none"/>
        </w:rPr>
        <w:t>乙方派出的技术人员应遵守甲方的安全管理规定和工作安排，甲方可视情形提供乙方技术人员在甲方提供服务期间通信、食宿的方便，但是费用由乙方承担。乙方有义务为其技术人员在服务期间购买保险，支付工资、福利和津贴，如期间发生意外导致其技术人员人身伤害或财产损失，乙方负责承担责任。</w:t>
      </w:r>
      <w:r>
        <w:rPr>
          <w:rFonts w:hint="eastAsia" w:ascii="宋体" w:hAnsi="宋体"/>
          <w:sz w:val="24"/>
          <w:szCs w:val="28"/>
          <w:highlight w:val="none"/>
        </w:rPr>
        <w:t>一旦发现乙方技术人员不合格，甲方有权向乙方提出更换的要求，乙方必须在接到更换通知后立即更换合格技术人员提供现场服务。</w:t>
      </w:r>
    </w:p>
    <w:p w14:paraId="28CEAA41">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5.3</w:t>
      </w:r>
      <w:r>
        <w:rPr>
          <w:rFonts w:ascii="宋体" w:hAnsi="宋体"/>
          <w:sz w:val="24"/>
          <w:szCs w:val="28"/>
          <w:highlight w:val="none"/>
        </w:rPr>
        <w:t>本合同</w:t>
      </w:r>
      <w:r>
        <w:rPr>
          <w:rFonts w:hint="eastAsia" w:ascii="宋体" w:hAnsi="宋体"/>
          <w:sz w:val="24"/>
          <w:szCs w:val="28"/>
          <w:highlight w:val="none"/>
        </w:rPr>
        <w:t>标的</w:t>
      </w:r>
      <w:r>
        <w:rPr>
          <w:rFonts w:ascii="宋体" w:hAnsi="宋体"/>
          <w:sz w:val="24"/>
          <w:szCs w:val="28"/>
          <w:highlight w:val="none"/>
        </w:rPr>
        <w:t>的安装调试具体内容按照</w:t>
      </w:r>
      <w:r>
        <w:rPr>
          <w:rFonts w:hint="eastAsia" w:ascii="宋体" w:hAnsi="宋体"/>
          <w:sz w:val="24"/>
          <w:szCs w:val="28"/>
          <w:highlight w:val="none"/>
        </w:rPr>
        <w:t>1.3产品</w:t>
      </w:r>
      <w:r>
        <w:rPr>
          <w:rFonts w:ascii="宋体" w:hAnsi="宋体"/>
          <w:sz w:val="24"/>
          <w:szCs w:val="28"/>
          <w:highlight w:val="none"/>
        </w:rPr>
        <w:t>/服务</w:t>
      </w:r>
      <w:r>
        <w:rPr>
          <w:rFonts w:hint="eastAsia" w:ascii="宋体" w:hAnsi="宋体"/>
          <w:sz w:val="24"/>
          <w:szCs w:val="28"/>
          <w:highlight w:val="none"/>
        </w:rPr>
        <w:t>质量要求</w:t>
      </w:r>
      <w:r>
        <w:rPr>
          <w:rFonts w:ascii="宋体" w:hAnsi="宋体"/>
          <w:sz w:val="24"/>
          <w:szCs w:val="28"/>
          <w:highlight w:val="none"/>
        </w:rPr>
        <w:t>进行，如乙方安装调试过程中发现某一部件、零件是设备正常运行必不可缺的，但是该部件、零件没有包含在本合同的供货范围中，乙方有义务免费提供该部件或零件，以保证设备的正常运行。</w:t>
      </w:r>
    </w:p>
    <w:p w14:paraId="621926E1">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5.4</w:t>
      </w:r>
      <w:r>
        <w:rPr>
          <w:rFonts w:ascii="宋体" w:hAnsi="宋体"/>
          <w:sz w:val="24"/>
          <w:szCs w:val="28"/>
          <w:highlight w:val="none"/>
        </w:rPr>
        <w:t>本合同</w:t>
      </w:r>
      <w:r>
        <w:rPr>
          <w:rFonts w:hint="eastAsia" w:ascii="宋体" w:hAnsi="宋体"/>
          <w:sz w:val="24"/>
          <w:szCs w:val="28"/>
          <w:highlight w:val="none"/>
        </w:rPr>
        <w:t>标的</w:t>
      </w:r>
      <w:r>
        <w:rPr>
          <w:rFonts w:ascii="宋体" w:hAnsi="宋体"/>
          <w:sz w:val="24"/>
          <w:szCs w:val="28"/>
          <w:highlight w:val="none"/>
        </w:rPr>
        <w:t>安装调试完成后，甲乙双方将共同参加对合同</w:t>
      </w:r>
      <w:r>
        <w:rPr>
          <w:rFonts w:hint="eastAsia" w:ascii="宋体" w:hAnsi="宋体"/>
          <w:sz w:val="24"/>
          <w:szCs w:val="28"/>
          <w:highlight w:val="none"/>
        </w:rPr>
        <w:t>标的</w:t>
      </w:r>
      <w:r>
        <w:rPr>
          <w:rFonts w:ascii="宋体" w:hAnsi="宋体"/>
          <w:sz w:val="24"/>
          <w:szCs w:val="28"/>
          <w:highlight w:val="none"/>
        </w:rPr>
        <w:t>的验收，</w:t>
      </w:r>
      <w:r>
        <w:rPr>
          <w:rFonts w:hint="eastAsia" w:ascii="宋体" w:hAnsi="宋体"/>
          <w:sz w:val="24"/>
          <w:szCs w:val="28"/>
          <w:highlight w:val="none"/>
        </w:rPr>
        <w:t>产品/服务</w:t>
      </w:r>
      <w:r>
        <w:rPr>
          <w:rFonts w:ascii="宋体" w:hAnsi="宋体"/>
          <w:sz w:val="24"/>
          <w:szCs w:val="28"/>
          <w:highlight w:val="none"/>
        </w:rPr>
        <w:t>能够正常运行、符合</w:t>
      </w:r>
      <w:r>
        <w:rPr>
          <w:rFonts w:hint="eastAsia" w:ascii="宋体" w:hAnsi="宋体"/>
          <w:sz w:val="24"/>
          <w:szCs w:val="28"/>
          <w:highlight w:val="none"/>
        </w:rPr>
        <w:t>1.3产品</w:t>
      </w:r>
      <w:r>
        <w:rPr>
          <w:rFonts w:ascii="宋体" w:hAnsi="宋体"/>
          <w:sz w:val="24"/>
          <w:szCs w:val="28"/>
          <w:highlight w:val="none"/>
        </w:rPr>
        <w:t>/服务</w:t>
      </w:r>
      <w:r>
        <w:rPr>
          <w:rFonts w:hint="eastAsia" w:ascii="宋体" w:hAnsi="宋体"/>
          <w:sz w:val="24"/>
          <w:szCs w:val="28"/>
          <w:highlight w:val="none"/>
        </w:rPr>
        <w:t>质量要求</w:t>
      </w:r>
      <w:r>
        <w:rPr>
          <w:rFonts w:ascii="宋体" w:hAnsi="宋体"/>
          <w:sz w:val="24"/>
          <w:szCs w:val="28"/>
          <w:highlight w:val="none"/>
        </w:rPr>
        <w:t>设定的各项参数的，甲方将签发验收合格证明；如设备不能正常运行或者不符合</w:t>
      </w:r>
      <w:r>
        <w:rPr>
          <w:rFonts w:hint="eastAsia" w:ascii="宋体" w:hAnsi="宋体"/>
          <w:sz w:val="24"/>
          <w:szCs w:val="28"/>
          <w:highlight w:val="none"/>
        </w:rPr>
        <w:t>1.3产品</w:t>
      </w:r>
      <w:r>
        <w:rPr>
          <w:rFonts w:ascii="宋体" w:hAnsi="宋体"/>
          <w:sz w:val="24"/>
          <w:szCs w:val="28"/>
          <w:highlight w:val="none"/>
        </w:rPr>
        <w:t>/服务</w:t>
      </w:r>
      <w:r>
        <w:rPr>
          <w:rFonts w:hint="eastAsia" w:ascii="宋体" w:hAnsi="宋体"/>
          <w:sz w:val="24"/>
          <w:szCs w:val="28"/>
          <w:highlight w:val="none"/>
        </w:rPr>
        <w:t>质量要求</w:t>
      </w:r>
      <w:r>
        <w:rPr>
          <w:rFonts w:ascii="宋体" w:hAnsi="宋体"/>
          <w:sz w:val="24"/>
          <w:szCs w:val="28"/>
          <w:highlight w:val="none"/>
        </w:rPr>
        <w:t>设定的各项参数的，乙方应及时排查故障原因，并在本合同约定的交货期内完成调整或修复，甲方将根据乙方的调整修复情况组织第二次验收，第二次验收仍不合格的，按照本合同第</w:t>
      </w:r>
      <w:r>
        <w:rPr>
          <w:rFonts w:hint="eastAsia" w:ascii="宋体" w:hAnsi="宋体"/>
          <w:sz w:val="24"/>
          <w:szCs w:val="28"/>
          <w:highlight w:val="none"/>
        </w:rPr>
        <w:t>六</w:t>
      </w:r>
      <w:r>
        <w:rPr>
          <w:rFonts w:ascii="宋体" w:hAnsi="宋体"/>
          <w:sz w:val="24"/>
          <w:szCs w:val="28"/>
          <w:highlight w:val="none"/>
        </w:rPr>
        <w:t>条执行。</w:t>
      </w:r>
    </w:p>
    <w:p w14:paraId="4894BACC">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5.5</w:t>
      </w:r>
      <w:r>
        <w:rPr>
          <w:rFonts w:ascii="宋体" w:hAnsi="宋体"/>
          <w:sz w:val="24"/>
          <w:szCs w:val="28"/>
          <w:highlight w:val="none"/>
        </w:rPr>
        <w:t>无论设备是否经过第二次验收，乙方未能在本合同约定的交货期内使设备验收合格的，均应按照本合同第</w:t>
      </w:r>
      <w:r>
        <w:rPr>
          <w:rFonts w:hint="eastAsia" w:ascii="宋体" w:hAnsi="宋体"/>
          <w:sz w:val="24"/>
          <w:szCs w:val="28"/>
          <w:highlight w:val="none"/>
        </w:rPr>
        <w:t>六</w:t>
      </w:r>
      <w:r>
        <w:rPr>
          <w:rFonts w:ascii="宋体" w:hAnsi="宋体"/>
          <w:sz w:val="24"/>
          <w:szCs w:val="28"/>
          <w:highlight w:val="none"/>
        </w:rPr>
        <w:t>条的约定承担违约责任。</w:t>
      </w:r>
    </w:p>
    <w:p w14:paraId="13BFDB79">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5.6</w:t>
      </w:r>
      <w:r>
        <w:rPr>
          <w:rFonts w:ascii="宋体" w:hAnsi="宋体"/>
          <w:sz w:val="24"/>
          <w:szCs w:val="28"/>
          <w:highlight w:val="none"/>
        </w:rPr>
        <w:t>乙方有义务提供免费的技术培训，使甲方人员掌握</w:t>
      </w:r>
      <w:r>
        <w:rPr>
          <w:rFonts w:hint="eastAsia" w:ascii="宋体" w:hAnsi="宋体"/>
          <w:sz w:val="24"/>
          <w:szCs w:val="28"/>
          <w:highlight w:val="none"/>
        </w:rPr>
        <w:t>产品/服务</w:t>
      </w:r>
      <w:r>
        <w:rPr>
          <w:rFonts w:ascii="宋体" w:hAnsi="宋体"/>
          <w:sz w:val="24"/>
          <w:szCs w:val="28"/>
          <w:highlight w:val="none"/>
        </w:rPr>
        <w:t>的使用和操作方法。</w:t>
      </w:r>
    </w:p>
    <w:p w14:paraId="51FF45EA">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5.7</w:t>
      </w:r>
      <w:r>
        <w:rPr>
          <w:rFonts w:ascii="宋体" w:hAnsi="宋体"/>
          <w:sz w:val="24"/>
          <w:szCs w:val="28"/>
          <w:highlight w:val="none"/>
        </w:rPr>
        <w:t>甲方签署验收合格证明并不免除乙方在合同质量保证期内的义务。</w:t>
      </w:r>
    </w:p>
    <w:p w14:paraId="05B9C569">
      <w:pPr>
        <w:pStyle w:val="27"/>
        <w:rPr>
          <w:highlight w:val="none"/>
        </w:rPr>
      </w:pPr>
    </w:p>
    <w:p w14:paraId="02C87524">
      <w:pPr>
        <w:spacing w:line="360" w:lineRule="auto"/>
        <w:jc w:val="center"/>
        <w:rPr>
          <w:rFonts w:hint="eastAsia" w:ascii="宋体" w:hAnsi="宋体"/>
          <w:b/>
          <w:sz w:val="24"/>
          <w:szCs w:val="28"/>
          <w:highlight w:val="none"/>
        </w:rPr>
      </w:pPr>
      <w:r>
        <w:rPr>
          <w:rFonts w:hint="eastAsia" w:ascii="宋体" w:hAnsi="宋体"/>
          <w:b/>
          <w:sz w:val="24"/>
          <w:szCs w:val="28"/>
          <w:highlight w:val="none"/>
        </w:rPr>
        <w:t>六</w:t>
      </w:r>
      <w:r>
        <w:rPr>
          <w:rFonts w:ascii="宋体" w:hAnsi="宋体"/>
          <w:b/>
          <w:sz w:val="24"/>
          <w:szCs w:val="28"/>
          <w:highlight w:val="none"/>
        </w:rPr>
        <w:t xml:space="preserve">  索赔</w:t>
      </w:r>
    </w:p>
    <w:p w14:paraId="777BA477">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6</w:t>
      </w:r>
      <w:r>
        <w:rPr>
          <w:rFonts w:ascii="宋体" w:hAnsi="宋体"/>
          <w:sz w:val="24"/>
          <w:szCs w:val="28"/>
          <w:highlight w:val="none"/>
        </w:rPr>
        <w:t>.1乙方有义务在本合同约定的交货期限内交付本合同</w:t>
      </w:r>
      <w:r>
        <w:rPr>
          <w:rFonts w:hint="eastAsia" w:ascii="宋体" w:hAnsi="宋体"/>
          <w:sz w:val="24"/>
          <w:szCs w:val="28"/>
          <w:highlight w:val="none"/>
        </w:rPr>
        <w:t>产品/服务</w:t>
      </w:r>
      <w:r>
        <w:rPr>
          <w:rFonts w:ascii="宋体" w:hAnsi="宋体"/>
          <w:sz w:val="24"/>
          <w:szCs w:val="28"/>
          <w:highlight w:val="none"/>
        </w:rPr>
        <w:t>、备品备件、技术资料以及使本合同</w:t>
      </w:r>
      <w:r>
        <w:rPr>
          <w:rFonts w:hint="eastAsia" w:ascii="宋体" w:hAnsi="宋体"/>
          <w:sz w:val="24"/>
          <w:szCs w:val="28"/>
          <w:highlight w:val="none"/>
        </w:rPr>
        <w:t>产品/服务</w:t>
      </w:r>
      <w:r>
        <w:rPr>
          <w:rFonts w:ascii="宋体" w:hAnsi="宋体"/>
          <w:sz w:val="24"/>
          <w:szCs w:val="28"/>
          <w:highlight w:val="none"/>
        </w:rPr>
        <w:t>通过甲方验收。</w:t>
      </w:r>
    </w:p>
    <w:p w14:paraId="2955F83E">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6</w:t>
      </w:r>
      <w:r>
        <w:rPr>
          <w:rFonts w:ascii="宋体" w:hAnsi="宋体"/>
          <w:sz w:val="24"/>
          <w:szCs w:val="28"/>
          <w:highlight w:val="none"/>
        </w:rPr>
        <w:t>.2除非甲方要求推迟交货期或者得到甲方书面同意，乙方逾期交付本合同设备应按下列方式向甲方支付逾期交货违约金：</w:t>
      </w:r>
    </w:p>
    <w:p w14:paraId="73E3A31D">
      <w:pPr>
        <w:spacing w:line="360" w:lineRule="auto"/>
        <w:ind w:firstLine="480" w:firstLineChars="200"/>
        <w:rPr>
          <w:rFonts w:hint="eastAsia" w:ascii="宋体" w:hAnsi="宋体"/>
          <w:sz w:val="24"/>
          <w:szCs w:val="28"/>
          <w:highlight w:val="none"/>
        </w:rPr>
      </w:pPr>
      <w:r>
        <w:rPr>
          <w:rFonts w:ascii="宋体" w:hAnsi="宋体"/>
          <w:sz w:val="24"/>
          <w:szCs w:val="28"/>
          <w:highlight w:val="none"/>
        </w:rPr>
        <w:t>（1）逾期交付3天</w:t>
      </w:r>
      <w:r>
        <w:rPr>
          <w:rFonts w:hint="eastAsia" w:ascii="宋体" w:hAnsi="宋体"/>
          <w:sz w:val="24"/>
          <w:szCs w:val="28"/>
          <w:highlight w:val="none"/>
        </w:rPr>
        <w:t>~</w:t>
      </w:r>
      <w:r>
        <w:rPr>
          <w:rFonts w:ascii="宋体" w:hAnsi="宋体"/>
          <w:sz w:val="24"/>
          <w:szCs w:val="28"/>
          <w:highlight w:val="none"/>
        </w:rPr>
        <w:t>2周，每日违约金金额为本合同价款的</w:t>
      </w:r>
      <w:r>
        <w:rPr>
          <w:rFonts w:ascii="宋体" w:hAnsi="宋体"/>
          <w:sz w:val="24"/>
          <w:szCs w:val="28"/>
          <w:highlight w:val="none"/>
          <w:u w:val="single"/>
        </w:rPr>
        <w:t xml:space="preserve">    </w:t>
      </w:r>
      <w:r>
        <w:rPr>
          <w:rFonts w:ascii="宋体" w:hAnsi="宋体"/>
          <w:sz w:val="24"/>
          <w:szCs w:val="28"/>
          <w:highlight w:val="none"/>
        </w:rPr>
        <w:t>％；</w:t>
      </w:r>
    </w:p>
    <w:p w14:paraId="4D10F47B">
      <w:pPr>
        <w:spacing w:line="360" w:lineRule="auto"/>
        <w:ind w:firstLine="480" w:firstLineChars="200"/>
        <w:rPr>
          <w:rFonts w:hint="eastAsia" w:ascii="宋体" w:hAnsi="宋体"/>
          <w:sz w:val="24"/>
          <w:szCs w:val="28"/>
          <w:highlight w:val="none"/>
        </w:rPr>
      </w:pPr>
      <w:r>
        <w:rPr>
          <w:rFonts w:ascii="宋体" w:hAnsi="宋体"/>
          <w:sz w:val="24"/>
          <w:szCs w:val="28"/>
          <w:highlight w:val="none"/>
        </w:rPr>
        <w:t>（2）逾期交付2</w:t>
      </w:r>
      <w:r>
        <w:rPr>
          <w:rFonts w:hint="eastAsia" w:ascii="宋体" w:hAnsi="宋体"/>
          <w:sz w:val="24"/>
          <w:szCs w:val="28"/>
          <w:highlight w:val="none"/>
        </w:rPr>
        <w:t>~</w:t>
      </w:r>
      <w:r>
        <w:rPr>
          <w:rFonts w:ascii="宋体" w:hAnsi="宋体"/>
          <w:sz w:val="24"/>
          <w:szCs w:val="28"/>
          <w:highlight w:val="none"/>
        </w:rPr>
        <w:t>4周，每日违约金金额为本合同价款的</w:t>
      </w:r>
      <w:r>
        <w:rPr>
          <w:rFonts w:ascii="宋体" w:hAnsi="宋体"/>
          <w:sz w:val="24"/>
          <w:szCs w:val="28"/>
          <w:highlight w:val="none"/>
          <w:u w:val="single"/>
        </w:rPr>
        <w:t xml:space="preserve">    </w:t>
      </w:r>
      <w:r>
        <w:rPr>
          <w:rFonts w:ascii="宋体" w:hAnsi="宋体"/>
          <w:sz w:val="24"/>
          <w:szCs w:val="28"/>
          <w:highlight w:val="none"/>
        </w:rPr>
        <w:t>％；</w:t>
      </w:r>
    </w:p>
    <w:p w14:paraId="2316A0B8">
      <w:pPr>
        <w:spacing w:line="360" w:lineRule="auto"/>
        <w:ind w:firstLine="480" w:firstLineChars="200"/>
        <w:rPr>
          <w:rFonts w:hint="eastAsia" w:ascii="宋体" w:hAnsi="宋体"/>
          <w:sz w:val="24"/>
          <w:szCs w:val="28"/>
          <w:highlight w:val="none"/>
        </w:rPr>
      </w:pPr>
      <w:r>
        <w:rPr>
          <w:rFonts w:ascii="宋体" w:hAnsi="宋体"/>
          <w:sz w:val="24"/>
          <w:szCs w:val="28"/>
          <w:highlight w:val="none"/>
        </w:rPr>
        <w:t>（3）逾期交付4周及以上，每日违约金金额为本合同价款的</w:t>
      </w:r>
      <w:r>
        <w:rPr>
          <w:rFonts w:ascii="宋体" w:hAnsi="宋体"/>
          <w:sz w:val="24"/>
          <w:szCs w:val="28"/>
          <w:highlight w:val="none"/>
          <w:u w:val="single"/>
        </w:rPr>
        <w:t xml:space="preserve">    </w:t>
      </w:r>
      <w:r>
        <w:rPr>
          <w:rFonts w:ascii="宋体" w:hAnsi="宋体"/>
          <w:sz w:val="24"/>
          <w:szCs w:val="28"/>
          <w:highlight w:val="none"/>
        </w:rPr>
        <w:t>％；</w:t>
      </w:r>
    </w:p>
    <w:p w14:paraId="74B9893D">
      <w:pPr>
        <w:spacing w:line="360" w:lineRule="auto"/>
        <w:ind w:firstLine="480" w:firstLineChars="200"/>
        <w:rPr>
          <w:rFonts w:hint="eastAsia" w:ascii="宋体" w:hAnsi="宋体"/>
          <w:sz w:val="24"/>
          <w:szCs w:val="28"/>
          <w:highlight w:val="none"/>
        </w:rPr>
      </w:pPr>
      <w:r>
        <w:rPr>
          <w:rFonts w:ascii="宋体" w:hAnsi="宋体"/>
          <w:sz w:val="24"/>
          <w:szCs w:val="28"/>
          <w:highlight w:val="none"/>
        </w:rPr>
        <w:t>不足一周按一周计算。</w:t>
      </w:r>
    </w:p>
    <w:p w14:paraId="25374EC8">
      <w:pPr>
        <w:spacing w:line="360" w:lineRule="auto"/>
        <w:ind w:firstLine="480" w:firstLineChars="200"/>
        <w:rPr>
          <w:rFonts w:hint="eastAsia" w:ascii="宋体" w:hAnsi="宋体"/>
          <w:sz w:val="24"/>
          <w:szCs w:val="28"/>
          <w:highlight w:val="none"/>
        </w:rPr>
      </w:pPr>
      <w:r>
        <w:rPr>
          <w:rFonts w:ascii="宋体" w:hAnsi="宋体"/>
          <w:sz w:val="24"/>
          <w:szCs w:val="28"/>
          <w:highlight w:val="none"/>
        </w:rPr>
        <w:t>合同设备逾期交付的违约金总金额不超过合同设备总价的</w:t>
      </w:r>
      <w:r>
        <w:rPr>
          <w:rFonts w:ascii="宋体" w:hAnsi="宋体"/>
          <w:sz w:val="24"/>
          <w:szCs w:val="28"/>
          <w:highlight w:val="none"/>
          <w:u w:val="single"/>
        </w:rPr>
        <w:t xml:space="preserve">    </w:t>
      </w:r>
      <w:r>
        <w:rPr>
          <w:rFonts w:ascii="宋体" w:hAnsi="宋体"/>
          <w:sz w:val="24"/>
          <w:szCs w:val="28"/>
          <w:highlight w:val="none"/>
        </w:rPr>
        <w:t>％，乙方支付迟交违约金，并不解除乙方按照合同继续交货的义务。</w:t>
      </w:r>
    </w:p>
    <w:p w14:paraId="64C71387">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6</w:t>
      </w:r>
      <w:r>
        <w:rPr>
          <w:rFonts w:ascii="宋体" w:hAnsi="宋体"/>
          <w:sz w:val="24"/>
          <w:szCs w:val="28"/>
          <w:highlight w:val="none"/>
        </w:rPr>
        <w:t>.3由于确属乙方责任未能按本合同的规定按时交付相关技术资料时，则每延迟一日，乙方支付违约金</w:t>
      </w:r>
      <w:r>
        <w:rPr>
          <w:rFonts w:ascii="宋体" w:hAnsi="宋体"/>
          <w:sz w:val="24"/>
          <w:szCs w:val="28"/>
          <w:highlight w:val="none"/>
          <w:u w:val="single"/>
        </w:rPr>
        <w:t xml:space="preserve">    </w:t>
      </w:r>
      <w:r>
        <w:rPr>
          <w:rFonts w:ascii="宋体" w:hAnsi="宋体"/>
          <w:sz w:val="24"/>
          <w:szCs w:val="28"/>
          <w:highlight w:val="none"/>
        </w:rPr>
        <w:t>元。</w:t>
      </w:r>
    </w:p>
    <w:p w14:paraId="765B6409">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6</w:t>
      </w:r>
      <w:r>
        <w:rPr>
          <w:rFonts w:ascii="宋体" w:hAnsi="宋体"/>
          <w:sz w:val="24"/>
          <w:szCs w:val="28"/>
          <w:highlight w:val="none"/>
        </w:rPr>
        <w:t>.4乙方技术人员逾期提供安装调试服务或者经安装调试后未能经甲方验收合格，则每延迟一日，乙方支付违约金</w:t>
      </w:r>
      <w:r>
        <w:rPr>
          <w:rFonts w:ascii="宋体" w:hAnsi="宋体"/>
          <w:sz w:val="24"/>
          <w:szCs w:val="28"/>
          <w:highlight w:val="none"/>
          <w:u w:val="single"/>
        </w:rPr>
        <w:t xml:space="preserve">    </w:t>
      </w:r>
      <w:r>
        <w:rPr>
          <w:rFonts w:ascii="宋体" w:hAnsi="宋体"/>
          <w:sz w:val="24"/>
          <w:szCs w:val="28"/>
          <w:highlight w:val="none"/>
        </w:rPr>
        <w:t>元。</w:t>
      </w:r>
    </w:p>
    <w:p w14:paraId="389C5FD2">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6</w:t>
      </w:r>
      <w:r>
        <w:rPr>
          <w:rFonts w:ascii="宋体" w:hAnsi="宋体"/>
          <w:sz w:val="24"/>
          <w:szCs w:val="28"/>
          <w:highlight w:val="none"/>
        </w:rPr>
        <w:t>.5 如合同</w:t>
      </w:r>
      <w:r>
        <w:rPr>
          <w:rFonts w:hint="eastAsia" w:ascii="宋体" w:hAnsi="宋体"/>
          <w:sz w:val="24"/>
          <w:szCs w:val="28"/>
          <w:highlight w:val="none"/>
        </w:rPr>
        <w:t>产品/服务</w:t>
      </w:r>
      <w:r>
        <w:rPr>
          <w:rFonts w:ascii="宋体" w:hAnsi="宋体"/>
          <w:sz w:val="24"/>
          <w:szCs w:val="28"/>
          <w:highlight w:val="none"/>
        </w:rPr>
        <w:t>经第二次验收后仍未合格，乙方应按照甲方同意的下列一种或多种方式解决索赔事宜：</w:t>
      </w:r>
    </w:p>
    <w:p w14:paraId="176C4629">
      <w:pPr>
        <w:spacing w:line="360" w:lineRule="auto"/>
        <w:ind w:firstLine="360" w:firstLineChars="150"/>
        <w:rPr>
          <w:rFonts w:hint="eastAsia" w:ascii="宋体" w:hAnsi="宋体"/>
          <w:sz w:val="24"/>
          <w:szCs w:val="28"/>
          <w:highlight w:val="none"/>
        </w:rPr>
      </w:pPr>
      <w:r>
        <w:rPr>
          <w:rFonts w:ascii="宋体" w:hAnsi="宋体"/>
          <w:sz w:val="24"/>
          <w:szCs w:val="28"/>
          <w:highlight w:val="none"/>
        </w:rPr>
        <w:t>（1）乙方同意退货，并按合同规定的同种货币将货款退还给甲方，并承担由此发生的一切损失和费用，包括利息、银行手续费、运费、保险费、检验费、仓储费、装卸费以及为保护退回设备所需的其他必要费用。</w:t>
      </w:r>
    </w:p>
    <w:p w14:paraId="2AC5ECA2">
      <w:pPr>
        <w:spacing w:line="360" w:lineRule="auto"/>
        <w:ind w:firstLine="360" w:firstLineChars="150"/>
        <w:rPr>
          <w:rFonts w:hint="eastAsia" w:ascii="宋体" w:hAnsi="宋体"/>
          <w:sz w:val="24"/>
          <w:szCs w:val="28"/>
          <w:highlight w:val="none"/>
        </w:rPr>
      </w:pPr>
      <w:r>
        <w:rPr>
          <w:rFonts w:ascii="宋体" w:hAnsi="宋体"/>
          <w:sz w:val="24"/>
          <w:szCs w:val="28"/>
          <w:highlight w:val="none"/>
        </w:rPr>
        <w:t>（2）根据</w:t>
      </w:r>
      <w:r>
        <w:rPr>
          <w:rFonts w:hint="eastAsia" w:ascii="宋体" w:hAnsi="宋体"/>
          <w:sz w:val="24"/>
          <w:szCs w:val="28"/>
          <w:highlight w:val="none"/>
        </w:rPr>
        <w:t>产品/服务</w:t>
      </w:r>
      <w:r>
        <w:rPr>
          <w:rFonts w:ascii="宋体" w:hAnsi="宋体"/>
          <w:sz w:val="24"/>
          <w:szCs w:val="28"/>
          <w:highlight w:val="none"/>
        </w:rPr>
        <w:t>质量、损坏程度以及甲方所遭受损失的数额，经甲乙双方商定降低设备的价格。</w:t>
      </w:r>
    </w:p>
    <w:p w14:paraId="292EE013">
      <w:pPr>
        <w:spacing w:line="360" w:lineRule="auto"/>
        <w:ind w:firstLine="360" w:firstLineChars="150"/>
        <w:rPr>
          <w:rFonts w:hint="eastAsia" w:ascii="宋体" w:hAnsi="宋体"/>
          <w:sz w:val="24"/>
          <w:szCs w:val="28"/>
          <w:highlight w:val="none"/>
        </w:rPr>
      </w:pPr>
      <w:r>
        <w:rPr>
          <w:rFonts w:ascii="宋体" w:hAnsi="宋体"/>
          <w:sz w:val="24"/>
          <w:szCs w:val="28"/>
          <w:highlight w:val="none"/>
        </w:rPr>
        <w:t>（3）用符合规格、质量和性能要求的新零件、部件或设备来更换有缺陷的部分或修补缺陷部分，乙方应承担一切费用和风险，并负担甲方所发生的一切直接费用。</w:t>
      </w:r>
    </w:p>
    <w:p w14:paraId="07BF0C09">
      <w:pPr>
        <w:pStyle w:val="27"/>
        <w:rPr>
          <w:highlight w:val="none"/>
        </w:rPr>
      </w:pPr>
    </w:p>
    <w:p w14:paraId="0F68917E">
      <w:pPr>
        <w:spacing w:line="360" w:lineRule="auto"/>
        <w:jc w:val="center"/>
        <w:rPr>
          <w:rFonts w:hint="eastAsia" w:ascii="宋体" w:hAnsi="宋体"/>
          <w:b/>
          <w:sz w:val="24"/>
          <w:szCs w:val="28"/>
          <w:highlight w:val="none"/>
        </w:rPr>
      </w:pPr>
      <w:r>
        <w:rPr>
          <w:rFonts w:hint="eastAsia" w:ascii="宋体" w:hAnsi="宋体"/>
          <w:b/>
          <w:sz w:val="24"/>
          <w:szCs w:val="28"/>
          <w:highlight w:val="none"/>
        </w:rPr>
        <w:t>七</w:t>
      </w:r>
      <w:r>
        <w:rPr>
          <w:rFonts w:ascii="宋体" w:hAnsi="宋体"/>
          <w:b/>
          <w:sz w:val="24"/>
          <w:szCs w:val="28"/>
          <w:highlight w:val="none"/>
        </w:rPr>
        <w:t xml:space="preserve">  合同变更、修改和终止</w:t>
      </w:r>
    </w:p>
    <w:p w14:paraId="5A42101E">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7</w:t>
      </w:r>
      <w:r>
        <w:rPr>
          <w:rFonts w:ascii="宋体" w:hAnsi="宋体"/>
          <w:sz w:val="24"/>
          <w:szCs w:val="28"/>
          <w:highlight w:val="none"/>
        </w:rPr>
        <w:t>.1本合同一经生效，合同双方均不得擅自对本合同的内容（包括附件）作任何单方修改。但任何一方均可以对合同内容以书面形式提出变更、修改、取消或补充的建议。该项建议应由建议方书面通知对方，如该项修改会对合同价格和交货进度有重大影响时，由乙方提出影响合同价格或交货期的详细说明，甲方认可后签署补充协议。</w:t>
      </w:r>
    </w:p>
    <w:p w14:paraId="660EE4FE">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7</w:t>
      </w:r>
      <w:r>
        <w:rPr>
          <w:rFonts w:ascii="宋体" w:hAnsi="宋体"/>
          <w:sz w:val="24"/>
          <w:szCs w:val="28"/>
          <w:highlight w:val="none"/>
        </w:rPr>
        <w:t>.2如果乙方有违反或拒绝执行本合同规定的行为时，甲方将书面通知乙方，乙方在接到通知后</w:t>
      </w:r>
      <w:r>
        <w:rPr>
          <w:rFonts w:ascii="宋体" w:hAnsi="宋体"/>
          <w:sz w:val="24"/>
          <w:szCs w:val="28"/>
          <w:highlight w:val="none"/>
          <w:u w:val="single"/>
        </w:rPr>
        <w:t xml:space="preserve">    </w:t>
      </w:r>
      <w:r>
        <w:rPr>
          <w:rFonts w:ascii="宋体" w:hAnsi="宋体"/>
          <w:sz w:val="24"/>
          <w:szCs w:val="28"/>
          <w:highlight w:val="none"/>
        </w:rPr>
        <w:t>日内确认无误后应对违反或拒绝作出修正。如果得不到修正，甲方将保留终止本合同的一部分或全部的权利。对于这种终止，甲方将不出具变更通知书，由此而发生的一切费用、损失和索赔将由乙方负担。如果乙方的违约行为本合同其他条款有明确约定，则按有关条款处理。</w:t>
      </w:r>
    </w:p>
    <w:p w14:paraId="7748BC6E">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7</w:t>
      </w:r>
      <w:r>
        <w:rPr>
          <w:rFonts w:ascii="宋体" w:hAnsi="宋体"/>
          <w:sz w:val="24"/>
          <w:szCs w:val="28"/>
          <w:highlight w:val="none"/>
        </w:rPr>
        <w:t>.3如果甲方行使终止权利，甲方有权停付到期应向供方支付终止部分的款项，并有权将在执行合同中预付给乙方的终止部分款项索回。</w:t>
      </w:r>
    </w:p>
    <w:p w14:paraId="41FF5222">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7</w:t>
      </w:r>
      <w:r>
        <w:rPr>
          <w:rFonts w:ascii="宋体" w:hAnsi="宋体"/>
          <w:sz w:val="24"/>
          <w:szCs w:val="28"/>
          <w:highlight w:val="none"/>
        </w:rPr>
        <w:t>.4如果乙方破产、产权变更（被兼并、合并、解体、注销）或无偿还能力，或为了债权人的利益在破产管理下经营其业务，甲方有权立即书面通知乙方或破产清算管理人或承接乙方权利义务主体是否终止合同，或要求变更合同。</w:t>
      </w:r>
    </w:p>
    <w:p w14:paraId="7AA2DAAF">
      <w:pPr>
        <w:pStyle w:val="27"/>
        <w:rPr>
          <w:highlight w:val="none"/>
        </w:rPr>
      </w:pPr>
    </w:p>
    <w:p w14:paraId="73B788FD">
      <w:pPr>
        <w:spacing w:line="360" w:lineRule="auto"/>
        <w:jc w:val="center"/>
        <w:rPr>
          <w:rFonts w:hint="eastAsia" w:ascii="宋体" w:hAnsi="宋体"/>
          <w:b/>
          <w:sz w:val="24"/>
          <w:szCs w:val="28"/>
          <w:highlight w:val="none"/>
        </w:rPr>
      </w:pPr>
      <w:r>
        <w:rPr>
          <w:rFonts w:hint="eastAsia" w:ascii="宋体" w:hAnsi="宋体"/>
          <w:b/>
          <w:sz w:val="24"/>
          <w:szCs w:val="28"/>
          <w:highlight w:val="none"/>
        </w:rPr>
        <w:t>八</w:t>
      </w:r>
      <w:r>
        <w:rPr>
          <w:rFonts w:ascii="宋体" w:hAnsi="宋体"/>
          <w:b/>
          <w:sz w:val="24"/>
          <w:szCs w:val="28"/>
          <w:highlight w:val="none"/>
        </w:rPr>
        <w:t xml:space="preserve">  不可抗力</w:t>
      </w:r>
    </w:p>
    <w:p w14:paraId="32B879DE">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8</w:t>
      </w:r>
      <w:r>
        <w:rPr>
          <w:rFonts w:ascii="宋体" w:hAnsi="宋体"/>
          <w:sz w:val="24"/>
          <w:szCs w:val="28"/>
          <w:highlight w:val="none"/>
        </w:rPr>
        <w:t>.1不可抗力是合同生效后发生的不能预见、不能避免、不可抗拒的社会和自然事件，包括严重的自然灾害、战争、叛乱、破坏、动乱等等。合同双方的任何一方，由于不可抗力而影响合同义务执行时，则延迟合同义务的期限相当于不可抗力事件的时间，但是不能因为不可抗力的延迟而调整价格。</w:t>
      </w:r>
    </w:p>
    <w:p w14:paraId="023FB700">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8</w:t>
      </w:r>
      <w:r>
        <w:rPr>
          <w:rFonts w:ascii="宋体" w:hAnsi="宋体"/>
          <w:sz w:val="24"/>
          <w:szCs w:val="28"/>
          <w:highlight w:val="none"/>
        </w:rPr>
        <w:t>.2受到不可抗力影响的一方应在不可抗力事件发生后，尽快将所发生的不可抗力事件的情况以书面形式通知另一方审阅确认，受影响的一方同时应尽量设法缩小这种影响和由此而引起的延误，一旦不可抗力的影响消除后，应将此情况立即通知对方。</w:t>
      </w:r>
    </w:p>
    <w:p w14:paraId="71E459DB">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8</w:t>
      </w:r>
      <w:r>
        <w:rPr>
          <w:rFonts w:ascii="宋体" w:hAnsi="宋体"/>
          <w:sz w:val="24"/>
          <w:szCs w:val="28"/>
          <w:highlight w:val="none"/>
        </w:rPr>
        <w:t>.3如双方对不可抗力事件的影响估计将延续到60日以上时，双方应通过友好协商解决本合同的执行问题。</w:t>
      </w:r>
    </w:p>
    <w:p w14:paraId="18A9D252">
      <w:pPr>
        <w:pStyle w:val="27"/>
        <w:rPr>
          <w:highlight w:val="none"/>
        </w:rPr>
      </w:pPr>
    </w:p>
    <w:p w14:paraId="3BE094F0">
      <w:pPr>
        <w:spacing w:line="360" w:lineRule="auto"/>
        <w:jc w:val="center"/>
        <w:rPr>
          <w:rFonts w:hint="eastAsia" w:ascii="宋体" w:hAnsi="宋体"/>
          <w:b/>
          <w:sz w:val="24"/>
          <w:szCs w:val="28"/>
          <w:highlight w:val="none"/>
        </w:rPr>
      </w:pPr>
      <w:r>
        <w:rPr>
          <w:rFonts w:hint="eastAsia" w:ascii="宋体" w:hAnsi="宋体"/>
          <w:b/>
          <w:sz w:val="24"/>
          <w:szCs w:val="28"/>
          <w:highlight w:val="none"/>
        </w:rPr>
        <w:t>九</w:t>
      </w:r>
      <w:r>
        <w:rPr>
          <w:rFonts w:ascii="宋体" w:hAnsi="宋体"/>
          <w:b/>
          <w:sz w:val="24"/>
          <w:szCs w:val="28"/>
          <w:highlight w:val="none"/>
        </w:rPr>
        <w:t xml:space="preserve">  知识产权和保密义务</w:t>
      </w:r>
    </w:p>
    <w:p w14:paraId="3668ED59">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9</w:t>
      </w:r>
      <w:r>
        <w:rPr>
          <w:rFonts w:ascii="宋体" w:hAnsi="宋体"/>
          <w:sz w:val="24"/>
          <w:szCs w:val="28"/>
          <w:highlight w:val="none"/>
        </w:rPr>
        <w:t>.1乙方应保证不因所供合同</w:t>
      </w:r>
      <w:r>
        <w:rPr>
          <w:rFonts w:hint="eastAsia" w:ascii="宋体" w:hAnsi="宋体"/>
          <w:sz w:val="24"/>
          <w:szCs w:val="28"/>
          <w:highlight w:val="none"/>
        </w:rPr>
        <w:t>产品</w:t>
      </w:r>
      <w:r>
        <w:rPr>
          <w:rFonts w:ascii="宋体" w:hAnsi="宋体"/>
          <w:sz w:val="24"/>
          <w:szCs w:val="28"/>
          <w:highlight w:val="none"/>
        </w:rPr>
        <w:t>/服务而引起的任何第三方对甲方提出侵犯专利权、商标权、著作权等知识产权的指控。如果发生这类事件，乙方应全部承担因此引起的一切法律上和经济上的责任。</w:t>
      </w:r>
    </w:p>
    <w:p w14:paraId="316EC861">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9</w:t>
      </w:r>
      <w:r>
        <w:rPr>
          <w:rFonts w:ascii="宋体" w:hAnsi="宋体"/>
          <w:sz w:val="24"/>
          <w:szCs w:val="28"/>
          <w:highlight w:val="none"/>
        </w:rPr>
        <w:t>.2乙方保证在本合同执行过程中获得的甲方的任何技术资料、图纸和技术参数等只用于本合同的执行，此外不得擅自使用或以任何形式泄露给第三方，否则除承担本合同约定的违约责任外，还应赔偿由此造成的相应损失。</w:t>
      </w:r>
    </w:p>
    <w:p w14:paraId="345C4F66">
      <w:pPr>
        <w:pStyle w:val="27"/>
        <w:rPr>
          <w:highlight w:val="none"/>
        </w:rPr>
      </w:pPr>
    </w:p>
    <w:p w14:paraId="77182090">
      <w:pPr>
        <w:spacing w:line="360" w:lineRule="auto"/>
        <w:jc w:val="center"/>
        <w:rPr>
          <w:rFonts w:hint="eastAsia" w:ascii="宋体" w:hAnsi="宋体"/>
          <w:b/>
          <w:sz w:val="24"/>
          <w:szCs w:val="28"/>
          <w:highlight w:val="none"/>
        </w:rPr>
      </w:pPr>
      <w:r>
        <w:rPr>
          <w:rFonts w:ascii="宋体" w:hAnsi="宋体"/>
          <w:b/>
          <w:sz w:val="24"/>
          <w:szCs w:val="28"/>
          <w:highlight w:val="none"/>
        </w:rPr>
        <w:t>十  法律适用和争议解决</w:t>
      </w:r>
    </w:p>
    <w:p w14:paraId="10BF5D8F">
      <w:pPr>
        <w:spacing w:line="360" w:lineRule="auto"/>
        <w:ind w:firstLine="480" w:firstLineChars="200"/>
        <w:rPr>
          <w:rFonts w:hint="eastAsia" w:ascii="宋体" w:hAnsi="宋体"/>
          <w:sz w:val="24"/>
          <w:szCs w:val="28"/>
          <w:highlight w:val="none"/>
        </w:rPr>
      </w:pPr>
      <w:r>
        <w:rPr>
          <w:rFonts w:ascii="宋体" w:hAnsi="宋体"/>
          <w:sz w:val="24"/>
          <w:szCs w:val="28"/>
          <w:highlight w:val="none"/>
        </w:rPr>
        <w:t>1</w:t>
      </w:r>
      <w:r>
        <w:rPr>
          <w:rFonts w:hint="eastAsia" w:ascii="宋体" w:hAnsi="宋体"/>
          <w:sz w:val="24"/>
          <w:szCs w:val="28"/>
          <w:highlight w:val="none"/>
        </w:rPr>
        <w:t>0</w:t>
      </w:r>
      <w:r>
        <w:rPr>
          <w:rFonts w:ascii="宋体" w:hAnsi="宋体"/>
          <w:sz w:val="24"/>
          <w:szCs w:val="28"/>
          <w:highlight w:val="none"/>
        </w:rPr>
        <w:t>.1本合同以及由于本合同产生的争议适用中华人民共和国法律。</w:t>
      </w:r>
    </w:p>
    <w:p w14:paraId="1CEA9677">
      <w:pPr>
        <w:spacing w:line="360" w:lineRule="auto"/>
        <w:ind w:firstLine="480" w:firstLineChars="200"/>
        <w:rPr>
          <w:rFonts w:hint="eastAsia" w:ascii="宋体" w:hAnsi="宋体"/>
          <w:sz w:val="24"/>
          <w:szCs w:val="28"/>
          <w:highlight w:val="none"/>
        </w:rPr>
      </w:pPr>
      <w:r>
        <w:rPr>
          <w:rFonts w:ascii="宋体" w:hAnsi="宋体"/>
          <w:sz w:val="24"/>
          <w:szCs w:val="28"/>
          <w:highlight w:val="none"/>
        </w:rPr>
        <w:t>1</w:t>
      </w:r>
      <w:r>
        <w:rPr>
          <w:rFonts w:hint="eastAsia" w:ascii="宋体" w:hAnsi="宋体"/>
          <w:sz w:val="24"/>
          <w:szCs w:val="28"/>
          <w:highlight w:val="none"/>
        </w:rPr>
        <w:t>0</w:t>
      </w:r>
      <w:r>
        <w:rPr>
          <w:rFonts w:ascii="宋体" w:hAnsi="宋体"/>
          <w:sz w:val="24"/>
          <w:szCs w:val="28"/>
          <w:highlight w:val="none"/>
        </w:rPr>
        <w:t>.2本合同履行过程中如有争议发生，双方应该友好协商解决，协商不成的，任何一方有权向甲方所在地有管辖权的人民法院提起诉讼。</w:t>
      </w:r>
    </w:p>
    <w:p w14:paraId="773539C8">
      <w:pPr>
        <w:pStyle w:val="27"/>
        <w:rPr>
          <w:highlight w:val="none"/>
        </w:rPr>
      </w:pPr>
    </w:p>
    <w:p w14:paraId="63CD4A6C">
      <w:pPr>
        <w:spacing w:line="360" w:lineRule="auto"/>
        <w:jc w:val="center"/>
        <w:rPr>
          <w:rFonts w:hint="eastAsia" w:ascii="宋体" w:hAnsi="宋体"/>
          <w:b/>
          <w:sz w:val="24"/>
          <w:szCs w:val="28"/>
          <w:highlight w:val="none"/>
        </w:rPr>
      </w:pPr>
      <w:r>
        <w:rPr>
          <w:rFonts w:ascii="宋体" w:hAnsi="宋体"/>
          <w:b/>
          <w:sz w:val="24"/>
          <w:szCs w:val="28"/>
          <w:highlight w:val="none"/>
        </w:rPr>
        <w:t>十</w:t>
      </w:r>
      <w:r>
        <w:rPr>
          <w:rFonts w:hint="eastAsia" w:ascii="宋体" w:hAnsi="宋体"/>
          <w:b/>
          <w:sz w:val="24"/>
          <w:szCs w:val="28"/>
          <w:highlight w:val="none"/>
        </w:rPr>
        <w:t>一</w:t>
      </w:r>
      <w:r>
        <w:rPr>
          <w:rFonts w:ascii="宋体" w:hAnsi="宋体"/>
          <w:b/>
          <w:sz w:val="24"/>
          <w:szCs w:val="28"/>
          <w:highlight w:val="none"/>
        </w:rPr>
        <w:t xml:space="preserve">  其他</w:t>
      </w:r>
    </w:p>
    <w:p w14:paraId="533FBB11">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11.1“技术协议”作为本合同附件，是本合同不可分割的组成部分，与本合同具有同等法律效力，如有冲突，以“技术协议”为准。</w:t>
      </w:r>
    </w:p>
    <w:p w14:paraId="6B1C21CC">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11.2</w:t>
      </w:r>
      <w:r>
        <w:rPr>
          <w:rFonts w:ascii="宋体" w:hAnsi="宋体"/>
          <w:sz w:val="24"/>
          <w:szCs w:val="28"/>
          <w:highlight w:val="none"/>
        </w:rPr>
        <w:t>本合同生效后，所有甲乙双方达成的修订、变更和补充协议以书面的形式提出，经双方代表签字盖章后生效，并与甲乙双方往来的函件（包括但不限于特快专递、挂号信、平信、传真、邮件）共同构成合同不可分割的部分。</w:t>
      </w:r>
    </w:p>
    <w:p w14:paraId="59358692">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11.3</w:t>
      </w:r>
      <w:r>
        <w:rPr>
          <w:rFonts w:ascii="宋体" w:hAnsi="宋体"/>
          <w:sz w:val="24"/>
          <w:szCs w:val="28"/>
          <w:highlight w:val="none"/>
        </w:rPr>
        <w:t>本合同正本壹式</w:t>
      </w:r>
      <w:r>
        <w:rPr>
          <w:rFonts w:hint="eastAsia" w:ascii="宋体" w:hAnsi="宋体"/>
          <w:sz w:val="24"/>
          <w:szCs w:val="28"/>
          <w:highlight w:val="none"/>
        </w:rPr>
        <w:t>陆</w:t>
      </w:r>
      <w:r>
        <w:rPr>
          <w:rFonts w:ascii="宋体" w:hAnsi="宋体"/>
          <w:sz w:val="24"/>
          <w:szCs w:val="28"/>
          <w:highlight w:val="none"/>
        </w:rPr>
        <w:t>份，双方各执</w:t>
      </w:r>
      <w:r>
        <w:rPr>
          <w:rFonts w:hint="eastAsia" w:ascii="宋体" w:hAnsi="宋体"/>
          <w:sz w:val="24"/>
          <w:szCs w:val="28"/>
          <w:highlight w:val="none"/>
        </w:rPr>
        <w:t>叁</w:t>
      </w:r>
      <w:r>
        <w:rPr>
          <w:rFonts w:ascii="宋体" w:hAnsi="宋体"/>
          <w:sz w:val="24"/>
          <w:szCs w:val="28"/>
          <w:highlight w:val="none"/>
        </w:rPr>
        <w:t>份，具有同等的法律效力。</w:t>
      </w:r>
    </w:p>
    <w:p w14:paraId="6F3F3771">
      <w:pPr>
        <w:spacing w:line="360" w:lineRule="auto"/>
        <w:ind w:firstLine="480" w:firstLineChars="200"/>
        <w:rPr>
          <w:rFonts w:hint="eastAsia" w:ascii="宋体" w:hAnsi="宋体"/>
          <w:sz w:val="24"/>
          <w:szCs w:val="28"/>
          <w:highlight w:val="none"/>
        </w:rPr>
      </w:pPr>
      <w:r>
        <w:rPr>
          <w:rFonts w:hint="eastAsia" w:ascii="宋体" w:hAnsi="宋体"/>
          <w:sz w:val="24"/>
          <w:szCs w:val="28"/>
          <w:highlight w:val="none"/>
        </w:rPr>
        <w:t>11.4</w:t>
      </w:r>
      <w:r>
        <w:rPr>
          <w:rFonts w:ascii="宋体" w:hAnsi="宋体"/>
          <w:sz w:val="24"/>
          <w:szCs w:val="28"/>
          <w:highlight w:val="none"/>
        </w:rPr>
        <w:t>本合同未尽事宜，甲乙双方协商解决。</w:t>
      </w:r>
    </w:p>
    <w:p w14:paraId="55FCA8EF">
      <w:pPr>
        <w:spacing w:line="360" w:lineRule="auto"/>
        <w:ind w:firstLine="480" w:firstLineChars="200"/>
        <w:rPr>
          <w:rFonts w:hint="eastAsia" w:ascii="宋体" w:hAnsi="宋体"/>
          <w:sz w:val="24"/>
          <w:szCs w:val="28"/>
          <w:highlight w:val="none"/>
        </w:rPr>
      </w:pPr>
    </w:p>
    <w:p w14:paraId="6B14398A">
      <w:pPr>
        <w:spacing w:line="360" w:lineRule="auto"/>
        <w:ind w:firstLine="240" w:firstLineChars="100"/>
        <w:rPr>
          <w:rFonts w:hint="eastAsia" w:ascii="宋体" w:hAnsi="宋体"/>
          <w:sz w:val="24"/>
          <w:szCs w:val="28"/>
          <w:highlight w:val="none"/>
        </w:rPr>
      </w:pPr>
      <w:r>
        <w:rPr>
          <w:rFonts w:ascii="宋体" w:hAnsi="宋体"/>
          <w:sz w:val="24"/>
          <w:szCs w:val="28"/>
          <w:highlight w:val="none"/>
        </w:rPr>
        <w:t>甲方（章）：                            乙方（章）：</w:t>
      </w:r>
    </w:p>
    <w:p w14:paraId="3411E440">
      <w:pPr>
        <w:spacing w:line="360" w:lineRule="auto"/>
        <w:ind w:firstLine="240" w:firstLineChars="100"/>
        <w:rPr>
          <w:rFonts w:hint="eastAsia" w:ascii="宋体" w:hAnsi="宋体"/>
          <w:sz w:val="24"/>
          <w:szCs w:val="28"/>
          <w:highlight w:val="none"/>
        </w:rPr>
      </w:pPr>
      <w:r>
        <w:rPr>
          <w:rFonts w:ascii="宋体" w:hAnsi="宋体"/>
          <w:sz w:val="24"/>
          <w:szCs w:val="28"/>
          <w:highlight w:val="none"/>
        </w:rPr>
        <w:t>代理人签字：                           代理人签字：</w:t>
      </w:r>
    </w:p>
    <w:p w14:paraId="2364AC04">
      <w:pPr>
        <w:rPr>
          <w:color w:val="000000"/>
          <w:highlight w:val="none"/>
        </w:rPr>
      </w:pPr>
      <w:r>
        <w:rPr>
          <w:rFonts w:ascii="宋体" w:hAnsi="宋体"/>
          <w:sz w:val="24"/>
          <w:szCs w:val="28"/>
          <w:highlight w:val="none"/>
        </w:rPr>
        <w:t xml:space="preserve">     年   月   日                          年   月   日</w:t>
      </w:r>
    </w:p>
    <w:p w14:paraId="1FF8A034">
      <w:pPr>
        <w:rPr>
          <w:highlight w:val="none"/>
        </w:rPr>
      </w:pPr>
    </w:p>
    <w:p w14:paraId="3424A08B">
      <w:pPr>
        <w:pStyle w:val="27"/>
        <w:rPr>
          <w:rFonts w:ascii="Times New Roman" w:hAnsi="Times New Roman"/>
          <w:highlight w:val="none"/>
        </w:rPr>
      </w:pPr>
    </w:p>
    <w:p w14:paraId="728C2835">
      <w:pPr>
        <w:jc w:val="center"/>
        <w:outlineLvl w:val="0"/>
        <w:rPr>
          <w:b/>
          <w:sz w:val="32"/>
          <w:szCs w:val="32"/>
          <w:highlight w:val="none"/>
        </w:rPr>
      </w:pPr>
      <w:r>
        <w:rPr>
          <w:b/>
          <w:sz w:val="32"/>
          <w:szCs w:val="32"/>
          <w:highlight w:val="none"/>
        </w:rPr>
        <w:br w:type="page"/>
      </w:r>
      <w:bookmarkStart w:id="13" w:name="_Toc29476"/>
      <w:r>
        <w:rPr>
          <w:b/>
          <w:sz w:val="32"/>
          <w:szCs w:val="32"/>
          <w:highlight w:val="none"/>
        </w:rPr>
        <w:t>第四部分：磋商响应文件格式</w:t>
      </w:r>
      <w:bookmarkEnd w:id="13"/>
    </w:p>
    <w:p w14:paraId="2DAA0F46">
      <w:pPr>
        <w:spacing w:line="360" w:lineRule="auto"/>
        <w:rPr>
          <w:sz w:val="24"/>
          <w:highlight w:val="none"/>
        </w:rPr>
      </w:pPr>
    </w:p>
    <w:p w14:paraId="488EA8B1">
      <w:pPr>
        <w:spacing w:line="360" w:lineRule="auto"/>
        <w:rPr>
          <w:sz w:val="24"/>
          <w:highlight w:val="none"/>
        </w:rPr>
      </w:pPr>
      <w:r>
        <w:rPr>
          <w:rFonts w:ascii="Segoe UI Symbol" w:hAnsi="Segoe UI Symbol" w:cs="Segoe UI Symbol"/>
          <w:sz w:val="24"/>
          <w:highlight w:val="none"/>
        </w:rPr>
        <w:t>★</w:t>
      </w:r>
      <w:r>
        <w:rPr>
          <w:sz w:val="24"/>
          <w:highlight w:val="none"/>
        </w:rPr>
        <w:t>附件1--报价函（统一格式）</w:t>
      </w:r>
    </w:p>
    <w:p w14:paraId="02E61CED">
      <w:pPr>
        <w:spacing w:line="360" w:lineRule="auto"/>
        <w:rPr>
          <w:sz w:val="24"/>
          <w:highlight w:val="none"/>
        </w:rPr>
      </w:pPr>
      <w:r>
        <w:rPr>
          <w:rFonts w:ascii="Segoe UI Symbol" w:hAnsi="Segoe UI Symbol" w:cs="Segoe UI Symbol"/>
          <w:sz w:val="24"/>
          <w:highlight w:val="none"/>
        </w:rPr>
        <w:t>★</w:t>
      </w:r>
      <w:r>
        <w:rPr>
          <w:sz w:val="24"/>
          <w:highlight w:val="none"/>
        </w:rPr>
        <w:t>附件2--报价一览表（统一格式）</w:t>
      </w:r>
    </w:p>
    <w:p w14:paraId="0B8EE934">
      <w:pPr>
        <w:spacing w:line="360" w:lineRule="auto"/>
        <w:rPr>
          <w:sz w:val="24"/>
          <w:highlight w:val="none"/>
        </w:rPr>
      </w:pPr>
      <w:r>
        <w:rPr>
          <w:rFonts w:ascii="Segoe UI Symbol" w:hAnsi="Segoe UI Symbol" w:cs="Segoe UI Symbol"/>
          <w:sz w:val="24"/>
          <w:highlight w:val="none"/>
        </w:rPr>
        <w:t>★</w:t>
      </w:r>
      <w:r>
        <w:rPr>
          <w:sz w:val="24"/>
          <w:highlight w:val="none"/>
        </w:rPr>
        <w:t>附件3--分项报价表（统一格式）</w:t>
      </w:r>
    </w:p>
    <w:p w14:paraId="3FF4AD17">
      <w:pPr>
        <w:spacing w:line="360" w:lineRule="auto"/>
        <w:rPr>
          <w:sz w:val="24"/>
          <w:highlight w:val="none"/>
        </w:rPr>
      </w:pPr>
      <w:r>
        <w:rPr>
          <w:rFonts w:ascii="Segoe UI Symbol" w:hAnsi="Segoe UI Symbol" w:cs="Segoe UI Symbol"/>
          <w:sz w:val="24"/>
          <w:highlight w:val="none"/>
        </w:rPr>
        <w:t>★</w:t>
      </w:r>
      <w:r>
        <w:rPr>
          <w:sz w:val="24"/>
          <w:highlight w:val="none"/>
        </w:rPr>
        <w:t>附件</w:t>
      </w:r>
      <w:r>
        <w:rPr>
          <w:rFonts w:hint="eastAsia"/>
          <w:sz w:val="24"/>
          <w:highlight w:val="none"/>
        </w:rPr>
        <w:t>4</w:t>
      </w:r>
      <w:r>
        <w:rPr>
          <w:sz w:val="24"/>
          <w:highlight w:val="none"/>
        </w:rPr>
        <w:t>--</w:t>
      </w:r>
      <w:r>
        <w:rPr>
          <w:rFonts w:hint="eastAsia"/>
          <w:sz w:val="24"/>
          <w:highlight w:val="none"/>
        </w:rPr>
        <w:t>项目</w:t>
      </w:r>
      <w:r>
        <w:rPr>
          <w:sz w:val="24"/>
          <w:highlight w:val="none"/>
        </w:rPr>
        <w:t>需求逐条应答表（统一格式）</w:t>
      </w:r>
    </w:p>
    <w:p w14:paraId="4AFBF3BD">
      <w:pPr>
        <w:spacing w:line="360" w:lineRule="auto"/>
        <w:rPr>
          <w:sz w:val="24"/>
          <w:highlight w:val="none"/>
        </w:rPr>
      </w:pPr>
      <w:r>
        <w:rPr>
          <w:rFonts w:ascii="Segoe UI Symbol" w:hAnsi="Segoe UI Symbol" w:cs="Segoe UI Symbol"/>
          <w:sz w:val="24"/>
          <w:highlight w:val="none"/>
        </w:rPr>
        <w:t>★</w:t>
      </w:r>
      <w:r>
        <w:rPr>
          <w:sz w:val="24"/>
          <w:highlight w:val="none"/>
        </w:rPr>
        <w:t>附件</w:t>
      </w:r>
      <w:r>
        <w:rPr>
          <w:rFonts w:hint="eastAsia"/>
          <w:sz w:val="24"/>
          <w:highlight w:val="none"/>
        </w:rPr>
        <w:t>5</w:t>
      </w:r>
      <w:r>
        <w:rPr>
          <w:sz w:val="24"/>
          <w:highlight w:val="none"/>
        </w:rPr>
        <w:t>--商务条款偏离表（统一格式）</w:t>
      </w:r>
    </w:p>
    <w:p w14:paraId="76732A93">
      <w:pPr>
        <w:spacing w:line="360" w:lineRule="auto"/>
        <w:rPr>
          <w:sz w:val="24"/>
          <w:highlight w:val="none"/>
        </w:rPr>
      </w:pPr>
      <w:r>
        <w:rPr>
          <w:sz w:val="24"/>
          <w:highlight w:val="none"/>
        </w:rPr>
        <w:t>附件</w:t>
      </w:r>
      <w:r>
        <w:rPr>
          <w:rFonts w:hint="eastAsia"/>
          <w:sz w:val="24"/>
          <w:highlight w:val="none"/>
        </w:rPr>
        <w:t>6</w:t>
      </w:r>
      <w:r>
        <w:rPr>
          <w:sz w:val="24"/>
          <w:highlight w:val="none"/>
        </w:rPr>
        <w:t>--资格证明文件</w:t>
      </w:r>
    </w:p>
    <w:p w14:paraId="13109477">
      <w:pPr>
        <w:spacing w:line="360" w:lineRule="auto"/>
        <w:rPr>
          <w:b/>
          <w:bCs/>
          <w:sz w:val="24"/>
          <w:highlight w:val="none"/>
        </w:rPr>
      </w:pPr>
      <w:r>
        <w:rPr>
          <w:rFonts w:ascii="Segoe UI Symbol" w:hAnsi="Segoe UI Symbol" w:cs="Segoe UI Symbol"/>
          <w:b/>
          <w:bCs/>
          <w:sz w:val="24"/>
          <w:highlight w:val="none"/>
        </w:rPr>
        <w:t>★</w:t>
      </w:r>
      <w:r>
        <w:rPr>
          <w:rFonts w:hint="eastAsia"/>
          <w:b/>
          <w:bCs/>
          <w:sz w:val="24"/>
          <w:highlight w:val="none"/>
        </w:rPr>
        <w:t>6</w:t>
      </w:r>
      <w:r>
        <w:rPr>
          <w:b/>
          <w:bCs/>
          <w:sz w:val="24"/>
          <w:highlight w:val="none"/>
        </w:rPr>
        <w:t>-1  法人营业执照/事业单位法人证书（复印件，供应商必须提供）</w:t>
      </w:r>
    </w:p>
    <w:p w14:paraId="09B4D11C">
      <w:pPr>
        <w:spacing w:line="360" w:lineRule="auto"/>
        <w:rPr>
          <w:sz w:val="24"/>
          <w:highlight w:val="none"/>
        </w:rPr>
      </w:pPr>
      <w:r>
        <w:rPr>
          <w:rFonts w:hint="eastAsia"/>
          <w:sz w:val="24"/>
          <w:highlight w:val="none"/>
        </w:rPr>
        <w:t>6</w:t>
      </w:r>
      <w:r>
        <w:rPr>
          <w:sz w:val="24"/>
          <w:highlight w:val="none"/>
        </w:rPr>
        <w:t>-2   税务登记证书（复印件）</w:t>
      </w:r>
    </w:p>
    <w:p w14:paraId="2DB249D7">
      <w:pPr>
        <w:spacing w:line="360" w:lineRule="auto"/>
        <w:rPr>
          <w:b/>
          <w:bCs/>
          <w:sz w:val="24"/>
          <w:highlight w:val="none"/>
        </w:rPr>
      </w:pPr>
      <w:r>
        <w:rPr>
          <w:rFonts w:ascii="Segoe UI Symbol" w:hAnsi="Segoe UI Symbol" w:cs="Segoe UI Symbol"/>
          <w:b/>
          <w:bCs/>
          <w:sz w:val="24"/>
          <w:highlight w:val="none"/>
        </w:rPr>
        <w:t>★</w:t>
      </w:r>
      <w:r>
        <w:rPr>
          <w:rFonts w:hint="eastAsia"/>
          <w:b/>
          <w:bCs/>
          <w:sz w:val="24"/>
          <w:highlight w:val="none"/>
        </w:rPr>
        <w:t>6-</w:t>
      </w:r>
      <w:r>
        <w:rPr>
          <w:b/>
          <w:bCs/>
          <w:sz w:val="24"/>
          <w:highlight w:val="none"/>
        </w:rPr>
        <w:t>3  法定代表人资格证明书及法定代表人授权书（统一格式，供应商必须提供）</w:t>
      </w:r>
    </w:p>
    <w:p w14:paraId="4626A420">
      <w:pPr>
        <w:spacing w:line="360" w:lineRule="auto"/>
        <w:rPr>
          <w:b/>
          <w:bCs/>
          <w:sz w:val="24"/>
          <w:highlight w:val="none"/>
        </w:rPr>
      </w:pPr>
      <w:r>
        <w:rPr>
          <w:rFonts w:ascii="Segoe UI Symbol" w:hAnsi="Segoe UI Symbol" w:cs="Segoe UI Symbol"/>
          <w:b/>
          <w:bCs/>
          <w:sz w:val="24"/>
          <w:highlight w:val="none"/>
        </w:rPr>
        <w:t>★</w:t>
      </w:r>
      <w:r>
        <w:rPr>
          <w:rFonts w:hint="eastAsia"/>
          <w:b/>
          <w:bCs/>
          <w:sz w:val="24"/>
          <w:highlight w:val="none"/>
        </w:rPr>
        <w:t>6-</w:t>
      </w:r>
      <w:r>
        <w:rPr>
          <w:b/>
          <w:bCs/>
          <w:sz w:val="24"/>
          <w:highlight w:val="none"/>
        </w:rPr>
        <w:t>4 供应商基本情况表（统一格式，供应商必须提供）</w:t>
      </w:r>
    </w:p>
    <w:p w14:paraId="60E31739">
      <w:pPr>
        <w:spacing w:line="360" w:lineRule="auto"/>
        <w:rPr>
          <w:b/>
          <w:bCs/>
          <w:sz w:val="24"/>
          <w:highlight w:val="none"/>
        </w:rPr>
      </w:pPr>
      <w:r>
        <w:rPr>
          <w:rFonts w:ascii="Segoe UI Symbol" w:hAnsi="Segoe UI Symbol" w:cs="Segoe UI Symbol"/>
          <w:b/>
          <w:bCs/>
          <w:sz w:val="24"/>
          <w:highlight w:val="none"/>
        </w:rPr>
        <w:t>★</w:t>
      </w:r>
      <w:r>
        <w:rPr>
          <w:rFonts w:hint="eastAsia"/>
          <w:b/>
          <w:bCs/>
          <w:sz w:val="24"/>
          <w:highlight w:val="none"/>
        </w:rPr>
        <w:t>6-5</w:t>
      </w:r>
      <w:r>
        <w:rPr>
          <w:b/>
          <w:bCs/>
          <w:sz w:val="24"/>
          <w:highlight w:val="none"/>
        </w:rPr>
        <w:t xml:space="preserve"> 磋商谈判日前3个月内银行出具盖章的资信证明文件或公司上一年度（2024年度）经会计师事务所盖章审计的财务审计报告（供应商必须提供，但由专业担保机构已出具投标担保函的除外）</w:t>
      </w:r>
    </w:p>
    <w:p w14:paraId="029A29BD">
      <w:pPr>
        <w:spacing w:line="360" w:lineRule="auto"/>
        <w:rPr>
          <w:b/>
          <w:bCs/>
          <w:sz w:val="24"/>
          <w:highlight w:val="none"/>
        </w:rPr>
      </w:pPr>
      <w:r>
        <w:rPr>
          <w:rFonts w:ascii="Segoe UI Symbol" w:hAnsi="Segoe UI Symbol" w:cs="Segoe UI Symbol"/>
          <w:b/>
          <w:bCs/>
          <w:sz w:val="24"/>
          <w:highlight w:val="none"/>
        </w:rPr>
        <w:t>★</w:t>
      </w:r>
      <w:r>
        <w:rPr>
          <w:rFonts w:hint="eastAsia"/>
          <w:b/>
          <w:bCs/>
          <w:sz w:val="24"/>
          <w:highlight w:val="none"/>
        </w:rPr>
        <w:t>6-6</w:t>
      </w:r>
      <w:r>
        <w:rPr>
          <w:b/>
          <w:bCs/>
          <w:sz w:val="24"/>
          <w:highlight w:val="none"/>
        </w:rPr>
        <w:t xml:space="preserve">  依法缴纳税收的记录（提供投标截止日期之前12个月内任何一期纳税记录复印件，缴纳记录须体现有银行或税务部门印章，自行编写或网页截图无效）（依法免税的供应商，须提供相应文件证明其依法免税）</w:t>
      </w:r>
    </w:p>
    <w:p w14:paraId="43C3BCB6">
      <w:pPr>
        <w:spacing w:line="360" w:lineRule="auto"/>
        <w:rPr>
          <w:b/>
          <w:bCs/>
          <w:sz w:val="24"/>
          <w:highlight w:val="none"/>
        </w:rPr>
      </w:pPr>
      <w:r>
        <w:rPr>
          <w:rFonts w:ascii="Segoe UI Symbol" w:hAnsi="Segoe UI Symbol" w:cs="Segoe UI Symbol"/>
          <w:b/>
          <w:bCs/>
          <w:sz w:val="24"/>
          <w:highlight w:val="none"/>
        </w:rPr>
        <w:t>★</w:t>
      </w:r>
      <w:r>
        <w:rPr>
          <w:rFonts w:hint="eastAsia"/>
          <w:b/>
          <w:bCs/>
          <w:sz w:val="24"/>
          <w:highlight w:val="none"/>
        </w:rPr>
        <w:t>6-7</w:t>
      </w:r>
      <w:r>
        <w:rPr>
          <w:b/>
          <w:bCs/>
          <w:sz w:val="24"/>
          <w:highlight w:val="none"/>
        </w:rPr>
        <w:t>依法缴纳社会保障资金的记录（提供投标截止日期之前12个月内任何一期缴费记录复印件，缴纳记录须体现有银行或税务部门或社保部门印章，自行编写或网页截图无效）（依法不需要缴纳社会保障资金的供应商，须提供相应文件证明其依法不需要缴纳社会保障资金）</w:t>
      </w:r>
    </w:p>
    <w:p w14:paraId="561F0DFB">
      <w:pPr>
        <w:spacing w:line="360" w:lineRule="auto"/>
        <w:rPr>
          <w:b/>
          <w:bCs/>
          <w:sz w:val="24"/>
          <w:highlight w:val="none"/>
        </w:rPr>
      </w:pPr>
      <w:r>
        <w:rPr>
          <w:rFonts w:ascii="Segoe UI Symbol" w:hAnsi="Segoe UI Symbol" w:cs="Segoe UI Symbol"/>
          <w:b/>
          <w:bCs/>
          <w:sz w:val="24"/>
          <w:highlight w:val="none"/>
        </w:rPr>
        <w:t>★</w:t>
      </w:r>
      <w:r>
        <w:rPr>
          <w:rFonts w:hint="eastAsia"/>
          <w:b/>
          <w:bCs/>
          <w:sz w:val="24"/>
          <w:highlight w:val="none"/>
        </w:rPr>
        <w:t>6-8</w:t>
      </w:r>
      <w:r>
        <w:rPr>
          <w:b/>
          <w:bCs/>
          <w:sz w:val="24"/>
          <w:highlight w:val="none"/>
        </w:rPr>
        <w:t xml:space="preserve"> 参加政府采购活动前三年内，在经营活动中没有重大违法记录声明。（格式自拟，加盖公章）</w:t>
      </w:r>
    </w:p>
    <w:p w14:paraId="1CD1EE5D">
      <w:pPr>
        <w:spacing w:line="360" w:lineRule="auto"/>
        <w:rPr>
          <w:b/>
          <w:bCs/>
          <w:sz w:val="24"/>
          <w:highlight w:val="none"/>
        </w:rPr>
      </w:pPr>
      <w:r>
        <w:rPr>
          <w:rFonts w:ascii="Segoe UI Symbol" w:hAnsi="Segoe UI Symbol" w:cs="Segoe UI Symbol"/>
          <w:b/>
          <w:bCs/>
          <w:sz w:val="24"/>
          <w:highlight w:val="none"/>
        </w:rPr>
        <w:t>★</w:t>
      </w:r>
      <w:r>
        <w:rPr>
          <w:rFonts w:hint="eastAsia"/>
          <w:b/>
          <w:bCs/>
          <w:sz w:val="24"/>
          <w:highlight w:val="none"/>
        </w:rPr>
        <w:t>6-9</w:t>
      </w:r>
      <w:r>
        <w:rPr>
          <w:b/>
          <w:bCs/>
          <w:sz w:val="24"/>
          <w:highlight w:val="none"/>
        </w:rPr>
        <w:t xml:space="preserve"> 具有良好商业信誉和健全财务会计制度的财务状况的承诺（格式自拟，加盖公章）</w:t>
      </w:r>
    </w:p>
    <w:p w14:paraId="20A86E02">
      <w:pPr>
        <w:spacing w:line="360" w:lineRule="auto"/>
        <w:rPr>
          <w:b/>
          <w:bCs/>
          <w:sz w:val="24"/>
          <w:highlight w:val="none"/>
        </w:rPr>
      </w:pPr>
      <w:r>
        <w:rPr>
          <w:rFonts w:ascii="Segoe UI Symbol" w:hAnsi="Segoe UI Symbol" w:cs="Segoe UI Symbol"/>
          <w:b/>
          <w:bCs/>
          <w:sz w:val="24"/>
          <w:highlight w:val="none"/>
        </w:rPr>
        <w:t>★</w:t>
      </w:r>
      <w:r>
        <w:rPr>
          <w:rFonts w:hint="eastAsia"/>
          <w:b/>
          <w:bCs/>
          <w:sz w:val="24"/>
          <w:highlight w:val="none"/>
        </w:rPr>
        <w:t>6-</w:t>
      </w:r>
      <w:r>
        <w:rPr>
          <w:b/>
          <w:bCs/>
          <w:sz w:val="24"/>
          <w:highlight w:val="none"/>
        </w:rPr>
        <w:t>1</w:t>
      </w:r>
      <w:r>
        <w:rPr>
          <w:rFonts w:hint="eastAsia"/>
          <w:b/>
          <w:bCs/>
          <w:sz w:val="24"/>
          <w:highlight w:val="none"/>
        </w:rPr>
        <w:t>0</w:t>
      </w:r>
      <w:r>
        <w:rPr>
          <w:b/>
          <w:bCs/>
          <w:sz w:val="24"/>
          <w:highlight w:val="none"/>
        </w:rPr>
        <w:t xml:space="preserve"> 具有履行合同所必需的设备和专业技术能力的承诺（格式自拟，加盖公章）</w:t>
      </w:r>
    </w:p>
    <w:p w14:paraId="526EAE78">
      <w:pPr>
        <w:spacing w:line="360" w:lineRule="auto"/>
        <w:rPr>
          <w:b/>
          <w:bCs/>
          <w:sz w:val="24"/>
          <w:highlight w:val="none"/>
        </w:rPr>
      </w:pPr>
      <w:r>
        <w:rPr>
          <w:rFonts w:ascii="Segoe UI Symbol" w:hAnsi="Segoe UI Symbol" w:cs="Segoe UI Symbol"/>
          <w:b/>
          <w:bCs/>
          <w:sz w:val="24"/>
          <w:highlight w:val="none"/>
        </w:rPr>
        <w:t>★</w:t>
      </w:r>
      <w:r>
        <w:rPr>
          <w:rFonts w:hint="eastAsia"/>
          <w:b/>
          <w:bCs/>
          <w:sz w:val="24"/>
          <w:highlight w:val="none"/>
        </w:rPr>
        <w:t>6-</w:t>
      </w:r>
      <w:r>
        <w:rPr>
          <w:b/>
          <w:bCs/>
          <w:sz w:val="24"/>
          <w:highlight w:val="none"/>
        </w:rPr>
        <w:t>1</w:t>
      </w:r>
      <w:r>
        <w:rPr>
          <w:rFonts w:hint="eastAsia"/>
          <w:b/>
          <w:bCs/>
          <w:sz w:val="24"/>
          <w:highlight w:val="none"/>
        </w:rPr>
        <w:t>1</w:t>
      </w:r>
      <w:r>
        <w:rPr>
          <w:b/>
          <w:bCs/>
          <w:sz w:val="24"/>
          <w:highlight w:val="none"/>
        </w:rPr>
        <w:t xml:space="preserve"> 供应商必须提供“未为本项目提供整体设计、规范编制或者项目管理、监理、检测等服务的声明”（格式自拟，加盖公章）</w:t>
      </w:r>
    </w:p>
    <w:p w14:paraId="0529A730">
      <w:pPr>
        <w:spacing w:line="360" w:lineRule="auto"/>
        <w:rPr>
          <w:b/>
          <w:bCs/>
          <w:sz w:val="24"/>
          <w:highlight w:val="none"/>
        </w:rPr>
      </w:pPr>
      <w:r>
        <w:rPr>
          <w:rFonts w:ascii="Segoe UI Symbol" w:hAnsi="Segoe UI Symbol" w:cs="Segoe UI Symbol"/>
          <w:b/>
          <w:bCs/>
          <w:sz w:val="24"/>
          <w:highlight w:val="none"/>
        </w:rPr>
        <w:t>★</w:t>
      </w:r>
      <w:r>
        <w:rPr>
          <w:rFonts w:hint="eastAsia"/>
          <w:b/>
          <w:bCs/>
          <w:sz w:val="24"/>
          <w:highlight w:val="none"/>
        </w:rPr>
        <w:t>6-</w:t>
      </w:r>
      <w:r>
        <w:rPr>
          <w:b/>
          <w:bCs/>
          <w:sz w:val="24"/>
          <w:highlight w:val="none"/>
        </w:rPr>
        <w:t>1</w:t>
      </w:r>
      <w:r>
        <w:rPr>
          <w:rFonts w:hint="eastAsia"/>
          <w:b/>
          <w:bCs/>
          <w:sz w:val="24"/>
          <w:highlight w:val="none"/>
        </w:rPr>
        <w:t>2</w:t>
      </w:r>
      <w:r>
        <w:rPr>
          <w:b/>
          <w:bCs/>
          <w:sz w:val="24"/>
          <w:highlight w:val="none"/>
        </w:rPr>
        <w:t>供应商必须提供“控股股东名称、控股企业的名称和存在管理、被管理关系的单位名称且不存在以上有关联关系单位同时参加同一项目投标的说明”（</w:t>
      </w:r>
      <w:r>
        <w:rPr>
          <w:rFonts w:hint="eastAsia"/>
          <w:b/>
          <w:bCs/>
          <w:sz w:val="24"/>
          <w:highlight w:val="none"/>
        </w:rPr>
        <w:t>统一格式</w:t>
      </w:r>
      <w:r>
        <w:rPr>
          <w:b/>
          <w:bCs/>
          <w:sz w:val="24"/>
          <w:highlight w:val="none"/>
        </w:rPr>
        <w:t>，加盖公章）</w:t>
      </w:r>
    </w:p>
    <w:p w14:paraId="2ADA31EE">
      <w:pPr>
        <w:spacing w:line="360" w:lineRule="auto"/>
        <w:rPr>
          <w:sz w:val="24"/>
          <w:highlight w:val="none"/>
        </w:rPr>
      </w:pPr>
      <w:r>
        <w:rPr>
          <w:rFonts w:hint="eastAsia"/>
          <w:sz w:val="24"/>
          <w:highlight w:val="none"/>
        </w:rPr>
        <w:t>6-</w:t>
      </w:r>
      <w:r>
        <w:rPr>
          <w:sz w:val="24"/>
          <w:highlight w:val="none"/>
        </w:rPr>
        <w:t>1</w:t>
      </w:r>
      <w:r>
        <w:rPr>
          <w:rFonts w:hint="eastAsia"/>
          <w:sz w:val="24"/>
          <w:highlight w:val="none"/>
        </w:rPr>
        <w:t>3</w:t>
      </w:r>
      <w:r>
        <w:rPr>
          <w:sz w:val="24"/>
          <w:highlight w:val="none"/>
        </w:rPr>
        <w:t xml:space="preserve"> 磋商文件要求或供应商认为必要的其它内容（如：质量认证、荣誉证书等）</w:t>
      </w:r>
    </w:p>
    <w:p w14:paraId="32ED77AA">
      <w:pPr>
        <w:spacing w:line="360" w:lineRule="auto"/>
        <w:rPr>
          <w:sz w:val="24"/>
          <w:highlight w:val="none"/>
        </w:rPr>
      </w:pPr>
      <w:r>
        <w:rPr>
          <w:rFonts w:hint="eastAsia"/>
          <w:sz w:val="24"/>
          <w:highlight w:val="none"/>
        </w:rPr>
        <w:t>6-</w:t>
      </w:r>
      <w:r>
        <w:rPr>
          <w:sz w:val="24"/>
          <w:highlight w:val="none"/>
        </w:rPr>
        <w:t>1</w:t>
      </w:r>
      <w:r>
        <w:rPr>
          <w:rFonts w:hint="eastAsia"/>
          <w:sz w:val="24"/>
          <w:highlight w:val="none"/>
        </w:rPr>
        <w:t>4</w:t>
      </w:r>
      <w:r>
        <w:rPr>
          <w:sz w:val="24"/>
          <w:highlight w:val="none"/>
        </w:rPr>
        <w:t xml:space="preserve"> 国家法律法规要求的资质证明文件（如有）</w:t>
      </w:r>
    </w:p>
    <w:p w14:paraId="2516BB88">
      <w:pPr>
        <w:spacing w:line="360" w:lineRule="auto"/>
        <w:rPr>
          <w:sz w:val="24"/>
          <w:highlight w:val="none"/>
        </w:rPr>
      </w:pPr>
      <w:r>
        <w:rPr>
          <w:sz w:val="24"/>
          <w:highlight w:val="none"/>
        </w:rPr>
        <w:t>附件</w:t>
      </w:r>
      <w:r>
        <w:rPr>
          <w:rFonts w:hint="eastAsia"/>
          <w:sz w:val="24"/>
          <w:highlight w:val="none"/>
        </w:rPr>
        <w:t>7</w:t>
      </w:r>
      <w:r>
        <w:rPr>
          <w:sz w:val="24"/>
          <w:highlight w:val="none"/>
        </w:rPr>
        <w:t>--磋商保证金说明函（统一格式）</w:t>
      </w:r>
    </w:p>
    <w:p w14:paraId="042D61A6">
      <w:pPr>
        <w:spacing w:line="360" w:lineRule="auto"/>
        <w:rPr>
          <w:sz w:val="24"/>
          <w:highlight w:val="none"/>
        </w:rPr>
      </w:pPr>
      <w:r>
        <w:rPr>
          <w:sz w:val="24"/>
          <w:highlight w:val="none"/>
        </w:rPr>
        <w:t>附件</w:t>
      </w:r>
      <w:r>
        <w:rPr>
          <w:rFonts w:hint="eastAsia"/>
          <w:sz w:val="24"/>
          <w:highlight w:val="none"/>
        </w:rPr>
        <w:t>8</w:t>
      </w:r>
      <w:r>
        <w:rPr>
          <w:sz w:val="24"/>
          <w:highlight w:val="none"/>
        </w:rPr>
        <w:t>--磋商保证金保函（统一格式）</w:t>
      </w:r>
    </w:p>
    <w:p w14:paraId="75313628">
      <w:pPr>
        <w:spacing w:line="360" w:lineRule="auto"/>
        <w:rPr>
          <w:sz w:val="24"/>
          <w:highlight w:val="none"/>
        </w:rPr>
      </w:pPr>
      <w:r>
        <w:rPr>
          <w:sz w:val="24"/>
          <w:highlight w:val="none"/>
        </w:rPr>
        <w:t>附件</w:t>
      </w:r>
      <w:r>
        <w:rPr>
          <w:rFonts w:hint="eastAsia"/>
          <w:sz w:val="24"/>
          <w:highlight w:val="none"/>
        </w:rPr>
        <w:t>9</w:t>
      </w:r>
      <w:r>
        <w:rPr>
          <w:sz w:val="24"/>
          <w:highlight w:val="none"/>
        </w:rPr>
        <w:t>—成交服务费承诺书（统一格式）</w:t>
      </w:r>
    </w:p>
    <w:p w14:paraId="17F5013C">
      <w:pPr>
        <w:spacing w:line="360" w:lineRule="auto"/>
        <w:rPr>
          <w:sz w:val="24"/>
          <w:highlight w:val="none"/>
        </w:rPr>
      </w:pPr>
      <w:r>
        <w:rPr>
          <w:sz w:val="24"/>
          <w:highlight w:val="none"/>
        </w:rPr>
        <w:t>附件1</w:t>
      </w:r>
      <w:r>
        <w:rPr>
          <w:rFonts w:hint="eastAsia"/>
          <w:sz w:val="24"/>
          <w:highlight w:val="none"/>
        </w:rPr>
        <w:t>0</w:t>
      </w:r>
      <w:r>
        <w:rPr>
          <w:sz w:val="24"/>
          <w:highlight w:val="none"/>
        </w:rPr>
        <w:t>--</w:t>
      </w:r>
      <w:r>
        <w:rPr>
          <w:rFonts w:hint="eastAsia" w:ascii="宋体" w:hAnsi="宋体" w:cs="宋体"/>
          <w:sz w:val="24"/>
          <w:highlight w:val="none"/>
          <w:lang w:bidi="ar"/>
        </w:rPr>
        <w:t>服务方案及工作人员安排计划</w:t>
      </w:r>
    </w:p>
    <w:p w14:paraId="51688721">
      <w:pPr>
        <w:spacing w:line="360" w:lineRule="auto"/>
        <w:rPr>
          <w:sz w:val="24"/>
          <w:highlight w:val="none"/>
        </w:rPr>
      </w:pPr>
      <w:r>
        <w:rPr>
          <w:sz w:val="24"/>
          <w:highlight w:val="none"/>
        </w:rPr>
        <w:t>附件1</w:t>
      </w:r>
      <w:r>
        <w:rPr>
          <w:rFonts w:hint="eastAsia"/>
          <w:sz w:val="24"/>
          <w:highlight w:val="none"/>
        </w:rPr>
        <w:t>1</w:t>
      </w:r>
      <w:r>
        <w:rPr>
          <w:sz w:val="24"/>
          <w:highlight w:val="none"/>
        </w:rPr>
        <w:t>——中小企业声明函（格式见附件）</w:t>
      </w:r>
    </w:p>
    <w:p w14:paraId="47B478FB">
      <w:pPr>
        <w:spacing w:line="360" w:lineRule="auto"/>
        <w:rPr>
          <w:sz w:val="24"/>
          <w:highlight w:val="none"/>
        </w:rPr>
      </w:pPr>
      <w:r>
        <w:rPr>
          <w:sz w:val="24"/>
          <w:highlight w:val="none"/>
        </w:rPr>
        <w:t>附件1</w:t>
      </w:r>
      <w:r>
        <w:rPr>
          <w:rFonts w:hint="eastAsia"/>
          <w:sz w:val="24"/>
          <w:highlight w:val="none"/>
        </w:rPr>
        <w:t>2</w:t>
      </w:r>
      <w:r>
        <w:rPr>
          <w:sz w:val="24"/>
          <w:highlight w:val="none"/>
        </w:rPr>
        <w:t>——残疾人福利性单位声明函（如为残疾人福利性单位，应按《财政部 民政部 中国残疾人联合会关于促进残疾人就业政府采购政策的通知》（财库〔2017〕 141号）的规定提供）</w:t>
      </w:r>
    </w:p>
    <w:p w14:paraId="19937E6F">
      <w:pPr>
        <w:spacing w:line="360" w:lineRule="auto"/>
        <w:rPr>
          <w:sz w:val="24"/>
          <w:highlight w:val="none"/>
        </w:rPr>
      </w:pPr>
      <w:r>
        <w:rPr>
          <w:sz w:val="24"/>
          <w:highlight w:val="none"/>
        </w:rPr>
        <w:t>附件1</w:t>
      </w:r>
      <w:r>
        <w:rPr>
          <w:rFonts w:hint="eastAsia"/>
          <w:sz w:val="24"/>
          <w:highlight w:val="none"/>
        </w:rPr>
        <w:t>3</w:t>
      </w:r>
      <w:r>
        <w:rPr>
          <w:sz w:val="24"/>
          <w:highlight w:val="none"/>
        </w:rPr>
        <w:t>——政府采购响应担保函格式（格式见附件）</w:t>
      </w:r>
    </w:p>
    <w:p w14:paraId="0F297431">
      <w:pPr>
        <w:spacing w:line="360" w:lineRule="auto"/>
        <w:rPr>
          <w:sz w:val="24"/>
          <w:highlight w:val="none"/>
        </w:rPr>
      </w:pPr>
      <w:r>
        <w:rPr>
          <w:sz w:val="24"/>
          <w:highlight w:val="none"/>
        </w:rPr>
        <w:t>附件1</w:t>
      </w:r>
      <w:r>
        <w:rPr>
          <w:rFonts w:hint="eastAsia"/>
          <w:sz w:val="24"/>
          <w:highlight w:val="none"/>
        </w:rPr>
        <w:t>4</w:t>
      </w:r>
      <w:r>
        <w:rPr>
          <w:sz w:val="24"/>
          <w:highlight w:val="none"/>
        </w:rPr>
        <w:t>——政府采购履约担保函（格式见附件）</w:t>
      </w:r>
    </w:p>
    <w:p w14:paraId="358F3309">
      <w:pPr>
        <w:rPr>
          <w:highlight w:val="none"/>
        </w:rPr>
      </w:pPr>
      <w:r>
        <w:rPr>
          <w:highlight w:val="none"/>
        </w:rPr>
        <w:br w:type="page"/>
      </w:r>
    </w:p>
    <w:p w14:paraId="12BA8990">
      <w:pPr>
        <w:adjustRightInd w:val="0"/>
        <w:snapToGrid w:val="0"/>
        <w:spacing w:line="360" w:lineRule="auto"/>
        <w:jc w:val="center"/>
        <w:outlineLvl w:val="1"/>
        <w:rPr>
          <w:b/>
          <w:sz w:val="24"/>
          <w:highlight w:val="none"/>
        </w:rPr>
      </w:pPr>
      <w:r>
        <w:rPr>
          <w:rFonts w:ascii="Segoe UI Symbol" w:hAnsi="Segoe UI Symbol" w:cs="Segoe UI Symbol"/>
          <w:b/>
          <w:bCs/>
          <w:sz w:val="24"/>
          <w:highlight w:val="none"/>
        </w:rPr>
        <w:t>★</w:t>
      </w:r>
      <w:r>
        <w:rPr>
          <w:b/>
          <w:sz w:val="24"/>
          <w:highlight w:val="none"/>
        </w:rPr>
        <w:t>附件1</w:t>
      </w:r>
      <w:r>
        <w:rPr>
          <w:rFonts w:hint="eastAsia"/>
          <w:b/>
          <w:sz w:val="24"/>
          <w:highlight w:val="none"/>
        </w:rPr>
        <w:t>：</w:t>
      </w:r>
      <w:r>
        <w:rPr>
          <w:b/>
          <w:sz w:val="24"/>
          <w:highlight w:val="none"/>
        </w:rPr>
        <w:t xml:space="preserve">报价函 </w:t>
      </w:r>
    </w:p>
    <w:p w14:paraId="0A527E60">
      <w:pPr>
        <w:rPr>
          <w:highlight w:val="none"/>
        </w:rPr>
      </w:pPr>
    </w:p>
    <w:p w14:paraId="69A3AB71">
      <w:pPr>
        <w:autoSpaceDE w:val="0"/>
        <w:autoSpaceDN w:val="0"/>
        <w:adjustRightInd w:val="0"/>
        <w:snapToGrid w:val="0"/>
        <w:spacing w:line="360" w:lineRule="auto"/>
        <w:ind w:right="6"/>
        <w:textAlignment w:val="bottom"/>
        <w:rPr>
          <w:sz w:val="24"/>
          <w:highlight w:val="none"/>
        </w:rPr>
      </w:pPr>
      <w:r>
        <w:rPr>
          <w:sz w:val="24"/>
          <w:highlight w:val="none"/>
        </w:rPr>
        <w:t>致：</w:t>
      </w:r>
      <w:r>
        <w:rPr>
          <w:sz w:val="24"/>
          <w:highlight w:val="none"/>
          <w:u w:val="single"/>
        </w:rPr>
        <w:t>（采购代理机构）</w:t>
      </w:r>
    </w:p>
    <w:p w14:paraId="108CF3ED">
      <w:pPr>
        <w:rPr>
          <w:highlight w:val="none"/>
        </w:rPr>
      </w:pPr>
    </w:p>
    <w:p w14:paraId="2BDEF43D">
      <w:pPr>
        <w:autoSpaceDE w:val="0"/>
        <w:autoSpaceDN w:val="0"/>
        <w:adjustRightInd w:val="0"/>
        <w:snapToGrid w:val="0"/>
        <w:spacing w:line="360" w:lineRule="auto"/>
        <w:ind w:right="6" w:firstLine="420"/>
        <w:textAlignment w:val="bottom"/>
        <w:rPr>
          <w:sz w:val="24"/>
          <w:highlight w:val="none"/>
        </w:rPr>
      </w:pPr>
      <w:r>
        <w:rPr>
          <w:sz w:val="24"/>
          <w:highlight w:val="none"/>
        </w:rPr>
        <w:t>根据贵方为</w:t>
      </w:r>
      <w:r>
        <w:rPr>
          <w:sz w:val="24"/>
          <w:highlight w:val="none"/>
          <w:u w:val="single"/>
        </w:rPr>
        <w:t>（项目名称）</w:t>
      </w:r>
      <w:r>
        <w:rPr>
          <w:sz w:val="24"/>
          <w:highlight w:val="none"/>
        </w:rPr>
        <w:t>项目竞争性磋商邀请</w:t>
      </w:r>
      <w:r>
        <w:rPr>
          <w:sz w:val="24"/>
          <w:highlight w:val="none"/>
          <w:u w:val="single"/>
        </w:rPr>
        <w:t>（项目编号：    ）</w:t>
      </w:r>
      <w:r>
        <w:rPr>
          <w:sz w:val="24"/>
          <w:highlight w:val="none"/>
        </w:rPr>
        <w:t>，签字代表</w:t>
      </w:r>
      <w:r>
        <w:rPr>
          <w:sz w:val="24"/>
          <w:highlight w:val="none"/>
          <w:u w:val="single"/>
        </w:rPr>
        <w:t>（  姓名、职务   ）</w:t>
      </w:r>
      <w:r>
        <w:rPr>
          <w:sz w:val="24"/>
          <w:highlight w:val="none"/>
        </w:rPr>
        <w:t>经正式授权并代表供应商</w:t>
      </w:r>
      <w:r>
        <w:rPr>
          <w:sz w:val="24"/>
          <w:highlight w:val="none"/>
          <w:u w:val="single"/>
        </w:rPr>
        <w:t>（  供应商名称、地址    ）</w:t>
      </w:r>
      <w:r>
        <w:rPr>
          <w:sz w:val="24"/>
          <w:highlight w:val="none"/>
        </w:rPr>
        <w:t>递交磋商文件供应商须知第9条要求的所有文件（磋商响应文件正本</w:t>
      </w:r>
      <w:r>
        <w:rPr>
          <w:sz w:val="24"/>
          <w:highlight w:val="none"/>
          <w:u w:val="single"/>
        </w:rPr>
        <w:t xml:space="preserve">  </w:t>
      </w:r>
      <w:r>
        <w:rPr>
          <w:rFonts w:hint="eastAsia"/>
          <w:sz w:val="24"/>
          <w:highlight w:val="none"/>
          <w:u w:val="single"/>
        </w:rPr>
        <w:t xml:space="preserve"> </w:t>
      </w:r>
      <w:r>
        <w:rPr>
          <w:sz w:val="24"/>
          <w:highlight w:val="none"/>
          <w:u w:val="single"/>
        </w:rPr>
        <w:t xml:space="preserve">  </w:t>
      </w:r>
      <w:r>
        <w:rPr>
          <w:sz w:val="24"/>
          <w:highlight w:val="none"/>
        </w:rPr>
        <w:t>份和副本</w:t>
      </w:r>
      <w:r>
        <w:rPr>
          <w:sz w:val="24"/>
          <w:highlight w:val="none"/>
          <w:u w:val="single"/>
        </w:rPr>
        <w:t xml:space="preserve">  </w:t>
      </w:r>
      <w:r>
        <w:rPr>
          <w:rFonts w:hint="eastAsia"/>
          <w:sz w:val="24"/>
          <w:highlight w:val="none"/>
          <w:u w:val="single"/>
        </w:rPr>
        <w:t xml:space="preserve"> </w:t>
      </w:r>
      <w:r>
        <w:rPr>
          <w:sz w:val="24"/>
          <w:highlight w:val="none"/>
          <w:u w:val="single"/>
        </w:rPr>
        <w:t xml:space="preserve">  </w:t>
      </w:r>
      <w:r>
        <w:rPr>
          <w:sz w:val="24"/>
          <w:highlight w:val="none"/>
        </w:rPr>
        <w:t>份和电子版本</w:t>
      </w:r>
      <w:r>
        <w:rPr>
          <w:sz w:val="24"/>
          <w:highlight w:val="none"/>
          <w:u w:val="single"/>
        </w:rPr>
        <w:t xml:space="preserve">  </w:t>
      </w:r>
      <w:r>
        <w:rPr>
          <w:rFonts w:hint="eastAsia"/>
          <w:sz w:val="24"/>
          <w:highlight w:val="none"/>
          <w:u w:val="single"/>
        </w:rPr>
        <w:t xml:space="preserve"> </w:t>
      </w:r>
      <w:r>
        <w:rPr>
          <w:sz w:val="24"/>
          <w:highlight w:val="none"/>
          <w:u w:val="single"/>
        </w:rPr>
        <w:t xml:space="preserve">  </w:t>
      </w:r>
      <w:r>
        <w:rPr>
          <w:sz w:val="24"/>
          <w:highlight w:val="none"/>
        </w:rPr>
        <w:t>份）。</w:t>
      </w:r>
    </w:p>
    <w:p w14:paraId="50FE22C8">
      <w:pPr>
        <w:rPr>
          <w:highlight w:val="none"/>
        </w:rPr>
      </w:pPr>
    </w:p>
    <w:p w14:paraId="613E8846">
      <w:pPr>
        <w:autoSpaceDE w:val="0"/>
        <w:autoSpaceDN w:val="0"/>
        <w:adjustRightInd w:val="0"/>
        <w:snapToGrid w:val="0"/>
        <w:spacing w:line="360" w:lineRule="auto"/>
        <w:ind w:right="6" w:firstLine="420"/>
        <w:textAlignment w:val="bottom"/>
        <w:rPr>
          <w:sz w:val="24"/>
          <w:highlight w:val="none"/>
        </w:rPr>
      </w:pPr>
      <w:r>
        <w:rPr>
          <w:sz w:val="24"/>
          <w:highlight w:val="none"/>
        </w:rPr>
        <w:t>据此函，签字代表宣布同意如下：</w:t>
      </w:r>
    </w:p>
    <w:p w14:paraId="24517BD3">
      <w:pPr>
        <w:wordWrap w:val="0"/>
        <w:autoSpaceDE w:val="0"/>
        <w:autoSpaceDN w:val="0"/>
        <w:adjustRightInd w:val="0"/>
        <w:snapToGrid w:val="0"/>
        <w:spacing w:line="360" w:lineRule="auto"/>
        <w:ind w:right="6" w:firstLine="480" w:firstLineChars="200"/>
        <w:textAlignment w:val="bottom"/>
        <w:rPr>
          <w:sz w:val="24"/>
          <w:highlight w:val="none"/>
        </w:rPr>
      </w:pPr>
      <w:r>
        <w:rPr>
          <w:sz w:val="24"/>
          <w:highlight w:val="none"/>
        </w:rPr>
        <w:t>1 、所附磋商价格表中规定的应提交和交付的</w:t>
      </w:r>
      <w:r>
        <w:rPr>
          <w:rFonts w:hint="eastAsia"/>
          <w:sz w:val="24"/>
          <w:highlight w:val="none"/>
        </w:rPr>
        <w:t>服务</w:t>
      </w:r>
      <w:r>
        <w:rPr>
          <w:sz w:val="24"/>
          <w:highlight w:val="none"/>
        </w:rPr>
        <w:t>报价总价为：</w:t>
      </w:r>
      <w:r>
        <w:rPr>
          <w:sz w:val="24"/>
          <w:highlight w:val="none"/>
          <w:u w:val="single"/>
        </w:rPr>
        <w:t xml:space="preserve">       （注明币种，并用大写文字和数字表示的报价总价）</w:t>
      </w:r>
      <w:r>
        <w:rPr>
          <w:sz w:val="24"/>
          <w:highlight w:val="none"/>
        </w:rPr>
        <w:t>。</w:t>
      </w:r>
    </w:p>
    <w:p w14:paraId="46517679">
      <w:pPr>
        <w:autoSpaceDE w:val="0"/>
        <w:autoSpaceDN w:val="0"/>
        <w:adjustRightInd w:val="0"/>
        <w:snapToGrid w:val="0"/>
        <w:spacing w:line="360" w:lineRule="auto"/>
        <w:ind w:right="6" w:firstLine="480" w:firstLineChars="200"/>
        <w:textAlignment w:val="bottom"/>
        <w:rPr>
          <w:sz w:val="24"/>
          <w:highlight w:val="none"/>
        </w:rPr>
      </w:pPr>
      <w:r>
        <w:rPr>
          <w:sz w:val="24"/>
          <w:highlight w:val="none"/>
        </w:rPr>
        <w:t>2、供应商将按磋商文件的规定履行合同责任和义务。</w:t>
      </w:r>
    </w:p>
    <w:p w14:paraId="0ADE733E">
      <w:pPr>
        <w:autoSpaceDE w:val="0"/>
        <w:autoSpaceDN w:val="0"/>
        <w:adjustRightInd w:val="0"/>
        <w:snapToGrid w:val="0"/>
        <w:spacing w:line="360" w:lineRule="auto"/>
        <w:ind w:right="6" w:firstLine="480" w:firstLineChars="200"/>
        <w:textAlignment w:val="bottom"/>
        <w:rPr>
          <w:sz w:val="24"/>
          <w:highlight w:val="none"/>
        </w:rPr>
      </w:pPr>
      <w:r>
        <w:rPr>
          <w:sz w:val="24"/>
          <w:highlight w:val="none"/>
        </w:rPr>
        <w:t>3、供应商已详细审查全部磋商文件，包括第</w:t>
      </w:r>
      <w:r>
        <w:rPr>
          <w:sz w:val="24"/>
          <w:highlight w:val="none"/>
          <w:u w:val="single"/>
        </w:rPr>
        <w:t>（编号、补遗书）（如果有的话）</w:t>
      </w:r>
      <w:r>
        <w:rPr>
          <w:sz w:val="24"/>
          <w:highlight w:val="none"/>
        </w:rPr>
        <w:t>。我们完全理解并同意放弃对这方面有不明及误解的权力。</w:t>
      </w:r>
    </w:p>
    <w:p w14:paraId="46663690">
      <w:pPr>
        <w:autoSpaceDE w:val="0"/>
        <w:autoSpaceDN w:val="0"/>
        <w:adjustRightInd w:val="0"/>
        <w:snapToGrid w:val="0"/>
        <w:spacing w:line="360" w:lineRule="auto"/>
        <w:ind w:right="6" w:firstLine="480" w:firstLineChars="200"/>
        <w:textAlignment w:val="bottom"/>
        <w:rPr>
          <w:sz w:val="24"/>
          <w:highlight w:val="none"/>
        </w:rPr>
      </w:pPr>
      <w:r>
        <w:rPr>
          <w:sz w:val="24"/>
          <w:highlight w:val="none"/>
        </w:rPr>
        <w:t>4、本报价有效期为自磋商之日起</w:t>
      </w:r>
      <w:r>
        <w:rPr>
          <w:sz w:val="24"/>
          <w:highlight w:val="none"/>
          <w:u w:val="single"/>
        </w:rPr>
        <w:t xml:space="preserve">   90   </w:t>
      </w:r>
      <w:r>
        <w:rPr>
          <w:sz w:val="24"/>
          <w:highlight w:val="none"/>
        </w:rPr>
        <w:t>个日历日。</w:t>
      </w:r>
    </w:p>
    <w:p w14:paraId="5242C645">
      <w:pPr>
        <w:autoSpaceDE w:val="0"/>
        <w:autoSpaceDN w:val="0"/>
        <w:adjustRightInd w:val="0"/>
        <w:snapToGrid w:val="0"/>
        <w:spacing w:line="360" w:lineRule="auto"/>
        <w:ind w:right="6" w:firstLine="480" w:firstLineChars="200"/>
        <w:textAlignment w:val="bottom"/>
        <w:rPr>
          <w:sz w:val="24"/>
          <w:highlight w:val="none"/>
        </w:rPr>
      </w:pPr>
      <w:r>
        <w:rPr>
          <w:sz w:val="24"/>
          <w:highlight w:val="none"/>
        </w:rPr>
        <w:t>5、如果在规定的磋商时间后，供应商在报价有效期内撤回报价，其磋商保证金将被贵方没收。</w:t>
      </w:r>
    </w:p>
    <w:p w14:paraId="54A8432C">
      <w:pPr>
        <w:autoSpaceDE w:val="0"/>
        <w:autoSpaceDN w:val="0"/>
        <w:adjustRightInd w:val="0"/>
        <w:snapToGrid w:val="0"/>
        <w:spacing w:line="360" w:lineRule="auto"/>
        <w:ind w:right="6" w:firstLine="480" w:firstLineChars="200"/>
        <w:textAlignment w:val="bottom"/>
        <w:rPr>
          <w:sz w:val="24"/>
          <w:highlight w:val="none"/>
        </w:rPr>
      </w:pPr>
      <w:r>
        <w:rPr>
          <w:sz w:val="24"/>
          <w:highlight w:val="none"/>
        </w:rPr>
        <w:t>6、我方承诺，我方与采购人聘请的为此目的提供咨询服务的公司及任何附属机构均无关联，我方不是采购人的附属机构。</w:t>
      </w:r>
    </w:p>
    <w:p w14:paraId="172B6FC9">
      <w:pPr>
        <w:autoSpaceDE w:val="0"/>
        <w:autoSpaceDN w:val="0"/>
        <w:adjustRightInd w:val="0"/>
        <w:snapToGrid w:val="0"/>
        <w:spacing w:line="360" w:lineRule="auto"/>
        <w:ind w:right="6" w:firstLine="480" w:firstLineChars="200"/>
        <w:textAlignment w:val="bottom"/>
        <w:rPr>
          <w:sz w:val="24"/>
          <w:highlight w:val="none"/>
        </w:rPr>
      </w:pPr>
      <w:r>
        <w:rPr>
          <w:sz w:val="24"/>
          <w:highlight w:val="none"/>
        </w:rPr>
        <w:t>7、供应商同意提供按照贵方可能要求的与其磋商有关的一切数据或资料。</w:t>
      </w:r>
    </w:p>
    <w:p w14:paraId="50835978">
      <w:pPr>
        <w:autoSpaceDE w:val="0"/>
        <w:autoSpaceDN w:val="0"/>
        <w:adjustRightInd w:val="0"/>
        <w:snapToGrid w:val="0"/>
        <w:spacing w:line="360" w:lineRule="auto"/>
        <w:ind w:right="6" w:firstLine="480" w:firstLineChars="200"/>
        <w:textAlignment w:val="bottom"/>
        <w:rPr>
          <w:sz w:val="24"/>
          <w:highlight w:val="none"/>
        </w:rPr>
      </w:pPr>
      <w:r>
        <w:rPr>
          <w:sz w:val="24"/>
          <w:highlight w:val="none"/>
        </w:rPr>
        <w:t>8、与本磋商有关的一切正式往来信函请寄：</w:t>
      </w:r>
    </w:p>
    <w:p w14:paraId="12151FFB">
      <w:pPr>
        <w:rPr>
          <w:highlight w:val="none"/>
        </w:rPr>
      </w:pPr>
    </w:p>
    <w:p w14:paraId="51A95F99">
      <w:pPr>
        <w:autoSpaceDE w:val="0"/>
        <w:autoSpaceDN w:val="0"/>
        <w:adjustRightInd w:val="0"/>
        <w:snapToGrid w:val="0"/>
        <w:spacing w:line="360" w:lineRule="auto"/>
        <w:ind w:right="6"/>
        <w:textAlignment w:val="bottom"/>
        <w:rPr>
          <w:sz w:val="24"/>
          <w:highlight w:val="none"/>
        </w:rPr>
      </w:pPr>
      <w:r>
        <w:rPr>
          <w:sz w:val="24"/>
          <w:highlight w:val="none"/>
        </w:rPr>
        <w:t>地址</w:t>
      </w:r>
      <w:r>
        <w:rPr>
          <w:sz w:val="24"/>
          <w:highlight w:val="none"/>
          <w:u w:val="single"/>
        </w:rPr>
        <w:t xml:space="preserve">                         </w:t>
      </w:r>
      <w:r>
        <w:rPr>
          <w:sz w:val="24"/>
          <w:highlight w:val="none"/>
        </w:rPr>
        <w:t xml:space="preserve">  传真</w:t>
      </w:r>
      <w:r>
        <w:rPr>
          <w:sz w:val="24"/>
          <w:highlight w:val="none"/>
          <w:u w:val="single"/>
        </w:rPr>
        <w:t xml:space="preserve">                           </w:t>
      </w:r>
    </w:p>
    <w:p w14:paraId="4103F7EB">
      <w:pPr>
        <w:autoSpaceDE w:val="0"/>
        <w:autoSpaceDN w:val="0"/>
        <w:adjustRightInd w:val="0"/>
        <w:snapToGrid w:val="0"/>
        <w:spacing w:line="360" w:lineRule="auto"/>
        <w:ind w:right="6"/>
        <w:textAlignment w:val="bottom"/>
        <w:rPr>
          <w:sz w:val="24"/>
          <w:highlight w:val="none"/>
        </w:rPr>
      </w:pPr>
      <w:r>
        <w:rPr>
          <w:sz w:val="24"/>
          <w:highlight w:val="none"/>
        </w:rPr>
        <w:t>电话</w:t>
      </w:r>
      <w:r>
        <w:rPr>
          <w:sz w:val="24"/>
          <w:highlight w:val="none"/>
          <w:u w:val="single"/>
        </w:rPr>
        <w:t xml:space="preserve">                         </w:t>
      </w:r>
      <w:r>
        <w:rPr>
          <w:sz w:val="24"/>
          <w:highlight w:val="none"/>
        </w:rPr>
        <w:t xml:space="preserve">  电子函件</w:t>
      </w:r>
      <w:r>
        <w:rPr>
          <w:sz w:val="24"/>
          <w:highlight w:val="none"/>
          <w:u w:val="single"/>
        </w:rPr>
        <w:t xml:space="preserve">                       </w:t>
      </w:r>
    </w:p>
    <w:p w14:paraId="018F96B0">
      <w:pPr>
        <w:rPr>
          <w:highlight w:val="none"/>
        </w:rPr>
      </w:pPr>
    </w:p>
    <w:p w14:paraId="15D16D35">
      <w:pPr>
        <w:autoSpaceDE w:val="0"/>
        <w:autoSpaceDN w:val="0"/>
        <w:adjustRightInd w:val="0"/>
        <w:snapToGrid w:val="0"/>
        <w:spacing w:line="360" w:lineRule="auto"/>
        <w:ind w:right="6"/>
        <w:textAlignment w:val="bottom"/>
        <w:rPr>
          <w:sz w:val="24"/>
          <w:highlight w:val="none"/>
          <w:u w:val="single"/>
        </w:rPr>
      </w:pPr>
      <w:r>
        <w:rPr>
          <w:sz w:val="24"/>
          <w:highlight w:val="none"/>
        </w:rPr>
        <w:t>供应商授权代表签字</w:t>
      </w:r>
      <w:r>
        <w:rPr>
          <w:sz w:val="24"/>
          <w:highlight w:val="none"/>
          <w:u w:val="single"/>
        </w:rPr>
        <w:t xml:space="preserve">                            </w:t>
      </w:r>
    </w:p>
    <w:p w14:paraId="615FB187">
      <w:pPr>
        <w:autoSpaceDE w:val="0"/>
        <w:autoSpaceDN w:val="0"/>
        <w:adjustRightInd w:val="0"/>
        <w:snapToGrid w:val="0"/>
        <w:spacing w:line="360" w:lineRule="auto"/>
        <w:ind w:right="6"/>
        <w:textAlignment w:val="bottom"/>
        <w:rPr>
          <w:sz w:val="24"/>
          <w:highlight w:val="none"/>
        </w:rPr>
      </w:pPr>
      <w:r>
        <w:rPr>
          <w:sz w:val="24"/>
          <w:highlight w:val="none"/>
        </w:rPr>
        <w:t>供应商名称</w:t>
      </w:r>
      <w:r>
        <w:rPr>
          <w:sz w:val="24"/>
          <w:highlight w:val="none"/>
          <w:u w:val="single"/>
        </w:rPr>
        <w:t xml:space="preserve">                                    </w:t>
      </w:r>
    </w:p>
    <w:p w14:paraId="2920CDC6">
      <w:pPr>
        <w:autoSpaceDE w:val="0"/>
        <w:autoSpaceDN w:val="0"/>
        <w:adjustRightInd w:val="0"/>
        <w:snapToGrid w:val="0"/>
        <w:spacing w:line="360" w:lineRule="auto"/>
        <w:ind w:right="6"/>
        <w:textAlignment w:val="bottom"/>
        <w:rPr>
          <w:sz w:val="24"/>
          <w:highlight w:val="none"/>
          <w:u w:val="single"/>
        </w:rPr>
      </w:pPr>
      <w:r>
        <w:rPr>
          <w:sz w:val="24"/>
          <w:highlight w:val="none"/>
        </w:rPr>
        <w:t>公章</w:t>
      </w:r>
      <w:r>
        <w:rPr>
          <w:sz w:val="24"/>
          <w:highlight w:val="none"/>
          <w:u w:val="single"/>
        </w:rPr>
        <w:t xml:space="preserve">                                          </w:t>
      </w:r>
    </w:p>
    <w:p w14:paraId="206EFBBB">
      <w:pPr>
        <w:autoSpaceDE w:val="0"/>
        <w:autoSpaceDN w:val="0"/>
        <w:adjustRightInd w:val="0"/>
        <w:snapToGrid w:val="0"/>
        <w:spacing w:line="360" w:lineRule="auto"/>
        <w:ind w:right="6"/>
        <w:textAlignment w:val="bottom"/>
        <w:rPr>
          <w:sz w:val="24"/>
          <w:highlight w:val="none"/>
          <w:u w:val="single"/>
        </w:rPr>
      </w:pPr>
      <w:r>
        <w:rPr>
          <w:sz w:val="24"/>
          <w:highlight w:val="none"/>
        </w:rPr>
        <w:t>日期</w:t>
      </w:r>
      <w:r>
        <w:rPr>
          <w:sz w:val="24"/>
          <w:highlight w:val="none"/>
          <w:u w:val="single"/>
        </w:rPr>
        <w:t xml:space="preserve">                                          </w:t>
      </w:r>
    </w:p>
    <w:p w14:paraId="0AA55A1B">
      <w:pPr>
        <w:autoSpaceDE w:val="0"/>
        <w:autoSpaceDN w:val="0"/>
        <w:adjustRightInd w:val="0"/>
        <w:snapToGrid w:val="0"/>
        <w:ind w:right="6"/>
        <w:jc w:val="center"/>
        <w:textAlignment w:val="bottom"/>
        <w:outlineLvl w:val="1"/>
        <w:rPr>
          <w:rFonts w:hint="eastAsia" w:ascii="宋体" w:hAnsi="宋体" w:cs="宋体"/>
          <w:b/>
          <w:sz w:val="24"/>
          <w:highlight w:val="none"/>
        </w:rPr>
      </w:pPr>
      <w:r>
        <w:rPr>
          <w:sz w:val="24"/>
          <w:highlight w:val="none"/>
          <w:u w:val="single"/>
        </w:rPr>
        <w:br w:type="page"/>
      </w:r>
      <w:r>
        <w:rPr>
          <w:rFonts w:ascii="Segoe UI Symbol" w:hAnsi="Segoe UI Symbol" w:cs="Segoe UI Symbol"/>
          <w:b/>
          <w:bCs/>
          <w:sz w:val="24"/>
          <w:highlight w:val="none"/>
        </w:rPr>
        <w:t>★</w:t>
      </w:r>
      <w:r>
        <w:rPr>
          <w:rFonts w:hint="eastAsia" w:ascii="宋体" w:hAnsi="宋体" w:cs="宋体"/>
          <w:b/>
          <w:sz w:val="24"/>
          <w:highlight w:val="none"/>
        </w:rPr>
        <w:t>附件2：报价一览表</w:t>
      </w:r>
    </w:p>
    <w:p w14:paraId="3F43B4D5">
      <w:pPr>
        <w:adjustRightInd w:val="0"/>
        <w:snapToGrid w:val="0"/>
        <w:rPr>
          <w:sz w:val="24"/>
          <w:highlight w:val="none"/>
        </w:rPr>
      </w:pPr>
    </w:p>
    <w:p w14:paraId="0A7E1435">
      <w:pPr>
        <w:adjustRightInd w:val="0"/>
        <w:snapToGrid w:val="0"/>
        <w:rPr>
          <w:sz w:val="24"/>
          <w:highlight w:val="none"/>
        </w:rPr>
      </w:pPr>
    </w:p>
    <w:p w14:paraId="5D817079">
      <w:pPr>
        <w:spacing w:line="360" w:lineRule="auto"/>
        <w:rPr>
          <w:sz w:val="24"/>
          <w:highlight w:val="none"/>
        </w:rPr>
      </w:pPr>
      <w:r>
        <w:rPr>
          <w:sz w:val="24"/>
          <w:highlight w:val="none"/>
        </w:rPr>
        <w:t>项目名称</w:t>
      </w:r>
      <w:r>
        <w:rPr>
          <w:sz w:val="24"/>
          <w:highlight w:val="none"/>
          <w:u w:val="single"/>
        </w:rPr>
        <w:t xml:space="preserve">：                </w:t>
      </w:r>
      <w:r>
        <w:rPr>
          <w:sz w:val="24"/>
          <w:highlight w:val="none"/>
        </w:rPr>
        <w:t xml:space="preserve"> </w:t>
      </w:r>
    </w:p>
    <w:p w14:paraId="479C7EF4">
      <w:pPr>
        <w:spacing w:line="360" w:lineRule="auto"/>
        <w:rPr>
          <w:sz w:val="24"/>
          <w:highlight w:val="none"/>
        </w:rPr>
      </w:pPr>
      <w:r>
        <w:rPr>
          <w:sz w:val="24"/>
          <w:highlight w:val="none"/>
        </w:rPr>
        <w:t>项目编号/包号：</w:t>
      </w:r>
      <w:r>
        <w:rPr>
          <w:sz w:val="24"/>
          <w:highlight w:val="none"/>
          <w:u w:val="single"/>
        </w:rPr>
        <w:t xml:space="preserve">                / 1  </w:t>
      </w:r>
      <w:r>
        <w:rPr>
          <w:sz w:val="24"/>
          <w:highlight w:val="none"/>
        </w:rPr>
        <w:t xml:space="preserve"> </w:t>
      </w:r>
    </w:p>
    <w:p w14:paraId="04F12A51">
      <w:pPr>
        <w:adjustRightInd w:val="0"/>
        <w:snapToGrid w:val="0"/>
        <w:rPr>
          <w:sz w:val="24"/>
          <w:highlight w:val="none"/>
        </w:rPr>
      </w:pPr>
    </w:p>
    <w:tbl>
      <w:tblPr>
        <w:tblStyle w:val="46"/>
        <w:tblW w:w="8672"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3"/>
        <w:gridCol w:w="2164"/>
        <w:gridCol w:w="1830"/>
        <w:gridCol w:w="1464"/>
        <w:gridCol w:w="801"/>
      </w:tblGrid>
      <w:tr w14:paraId="577FB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2" w:hRule="atLeast"/>
        </w:trPr>
        <w:tc>
          <w:tcPr>
            <w:tcW w:w="2413" w:type="dxa"/>
            <w:vAlign w:val="center"/>
          </w:tcPr>
          <w:p w14:paraId="2A498B51">
            <w:pPr>
              <w:pStyle w:val="27"/>
              <w:spacing w:before="120" w:line="22" w:lineRule="atLeast"/>
              <w:jc w:val="center"/>
              <w:rPr>
                <w:rFonts w:hint="eastAsia" w:hAnsi="宋体"/>
                <w:b/>
                <w:sz w:val="24"/>
                <w:szCs w:val="24"/>
                <w:highlight w:val="none"/>
              </w:rPr>
            </w:pPr>
            <w:r>
              <w:rPr>
                <w:rFonts w:hint="eastAsia" w:hAnsi="宋体"/>
                <w:b/>
                <w:sz w:val="24"/>
                <w:szCs w:val="24"/>
                <w:highlight w:val="none"/>
              </w:rPr>
              <w:t>服务名称</w:t>
            </w:r>
          </w:p>
        </w:tc>
        <w:tc>
          <w:tcPr>
            <w:tcW w:w="2164" w:type="dxa"/>
            <w:vAlign w:val="center"/>
          </w:tcPr>
          <w:p w14:paraId="70430775">
            <w:pPr>
              <w:pStyle w:val="27"/>
              <w:spacing w:before="120" w:line="22" w:lineRule="atLeast"/>
              <w:jc w:val="center"/>
              <w:rPr>
                <w:rFonts w:hint="eastAsia" w:hAnsi="宋体"/>
                <w:b/>
                <w:sz w:val="24"/>
                <w:szCs w:val="24"/>
                <w:highlight w:val="none"/>
              </w:rPr>
            </w:pPr>
            <w:r>
              <w:rPr>
                <w:rFonts w:hint="eastAsia" w:hAnsi="宋体"/>
                <w:b/>
                <w:sz w:val="24"/>
                <w:szCs w:val="24"/>
                <w:highlight w:val="none"/>
              </w:rPr>
              <w:t>投标总价</w:t>
            </w:r>
          </w:p>
        </w:tc>
        <w:tc>
          <w:tcPr>
            <w:tcW w:w="1830" w:type="dxa"/>
            <w:vAlign w:val="center"/>
          </w:tcPr>
          <w:p w14:paraId="479E39C4">
            <w:pPr>
              <w:pStyle w:val="27"/>
              <w:spacing w:before="120" w:line="22" w:lineRule="atLeast"/>
              <w:jc w:val="center"/>
              <w:rPr>
                <w:rFonts w:hint="eastAsia" w:hAnsi="宋体"/>
                <w:b/>
                <w:sz w:val="24"/>
                <w:szCs w:val="24"/>
                <w:highlight w:val="none"/>
              </w:rPr>
            </w:pPr>
            <w:r>
              <w:rPr>
                <w:rFonts w:hint="eastAsia" w:hAnsi="宋体"/>
                <w:b/>
                <w:sz w:val="24"/>
                <w:szCs w:val="24"/>
                <w:highlight w:val="none"/>
              </w:rPr>
              <w:t>服务期限</w:t>
            </w:r>
          </w:p>
        </w:tc>
        <w:tc>
          <w:tcPr>
            <w:tcW w:w="1464" w:type="dxa"/>
            <w:vAlign w:val="center"/>
          </w:tcPr>
          <w:p w14:paraId="63923015">
            <w:pPr>
              <w:pStyle w:val="27"/>
              <w:spacing w:before="120" w:line="22" w:lineRule="atLeast"/>
              <w:jc w:val="center"/>
              <w:rPr>
                <w:rFonts w:hint="eastAsia" w:hAnsi="宋体"/>
                <w:b/>
                <w:sz w:val="24"/>
                <w:szCs w:val="24"/>
                <w:highlight w:val="none"/>
              </w:rPr>
            </w:pPr>
            <w:r>
              <w:rPr>
                <w:rFonts w:hint="eastAsia" w:hAnsi="宋体"/>
                <w:b/>
                <w:sz w:val="24"/>
                <w:szCs w:val="24"/>
                <w:highlight w:val="none"/>
              </w:rPr>
              <w:t>磋商保证金</w:t>
            </w:r>
          </w:p>
        </w:tc>
        <w:tc>
          <w:tcPr>
            <w:tcW w:w="801" w:type="dxa"/>
            <w:vAlign w:val="center"/>
          </w:tcPr>
          <w:p w14:paraId="10C935C6">
            <w:pPr>
              <w:pStyle w:val="27"/>
              <w:spacing w:before="120" w:line="22" w:lineRule="atLeast"/>
              <w:jc w:val="center"/>
              <w:rPr>
                <w:rFonts w:hint="eastAsia" w:hAnsi="宋体"/>
                <w:b/>
                <w:sz w:val="24"/>
                <w:szCs w:val="24"/>
                <w:highlight w:val="none"/>
              </w:rPr>
            </w:pPr>
            <w:r>
              <w:rPr>
                <w:rFonts w:hint="eastAsia" w:hAnsi="宋体"/>
                <w:b/>
                <w:sz w:val="24"/>
                <w:szCs w:val="24"/>
                <w:highlight w:val="none"/>
              </w:rPr>
              <w:t>备注</w:t>
            </w:r>
          </w:p>
        </w:tc>
      </w:tr>
      <w:tr w14:paraId="673BD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7" w:hRule="atLeast"/>
        </w:trPr>
        <w:tc>
          <w:tcPr>
            <w:tcW w:w="2413" w:type="dxa"/>
            <w:vAlign w:val="center"/>
          </w:tcPr>
          <w:p w14:paraId="47B5E308">
            <w:pPr>
              <w:pStyle w:val="27"/>
              <w:spacing w:before="120" w:line="22" w:lineRule="atLeast"/>
              <w:jc w:val="center"/>
              <w:rPr>
                <w:rFonts w:hint="eastAsia" w:hAnsi="宋体"/>
                <w:sz w:val="24"/>
                <w:szCs w:val="24"/>
                <w:highlight w:val="none"/>
              </w:rPr>
            </w:pPr>
          </w:p>
        </w:tc>
        <w:tc>
          <w:tcPr>
            <w:tcW w:w="2164" w:type="dxa"/>
            <w:vAlign w:val="center"/>
          </w:tcPr>
          <w:p w14:paraId="74F61924">
            <w:pPr>
              <w:pStyle w:val="27"/>
              <w:spacing w:before="120" w:line="22" w:lineRule="atLeast"/>
              <w:jc w:val="center"/>
              <w:rPr>
                <w:rFonts w:hint="eastAsia" w:hAnsi="宋体"/>
                <w:sz w:val="24"/>
                <w:szCs w:val="24"/>
                <w:highlight w:val="none"/>
              </w:rPr>
            </w:pPr>
          </w:p>
        </w:tc>
        <w:tc>
          <w:tcPr>
            <w:tcW w:w="1830" w:type="dxa"/>
            <w:vAlign w:val="center"/>
          </w:tcPr>
          <w:p w14:paraId="086579D5">
            <w:pPr>
              <w:pStyle w:val="27"/>
              <w:spacing w:before="120" w:line="22" w:lineRule="atLeast"/>
              <w:jc w:val="center"/>
              <w:rPr>
                <w:rFonts w:hint="eastAsia" w:hAnsi="宋体"/>
                <w:sz w:val="24"/>
                <w:szCs w:val="24"/>
                <w:highlight w:val="none"/>
              </w:rPr>
            </w:pPr>
          </w:p>
        </w:tc>
        <w:tc>
          <w:tcPr>
            <w:tcW w:w="1464" w:type="dxa"/>
            <w:vAlign w:val="center"/>
          </w:tcPr>
          <w:p w14:paraId="5451A986">
            <w:pPr>
              <w:pStyle w:val="27"/>
              <w:spacing w:before="120" w:line="22" w:lineRule="atLeast"/>
              <w:jc w:val="center"/>
              <w:rPr>
                <w:rFonts w:hint="eastAsia" w:hAnsi="宋体"/>
                <w:sz w:val="24"/>
                <w:szCs w:val="24"/>
                <w:highlight w:val="none"/>
              </w:rPr>
            </w:pPr>
          </w:p>
        </w:tc>
        <w:tc>
          <w:tcPr>
            <w:tcW w:w="801" w:type="dxa"/>
            <w:vAlign w:val="center"/>
          </w:tcPr>
          <w:p w14:paraId="34111DA2">
            <w:pPr>
              <w:pStyle w:val="27"/>
              <w:spacing w:before="120" w:line="22" w:lineRule="atLeast"/>
              <w:jc w:val="center"/>
              <w:rPr>
                <w:rFonts w:hint="eastAsia" w:hAnsi="宋体"/>
                <w:sz w:val="24"/>
                <w:szCs w:val="24"/>
                <w:highlight w:val="none"/>
              </w:rPr>
            </w:pPr>
          </w:p>
        </w:tc>
      </w:tr>
    </w:tbl>
    <w:p w14:paraId="5AA40E4B">
      <w:pPr>
        <w:rPr>
          <w:highlight w:val="none"/>
        </w:rPr>
      </w:pPr>
    </w:p>
    <w:p w14:paraId="284D35CB">
      <w:pPr>
        <w:autoSpaceDE w:val="0"/>
        <w:autoSpaceDN w:val="0"/>
        <w:adjustRightInd w:val="0"/>
        <w:snapToGrid w:val="0"/>
        <w:ind w:right="893"/>
        <w:textAlignment w:val="bottom"/>
        <w:rPr>
          <w:sz w:val="24"/>
          <w:highlight w:val="none"/>
        </w:rPr>
      </w:pPr>
    </w:p>
    <w:p w14:paraId="5AC6B657">
      <w:pPr>
        <w:autoSpaceDE w:val="0"/>
        <w:autoSpaceDN w:val="0"/>
        <w:spacing w:line="360" w:lineRule="auto"/>
        <w:ind w:right="896"/>
        <w:textAlignment w:val="bottom"/>
        <w:rPr>
          <w:sz w:val="24"/>
          <w:highlight w:val="none"/>
        </w:rPr>
      </w:pPr>
      <w:r>
        <w:rPr>
          <w:sz w:val="24"/>
          <w:highlight w:val="none"/>
        </w:rPr>
        <w:t>供应商授权代表签字：</w:t>
      </w:r>
      <w:r>
        <w:rPr>
          <w:sz w:val="24"/>
          <w:highlight w:val="none"/>
          <w:u w:val="single"/>
        </w:rPr>
        <w:t xml:space="preserve">                       </w:t>
      </w:r>
      <w:r>
        <w:rPr>
          <w:sz w:val="24"/>
          <w:highlight w:val="none"/>
        </w:rPr>
        <w:t xml:space="preserve"> </w:t>
      </w:r>
    </w:p>
    <w:p w14:paraId="7873FEB4">
      <w:pPr>
        <w:autoSpaceDE w:val="0"/>
        <w:autoSpaceDN w:val="0"/>
        <w:spacing w:line="360" w:lineRule="auto"/>
        <w:ind w:right="896"/>
        <w:textAlignment w:val="bottom"/>
        <w:rPr>
          <w:sz w:val="24"/>
          <w:highlight w:val="none"/>
        </w:rPr>
      </w:pPr>
      <w:r>
        <w:rPr>
          <w:sz w:val="24"/>
          <w:highlight w:val="none"/>
        </w:rPr>
        <w:t>供应商名称：</w:t>
      </w:r>
      <w:r>
        <w:rPr>
          <w:sz w:val="24"/>
          <w:highlight w:val="none"/>
          <w:u w:val="single"/>
        </w:rPr>
        <w:t xml:space="preserve">                       </w:t>
      </w:r>
      <w:r>
        <w:rPr>
          <w:sz w:val="24"/>
          <w:highlight w:val="none"/>
        </w:rPr>
        <w:t>（加盖公章）</w:t>
      </w:r>
    </w:p>
    <w:p w14:paraId="7982EBE3">
      <w:pPr>
        <w:autoSpaceDE w:val="0"/>
        <w:autoSpaceDN w:val="0"/>
        <w:spacing w:line="360" w:lineRule="auto"/>
        <w:ind w:right="896"/>
        <w:textAlignment w:val="bottom"/>
        <w:rPr>
          <w:sz w:val="24"/>
          <w:highlight w:val="none"/>
        </w:rPr>
      </w:pPr>
      <w:r>
        <w:rPr>
          <w:sz w:val="24"/>
          <w:highlight w:val="none"/>
        </w:rPr>
        <w:t>日期：</w:t>
      </w:r>
      <w:r>
        <w:rPr>
          <w:sz w:val="24"/>
          <w:highlight w:val="none"/>
          <w:u w:val="single"/>
        </w:rPr>
        <w:t xml:space="preserve">                         </w:t>
      </w:r>
    </w:p>
    <w:p w14:paraId="3BD02518">
      <w:pPr>
        <w:pStyle w:val="27"/>
        <w:rPr>
          <w:rFonts w:ascii="Times New Roman" w:hAnsi="Times New Roman"/>
          <w:highlight w:val="none"/>
        </w:rPr>
      </w:pPr>
    </w:p>
    <w:p w14:paraId="2189C20B">
      <w:pPr>
        <w:pStyle w:val="27"/>
        <w:spacing w:line="400" w:lineRule="exact"/>
        <w:rPr>
          <w:rFonts w:ascii="Times New Roman" w:hAnsi="Times New Roman"/>
          <w:szCs w:val="21"/>
          <w:highlight w:val="none"/>
        </w:rPr>
      </w:pPr>
      <w:r>
        <w:rPr>
          <w:rFonts w:ascii="Times New Roman" w:hAnsi="Times New Roman"/>
          <w:szCs w:val="21"/>
          <w:highlight w:val="none"/>
        </w:rPr>
        <w:t>注：</w:t>
      </w:r>
    </w:p>
    <w:p w14:paraId="2E82F9F8">
      <w:pPr>
        <w:pStyle w:val="27"/>
        <w:spacing w:line="400" w:lineRule="exact"/>
        <w:rPr>
          <w:rFonts w:ascii="Times New Roman" w:hAnsi="Times New Roman"/>
          <w:szCs w:val="21"/>
          <w:highlight w:val="none"/>
        </w:rPr>
      </w:pPr>
      <w:r>
        <w:rPr>
          <w:rFonts w:ascii="Times New Roman" w:hAnsi="Times New Roman"/>
          <w:szCs w:val="21"/>
          <w:highlight w:val="none"/>
        </w:rPr>
        <w:t>1、本表按包填写；</w:t>
      </w:r>
    </w:p>
    <w:p w14:paraId="3B5792CB">
      <w:pPr>
        <w:pStyle w:val="27"/>
        <w:spacing w:line="400" w:lineRule="exact"/>
        <w:rPr>
          <w:rFonts w:ascii="Times New Roman" w:hAnsi="Times New Roman"/>
          <w:szCs w:val="21"/>
          <w:highlight w:val="none"/>
        </w:rPr>
      </w:pPr>
      <w:r>
        <w:rPr>
          <w:rFonts w:ascii="Times New Roman" w:hAnsi="Times New Roman"/>
          <w:szCs w:val="21"/>
          <w:highlight w:val="none"/>
        </w:rPr>
        <w:t>2、采购文件明确要求的内容无需在投标声明中填写，供应商如有在投标响应文件投标报价表中未注明的进一步折扣和声明应在本表中填写；</w:t>
      </w:r>
    </w:p>
    <w:p w14:paraId="717280D6">
      <w:pPr>
        <w:pStyle w:val="27"/>
        <w:spacing w:line="400" w:lineRule="exact"/>
        <w:rPr>
          <w:rFonts w:ascii="Times New Roman" w:hAnsi="Times New Roman"/>
          <w:szCs w:val="21"/>
          <w:highlight w:val="none"/>
        </w:rPr>
      </w:pPr>
      <w:r>
        <w:rPr>
          <w:rFonts w:ascii="Times New Roman" w:hAnsi="Times New Roman"/>
          <w:szCs w:val="21"/>
          <w:highlight w:val="none"/>
        </w:rPr>
        <w:t>4、报价一览表应按采购文件《供应商须知前附表》的规定密封递交；</w:t>
      </w:r>
    </w:p>
    <w:p w14:paraId="09E91270">
      <w:pPr>
        <w:pStyle w:val="27"/>
        <w:spacing w:line="400" w:lineRule="exact"/>
        <w:rPr>
          <w:rFonts w:ascii="Times New Roman" w:hAnsi="Times New Roman"/>
          <w:szCs w:val="21"/>
          <w:highlight w:val="none"/>
        </w:rPr>
      </w:pPr>
      <w:r>
        <w:rPr>
          <w:rFonts w:ascii="Times New Roman" w:hAnsi="Times New Roman"/>
          <w:szCs w:val="21"/>
          <w:highlight w:val="none"/>
        </w:rPr>
        <w:t>5、本表中投标价格应与分项报价表中对应包号的投标总价一致。</w:t>
      </w:r>
    </w:p>
    <w:p w14:paraId="70B53702">
      <w:pPr>
        <w:pStyle w:val="5"/>
        <w:numPr>
          <w:ilvl w:val="0"/>
          <w:numId w:val="0"/>
        </w:numPr>
        <w:adjustRightInd w:val="0"/>
        <w:snapToGrid w:val="0"/>
        <w:spacing w:before="240" w:after="100" w:line="240" w:lineRule="auto"/>
        <w:rPr>
          <w:sz w:val="24"/>
          <w:szCs w:val="24"/>
          <w:highlight w:val="none"/>
        </w:rPr>
        <w:sectPr>
          <w:pgSz w:w="11907" w:h="16839"/>
          <w:pgMar w:top="1440" w:right="1440" w:bottom="1418" w:left="1622" w:header="720" w:footer="794" w:gutter="0"/>
          <w:cols w:space="720" w:num="1"/>
          <w:titlePg/>
          <w:docGrid w:linePitch="286" w:charSpace="0"/>
        </w:sectPr>
      </w:pPr>
    </w:p>
    <w:p w14:paraId="69C28E76">
      <w:pPr>
        <w:pStyle w:val="6"/>
        <w:adjustRightInd w:val="0"/>
        <w:snapToGrid w:val="0"/>
        <w:spacing w:before="240" w:after="100" w:line="240" w:lineRule="auto"/>
        <w:ind w:left="368"/>
        <w:jc w:val="center"/>
        <w:rPr>
          <w:rFonts w:ascii="Times New Roman" w:hAnsi="Times New Roman"/>
          <w:sz w:val="24"/>
          <w:szCs w:val="24"/>
          <w:highlight w:val="none"/>
        </w:rPr>
      </w:pPr>
      <w:r>
        <w:rPr>
          <w:rFonts w:ascii="Segoe UI Symbol" w:hAnsi="Segoe UI Symbol" w:cs="Segoe UI Symbol"/>
          <w:bCs/>
          <w:sz w:val="24"/>
          <w:highlight w:val="none"/>
        </w:rPr>
        <w:t>★</w:t>
      </w:r>
      <w:r>
        <w:rPr>
          <w:rFonts w:ascii="Times New Roman" w:hAnsi="Times New Roman"/>
          <w:sz w:val="24"/>
          <w:szCs w:val="24"/>
          <w:highlight w:val="none"/>
        </w:rPr>
        <w:t>附件3</w:t>
      </w:r>
      <w:r>
        <w:rPr>
          <w:rFonts w:hint="eastAsia" w:ascii="Times New Roman" w:hAnsi="Times New Roman"/>
          <w:sz w:val="24"/>
          <w:szCs w:val="24"/>
          <w:highlight w:val="none"/>
        </w:rPr>
        <w:t>：</w:t>
      </w:r>
      <w:r>
        <w:rPr>
          <w:rFonts w:ascii="Times New Roman" w:hAnsi="Times New Roman"/>
          <w:sz w:val="24"/>
          <w:szCs w:val="24"/>
          <w:highlight w:val="none"/>
        </w:rPr>
        <w:t xml:space="preserve">分项报价表 </w:t>
      </w:r>
    </w:p>
    <w:p w14:paraId="598D5A54">
      <w:pPr>
        <w:spacing w:line="360" w:lineRule="auto"/>
        <w:rPr>
          <w:sz w:val="24"/>
          <w:highlight w:val="none"/>
        </w:rPr>
      </w:pPr>
      <w:r>
        <w:rPr>
          <w:rFonts w:hint="eastAsia"/>
          <w:sz w:val="24"/>
          <w:highlight w:val="none"/>
        </w:rPr>
        <w:t>项目名称：</w:t>
      </w:r>
      <w:r>
        <w:rPr>
          <w:rFonts w:hint="eastAsia"/>
          <w:sz w:val="24"/>
          <w:highlight w:val="none"/>
          <w:u w:val="single"/>
        </w:rPr>
        <w:t xml:space="preserve">                </w:t>
      </w:r>
      <w:r>
        <w:rPr>
          <w:sz w:val="24"/>
          <w:highlight w:val="none"/>
          <w:u w:val="single"/>
        </w:rPr>
        <w:t xml:space="preserve">            </w:t>
      </w:r>
      <w:r>
        <w:rPr>
          <w:rFonts w:hint="eastAsia"/>
          <w:sz w:val="24"/>
          <w:highlight w:val="none"/>
          <w:u w:val="single"/>
        </w:rPr>
        <w:t xml:space="preserve">  </w:t>
      </w:r>
      <w:r>
        <w:rPr>
          <w:rFonts w:hint="eastAsia"/>
          <w:sz w:val="24"/>
          <w:highlight w:val="none"/>
        </w:rPr>
        <w:t xml:space="preserve">    </w:t>
      </w:r>
    </w:p>
    <w:p w14:paraId="0AC1B595">
      <w:pPr>
        <w:spacing w:line="360" w:lineRule="auto"/>
        <w:rPr>
          <w:sz w:val="24"/>
          <w:highlight w:val="none"/>
        </w:rPr>
      </w:pPr>
      <w:r>
        <w:rPr>
          <w:rFonts w:hint="eastAsia"/>
          <w:sz w:val="24"/>
          <w:highlight w:val="none"/>
        </w:rPr>
        <w:t>项目</w:t>
      </w:r>
      <w:r>
        <w:rPr>
          <w:sz w:val="24"/>
          <w:highlight w:val="none"/>
        </w:rPr>
        <w:t>编号/包号:</w:t>
      </w:r>
      <w:r>
        <w:rPr>
          <w:sz w:val="24"/>
          <w:highlight w:val="none"/>
          <w:u w:val="single"/>
        </w:rPr>
        <w:t xml:space="preserve">                   /    </w:t>
      </w:r>
    </w:p>
    <w:p w14:paraId="52E76754">
      <w:pPr>
        <w:spacing w:line="360" w:lineRule="auto"/>
        <w:rPr>
          <w:sz w:val="24"/>
          <w:highlight w:val="none"/>
          <w:u w:val="single"/>
        </w:rPr>
      </w:pPr>
      <w:r>
        <w:rPr>
          <w:sz w:val="24"/>
          <w:highlight w:val="none"/>
        </w:rPr>
        <w:t>货币币种：</w:t>
      </w:r>
      <w:r>
        <w:rPr>
          <w:sz w:val="24"/>
          <w:highlight w:val="none"/>
          <w:u w:val="single"/>
        </w:rPr>
        <w:t xml:space="preserve">                    </w:t>
      </w:r>
      <w:r>
        <w:rPr>
          <w:sz w:val="24"/>
          <w:highlight w:val="none"/>
        </w:rPr>
        <w:t xml:space="preserve">                   </w:t>
      </w:r>
      <w:r>
        <w:rPr>
          <w:rFonts w:hint="eastAsia"/>
          <w:sz w:val="24"/>
          <w:highlight w:val="none"/>
        </w:rPr>
        <w:t>货币</w:t>
      </w:r>
      <w:r>
        <w:rPr>
          <w:sz w:val="24"/>
          <w:highlight w:val="none"/>
        </w:rPr>
        <w:t>单位：</w:t>
      </w:r>
      <w:r>
        <w:rPr>
          <w:sz w:val="24"/>
          <w:highlight w:val="none"/>
          <w:u w:val="single"/>
        </w:rPr>
        <w:t xml:space="preserve">          </w:t>
      </w:r>
    </w:p>
    <w:tbl>
      <w:tblPr>
        <w:tblStyle w:val="46"/>
        <w:tblW w:w="8672"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3042"/>
        <w:gridCol w:w="829"/>
        <w:gridCol w:w="786"/>
        <w:gridCol w:w="1571"/>
        <w:gridCol w:w="1586"/>
      </w:tblGrid>
      <w:tr w14:paraId="06B88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1" w:hRule="atLeast"/>
        </w:trPr>
        <w:tc>
          <w:tcPr>
            <w:tcW w:w="858" w:type="dxa"/>
            <w:vMerge w:val="restart"/>
            <w:vAlign w:val="center"/>
          </w:tcPr>
          <w:p w14:paraId="641A0CF4">
            <w:pPr>
              <w:jc w:val="center"/>
              <w:rPr>
                <w:rFonts w:hint="eastAsia" w:ascii="宋体" w:hAnsi="宋体"/>
                <w:sz w:val="24"/>
                <w:highlight w:val="none"/>
              </w:rPr>
            </w:pPr>
            <w:r>
              <w:rPr>
                <w:rFonts w:hint="eastAsia" w:ascii="宋体" w:hAnsi="宋体"/>
                <w:sz w:val="24"/>
                <w:highlight w:val="none"/>
              </w:rPr>
              <w:t>序号</w:t>
            </w:r>
          </w:p>
        </w:tc>
        <w:tc>
          <w:tcPr>
            <w:tcW w:w="3042" w:type="dxa"/>
            <w:vMerge w:val="restart"/>
            <w:vAlign w:val="center"/>
          </w:tcPr>
          <w:p w14:paraId="51D8D8B7">
            <w:pPr>
              <w:jc w:val="center"/>
              <w:rPr>
                <w:rFonts w:hint="eastAsia" w:ascii="宋体" w:hAnsi="宋体"/>
                <w:sz w:val="24"/>
                <w:highlight w:val="none"/>
              </w:rPr>
            </w:pPr>
            <w:r>
              <w:rPr>
                <w:rFonts w:hint="eastAsia" w:ascii="宋体" w:hAnsi="宋体"/>
                <w:sz w:val="24"/>
                <w:highlight w:val="none"/>
              </w:rPr>
              <w:t>名称</w:t>
            </w:r>
          </w:p>
        </w:tc>
        <w:tc>
          <w:tcPr>
            <w:tcW w:w="829" w:type="dxa"/>
            <w:vMerge w:val="restart"/>
            <w:vAlign w:val="center"/>
          </w:tcPr>
          <w:p w14:paraId="59E380BA">
            <w:pPr>
              <w:jc w:val="center"/>
              <w:rPr>
                <w:rFonts w:hint="eastAsia" w:ascii="宋体" w:hAnsi="宋体"/>
                <w:sz w:val="24"/>
                <w:highlight w:val="none"/>
              </w:rPr>
            </w:pPr>
            <w:r>
              <w:rPr>
                <w:rFonts w:hint="eastAsia" w:ascii="宋体" w:hAnsi="宋体"/>
                <w:sz w:val="24"/>
                <w:highlight w:val="none"/>
              </w:rPr>
              <w:t>单位</w:t>
            </w:r>
          </w:p>
        </w:tc>
        <w:tc>
          <w:tcPr>
            <w:tcW w:w="786" w:type="dxa"/>
            <w:vMerge w:val="restart"/>
            <w:vAlign w:val="center"/>
          </w:tcPr>
          <w:p w14:paraId="6225DCD3">
            <w:pPr>
              <w:jc w:val="center"/>
              <w:rPr>
                <w:rFonts w:hint="eastAsia" w:ascii="宋体" w:hAnsi="宋体"/>
                <w:sz w:val="24"/>
                <w:highlight w:val="none"/>
              </w:rPr>
            </w:pPr>
            <w:r>
              <w:rPr>
                <w:rFonts w:hint="eastAsia" w:ascii="宋体" w:hAnsi="宋体"/>
                <w:sz w:val="24"/>
                <w:highlight w:val="none"/>
              </w:rPr>
              <w:t>数量</w:t>
            </w:r>
          </w:p>
        </w:tc>
        <w:tc>
          <w:tcPr>
            <w:tcW w:w="3157" w:type="dxa"/>
            <w:gridSpan w:val="2"/>
            <w:vAlign w:val="center"/>
          </w:tcPr>
          <w:p w14:paraId="5C0C99B3">
            <w:pPr>
              <w:jc w:val="center"/>
              <w:rPr>
                <w:rFonts w:hint="eastAsia" w:ascii="宋体" w:hAnsi="宋体"/>
                <w:sz w:val="24"/>
                <w:highlight w:val="none"/>
              </w:rPr>
            </w:pPr>
            <w:r>
              <w:rPr>
                <w:rFonts w:hint="eastAsia" w:ascii="宋体" w:hAnsi="宋体"/>
                <w:sz w:val="24"/>
                <w:highlight w:val="none"/>
              </w:rPr>
              <w:t>报价</w:t>
            </w:r>
          </w:p>
        </w:tc>
      </w:tr>
      <w:tr w14:paraId="02718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858" w:type="dxa"/>
            <w:vMerge w:val="continue"/>
          </w:tcPr>
          <w:p w14:paraId="19C4663B">
            <w:pPr>
              <w:jc w:val="center"/>
              <w:rPr>
                <w:rFonts w:hint="eastAsia" w:ascii="宋体" w:hAnsi="宋体"/>
                <w:sz w:val="24"/>
                <w:highlight w:val="none"/>
              </w:rPr>
            </w:pPr>
          </w:p>
        </w:tc>
        <w:tc>
          <w:tcPr>
            <w:tcW w:w="3042" w:type="dxa"/>
            <w:vMerge w:val="continue"/>
          </w:tcPr>
          <w:p w14:paraId="11B378D0">
            <w:pPr>
              <w:jc w:val="center"/>
              <w:rPr>
                <w:rFonts w:hint="eastAsia" w:ascii="宋体" w:hAnsi="宋体"/>
                <w:sz w:val="24"/>
                <w:highlight w:val="none"/>
              </w:rPr>
            </w:pPr>
          </w:p>
        </w:tc>
        <w:tc>
          <w:tcPr>
            <w:tcW w:w="829" w:type="dxa"/>
            <w:vMerge w:val="continue"/>
          </w:tcPr>
          <w:p w14:paraId="3EA9E75A">
            <w:pPr>
              <w:jc w:val="center"/>
              <w:rPr>
                <w:rFonts w:hint="eastAsia" w:ascii="宋体" w:hAnsi="宋体"/>
                <w:sz w:val="24"/>
                <w:highlight w:val="none"/>
              </w:rPr>
            </w:pPr>
          </w:p>
        </w:tc>
        <w:tc>
          <w:tcPr>
            <w:tcW w:w="786" w:type="dxa"/>
            <w:vMerge w:val="continue"/>
          </w:tcPr>
          <w:p w14:paraId="019EFA13">
            <w:pPr>
              <w:jc w:val="center"/>
              <w:rPr>
                <w:rFonts w:hint="eastAsia" w:ascii="宋体" w:hAnsi="宋体"/>
                <w:sz w:val="24"/>
                <w:highlight w:val="none"/>
              </w:rPr>
            </w:pPr>
          </w:p>
        </w:tc>
        <w:tc>
          <w:tcPr>
            <w:tcW w:w="1571" w:type="dxa"/>
          </w:tcPr>
          <w:p w14:paraId="4A4CFA50">
            <w:pPr>
              <w:jc w:val="center"/>
              <w:rPr>
                <w:rFonts w:hint="eastAsia" w:ascii="宋体" w:hAnsi="宋体"/>
                <w:sz w:val="24"/>
                <w:highlight w:val="none"/>
              </w:rPr>
            </w:pPr>
            <w:r>
              <w:rPr>
                <w:rFonts w:hint="eastAsia" w:ascii="宋体" w:hAnsi="宋体"/>
                <w:sz w:val="24"/>
                <w:highlight w:val="none"/>
              </w:rPr>
              <w:t>单价</w:t>
            </w:r>
          </w:p>
        </w:tc>
        <w:tc>
          <w:tcPr>
            <w:tcW w:w="1586" w:type="dxa"/>
          </w:tcPr>
          <w:p w14:paraId="1C698946">
            <w:pPr>
              <w:jc w:val="center"/>
              <w:rPr>
                <w:rFonts w:hint="eastAsia" w:ascii="宋体" w:hAnsi="宋体"/>
                <w:sz w:val="24"/>
                <w:highlight w:val="none"/>
              </w:rPr>
            </w:pPr>
            <w:r>
              <w:rPr>
                <w:rFonts w:hint="eastAsia" w:ascii="宋体" w:hAnsi="宋体"/>
                <w:sz w:val="24"/>
                <w:highlight w:val="none"/>
              </w:rPr>
              <w:t>小计</w:t>
            </w:r>
          </w:p>
        </w:tc>
      </w:tr>
      <w:tr w14:paraId="74A1B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8" w:type="dxa"/>
            <w:vAlign w:val="center"/>
          </w:tcPr>
          <w:p w14:paraId="09E8A235">
            <w:pPr>
              <w:jc w:val="center"/>
              <w:rPr>
                <w:rFonts w:hint="eastAsia" w:ascii="宋体" w:hAnsi="宋体"/>
                <w:sz w:val="24"/>
                <w:highlight w:val="none"/>
              </w:rPr>
            </w:pPr>
            <w:r>
              <w:rPr>
                <w:rFonts w:hint="eastAsia" w:ascii="宋体" w:hAnsi="宋体"/>
                <w:sz w:val="24"/>
                <w:highlight w:val="none"/>
              </w:rPr>
              <w:t>1</w:t>
            </w:r>
          </w:p>
        </w:tc>
        <w:tc>
          <w:tcPr>
            <w:tcW w:w="3042" w:type="dxa"/>
          </w:tcPr>
          <w:p w14:paraId="25176888">
            <w:pPr>
              <w:spacing w:line="360" w:lineRule="auto"/>
              <w:rPr>
                <w:rFonts w:hint="eastAsia" w:ascii="宋体" w:hAnsi="宋体"/>
                <w:sz w:val="24"/>
                <w:highlight w:val="none"/>
              </w:rPr>
            </w:pPr>
          </w:p>
        </w:tc>
        <w:tc>
          <w:tcPr>
            <w:tcW w:w="829" w:type="dxa"/>
          </w:tcPr>
          <w:p w14:paraId="6FD95D97">
            <w:pPr>
              <w:spacing w:line="360" w:lineRule="auto"/>
              <w:rPr>
                <w:rFonts w:hint="eastAsia" w:ascii="宋体" w:hAnsi="宋体"/>
                <w:sz w:val="24"/>
                <w:highlight w:val="none"/>
              </w:rPr>
            </w:pPr>
          </w:p>
        </w:tc>
        <w:tc>
          <w:tcPr>
            <w:tcW w:w="786" w:type="dxa"/>
          </w:tcPr>
          <w:p w14:paraId="013AA84B">
            <w:pPr>
              <w:spacing w:line="360" w:lineRule="auto"/>
              <w:rPr>
                <w:rFonts w:hint="eastAsia" w:ascii="宋体" w:hAnsi="宋体"/>
                <w:sz w:val="24"/>
                <w:highlight w:val="none"/>
              </w:rPr>
            </w:pPr>
          </w:p>
        </w:tc>
        <w:tc>
          <w:tcPr>
            <w:tcW w:w="1571" w:type="dxa"/>
          </w:tcPr>
          <w:p w14:paraId="58EE3D34">
            <w:pPr>
              <w:spacing w:line="360" w:lineRule="auto"/>
              <w:rPr>
                <w:rFonts w:hint="eastAsia" w:ascii="宋体" w:hAnsi="宋体"/>
                <w:sz w:val="24"/>
                <w:highlight w:val="none"/>
              </w:rPr>
            </w:pPr>
          </w:p>
        </w:tc>
        <w:tc>
          <w:tcPr>
            <w:tcW w:w="1586" w:type="dxa"/>
          </w:tcPr>
          <w:p w14:paraId="61224603">
            <w:pPr>
              <w:spacing w:line="360" w:lineRule="auto"/>
              <w:rPr>
                <w:rFonts w:hint="eastAsia" w:ascii="宋体" w:hAnsi="宋体"/>
                <w:sz w:val="24"/>
                <w:highlight w:val="none"/>
              </w:rPr>
            </w:pPr>
          </w:p>
        </w:tc>
      </w:tr>
      <w:tr w14:paraId="703EC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858" w:type="dxa"/>
            <w:vAlign w:val="center"/>
          </w:tcPr>
          <w:p w14:paraId="697C1CAF">
            <w:pPr>
              <w:jc w:val="center"/>
              <w:rPr>
                <w:rFonts w:hint="eastAsia" w:ascii="宋体" w:hAnsi="宋体"/>
                <w:sz w:val="24"/>
                <w:highlight w:val="none"/>
              </w:rPr>
            </w:pPr>
            <w:r>
              <w:rPr>
                <w:rFonts w:hint="eastAsia" w:ascii="宋体" w:hAnsi="宋体"/>
                <w:sz w:val="24"/>
                <w:highlight w:val="none"/>
              </w:rPr>
              <w:t>2</w:t>
            </w:r>
          </w:p>
        </w:tc>
        <w:tc>
          <w:tcPr>
            <w:tcW w:w="3042" w:type="dxa"/>
          </w:tcPr>
          <w:p w14:paraId="09B7A09C">
            <w:pPr>
              <w:spacing w:line="360" w:lineRule="auto"/>
              <w:rPr>
                <w:rFonts w:hint="eastAsia" w:ascii="宋体" w:hAnsi="宋体"/>
                <w:sz w:val="24"/>
                <w:highlight w:val="none"/>
              </w:rPr>
            </w:pPr>
          </w:p>
        </w:tc>
        <w:tc>
          <w:tcPr>
            <w:tcW w:w="829" w:type="dxa"/>
          </w:tcPr>
          <w:p w14:paraId="43313E9C">
            <w:pPr>
              <w:spacing w:line="360" w:lineRule="auto"/>
              <w:rPr>
                <w:rFonts w:hint="eastAsia" w:ascii="宋体" w:hAnsi="宋体"/>
                <w:sz w:val="24"/>
                <w:highlight w:val="none"/>
              </w:rPr>
            </w:pPr>
          </w:p>
        </w:tc>
        <w:tc>
          <w:tcPr>
            <w:tcW w:w="786" w:type="dxa"/>
          </w:tcPr>
          <w:p w14:paraId="44C2DE90">
            <w:pPr>
              <w:spacing w:line="360" w:lineRule="auto"/>
              <w:rPr>
                <w:rFonts w:hint="eastAsia" w:ascii="宋体" w:hAnsi="宋体"/>
                <w:sz w:val="24"/>
                <w:highlight w:val="none"/>
              </w:rPr>
            </w:pPr>
          </w:p>
        </w:tc>
        <w:tc>
          <w:tcPr>
            <w:tcW w:w="1571" w:type="dxa"/>
          </w:tcPr>
          <w:p w14:paraId="6473DFCA">
            <w:pPr>
              <w:spacing w:line="360" w:lineRule="auto"/>
              <w:rPr>
                <w:rFonts w:hint="eastAsia" w:ascii="宋体" w:hAnsi="宋体"/>
                <w:sz w:val="24"/>
                <w:highlight w:val="none"/>
              </w:rPr>
            </w:pPr>
          </w:p>
        </w:tc>
        <w:tc>
          <w:tcPr>
            <w:tcW w:w="1586" w:type="dxa"/>
          </w:tcPr>
          <w:p w14:paraId="71C2D454">
            <w:pPr>
              <w:spacing w:line="360" w:lineRule="auto"/>
              <w:rPr>
                <w:rFonts w:hint="eastAsia" w:ascii="宋体" w:hAnsi="宋体"/>
                <w:sz w:val="24"/>
                <w:highlight w:val="none"/>
              </w:rPr>
            </w:pPr>
          </w:p>
        </w:tc>
      </w:tr>
      <w:tr w14:paraId="11A7A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8" w:type="dxa"/>
            <w:vAlign w:val="center"/>
          </w:tcPr>
          <w:p w14:paraId="2DCFC6C1">
            <w:pPr>
              <w:jc w:val="center"/>
              <w:rPr>
                <w:rFonts w:hint="eastAsia" w:ascii="宋体" w:hAnsi="宋体"/>
                <w:sz w:val="24"/>
                <w:highlight w:val="none"/>
              </w:rPr>
            </w:pPr>
            <w:r>
              <w:rPr>
                <w:rFonts w:hint="eastAsia" w:ascii="宋体" w:hAnsi="宋体"/>
                <w:sz w:val="24"/>
                <w:highlight w:val="none"/>
              </w:rPr>
              <w:t>3</w:t>
            </w:r>
          </w:p>
        </w:tc>
        <w:tc>
          <w:tcPr>
            <w:tcW w:w="3042" w:type="dxa"/>
          </w:tcPr>
          <w:p w14:paraId="1B220B81">
            <w:pPr>
              <w:spacing w:line="360" w:lineRule="auto"/>
              <w:rPr>
                <w:rFonts w:hint="eastAsia" w:ascii="宋体" w:hAnsi="宋体"/>
                <w:sz w:val="24"/>
                <w:highlight w:val="none"/>
              </w:rPr>
            </w:pPr>
          </w:p>
        </w:tc>
        <w:tc>
          <w:tcPr>
            <w:tcW w:w="829" w:type="dxa"/>
          </w:tcPr>
          <w:p w14:paraId="6E406B9E">
            <w:pPr>
              <w:spacing w:line="360" w:lineRule="auto"/>
              <w:rPr>
                <w:rFonts w:hint="eastAsia" w:ascii="宋体" w:hAnsi="宋体"/>
                <w:sz w:val="24"/>
                <w:highlight w:val="none"/>
              </w:rPr>
            </w:pPr>
          </w:p>
        </w:tc>
        <w:tc>
          <w:tcPr>
            <w:tcW w:w="786" w:type="dxa"/>
          </w:tcPr>
          <w:p w14:paraId="04D060BC">
            <w:pPr>
              <w:spacing w:line="360" w:lineRule="auto"/>
              <w:rPr>
                <w:rFonts w:hint="eastAsia" w:ascii="宋体" w:hAnsi="宋体"/>
                <w:sz w:val="24"/>
                <w:highlight w:val="none"/>
              </w:rPr>
            </w:pPr>
          </w:p>
        </w:tc>
        <w:tc>
          <w:tcPr>
            <w:tcW w:w="1571" w:type="dxa"/>
          </w:tcPr>
          <w:p w14:paraId="5689D88F">
            <w:pPr>
              <w:spacing w:line="360" w:lineRule="auto"/>
              <w:rPr>
                <w:rFonts w:hint="eastAsia" w:ascii="宋体" w:hAnsi="宋体"/>
                <w:sz w:val="24"/>
                <w:highlight w:val="none"/>
              </w:rPr>
            </w:pPr>
          </w:p>
        </w:tc>
        <w:tc>
          <w:tcPr>
            <w:tcW w:w="1586" w:type="dxa"/>
          </w:tcPr>
          <w:p w14:paraId="233C03DF">
            <w:pPr>
              <w:spacing w:line="360" w:lineRule="auto"/>
              <w:rPr>
                <w:rFonts w:hint="eastAsia" w:ascii="宋体" w:hAnsi="宋体"/>
                <w:sz w:val="24"/>
                <w:highlight w:val="none"/>
              </w:rPr>
            </w:pPr>
          </w:p>
        </w:tc>
      </w:tr>
      <w:tr w14:paraId="49358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8" w:type="dxa"/>
            <w:vAlign w:val="center"/>
          </w:tcPr>
          <w:p w14:paraId="157B76C2">
            <w:pPr>
              <w:jc w:val="center"/>
              <w:rPr>
                <w:rFonts w:hint="eastAsia" w:ascii="宋体" w:hAnsi="宋体"/>
                <w:sz w:val="24"/>
                <w:highlight w:val="none"/>
              </w:rPr>
            </w:pPr>
            <w:r>
              <w:rPr>
                <w:rFonts w:hint="eastAsia" w:ascii="宋体" w:hAnsi="宋体"/>
                <w:sz w:val="24"/>
                <w:highlight w:val="none"/>
              </w:rPr>
              <w:t>4</w:t>
            </w:r>
          </w:p>
        </w:tc>
        <w:tc>
          <w:tcPr>
            <w:tcW w:w="3042" w:type="dxa"/>
          </w:tcPr>
          <w:p w14:paraId="521E4C3A">
            <w:pPr>
              <w:spacing w:line="360" w:lineRule="auto"/>
              <w:rPr>
                <w:rFonts w:hint="eastAsia" w:ascii="宋体" w:hAnsi="宋体"/>
                <w:sz w:val="24"/>
                <w:highlight w:val="none"/>
              </w:rPr>
            </w:pPr>
          </w:p>
        </w:tc>
        <w:tc>
          <w:tcPr>
            <w:tcW w:w="829" w:type="dxa"/>
          </w:tcPr>
          <w:p w14:paraId="6E881012">
            <w:pPr>
              <w:spacing w:line="360" w:lineRule="auto"/>
              <w:rPr>
                <w:rFonts w:hint="eastAsia" w:ascii="宋体" w:hAnsi="宋体"/>
                <w:sz w:val="24"/>
                <w:highlight w:val="none"/>
              </w:rPr>
            </w:pPr>
          </w:p>
        </w:tc>
        <w:tc>
          <w:tcPr>
            <w:tcW w:w="786" w:type="dxa"/>
          </w:tcPr>
          <w:p w14:paraId="1B241589">
            <w:pPr>
              <w:spacing w:line="360" w:lineRule="auto"/>
              <w:rPr>
                <w:rFonts w:hint="eastAsia" w:ascii="宋体" w:hAnsi="宋体"/>
                <w:sz w:val="24"/>
                <w:highlight w:val="none"/>
              </w:rPr>
            </w:pPr>
          </w:p>
        </w:tc>
        <w:tc>
          <w:tcPr>
            <w:tcW w:w="1571" w:type="dxa"/>
          </w:tcPr>
          <w:p w14:paraId="46F9410F">
            <w:pPr>
              <w:spacing w:line="360" w:lineRule="auto"/>
              <w:rPr>
                <w:rFonts w:hint="eastAsia" w:ascii="宋体" w:hAnsi="宋体"/>
                <w:sz w:val="24"/>
                <w:highlight w:val="none"/>
              </w:rPr>
            </w:pPr>
          </w:p>
        </w:tc>
        <w:tc>
          <w:tcPr>
            <w:tcW w:w="1586" w:type="dxa"/>
          </w:tcPr>
          <w:p w14:paraId="0F2F45A1">
            <w:pPr>
              <w:spacing w:line="360" w:lineRule="auto"/>
              <w:rPr>
                <w:rFonts w:hint="eastAsia" w:ascii="宋体" w:hAnsi="宋体"/>
                <w:sz w:val="24"/>
                <w:highlight w:val="none"/>
              </w:rPr>
            </w:pPr>
          </w:p>
        </w:tc>
      </w:tr>
      <w:tr w14:paraId="59DFD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8" w:type="dxa"/>
            <w:vAlign w:val="center"/>
          </w:tcPr>
          <w:p w14:paraId="41FACAE2">
            <w:pPr>
              <w:jc w:val="center"/>
              <w:rPr>
                <w:rFonts w:hint="eastAsia" w:ascii="宋体" w:hAnsi="宋体"/>
                <w:sz w:val="24"/>
                <w:highlight w:val="none"/>
              </w:rPr>
            </w:pPr>
            <w:r>
              <w:rPr>
                <w:rFonts w:hint="eastAsia" w:ascii="宋体" w:hAnsi="宋体"/>
                <w:sz w:val="24"/>
                <w:highlight w:val="none"/>
              </w:rPr>
              <w:t>5</w:t>
            </w:r>
          </w:p>
        </w:tc>
        <w:tc>
          <w:tcPr>
            <w:tcW w:w="3042" w:type="dxa"/>
          </w:tcPr>
          <w:p w14:paraId="76E272EB">
            <w:pPr>
              <w:spacing w:line="360" w:lineRule="auto"/>
              <w:rPr>
                <w:rFonts w:hint="eastAsia" w:ascii="宋体" w:hAnsi="宋体"/>
                <w:sz w:val="24"/>
                <w:highlight w:val="none"/>
              </w:rPr>
            </w:pPr>
          </w:p>
        </w:tc>
        <w:tc>
          <w:tcPr>
            <w:tcW w:w="829" w:type="dxa"/>
          </w:tcPr>
          <w:p w14:paraId="6B2F1B19">
            <w:pPr>
              <w:spacing w:line="360" w:lineRule="auto"/>
              <w:rPr>
                <w:rFonts w:hint="eastAsia" w:ascii="宋体" w:hAnsi="宋体"/>
                <w:sz w:val="24"/>
                <w:highlight w:val="none"/>
              </w:rPr>
            </w:pPr>
          </w:p>
        </w:tc>
        <w:tc>
          <w:tcPr>
            <w:tcW w:w="786" w:type="dxa"/>
          </w:tcPr>
          <w:p w14:paraId="73C294D7">
            <w:pPr>
              <w:spacing w:line="360" w:lineRule="auto"/>
              <w:rPr>
                <w:rFonts w:hint="eastAsia" w:ascii="宋体" w:hAnsi="宋体"/>
                <w:sz w:val="24"/>
                <w:highlight w:val="none"/>
              </w:rPr>
            </w:pPr>
          </w:p>
        </w:tc>
        <w:tc>
          <w:tcPr>
            <w:tcW w:w="1571" w:type="dxa"/>
          </w:tcPr>
          <w:p w14:paraId="7CF84E5A">
            <w:pPr>
              <w:spacing w:line="360" w:lineRule="auto"/>
              <w:rPr>
                <w:rFonts w:hint="eastAsia" w:ascii="宋体" w:hAnsi="宋体"/>
                <w:sz w:val="24"/>
                <w:highlight w:val="none"/>
              </w:rPr>
            </w:pPr>
          </w:p>
        </w:tc>
        <w:tc>
          <w:tcPr>
            <w:tcW w:w="1586" w:type="dxa"/>
          </w:tcPr>
          <w:p w14:paraId="4BA4F4A7">
            <w:pPr>
              <w:spacing w:line="360" w:lineRule="auto"/>
              <w:rPr>
                <w:rFonts w:hint="eastAsia" w:ascii="宋体" w:hAnsi="宋体"/>
                <w:sz w:val="24"/>
                <w:highlight w:val="none"/>
              </w:rPr>
            </w:pPr>
          </w:p>
        </w:tc>
      </w:tr>
      <w:tr w14:paraId="058DC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8" w:type="dxa"/>
            <w:vAlign w:val="center"/>
          </w:tcPr>
          <w:p w14:paraId="43D4B0FF">
            <w:pPr>
              <w:jc w:val="center"/>
              <w:rPr>
                <w:rFonts w:hint="eastAsia" w:ascii="宋体" w:hAnsi="宋体"/>
                <w:sz w:val="24"/>
                <w:highlight w:val="none"/>
              </w:rPr>
            </w:pPr>
            <w:r>
              <w:rPr>
                <w:rFonts w:hint="eastAsia" w:ascii="宋体" w:hAnsi="宋体"/>
                <w:sz w:val="24"/>
                <w:highlight w:val="none"/>
              </w:rPr>
              <w:t>6</w:t>
            </w:r>
          </w:p>
        </w:tc>
        <w:tc>
          <w:tcPr>
            <w:tcW w:w="3042" w:type="dxa"/>
          </w:tcPr>
          <w:p w14:paraId="0A32B775">
            <w:pPr>
              <w:spacing w:line="360" w:lineRule="auto"/>
              <w:rPr>
                <w:rFonts w:hint="eastAsia" w:ascii="宋体" w:hAnsi="宋体"/>
                <w:sz w:val="24"/>
                <w:highlight w:val="none"/>
              </w:rPr>
            </w:pPr>
          </w:p>
        </w:tc>
        <w:tc>
          <w:tcPr>
            <w:tcW w:w="829" w:type="dxa"/>
          </w:tcPr>
          <w:p w14:paraId="2AD38DFA">
            <w:pPr>
              <w:spacing w:line="360" w:lineRule="auto"/>
              <w:rPr>
                <w:rFonts w:hint="eastAsia" w:ascii="宋体" w:hAnsi="宋体"/>
                <w:sz w:val="24"/>
                <w:highlight w:val="none"/>
              </w:rPr>
            </w:pPr>
          </w:p>
        </w:tc>
        <w:tc>
          <w:tcPr>
            <w:tcW w:w="786" w:type="dxa"/>
          </w:tcPr>
          <w:p w14:paraId="316B8FC5">
            <w:pPr>
              <w:spacing w:line="360" w:lineRule="auto"/>
              <w:rPr>
                <w:rFonts w:hint="eastAsia" w:ascii="宋体" w:hAnsi="宋体"/>
                <w:sz w:val="24"/>
                <w:highlight w:val="none"/>
              </w:rPr>
            </w:pPr>
          </w:p>
        </w:tc>
        <w:tc>
          <w:tcPr>
            <w:tcW w:w="1571" w:type="dxa"/>
          </w:tcPr>
          <w:p w14:paraId="2FB25E37">
            <w:pPr>
              <w:spacing w:line="360" w:lineRule="auto"/>
              <w:rPr>
                <w:rFonts w:hint="eastAsia" w:ascii="宋体" w:hAnsi="宋体"/>
                <w:sz w:val="24"/>
                <w:highlight w:val="none"/>
              </w:rPr>
            </w:pPr>
          </w:p>
        </w:tc>
        <w:tc>
          <w:tcPr>
            <w:tcW w:w="1586" w:type="dxa"/>
          </w:tcPr>
          <w:p w14:paraId="294E4EB9">
            <w:pPr>
              <w:spacing w:line="360" w:lineRule="auto"/>
              <w:rPr>
                <w:rFonts w:hint="eastAsia" w:ascii="宋体" w:hAnsi="宋体"/>
                <w:sz w:val="24"/>
                <w:highlight w:val="none"/>
              </w:rPr>
            </w:pPr>
          </w:p>
        </w:tc>
      </w:tr>
      <w:tr w14:paraId="17CEE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8" w:type="dxa"/>
            <w:vAlign w:val="center"/>
          </w:tcPr>
          <w:p w14:paraId="3683B29D">
            <w:pPr>
              <w:jc w:val="center"/>
              <w:rPr>
                <w:rFonts w:hint="eastAsia" w:ascii="宋体" w:hAnsi="宋体"/>
                <w:sz w:val="24"/>
                <w:highlight w:val="none"/>
              </w:rPr>
            </w:pPr>
            <w:r>
              <w:rPr>
                <w:rFonts w:hint="eastAsia" w:ascii="宋体" w:hAnsi="宋体"/>
                <w:sz w:val="24"/>
                <w:highlight w:val="none"/>
              </w:rPr>
              <w:t>7</w:t>
            </w:r>
          </w:p>
        </w:tc>
        <w:tc>
          <w:tcPr>
            <w:tcW w:w="3042" w:type="dxa"/>
          </w:tcPr>
          <w:p w14:paraId="498C0943">
            <w:pPr>
              <w:spacing w:line="360" w:lineRule="auto"/>
              <w:rPr>
                <w:rFonts w:hint="eastAsia" w:ascii="宋体" w:hAnsi="宋体"/>
                <w:sz w:val="24"/>
                <w:highlight w:val="none"/>
              </w:rPr>
            </w:pPr>
          </w:p>
        </w:tc>
        <w:tc>
          <w:tcPr>
            <w:tcW w:w="829" w:type="dxa"/>
          </w:tcPr>
          <w:p w14:paraId="6AA88219">
            <w:pPr>
              <w:spacing w:line="360" w:lineRule="auto"/>
              <w:rPr>
                <w:rFonts w:hint="eastAsia" w:ascii="宋体" w:hAnsi="宋体"/>
                <w:sz w:val="24"/>
                <w:highlight w:val="none"/>
              </w:rPr>
            </w:pPr>
          </w:p>
        </w:tc>
        <w:tc>
          <w:tcPr>
            <w:tcW w:w="786" w:type="dxa"/>
          </w:tcPr>
          <w:p w14:paraId="7B101EE2">
            <w:pPr>
              <w:spacing w:line="360" w:lineRule="auto"/>
              <w:rPr>
                <w:rFonts w:hint="eastAsia" w:ascii="宋体" w:hAnsi="宋体"/>
                <w:sz w:val="24"/>
                <w:highlight w:val="none"/>
              </w:rPr>
            </w:pPr>
          </w:p>
        </w:tc>
        <w:tc>
          <w:tcPr>
            <w:tcW w:w="1571" w:type="dxa"/>
          </w:tcPr>
          <w:p w14:paraId="2B87A534">
            <w:pPr>
              <w:spacing w:line="360" w:lineRule="auto"/>
              <w:rPr>
                <w:rFonts w:hint="eastAsia" w:ascii="宋体" w:hAnsi="宋体"/>
                <w:sz w:val="24"/>
                <w:highlight w:val="none"/>
              </w:rPr>
            </w:pPr>
          </w:p>
        </w:tc>
        <w:tc>
          <w:tcPr>
            <w:tcW w:w="1586" w:type="dxa"/>
          </w:tcPr>
          <w:p w14:paraId="2E960B7C">
            <w:pPr>
              <w:spacing w:line="360" w:lineRule="auto"/>
              <w:rPr>
                <w:rFonts w:hint="eastAsia" w:ascii="宋体" w:hAnsi="宋体"/>
                <w:sz w:val="24"/>
                <w:highlight w:val="none"/>
              </w:rPr>
            </w:pPr>
          </w:p>
        </w:tc>
      </w:tr>
      <w:tr w14:paraId="357B6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8" w:type="dxa"/>
            <w:vAlign w:val="center"/>
          </w:tcPr>
          <w:p w14:paraId="1D5A6F9A">
            <w:pPr>
              <w:jc w:val="center"/>
              <w:rPr>
                <w:rFonts w:hint="eastAsia" w:ascii="宋体" w:hAnsi="宋体"/>
                <w:sz w:val="24"/>
                <w:highlight w:val="none"/>
              </w:rPr>
            </w:pPr>
            <w:r>
              <w:rPr>
                <w:rFonts w:hint="eastAsia" w:ascii="宋体" w:hAnsi="宋体"/>
                <w:sz w:val="24"/>
                <w:highlight w:val="none"/>
              </w:rPr>
              <w:t>8</w:t>
            </w:r>
          </w:p>
        </w:tc>
        <w:tc>
          <w:tcPr>
            <w:tcW w:w="3042" w:type="dxa"/>
          </w:tcPr>
          <w:p w14:paraId="3185EB28">
            <w:pPr>
              <w:spacing w:line="360" w:lineRule="auto"/>
              <w:rPr>
                <w:rFonts w:hint="eastAsia" w:ascii="宋体" w:hAnsi="宋体"/>
                <w:sz w:val="24"/>
                <w:highlight w:val="none"/>
              </w:rPr>
            </w:pPr>
          </w:p>
        </w:tc>
        <w:tc>
          <w:tcPr>
            <w:tcW w:w="829" w:type="dxa"/>
          </w:tcPr>
          <w:p w14:paraId="2C4B49FA">
            <w:pPr>
              <w:spacing w:line="360" w:lineRule="auto"/>
              <w:rPr>
                <w:rFonts w:hint="eastAsia" w:ascii="宋体" w:hAnsi="宋体"/>
                <w:sz w:val="24"/>
                <w:highlight w:val="none"/>
              </w:rPr>
            </w:pPr>
          </w:p>
        </w:tc>
        <w:tc>
          <w:tcPr>
            <w:tcW w:w="786" w:type="dxa"/>
          </w:tcPr>
          <w:p w14:paraId="580CC248">
            <w:pPr>
              <w:spacing w:line="360" w:lineRule="auto"/>
              <w:rPr>
                <w:rFonts w:hint="eastAsia" w:ascii="宋体" w:hAnsi="宋体"/>
                <w:sz w:val="24"/>
                <w:highlight w:val="none"/>
              </w:rPr>
            </w:pPr>
          </w:p>
        </w:tc>
        <w:tc>
          <w:tcPr>
            <w:tcW w:w="1571" w:type="dxa"/>
          </w:tcPr>
          <w:p w14:paraId="2ACBE337">
            <w:pPr>
              <w:spacing w:line="360" w:lineRule="auto"/>
              <w:rPr>
                <w:rFonts w:hint="eastAsia" w:ascii="宋体" w:hAnsi="宋体"/>
                <w:sz w:val="24"/>
                <w:highlight w:val="none"/>
              </w:rPr>
            </w:pPr>
          </w:p>
        </w:tc>
        <w:tc>
          <w:tcPr>
            <w:tcW w:w="1586" w:type="dxa"/>
          </w:tcPr>
          <w:p w14:paraId="68C8062C">
            <w:pPr>
              <w:spacing w:line="360" w:lineRule="auto"/>
              <w:rPr>
                <w:rFonts w:hint="eastAsia" w:ascii="宋体" w:hAnsi="宋体"/>
                <w:sz w:val="24"/>
                <w:highlight w:val="none"/>
              </w:rPr>
            </w:pPr>
          </w:p>
        </w:tc>
      </w:tr>
      <w:tr w14:paraId="6038E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8" w:type="dxa"/>
            <w:vAlign w:val="center"/>
          </w:tcPr>
          <w:p w14:paraId="4D3552AD">
            <w:pPr>
              <w:jc w:val="center"/>
              <w:rPr>
                <w:rFonts w:hint="eastAsia" w:ascii="宋体" w:hAnsi="宋体"/>
                <w:sz w:val="24"/>
                <w:highlight w:val="none"/>
              </w:rPr>
            </w:pPr>
            <w:r>
              <w:rPr>
                <w:rFonts w:hint="eastAsia" w:ascii="宋体" w:hAnsi="宋体"/>
                <w:sz w:val="24"/>
                <w:highlight w:val="none"/>
              </w:rPr>
              <w:t>···</w:t>
            </w:r>
          </w:p>
        </w:tc>
        <w:tc>
          <w:tcPr>
            <w:tcW w:w="3042" w:type="dxa"/>
          </w:tcPr>
          <w:p w14:paraId="11D36087">
            <w:pPr>
              <w:spacing w:line="360" w:lineRule="auto"/>
              <w:rPr>
                <w:rFonts w:hint="eastAsia" w:ascii="宋体" w:hAnsi="宋体"/>
                <w:sz w:val="24"/>
                <w:highlight w:val="none"/>
              </w:rPr>
            </w:pPr>
          </w:p>
        </w:tc>
        <w:tc>
          <w:tcPr>
            <w:tcW w:w="829" w:type="dxa"/>
          </w:tcPr>
          <w:p w14:paraId="6436D891">
            <w:pPr>
              <w:spacing w:line="360" w:lineRule="auto"/>
              <w:rPr>
                <w:rFonts w:hint="eastAsia" w:ascii="宋体" w:hAnsi="宋体"/>
                <w:sz w:val="24"/>
                <w:highlight w:val="none"/>
              </w:rPr>
            </w:pPr>
          </w:p>
        </w:tc>
        <w:tc>
          <w:tcPr>
            <w:tcW w:w="786" w:type="dxa"/>
          </w:tcPr>
          <w:p w14:paraId="57FE0CBA">
            <w:pPr>
              <w:spacing w:line="360" w:lineRule="auto"/>
              <w:rPr>
                <w:rFonts w:hint="eastAsia" w:ascii="宋体" w:hAnsi="宋体"/>
                <w:sz w:val="24"/>
                <w:highlight w:val="none"/>
              </w:rPr>
            </w:pPr>
          </w:p>
        </w:tc>
        <w:tc>
          <w:tcPr>
            <w:tcW w:w="1571" w:type="dxa"/>
          </w:tcPr>
          <w:p w14:paraId="332F4BCD">
            <w:pPr>
              <w:spacing w:line="360" w:lineRule="auto"/>
              <w:rPr>
                <w:rFonts w:hint="eastAsia" w:ascii="宋体" w:hAnsi="宋体"/>
                <w:sz w:val="24"/>
                <w:highlight w:val="none"/>
              </w:rPr>
            </w:pPr>
          </w:p>
        </w:tc>
        <w:tc>
          <w:tcPr>
            <w:tcW w:w="1586" w:type="dxa"/>
          </w:tcPr>
          <w:p w14:paraId="7DDD1502">
            <w:pPr>
              <w:spacing w:line="360" w:lineRule="auto"/>
              <w:rPr>
                <w:rFonts w:hint="eastAsia" w:ascii="宋体" w:hAnsi="宋体"/>
                <w:sz w:val="24"/>
                <w:highlight w:val="none"/>
              </w:rPr>
            </w:pPr>
          </w:p>
        </w:tc>
      </w:tr>
      <w:tr w14:paraId="4211F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00" w:type="dxa"/>
            <w:gridSpan w:val="2"/>
            <w:vAlign w:val="center"/>
          </w:tcPr>
          <w:p w14:paraId="552B39DB">
            <w:pPr>
              <w:jc w:val="center"/>
              <w:rPr>
                <w:rFonts w:hint="eastAsia" w:ascii="宋体" w:hAnsi="宋体"/>
                <w:sz w:val="24"/>
                <w:highlight w:val="none"/>
              </w:rPr>
            </w:pPr>
            <w:r>
              <w:rPr>
                <w:rFonts w:hint="eastAsia" w:ascii="宋体" w:hAnsi="宋体"/>
                <w:sz w:val="24"/>
                <w:highlight w:val="none"/>
              </w:rPr>
              <w:t>总计</w:t>
            </w:r>
          </w:p>
        </w:tc>
        <w:tc>
          <w:tcPr>
            <w:tcW w:w="4772" w:type="dxa"/>
            <w:gridSpan w:val="4"/>
          </w:tcPr>
          <w:p w14:paraId="0B164793">
            <w:pPr>
              <w:rPr>
                <w:rFonts w:hint="eastAsia" w:ascii="宋体" w:hAnsi="宋体"/>
                <w:sz w:val="24"/>
                <w:highlight w:val="none"/>
              </w:rPr>
            </w:pPr>
          </w:p>
        </w:tc>
      </w:tr>
    </w:tbl>
    <w:p w14:paraId="2C12513C">
      <w:pPr>
        <w:spacing w:line="360" w:lineRule="auto"/>
        <w:rPr>
          <w:sz w:val="24"/>
          <w:highlight w:val="none"/>
        </w:rPr>
      </w:pPr>
    </w:p>
    <w:p w14:paraId="5D383821">
      <w:pPr>
        <w:pStyle w:val="27"/>
        <w:spacing w:line="400" w:lineRule="exact"/>
        <w:rPr>
          <w:rFonts w:ascii="Times New Roman" w:hAnsi="Times New Roman"/>
          <w:sz w:val="24"/>
          <w:szCs w:val="24"/>
          <w:highlight w:val="none"/>
        </w:rPr>
      </w:pPr>
      <w:r>
        <w:rPr>
          <w:rFonts w:hint="eastAsia" w:ascii="Times New Roman" w:hAnsi="Times New Roman"/>
          <w:sz w:val="24"/>
          <w:szCs w:val="24"/>
          <w:highlight w:val="none"/>
        </w:rPr>
        <w:t>供应商</w:t>
      </w:r>
      <w:r>
        <w:rPr>
          <w:rFonts w:ascii="Times New Roman" w:hAnsi="Times New Roman"/>
          <w:sz w:val="24"/>
          <w:szCs w:val="24"/>
          <w:highlight w:val="none"/>
        </w:rPr>
        <w:t>授权代表签字：</w:t>
      </w:r>
      <w:r>
        <w:rPr>
          <w:rFonts w:ascii="Times New Roman" w:hAnsi="Times New Roman"/>
          <w:sz w:val="24"/>
          <w:szCs w:val="24"/>
          <w:highlight w:val="none"/>
          <w:u w:val="single"/>
        </w:rPr>
        <w:t xml:space="preserve">                       </w:t>
      </w:r>
    </w:p>
    <w:p w14:paraId="13DD23F0">
      <w:pPr>
        <w:pStyle w:val="27"/>
        <w:spacing w:line="400" w:lineRule="exact"/>
        <w:rPr>
          <w:rFonts w:ascii="Times New Roman" w:hAnsi="Times New Roman"/>
          <w:sz w:val="24"/>
          <w:szCs w:val="24"/>
          <w:highlight w:val="none"/>
        </w:rPr>
      </w:pPr>
      <w:r>
        <w:rPr>
          <w:rFonts w:hint="eastAsia" w:ascii="Times New Roman" w:hAnsi="Times New Roman"/>
          <w:sz w:val="24"/>
          <w:szCs w:val="24"/>
          <w:highlight w:val="none"/>
        </w:rPr>
        <w:t>供应商</w:t>
      </w:r>
      <w:r>
        <w:rPr>
          <w:rFonts w:ascii="Times New Roman" w:hAnsi="Times New Roman"/>
          <w:sz w:val="24"/>
          <w:szCs w:val="24"/>
          <w:highlight w:val="none"/>
        </w:rPr>
        <w:t>名称：</w:t>
      </w:r>
      <w:r>
        <w:rPr>
          <w:rFonts w:ascii="Times New Roman" w:hAnsi="Times New Roman"/>
          <w:sz w:val="24"/>
          <w:szCs w:val="24"/>
          <w:highlight w:val="none"/>
          <w:u w:val="single"/>
        </w:rPr>
        <w:t xml:space="preserve">                       </w:t>
      </w:r>
      <w:r>
        <w:rPr>
          <w:rFonts w:ascii="Times New Roman" w:hAnsi="Times New Roman"/>
          <w:sz w:val="24"/>
          <w:szCs w:val="24"/>
          <w:highlight w:val="none"/>
        </w:rPr>
        <w:t>（加盖公章）</w:t>
      </w:r>
    </w:p>
    <w:p w14:paraId="6B35E13A">
      <w:pPr>
        <w:autoSpaceDE w:val="0"/>
        <w:autoSpaceDN w:val="0"/>
        <w:spacing w:line="360" w:lineRule="auto"/>
        <w:textAlignment w:val="bottom"/>
        <w:rPr>
          <w:sz w:val="24"/>
          <w:highlight w:val="none"/>
        </w:rPr>
      </w:pPr>
      <w:r>
        <w:rPr>
          <w:sz w:val="24"/>
          <w:highlight w:val="none"/>
        </w:rPr>
        <w:t>日期：</w:t>
      </w:r>
      <w:r>
        <w:rPr>
          <w:sz w:val="24"/>
          <w:highlight w:val="none"/>
          <w:u w:val="single"/>
        </w:rPr>
        <w:t xml:space="preserve">                            </w:t>
      </w:r>
    </w:p>
    <w:p w14:paraId="00F5011F">
      <w:pPr>
        <w:spacing w:line="360" w:lineRule="auto"/>
        <w:rPr>
          <w:bCs/>
          <w:sz w:val="24"/>
          <w:highlight w:val="none"/>
          <w:u w:val="single"/>
        </w:rPr>
      </w:pPr>
    </w:p>
    <w:p w14:paraId="7F89C737">
      <w:pPr>
        <w:spacing w:before="120" w:beforeLines="50"/>
        <w:rPr>
          <w:highlight w:val="none"/>
        </w:rPr>
      </w:pPr>
      <w:r>
        <w:rPr>
          <w:highlight w:val="none"/>
        </w:rPr>
        <w:t>注：1.如果按单项价格计算的结果与总价不一致,以单项价格为准修正总价。</w:t>
      </w:r>
    </w:p>
    <w:p w14:paraId="7BD56D2D">
      <w:pPr>
        <w:spacing w:before="120" w:beforeLines="50"/>
        <w:ind w:firstLine="420" w:firstLineChars="200"/>
        <w:rPr>
          <w:highlight w:val="none"/>
        </w:rPr>
      </w:pPr>
      <w:r>
        <w:rPr>
          <w:highlight w:val="none"/>
        </w:rPr>
        <w:t>2.如果不提供详细分项报价将视为没有实质性响应</w:t>
      </w:r>
      <w:r>
        <w:rPr>
          <w:rFonts w:hint="eastAsia"/>
          <w:highlight w:val="none"/>
        </w:rPr>
        <w:t>磋商文件</w:t>
      </w:r>
      <w:r>
        <w:rPr>
          <w:highlight w:val="none"/>
        </w:rPr>
        <w:t>。</w:t>
      </w:r>
    </w:p>
    <w:p w14:paraId="0355272C">
      <w:pPr>
        <w:widowControl/>
        <w:spacing w:before="120" w:beforeLines="50"/>
        <w:ind w:firstLine="420" w:firstLineChars="200"/>
        <w:jc w:val="left"/>
        <w:rPr>
          <w:highlight w:val="none"/>
        </w:rPr>
      </w:pPr>
      <w:r>
        <w:rPr>
          <w:highlight w:val="none"/>
        </w:rPr>
        <w:t>3.</w:t>
      </w:r>
      <w:r>
        <w:rPr>
          <w:rFonts w:hint="eastAsia"/>
          <w:highlight w:val="none"/>
        </w:rPr>
        <w:t>供应商</w:t>
      </w:r>
      <w:r>
        <w:rPr>
          <w:highlight w:val="none"/>
        </w:rPr>
        <w:t>可根据实际情况对上表进行表格内容增减。</w:t>
      </w:r>
    </w:p>
    <w:p w14:paraId="4091AFA4">
      <w:pPr>
        <w:rPr>
          <w:highlight w:val="none"/>
        </w:rPr>
      </w:pPr>
      <w:r>
        <w:rPr>
          <w:highlight w:val="none"/>
        </w:rPr>
        <w:br w:type="page"/>
      </w:r>
    </w:p>
    <w:p w14:paraId="198B0194">
      <w:pPr>
        <w:adjustRightInd w:val="0"/>
        <w:snapToGrid w:val="0"/>
        <w:jc w:val="center"/>
        <w:outlineLvl w:val="1"/>
        <w:rPr>
          <w:b/>
          <w:sz w:val="24"/>
          <w:highlight w:val="none"/>
        </w:rPr>
      </w:pPr>
      <w:r>
        <w:rPr>
          <w:rFonts w:ascii="Segoe UI Symbol" w:hAnsi="Segoe UI Symbol" w:cs="Segoe UI Symbol"/>
          <w:b/>
          <w:bCs/>
          <w:sz w:val="24"/>
          <w:highlight w:val="none"/>
        </w:rPr>
        <w:t>★</w:t>
      </w:r>
      <w:r>
        <w:rPr>
          <w:b/>
          <w:sz w:val="24"/>
          <w:highlight w:val="none"/>
        </w:rPr>
        <w:t>附件</w:t>
      </w:r>
      <w:r>
        <w:rPr>
          <w:rFonts w:hint="eastAsia"/>
          <w:b/>
          <w:sz w:val="24"/>
          <w:highlight w:val="none"/>
        </w:rPr>
        <w:t>4</w:t>
      </w:r>
      <w:r>
        <w:rPr>
          <w:b/>
          <w:sz w:val="24"/>
          <w:highlight w:val="none"/>
        </w:rPr>
        <w:t>：</w:t>
      </w:r>
      <w:r>
        <w:rPr>
          <w:rFonts w:hint="eastAsia"/>
          <w:b/>
          <w:sz w:val="24"/>
          <w:highlight w:val="none"/>
        </w:rPr>
        <w:t>项目</w:t>
      </w:r>
      <w:r>
        <w:rPr>
          <w:b/>
          <w:sz w:val="24"/>
          <w:highlight w:val="none"/>
        </w:rPr>
        <w:t xml:space="preserve">需求逐条应答表 </w:t>
      </w:r>
    </w:p>
    <w:p w14:paraId="614CE0C1">
      <w:pPr>
        <w:adjustRightInd w:val="0"/>
        <w:snapToGrid w:val="0"/>
        <w:rPr>
          <w:sz w:val="24"/>
          <w:highlight w:val="none"/>
        </w:rPr>
      </w:pPr>
    </w:p>
    <w:p w14:paraId="70255937">
      <w:pPr>
        <w:pStyle w:val="27"/>
        <w:snapToGrid w:val="0"/>
        <w:rPr>
          <w:rFonts w:ascii="Times New Roman" w:hAnsi="Times New Roman"/>
          <w:sz w:val="24"/>
          <w:highlight w:val="none"/>
        </w:rPr>
      </w:pPr>
    </w:p>
    <w:p w14:paraId="1478E67A">
      <w:pPr>
        <w:spacing w:line="360" w:lineRule="auto"/>
        <w:rPr>
          <w:sz w:val="24"/>
          <w:highlight w:val="none"/>
          <w:u w:val="single"/>
        </w:rPr>
      </w:pPr>
      <w:r>
        <w:rPr>
          <w:sz w:val="24"/>
          <w:highlight w:val="none"/>
        </w:rPr>
        <w:t>项目名称：</w:t>
      </w:r>
      <w:r>
        <w:rPr>
          <w:sz w:val="24"/>
          <w:highlight w:val="none"/>
          <w:u w:val="single"/>
        </w:rPr>
        <w:t xml:space="preserve">                   </w:t>
      </w:r>
    </w:p>
    <w:p w14:paraId="3FD9C624">
      <w:pPr>
        <w:spacing w:line="360" w:lineRule="auto"/>
        <w:rPr>
          <w:sz w:val="24"/>
          <w:highlight w:val="none"/>
        </w:rPr>
      </w:pPr>
      <w:r>
        <w:rPr>
          <w:sz w:val="24"/>
          <w:highlight w:val="none"/>
        </w:rPr>
        <w:t>项目编号/包号：</w:t>
      </w:r>
      <w:r>
        <w:rPr>
          <w:sz w:val="24"/>
          <w:highlight w:val="none"/>
          <w:u w:val="single"/>
        </w:rPr>
        <w:t xml:space="preserve">                  / 1 </w:t>
      </w:r>
    </w:p>
    <w:p w14:paraId="45C563D7">
      <w:pPr>
        <w:autoSpaceDE w:val="0"/>
        <w:autoSpaceDN w:val="0"/>
        <w:adjustRightInd w:val="0"/>
        <w:snapToGrid w:val="0"/>
        <w:textAlignment w:val="bottom"/>
        <w:rPr>
          <w:sz w:val="24"/>
          <w:highlight w:val="none"/>
        </w:rPr>
      </w:pPr>
    </w:p>
    <w:tbl>
      <w:tblPr>
        <w:tblStyle w:val="46"/>
        <w:tblW w:w="0" w:type="auto"/>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52"/>
        <w:gridCol w:w="2268"/>
        <w:gridCol w:w="2410"/>
        <w:gridCol w:w="1842"/>
      </w:tblGrid>
      <w:tr w14:paraId="57BBF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atLeast"/>
        </w:trPr>
        <w:tc>
          <w:tcPr>
            <w:tcW w:w="2552" w:type="dxa"/>
            <w:vAlign w:val="center"/>
          </w:tcPr>
          <w:p w14:paraId="51DDB76F">
            <w:pPr>
              <w:autoSpaceDE w:val="0"/>
              <w:autoSpaceDN w:val="0"/>
              <w:adjustRightInd w:val="0"/>
              <w:snapToGrid w:val="0"/>
              <w:jc w:val="center"/>
              <w:textAlignment w:val="bottom"/>
              <w:rPr>
                <w:sz w:val="24"/>
                <w:highlight w:val="none"/>
              </w:rPr>
            </w:pPr>
            <w:r>
              <w:rPr>
                <w:sz w:val="24"/>
                <w:highlight w:val="none"/>
              </w:rPr>
              <w:t>磋商文件</w:t>
            </w:r>
            <w:r>
              <w:rPr>
                <w:rFonts w:hint="eastAsia"/>
                <w:sz w:val="24"/>
                <w:highlight w:val="none"/>
              </w:rPr>
              <w:t>项目</w:t>
            </w:r>
            <w:r>
              <w:rPr>
                <w:sz w:val="24"/>
                <w:highlight w:val="none"/>
              </w:rPr>
              <w:t>需求条目编号及所要求内容</w:t>
            </w:r>
          </w:p>
        </w:tc>
        <w:tc>
          <w:tcPr>
            <w:tcW w:w="2268" w:type="dxa"/>
            <w:vAlign w:val="center"/>
          </w:tcPr>
          <w:p w14:paraId="64CB7A98">
            <w:pPr>
              <w:autoSpaceDE w:val="0"/>
              <w:autoSpaceDN w:val="0"/>
              <w:adjustRightInd w:val="0"/>
              <w:snapToGrid w:val="0"/>
              <w:jc w:val="center"/>
              <w:textAlignment w:val="bottom"/>
              <w:rPr>
                <w:sz w:val="24"/>
                <w:highlight w:val="none"/>
              </w:rPr>
            </w:pPr>
            <w:r>
              <w:rPr>
                <w:sz w:val="24"/>
                <w:highlight w:val="none"/>
              </w:rPr>
              <w:t>磋商响应文件应答内容</w:t>
            </w:r>
          </w:p>
        </w:tc>
        <w:tc>
          <w:tcPr>
            <w:tcW w:w="2410" w:type="dxa"/>
            <w:vAlign w:val="center"/>
          </w:tcPr>
          <w:p w14:paraId="42773697">
            <w:pPr>
              <w:autoSpaceDE w:val="0"/>
              <w:autoSpaceDN w:val="0"/>
              <w:adjustRightInd w:val="0"/>
              <w:snapToGrid w:val="0"/>
              <w:jc w:val="center"/>
              <w:textAlignment w:val="bottom"/>
              <w:rPr>
                <w:sz w:val="24"/>
                <w:highlight w:val="none"/>
              </w:rPr>
            </w:pPr>
            <w:r>
              <w:rPr>
                <w:sz w:val="24"/>
                <w:highlight w:val="none"/>
              </w:rPr>
              <w:t>相关证明文件中的描述在磋商响应文件中的具体页码（如需提供）</w:t>
            </w:r>
          </w:p>
        </w:tc>
        <w:tc>
          <w:tcPr>
            <w:tcW w:w="1842" w:type="dxa"/>
            <w:vAlign w:val="center"/>
          </w:tcPr>
          <w:p w14:paraId="37ACAFBE">
            <w:pPr>
              <w:autoSpaceDE w:val="0"/>
              <w:autoSpaceDN w:val="0"/>
              <w:adjustRightInd w:val="0"/>
              <w:snapToGrid w:val="0"/>
              <w:jc w:val="center"/>
              <w:textAlignment w:val="bottom"/>
              <w:rPr>
                <w:sz w:val="24"/>
                <w:highlight w:val="none"/>
              </w:rPr>
            </w:pPr>
            <w:r>
              <w:rPr>
                <w:sz w:val="24"/>
                <w:highlight w:val="none"/>
              </w:rPr>
              <w:t>偏离说明（无偏离，正/负偏离及偏离情况）</w:t>
            </w:r>
          </w:p>
        </w:tc>
      </w:tr>
      <w:tr w14:paraId="1B4CE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52" w:type="dxa"/>
          </w:tcPr>
          <w:p w14:paraId="58C7360B">
            <w:pPr>
              <w:autoSpaceDE w:val="0"/>
              <w:autoSpaceDN w:val="0"/>
              <w:adjustRightInd w:val="0"/>
              <w:snapToGrid w:val="0"/>
              <w:textAlignment w:val="bottom"/>
              <w:rPr>
                <w:sz w:val="24"/>
                <w:highlight w:val="none"/>
              </w:rPr>
            </w:pPr>
            <w:r>
              <w:rPr>
                <w:rFonts w:cs="宋体" w:asciiTheme="majorEastAsia" w:hAnsiTheme="majorEastAsia" w:eastAsiaTheme="majorEastAsia"/>
                <w:b/>
                <w:bCs/>
                <w:color w:val="000000"/>
                <w:sz w:val="24"/>
                <w:szCs w:val="24"/>
                <w:highlight w:val="none"/>
              </w:rPr>
              <w:t>一、</w:t>
            </w:r>
            <w:r>
              <w:rPr>
                <w:rFonts w:hint="eastAsia" w:cs="宋体" w:asciiTheme="majorEastAsia" w:hAnsiTheme="majorEastAsia" w:eastAsiaTheme="majorEastAsia"/>
                <w:b/>
                <w:bCs/>
                <w:color w:val="000000"/>
                <w:sz w:val="24"/>
                <w:highlight w:val="none"/>
              </w:rPr>
              <w:t>总体要求</w:t>
            </w:r>
          </w:p>
        </w:tc>
        <w:tc>
          <w:tcPr>
            <w:tcW w:w="2268" w:type="dxa"/>
          </w:tcPr>
          <w:p w14:paraId="1CBAEC86">
            <w:pPr>
              <w:autoSpaceDE w:val="0"/>
              <w:autoSpaceDN w:val="0"/>
              <w:adjustRightInd w:val="0"/>
              <w:snapToGrid w:val="0"/>
              <w:textAlignment w:val="bottom"/>
              <w:rPr>
                <w:sz w:val="24"/>
                <w:highlight w:val="none"/>
              </w:rPr>
            </w:pPr>
          </w:p>
        </w:tc>
        <w:tc>
          <w:tcPr>
            <w:tcW w:w="2410" w:type="dxa"/>
          </w:tcPr>
          <w:p w14:paraId="6E45CE0D">
            <w:pPr>
              <w:autoSpaceDE w:val="0"/>
              <w:autoSpaceDN w:val="0"/>
              <w:adjustRightInd w:val="0"/>
              <w:snapToGrid w:val="0"/>
              <w:textAlignment w:val="bottom"/>
              <w:rPr>
                <w:sz w:val="24"/>
                <w:highlight w:val="none"/>
              </w:rPr>
            </w:pPr>
          </w:p>
        </w:tc>
        <w:tc>
          <w:tcPr>
            <w:tcW w:w="1842" w:type="dxa"/>
          </w:tcPr>
          <w:p w14:paraId="0E5DB0D5">
            <w:pPr>
              <w:autoSpaceDE w:val="0"/>
              <w:autoSpaceDN w:val="0"/>
              <w:adjustRightInd w:val="0"/>
              <w:snapToGrid w:val="0"/>
              <w:textAlignment w:val="bottom"/>
              <w:rPr>
                <w:sz w:val="24"/>
                <w:highlight w:val="none"/>
              </w:rPr>
            </w:pPr>
          </w:p>
        </w:tc>
      </w:tr>
      <w:tr w14:paraId="412D7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52" w:type="dxa"/>
            <w:vAlign w:val="center"/>
          </w:tcPr>
          <w:p w14:paraId="50D53E64">
            <w:pPr>
              <w:keepNext w:val="0"/>
              <w:keepLines w:val="0"/>
              <w:pageBreakBefore w:val="0"/>
              <w:widowControl w:val="0"/>
              <w:kinsoku/>
              <w:wordWrap/>
              <w:overflowPunct/>
              <w:topLinePunct w:val="0"/>
              <w:autoSpaceDE w:val="0"/>
              <w:autoSpaceDN w:val="0"/>
              <w:bidi w:val="0"/>
              <w:adjustRightInd w:val="0"/>
              <w:snapToGrid w:val="0"/>
              <w:jc w:val="both"/>
              <w:textAlignment w:val="bottom"/>
              <w:rPr>
                <w:rFonts w:hint="eastAsia" w:cs="宋体" w:asciiTheme="majorEastAsia" w:hAnsiTheme="majorEastAsia" w:eastAsiaTheme="majorEastAsia"/>
                <w:color w:val="000000"/>
                <w:sz w:val="22"/>
                <w:szCs w:val="20"/>
                <w:highlight w:val="none"/>
              </w:rPr>
            </w:pPr>
            <w:r>
              <w:rPr>
                <w:rFonts w:hint="eastAsia" w:cs="宋体" w:asciiTheme="majorEastAsia" w:hAnsiTheme="majorEastAsia" w:eastAsiaTheme="majorEastAsia"/>
                <w:color w:val="000000"/>
                <w:sz w:val="22"/>
                <w:szCs w:val="22"/>
                <w:highlight w:val="none"/>
              </w:rPr>
              <w:t>1.1</w:t>
            </w:r>
            <w:r>
              <w:rPr>
                <w:rFonts w:hint="eastAsia" w:cs="宋体" w:asciiTheme="majorEastAsia" w:hAnsiTheme="majorEastAsia" w:eastAsiaTheme="majorEastAsia"/>
                <w:color w:val="000000"/>
                <w:sz w:val="22"/>
                <w:szCs w:val="20"/>
                <w:highlight w:val="none"/>
              </w:rPr>
              <w:t>项目范围及内容</w:t>
            </w:r>
          </w:p>
          <w:p w14:paraId="5C44E9E0">
            <w:pPr>
              <w:keepNext w:val="0"/>
              <w:keepLines w:val="0"/>
              <w:pageBreakBefore w:val="0"/>
              <w:widowControl w:val="0"/>
              <w:kinsoku/>
              <w:wordWrap/>
              <w:overflowPunct/>
              <w:topLinePunct w:val="0"/>
              <w:autoSpaceDE w:val="0"/>
              <w:autoSpaceDN w:val="0"/>
              <w:bidi w:val="0"/>
              <w:adjustRightInd w:val="0"/>
              <w:snapToGrid w:val="0"/>
              <w:jc w:val="both"/>
              <w:textAlignment w:val="bottom"/>
              <w:rPr>
                <w:rFonts w:hint="eastAsia" w:cs="宋体" w:asciiTheme="majorEastAsia" w:hAnsiTheme="majorEastAsia" w:eastAsiaTheme="majorEastAsia"/>
                <w:color w:val="000000"/>
                <w:sz w:val="22"/>
                <w:szCs w:val="22"/>
                <w:highlight w:val="none"/>
              </w:rPr>
            </w:pPr>
            <w:r>
              <w:rPr>
                <w:rFonts w:hint="eastAsia" w:cs="宋体" w:asciiTheme="majorEastAsia" w:hAnsiTheme="majorEastAsia" w:eastAsiaTheme="majorEastAsia"/>
                <w:color w:val="000000"/>
                <w:sz w:val="22"/>
                <w:szCs w:val="22"/>
                <w:highlight w:val="none"/>
              </w:rPr>
              <w:t>本项目为中国科学院电工研究所1号楼1层大厅进行的布展及展陈制作服务，涵盖展陈设计、内容排版与制作等全流程相关服务。具体内容包括但不限于：展示空间的整体策划与定位、空间方案效果设计、参观路线的科学规划与优化，施工设计阶段的深化图纸绘制与方案制定；展陈内容的编辑、校对、视觉设计及制作实施；采购与施工环节涉及展陈装饰工程的施工建设，调试、展示所需各类材料及设备的供应及等内容。</w:t>
            </w:r>
          </w:p>
          <w:p w14:paraId="447C2B37">
            <w:pPr>
              <w:keepNext w:val="0"/>
              <w:keepLines w:val="0"/>
              <w:pageBreakBefore w:val="0"/>
              <w:widowControl w:val="0"/>
              <w:kinsoku/>
              <w:wordWrap/>
              <w:overflowPunct/>
              <w:topLinePunct w:val="0"/>
              <w:autoSpaceDE w:val="0"/>
              <w:autoSpaceDN w:val="0"/>
              <w:bidi w:val="0"/>
              <w:adjustRightInd w:val="0"/>
              <w:snapToGrid w:val="0"/>
              <w:jc w:val="both"/>
              <w:textAlignment w:val="bottom"/>
              <w:rPr>
                <w:sz w:val="20"/>
                <w:szCs w:val="20"/>
                <w:highlight w:val="none"/>
              </w:rPr>
            </w:pPr>
            <w:r>
              <w:rPr>
                <w:rFonts w:hint="eastAsia" w:cs="宋体" w:asciiTheme="majorEastAsia" w:hAnsiTheme="majorEastAsia" w:eastAsiaTheme="majorEastAsia"/>
                <w:color w:val="000000"/>
                <w:sz w:val="22"/>
                <w:szCs w:val="22"/>
                <w:highlight w:val="none"/>
              </w:rPr>
              <w:t>本项目内所有工作均由供应商负责，采购方负责配合提供展陈内容素材。</w:t>
            </w:r>
          </w:p>
        </w:tc>
        <w:tc>
          <w:tcPr>
            <w:tcW w:w="2268" w:type="dxa"/>
          </w:tcPr>
          <w:p w14:paraId="0F778E3E">
            <w:pPr>
              <w:autoSpaceDE w:val="0"/>
              <w:autoSpaceDN w:val="0"/>
              <w:adjustRightInd w:val="0"/>
              <w:snapToGrid w:val="0"/>
              <w:textAlignment w:val="bottom"/>
              <w:rPr>
                <w:b/>
                <w:sz w:val="24"/>
                <w:highlight w:val="none"/>
              </w:rPr>
            </w:pPr>
          </w:p>
        </w:tc>
        <w:tc>
          <w:tcPr>
            <w:tcW w:w="2410" w:type="dxa"/>
          </w:tcPr>
          <w:p w14:paraId="00708343">
            <w:pPr>
              <w:autoSpaceDE w:val="0"/>
              <w:autoSpaceDN w:val="0"/>
              <w:adjustRightInd w:val="0"/>
              <w:snapToGrid w:val="0"/>
              <w:textAlignment w:val="bottom"/>
              <w:rPr>
                <w:b/>
                <w:sz w:val="24"/>
                <w:highlight w:val="none"/>
              </w:rPr>
            </w:pPr>
          </w:p>
        </w:tc>
        <w:tc>
          <w:tcPr>
            <w:tcW w:w="1842" w:type="dxa"/>
          </w:tcPr>
          <w:p w14:paraId="1201CCD9">
            <w:pPr>
              <w:autoSpaceDE w:val="0"/>
              <w:autoSpaceDN w:val="0"/>
              <w:adjustRightInd w:val="0"/>
              <w:snapToGrid w:val="0"/>
              <w:textAlignment w:val="bottom"/>
              <w:rPr>
                <w:b/>
                <w:sz w:val="24"/>
                <w:highlight w:val="none"/>
              </w:rPr>
            </w:pPr>
          </w:p>
        </w:tc>
      </w:tr>
      <w:tr w14:paraId="03B75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52" w:type="dxa"/>
            <w:vAlign w:val="center"/>
          </w:tcPr>
          <w:p w14:paraId="612BCAB2">
            <w:pPr>
              <w:keepNext w:val="0"/>
              <w:keepLines w:val="0"/>
              <w:pageBreakBefore w:val="0"/>
              <w:widowControl w:val="0"/>
              <w:kinsoku/>
              <w:wordWrap/>
              <w:overflowPunct/>
              <w:topLinePunct w:val="0"/>
              <w:autoSpaceDE w:val="0"/>
              <w:autoSpaceDN w:val="0"/>
              <w:bidi w:val="0"/>
              <w:adjustRightInd w:val="0"/>
              <w:snapToGrid w:val="0"/>
              <w:jc w:val="both"/>
              <w:textAlignment w:val="bottom"/>
              <w:rPr>
                <w:rFonts w:hint="eastAsia" w:cs="宋体" w:asciiTheme="majorEastAsia" w:hAnsiTheme="majorEastAsia" w:eastAsiaTheme="majorEastAsia"/>
                <w:color w:val="000000"/>
                <w:sz w:val="22"/>
                <w:szCs w:val="20"/>
                <w:highlight w:val="none"/>
              </w:rPr>
            </w:pPr>
            <w:r>
              <w:rPr>
                <w:rFonts w:hint="eastAsia" w:cs="宋体" w:asciiTheme="majorEastAsia" w:hAnsiTheme="majorEastAsia" w:eastAsiaTheme="majorEastAsia"/>
                <w:color w:val="000000"/>
                <w:sz w:val="22"/>
                <w:szCs w:val="22"/>
                <w:highlight w:val="none"/>
              </w:rPr>
              <w:t>1.2</w:t>
            </w:r>
            <w:r>
              <w:rPr>
                <w:rFonts w:hint="eastAsia" w:cs="宋体" w:asciiTheme="majorEastAsia" w:hAnsiTheme="majorEastAsia" w:eastAsiaTheme="majorEastAsia"/>
                <w:color w:val="000000"/>
                <w:sz w:val="22"/>
                <w:szCs w:val="20"/>
                <w:highlight w:val="none"/>
              </w:rPr>
              <w:t>项目定位</w:t>
            </w:r>
          </w:p>
          <w:p w14:paraId="1018FC91">
            <w:pPr>
              <w:keepNext w:val="0"/>
              <w:keepLines w:val="0"/>
              <w:pageBreakBefore w:val="0"/>
              <w:widowControl w:val="0"/>
              <w:kinsoku/>
              <w:wordWrap/>
              <w:overflowPunct/>
              <w:topLinePunct w:val="0"/>
              <w:autoSpaceDE w:val="0"/>
              <w:autoSpaceDN w:val="0"/>
              <w:bidi w:val="0"/>
              <w:adjustRightInd w:val="0"/>
              <w:snapToGrid w:val="0"/>
              <w:jc w:val="both"/>
              <w:textAlignment w:val="bottom"/>
              <w:rPr>
                <w:rFonts w:hint="eastAsia" w:cs="宋体" w:asciiTheme="majorEastAsia" w:hAnsiTheme="majorEastAsia" w:eastAsiaTheme="majorEastAsia"/>
                <w:color w:val="000000"/>
                <w:sz w:val="22"/>
                <w:szCs w:val="22"/>
                <w:highlight w:val="none"/>
              </w:rPr>
            </w:pPr>
            <w:r>
              <w:rPr>
                <w:rFonts w:hint="eastAsia" w:cs="宋体" w:asciiTheme="majorEastAsia" w:hAnsiTheme="majorEastAsia" w:eastAsiaTheme="majorEastAsia"/>
                <w:color w:val="000000"/>
                <w:sz w:val="22"/>
                <w:szCs w:val="22"/>
                <w:highlight w:val="none"/>
              </w:rPr>
              <w:t>围绕“高精尖科技智能”主题，以“突出基础、原创技术、驱动产业”为核心理念，充分体现研究所及高密度电磁动力与系统全国重点实验室在能源与电气工程领域前沿技术研究的定位。</w:t>
            </w:r>
          </w:p>
          <w:p w14:paraId="11536926">
            <w:pPr>
              <w:keepNext w:val="0"/>
              <w:keepLines w:val="0"/>
              <w:pageBreakBefore w:val="0"/>
              <w:widowControl w:val="0"/>
              <w:kinsoku/>
              <w:wordWrap/>
              <w:overflowPunct/>
              <w:topLinePunct w:val="0"/>
              <w:autoSpaceDE w:val="0"/>
              <w:autoSpaceDN w:val="0"/>
              <w:bidi w:val="0"/>
              <w:adjustRightInd w:val="0"/>
              <w:snapToGrid w:val="0"/>
              <w:jc w:val="both"/>
              <w:textAlignment w:val="bottom"/>
              <w:rPr>
                <w:rFonts w:hint="default"/>
                <w:sz w:val="20"/>
                <w:szCs w:val="20"/>
                <w:highlight w:val="none"/>
                <w:lang w:val="en-US" w:eastAsia="zh-CN"/>
              </w:rPr>
            </w:pPr>
            <w:r>
              <w:rPr>
                <w:rFonts w:hint="eastAsia" w:cs="宋体" w:asciiTheme="majorEastAsia" w:hAnsiTheme="majorEastAsia" w:eastAsiaTheme="majorEastAsia"/>
                <w:color w:val="000000"/>
                <w:sz w:val="22"/>
                <w:szCs w:val="22"/>
                <w:highlight w:val="none"/>
              </w:rPr>
              <w:t>布展设计追求国际化、时代性与地域性的和谐统一，融合高科技、智能化、环保节能等多重元素，借助多媒体、光、影等多种表现手法，营造现代，富有强烈艺术感染力的展示环境。</w:t>
            </w:r>
          </w:p>
        </w:tc>
        <w:tc>
          <w:tcPr>
            <w:tcW w:w="2268" w:type="dxa"/>
          </w:tcPr>
          <w:p w14:paraId="6205F643">
            <w:pPr>
              <w:autoSpaceDE w:val="0"/>
              <w:autoSpaceDN w:val="0"/>
              <w:adjustRightInd w:val="0"/>
              <w:snapToGrid w:val="0"/>
              <w:textAlignment w:val="bottom"/>
              <w:rPr>
                <w:b/>
                <w:sz w:val="24"/>
                <w:highlight w:val="none"/>
              </w:rPr>
            </w:pPr>
          </w:p>
        </w:tc>
        <w:tc>
          <w:tcPr>
            <w:tcW w:w="2410" w:type="dxa"/>
          </w:tcPr>
          <w:p w14:paraId="2D1B3420">
            <w:pPr>
              <w:autoSpaceDE w:val="0"/>
              <w:autoSpaceDN w:val="0"/>
              <w:adjustRightInd w:val="0"/>
              <w:snapToGrid w:val="0"/>
              <w:textAlignment w:val="bottom"/>
              <w:rPr>
                <w:b/>
                <w:sz w:val="24"/>
                <w:highlight w:val="none"/>
              </w:rPr>
            </w:pPr>
          </w:p>
        </w:tc>
        <w:tc>
          <w:tcPr>
            <w:tcW w:w="1842" w:type="dxa"/>
          </w:tcPr>
          <w:p w14:paraId="53670168">
            <w:pPr>
              <w:autoSpaceDE w:val="0"/>
              <w:autoSpaceDN w:val="0"/>
              <w:adjustRightInd w:val="0"/>
              <w:snapToGrid w:val="0"/>
              <w:textAlignment w:val="bottom"/>
              <w:rPr>
                <w:b/>
                <w:sz w:val="24"/>
                <w:highlight w:val="none"/>
              </w:rPr>
            </w:pPr>
          </w:p>
        </w:tc>
      </w:tr>
      <w:tr w14:paraId="10F67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52" w:type="dxa"/>
            <w:vAlign w:val="center"/>
          </w:tcPr>
          <w:p w14:paraId="3D8C9F42">
            <w:pPr>
              <w:keepNext w:val="0"/>
              <w:keepLines w:val="0"/>
              <w:pageBreakBefore w:val="0"/>
              <w:widowControl w:val="0"/>
              <w:kinsoku/>
              <w:wordWrap/>
              <w:overflowPunct/>
              <w:topLinePunct w:val="0"/>
              <w:autoSpaceDE w:val="0"/>
              <w:autoSpaceDN w:val="0"/>
              <w:bidi w:val="0"/>
              <w:adjustRightInd w:val="0"/>
              <w:snapToGrid w:val="0"/>
              <w:jc w:val="both"/>
              <w:textAlignment w:val="bottom"/>
              <w:rPr>
                <w:rFonts w:hint="eastAsia" w:cs="宋体" w:asciiTheme="majorEastAsia" w:hAnsiTheme="majorEastAsia" w:eastAsiaTheme="majorEastAsia"/>
                <w:color w:val="000000"/>
                <w:sz w:val="22"/>
                <w:szCs w:val="22"/>
                <w:highlight w:val="none"/>
              </w:rPr>
            </w:pPr>
            <w:r>
              <w:rPr>
                <w:rFonts w:hint="eastAsia" w:cs="宋体" w:asciiTheme="majorEastAsia" w:hAnsiTheme="majorEastAsia" w:eastAsiaTheme="majorEastAsia"/>
                <w:color w:val="000000"/>
                <w:sz w:val="22"/>
                <w:szCs w:val="22"/>
                <w:highlight w:val="none"/>
              </w:rPr>
              <w:t>★1.3服务期限</w:t>
            </w:r>
          </w:p>
          <w:p w14:paraId="3EBA4467">
            <w:pPr>
              <w:keepNext w:val="0"/>
              <w:keepLines w:val="0"/>
              <w:pageBreakBefore w:val="0"/>
              <w:widowControl w:val="0"/>
              <w:kinsoku/>
              <w:wordWrap/>
              <w:overflowPunct/>
              <w:topLinePunct w:val="0"/>
              <w:autoSpaceDE w:val="0"/>
              <w:autoSpaceDN w:val="0"/>
              <w:bidi w:val="0"/>
              <w:adjustRightInd w:val="0"/>
              <w:snapToGrid w:val="0"/>
              <w:jc w:val="both"/>
              <w:textAlignment w:val="bottom"/>
              <w:rPr>
                <w:rFonts w:hint="eastAsia" w:cs="宋体" w:asciiTheme="majorEastAsia" w:hAnsiTheme="majorEastAsia" w:eastAsiaTheme="majorEastAsia"/>
                <w:color w:val="000000"/>
                <w:sz w:val="22"/>
                <w:szCs w:val="22"/>
                <w:highlight w:val="none"/>
              </w:rPr>
            </w:pPr>
            <w:r>
              <w:rPr>
                <w:rFonts w:hint="eastAsia" w:cs="宋体" w:asciiTheme="majorEastAsia" w:hAnsiTheme="majorEastAsia" w:eastAsiaTheme="majorEastAsia"/>
                <w:color w:val="000000"/>
                <w:sz w:val="22"/>
                <w:szCs w:val="22"/>
                <w:highlight w:val="none"/>
              </w:rPr>
              <w:t>自合同签订后40日内具备验收条件。</w:t>
            </w:r>
          </w:p>
        </w:tc>
        <w:tc>
          <w:tcPr>
            <w:tcW w:w="2268" w:type="dxa"/>
          </w:tcPr>
          <w:p w14:paraId="193A9F6C">
            <w:pPr>
              <w:autoSpaceDE w:val="0"/>
              <w:autoSpaceDN w:val="0"/>
              <w:adjustRightInd w:val="0"/>
              <w:snapToGrid w:val="0"/>
              <w:textAlignment w:val="bottom"/>
              <w:rPr>
                <w:b/>
                <w:sz w:val="24"/>
                <w:highlight w:val="none"/>
              </w:rPr>
            </w:pPr>
          </w:p>
        </w:tc>
        <w:tc>
          <w:tcPr>
            <w:tcW w:w="2410" w:type="dxa"/>
          </w:tcPr>
          <w:p w14:paraId="62A85DD1">
            <w:pPr>
              <w:autoSpaceDE w:val="0"/>
              <w:autoSpaceDN w:val="0"/>
              <w:adjustRightInd w:val="0"/>
              <w:snapToGrid w:val="0"/>
              <w:textAlignment w:val="bottom"/>
              <w:rPr>
                <w:b/>
                <w:sz w:val="24"/>
                <w:highlight w:val="none"/>
              </w:rPr>
            </w:pPr>
          </w:p>
        </w:tc>
        <w:tc>
          <w:tcPr>
            <w:tcW w:w="1842" w:type="dxa"/>
          </w:tcPr>
          <w:p w14:paraId="3701A2B6">
            <w:pPr>
              <w:autoSpaceDE w:val="0"/>
              <w:autoSpaceDN w:val="0"/>
              <w:adjustRightInd w:val="0"/>
              <w:snapToGrid w:val="0"/>
              <w:textAlignment w:val="bottom"/>
              <w:rPr>
                <w:b/>
                <w:sz w:val="24"/>
                <w:highlight w:val="none"/>
              </w:rPr>
            </w:pPr>
          </w:p>
        </w:tc>
      </w:tr>
      <w:tr w14:paraId="2F973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52" w:type="dxa"/>
            <w:vAlign w:val="center"/>
          </w:tcPr>
          <w:p w14:paraId="77611B39">
            <w:pPr>
              <w:keepNext w:val="0"/>
              <w:keepLines w:val="0"/>
              <w:pageBreakBefore w:val="0"/>
              <w:widowControl w:val="0"/>
              <w:kinsoku/>
              <w:wordWrap/>
              <w:overflowPunct/>
              <w:topLinePunct w:val="0"/>
              <w:autoSpaceDE w:val="0"/>
              <w:autoSpaceDN w:val="0"/>
              <w:bidi w:val="0"/>
              <w:adjustRightInd w:val="0"/>
              <w:snapToGrid w:val="0"/>
              <w:jc w:val="both"/>
              <w:textAlignment w:val="bottom"/>
              <w:rPr>
                <w:rFonts w:hint="eastAsia" w:cs="宋体" w:asciiTheme="majorEastAsia" w:hAnsiTheme="majorEastAsia" w:eastAsiaTheme="majorEastAsia"/>
                <w:color w:val="000000"/>
                <w:sz w:val="22"/>
                <w:szCs w:val="22"/>
                <w:highlight w:val="none"/>
              </w:rPr>
            </w:pPr>
            <w:r>
              <w:rPr>
                <w:rFonts w:hint="eastAsia" w:cs="宋体" w:asciiTheme="majorEastAsia" w:hAnsiTheme="majorEastAsia" w:eastAsiaTheme="majorEastAsia"/>
                <w:color w:val="000000"/>
                <w:sz w:val="22"/>
                <w:szCs w:val="22"/>
                <w:highlight w:val="none"/>
              </w:rPr>
              <w:t>1.4专业要求</w:t>
            </w:r>
          </w:p>
        </w:tc>
        <w:tc>
          <w:tcPr>
            <w:tcW w:w="2268" w:type="dxa"/>
          </w:tcPr>
          <w:p w14:paraId="6B7BAF50">
            <w:pPr>
              <w:autoSpaceDE w:val="0"/>
              <w:autoSpaceDN w:val="0"/>
              <w:adjustRightInd w:val="0"/>
              <w:snapToGrid w:val="0"/>
              <w:textAlignment w:val="bottom"/>
              <w:rPr>
                <w:b/>
                <w:sz w:val="24"/>
                <w:highlight w:val="none"/>
              </w:rPr>
            </w:pPr>
          </w:p>
        </w:tc>
        <w:tc>
          <w:tcPr>
            <w:tcW w:w="2410" w:type="dxa"/>
          </w:tcPr>
          <w:p w14:paraId="431C6A6D">
            <w:pPr>
              <w:autoSpaceDE w:val="0"/>
              <w:autoSpaceDN w:val="0"/>
              <w:adjustRightInd w:val="0"/>
              <w:snapToGrid w:val="0"/>
              <w:textAlignment w:val="bottom"/>
              <w:rPr>
                <w:b/>
                <w:sz w:val="24"/>
                <w:highlight w:val="none"/>
              </w:rPr>
            </w:pPr>
          </w:p>
        </w:tc>
        <w:tc>
          <w:tcPr>
            <w:tcW w:w="1842" w:type="dxa"/>
          </w:tcPr>
          <w:p w14:paraId="4A5DADC6">
            <w:pPr>
              <w:autoSpaceDE w:val="0"/>
              <w:autoSpaceDN w:val="0"/>
              <w:adjustRightInd w:val="0"/>
              <w:snapToGrid w:val="0"/>
              <w:textAlignment w:val="bottom"/>
              <w:rPr>
                <w:b/>
                <w:sz w:val="24"/>
                <w:highlight w:val="none"/>
              </w:rPr>
            </w:pPr>
          </w:p>
        </w:tc>
      </w:tr>
      <w:tr w14:paraId="75EA4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52" w:type="dxa"/>
            <w:vAlign w:val="center"/>
          </w:tcPr>
          <w:p w14:paraId="020F4937">
            <w:pPr>
              <w:keepNext w:val="0"/>
              <w:keepLines w:val="0"/>
              <w:pageBreakBefore w:val="0"/>
              <w:widowControl w:val="0"/>
              <w:kinsoku/>
              <w:wordWrap w:val="0"/>
              <w:overflowPunct/>
              <w:topLinePunct w:val="0"/>
              <w:autoSpaceDE w:val="0"/>
              <w:autoSpaceDN w:val="0"/>
              <w:bidi w:val="0"/>
              <w:adjustRightInd w:val="0"/>
              <w:snapToGrid w:val="0"/>
              <w:jc w:val="both"/>
              <w:textAlignment w:val="bottom"/>
              <w:rPr>
                <w:rFonts w:hint="default" w:cs="宋体" w:asciiTheme="majorEastAsia" w:hAnsiTheme="majorEastAsia" w:eastAsiaTheme="majorEastAsia"/>
                <w:color w:val="000000"/>
                <w:sz w:val="22"/>
                <w:szCs w:val="22"/>
                <w:highlight w:val="none"/>
                <w:lang w:val="en-US" w:eastAsia="zh-CN"/>
              </w:rPr>
            </w:pPr>
            <w:r>
              <w:rPr>
                <w:rFonts w:hint="eastAsia" w:cs="宋体" w:asciiTheme="majorEastAsia" w:hAnsiTheme="majorEastAsia" w:eastAsiaTheme="majorEastAsia"/>
                <w:color w:val="000000"/>
                <w:sz w:val="22"/>
                <w:szCs w:val="22"/>
                <w:highlight w:val="none"/>
              </w:rPr>
              <w:t>（</w:t>
            </w:r>
            <w:r>
              <w:rPr>
                <w:rFonts w:hint="eastAsia" w:cs="宋体" w:asciiTheme="majorEastAsia" w:hAnsiTheme="majorEastAsia" w:eastAsiaTheme="majorEastAsia"/>
                <w:color w:val="000000"/>
                <w:sz w:val="22"/>
                <w:szCs w:val="22"/>
                <w:highlight w:val="none"/>
                <w:lang w:val="en-US" w:eastAsia="zh-CN"/>
              </w:rPr>
              <w:t>1</w:t>
            </w:r>
            <w:r>
              <w:rPr>
                <w:rFonts w:hint="eastAsia" w:cs="宋体" w:asciiTheme="majorEastAsia" w:hAnsiTheme="majorEastAsia" w:eastAsiaTheme="majorEastAsia"/>
                <w:color w:val="000000"/>
                <w:sz w:val="22"/>
                <w:szCs w:val="22"/>
                <w:highlight w:val="none"/>
              </w:rPr>
              <w:t>）聚焦主题与内容：</w:t>
            </w:r>
          </w:p>
        </w:tc>
        <w:tc>
          <w:tcPr>
            <w:tcW w:w="2268" w:type="dxa"/>
          </w:tcPr>
          <w:p w14:paraId="6CA6BDB2">
            <w:pPr>
              <w:autoSpaceDE w:val="0"/>
              <w:autoSpaceDN w:val="0"/>
              <w:adjustRightInd w:val="0"/>
              <w:snapToGrid w:val="0"/>
              <w:textAlignment w:val="bottom"/>
              <w:rPr>
                <w:b/>
                <w:sz w:val="24"/>
                <w:highlight w:val="none"/>
              </w:rPr>
            </w:pPr>
          </w:p>
        </w:tc>
        <w:tc>
          <w:tcPr>
            <w:tcW w:w="2410" w:type="dxa"/>
          </w:tcPr>
          <w:p w14:paraId="5E1504EF">
            <w:pPr>
              <w:autoSpaceDE w:val="0"/>
              <w:autoSpaceDN w:val="0"/>
              <w:adjustRightInd w:val="0"/>
              <w:snapToGrid w:val="0"/>
              <w:textAlignment w:val="bottom"/>
              <w:rPr>
                <w:b/>
                <w:sz w:val="24"/>
                <w:highlight w:val="none"/>
              </w:rPr>
            </w:pPr>
          </w:p>
        </w:tc>
        <w:tc>
          <w:tcPr>
            <w:tcW w:w="1842" w:type="dxa"/>
          </w:tcPr>
          <w:p w14:paraId="294DE884">
            <w:pPr>
              <w:autoSpaceDE w:val="0"/>
              <w:autoSpaceDN w:val="0"/>
              <w:adjustRightInd w:val="0"/>
              <w:snapToGrid w:val="0"/>
              <w:textAlignment w:val="bottom"/>
              <w:rPr>
                <w:b/>
                <w:sz w:val="24"/>
                <w:highlight w:val="none"/>
              </w:rPr>
            </w:pPr>
          </w:p>
        </w:tc>
      </w:tr>
      <w:tr w14:paraId="24AB5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52" w:type="dxa"/>
            <w:vAlign w:val="center"/>
          </w:tcPr>
          <w:p w14:paraId="0595225C">
            <w:pPr>
              <w:keepNext w:val="0"/>
              <w:keepLines w:val="0"/>
              <w:pageBreakBefore w:val="0"/>
              <w:widowControl w:val="0"/>
              <w:kinsoku/>
              <w:wordWrap/>
              <w:overflowPunct/>
              <w:topLinePunct w:val="0"/>
              <w:autoSpaceDE w:val="0"/>
              <w:autoSpaceDN w:val="0"/>
              <w:bidi w:val="0"/>
              <w:adjustRightInd w:val="0"/>
              <w:snapToGrid w:val="0"/>
              <w:jc w:val="both"/>
              <w:textAlignment w:val="bottom"/>
              <w:rPr>
                <w:rFonts w:hint="eastAsia" w:cs="宋体" w:asciiTheme="majorEastAsia" w:hAnsiTheme="majorEastAsia" w:eastAsiaTheme="majorEastAsia"/>
                <w:color w:val="000000"/>
                <w:sz w:val="22"/>
                <w:szCs w:val="22"/>
                <w:highlight w:val="none"/>
              </w:rPr>
            </w:pPr>
            <w:r>
              <w:rPr>
                <w:rFonts w:hint="eastAsia" w:cs="宋体" w:asciiTheme="majorEastAsia" w:hAnsiTheme="majorEastAsia" w:eastAsiaTheme="majorEastAsia"/>
                <w:color w:val="000000"/>
                <w:sz w:val="22"/>
                <w:szCs w:val="22"/>
                <w:highlight w:val="none"/>
              </w:rPr>
              <w:t>（2）进行总体规划设计：</w:t>
            </w:r>
          </w:p>
        </w:tc>
        <w:tc>
          <w:tcPr>
            <w:tcW w:w="2268" w:type="dxa"/>
          </w:tcPr>
          <w:p w14:paraId="7061CF4C">
            <w:pPr>
              <w:autoSpaceDE w:val="0"/>
              <w:autoSpaceDN w:val="0"/>
              <w:adjustRightInd w:val="0"/>
              <w:snapToGrid w:val="0"/>
              <w:textAlignment w:val="bottom"/>
              <w:rPr>
                <w:b/>
                <w:sz w:val="24"/>
                <w:highlight w:val="none"/>
              </w:rPr>
            </w:pPr>
          </w:p>
        </w:tc>
        <w:tc>
          <w:tcPr>
            <w:tcW w:w="2410" w:type="dxa"/>
          </w:tcPr>
          <w:p w14:paraId="6B58EC93">
            <w:pPr>
              <w:autoSpaceDE w:val="0"/>
              <w:autoSpaceDN w:val="0"/>
              <w:adjustRightInd w:val="0"/>
              <w:snapToGrid w:val="0"/>
              <w:textAlignment w:val="bottom"/>
              <w:rPr>
                <w:b/>
                <w:sz w:val="24"/>
                <w:highlight w:val="none"/>
              </w:rPr>
            </w:pPr>
          </w:p>
        </w:tc>
        <w:tc>
          <w:tcPr>
            <w:tcW w:w="1842" w:type="dxa"/>
          </w:tcPr>
          <w:p w14:paraId="3CFDEE72">
            <w:pPr>
              <w:autoSpaceDE w:val="0"/>
              <w:autoSpaceDN w:val="0"/>
              <w:adjustRightInd w:val="0"/>
              <w:snapToGrid w:val="0"/>
              <w:textAlignment w:val="bottom"/>
              <w:rPr>
                <w:b/>
                <w:sz w:val="24"/>
                <w:highlight w:val="none"/>
              </w:rPr>
            </w:pPr>
          </w:p>
        </w:tc>
      </w:tr>
      <w:tr w14:paraId="5F6E6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552" w:type="dxa"/>
            <w:vAlign w:val="center"/>
          </w:tcPr>
          <w:p w14:paraId="1C062B26">
            <w:pPr>
              <w:keepNext w:val="0"/>
              <w:keepLines w:val="0"/>
              <w:pageBreakBefore w:val="0"/>
              <w:widowControl w:val="0"/>
              <w:kinsoku/>
              <w:wordWrap/>
              <w:overflowPunct/>
              <w:topLinePunct w:val="0"/>
              <w:autoSpaceDE w:val="0"/>
              <w:autoSpaceDN w:val="0"/>
              <w:bidi w:val="0"/>
              <w:adjustRightInd w:val="0"/>
              <w:snapToGrid w:val="0"/>
              <w:jc w:val="both"/>
              <w:textAlignment w:val="bottom"/>
              <w:rPr>
                <w:rFonts w:hint="eastAsia" w:cs="宋体" w:asciiTheme="majorEastAsia" w:hAnsiTheme="majorEastAsia" w:eastAsiaTheme="majorEastAsia"/>
                <w:color w:val="000000"/>
                <w:sz w:val="22"/>
                <w:szCs w:val="22"/>
                <w:highlight w:val="none"/>
              </w:rPr>
            </w:pPr>
            <w:r>
              <w:rPr>
                <w:rFonts w:hint="eastAsia" w:cs="宋体" w:asciiTheme="majorEastAsia" w:hAnsiTheme="majorEastAsia" w:eastAsiaTheme="majorEastAsia"/>
                <w:color w:val="000000"/>
                <w:sz w:val="22"/>
                <w:szCs w:val="22"/>
                <w:highlight w:val="none"/>
              </w:rPr>
              <w:t>（3）表现形式与空间风格：</w:t>
            </w:r>
          </w:p>
        </w:tc>
        <w:tc>
          <w:tcPr>
            <w:tcW w:w="2268" w:type="dxa"/>
          </w:tcPr>
          <w:p w14:paraId="36288745">
            <w:pPr>
              <w:autoSpaceDE w:val="0"/>
              <w:autoSpaceDN w:val="0"/>
              <w:adjustRightInd w:val="0"/>
              <w:snapToGrid w:val="0"/>
              <w:textAlignment w:val="bottom"/>
              <w:rPr>
                <w:b/>
                <w:sz w:val="24"/>
                <w:highlight w:val="none"/>
              </w:rPr>
            </w:pPr>
          </w:p>
        </w:tc>
        <w:tc>
          <w:tcPr>
            <w:tcW w:w="2410" w:type="dxa"/>
          </w:tcPr>
          <w:p w14:paraId="2560554A">
            <w:pPr>
              <w:autoSpaceDE w:val="0"/>
              <w:autoSpaceDN w:val="0"/>
              <w:adjustRightInd w:val="0"/>
              <w:snapToGrid w:val="0"/>
              <w:textAlignment w:val="bottom"/>
              <w:rPr>
                <w:b/>
                <w:sz w:val="24"/>
                <w:highlight w:val="none"/>
              </w:rPr>
            </w:pPr>
          </w:p>
        </w:tc>
        <w:tc>
          <w:tcPr>
            <w:tcW w:w="1842" w:type="dxa"/>
          </w:tcPr>
          <w:p w14:paraId="03C9BAB8">
            <w:pPr>
              <w:autoSpaceDE w:val="0"/>
              <w:autoSpaceDN w:val="0"/>
              <w:adjustRightInd w:val="0"/>
              <w:snapToGrid w:val="0"/>
              <w:textAlignment w:val="bottom"/>
              <w:rPr>
                <w:b/>
                <w:sz w:val="24"/>
                <w:highlight w:val="none"/>
              </w:rPr>
            </w:pPr>
          </w:p>
        </w:tc>
      </w:tr>
      <w:tr w14:paraId="2708A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2552" w:type="dxa"/>
            <w:vAlign w:val="center"/>
          </w:tcPr>
          <w:p w14:paraId="0010D513">
            <w:pPr>
              <w:keepNext w:val="0"/>
              <w:keepLines w:val="0"/>
              <w:pageBreakBefore w:val="0"/>
              <w:widowControl w:val="0"/>
              <w:kinsoku/>
              <w:wordWrap/>
              <w:overflowPunct/>
              <w:topLinePunct w:val="0"/>
              <w:autoSpaceDE w:val="0"/>
              <w:autoSpaceDN w:val="0"/>
              <w:bidi w:val="0"/>
              <w:adjustRightInd w:val="0"/>
              <w:snapToGrid w:val="0"/>
              <w:jc w:val="both"/>
              <w:textAlignment w:val="bottom"/>
              <w:rPr>
                <w:rFonts w:hint="default" w:cs="宋体" w:asciiTheme="majorEastAsia" w:hAnsiTheme="majorEastAsia" w:eastAsiaTheme="majorEastAsia"/>
                <w:color w:val="000000"/>
                <w:sz w:val="22"/>
                <w:szCs w:val="22"/>
                <w:highlight w:val="none"/>
                <w:lang w:val="en-US" w:eastAsia="zh-CN"/>
              </w:rPr>
            </w:pPr>
            <w:r>
              <w:rPr>
                <w:rFonts w:hint="eastAsia" w:cs="宋体" w:asciiTheme="majorEastAsia" w:hAnsiTheme="majorEastAsia" w:eastAsiaTheme="majorEastAsia"/>
                <w:b/>
                <w:bCs/>
                <w:color w:val="FF0000"/>
                <w:sz w:val="22"/>
                <w:szCs w:val="22"/>
                <w:highlight w:val="none"/>
                <w:lang w:val="en-US" w:eastAsia="zh-CN"/>
              </w:rPr>
              <w:t>（需要将项目需求内容全部粘贴并逐条应答）</w:t>
            </w:r>
          </w:p>
        </w:tc>
        <w:tc>
          <w:tcPr>
            <w:tcW w:w="2268" w:type="dxa"/>
          </w:tcPr>
          <w:p w14:paraId="5D6C50EF">
            <w:pPr>
              <w:autoSpaceDE w:val="0"/>
              <w:autoSpaceDN w:val="0"/>
              <w:adjustRightInd w:val="0"/>
              <w:snapToGrid w:val="0"/>
              <w:textAlignment w:val="bottom"/>
              <w:rPr>
                <w:b/>
                <w:sz w:val="24"/>
                <w:highlight w:val="none"/>
              </w:rPr>
            </w:pPr>
          </w:p>
        </w:tc>
        <w:tc>
          <w:tcPr>
            <w:tcW w:w="2410" w:type="dxa"/>
          </w:tcPr>
          <w:p w14:paraId="713D1FE5">
            <w:pPr>
              <w:autoSpaceDE w:val="0"/>
              <w:autoSpaceDN w:val="0"/>
              <w:adjustRightInd w:val="0"/>
              <w:snapToGrid w:val="0"/>
              <w:textAlignment w:val="bottom"/>
              <w:rPr>
                <w:b/>
                <w:sz w:val="24"/>
                <w:highlight w:val="none"/>
              </w:rPr>
            </w:pPr>
          </w:p>
        </w:tc>
        <w:tc>
          <w:tcPr>
            <w:tcW w:w="1842" w:type="dxa"/>
          </w:tcPr>
          <w:p w14:paraId="614614C0">
            <w:pPr>
              <w:autoSpaceDE w:val="0"/>
              <w:autoSpaceDN w:val="0"/>
              <w:adjustRightInd w:val="0"/>
              <w:snapToGrid w:val="0"/>
              <w:textAlignment w:val="bottom"/>
              <w:rPr>
                <w:b/>
                <w:sz w:val="24"/>
                <w:highlight w:val="none"/>
              </w:rPr>
            </w:pPr>
          </w:p>
        </w:tc>
      </w:tr>
      <w:tr w14:paraId="4A848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2552" w:type="dxa"/>
            <w:vAlign w:val="center"/>
          </w:tcPr>
          <w:p w14:paraId="4AD0AB06">
            <w:pPr>
              <w:keepNext w:val="0"/>
              <w:keepLines w:val="0"/>
              <w:pageBreakBefore w:val="0"/>
              <w:widowControl w:val="0"/>
              <w:kinsoku/>
              <w:wordWrap/>
              <w:overflowPunct/>
              <w:topLinePunct w:val="0"/>
              <w:autoSpaceDE w:val="0"/>
              <w:autoSpaceDN w:val="0"/>
              <w:bidi w:val="0"/>
              <w:adjustRightInd w:val="0"/>
              <w:snapToGrid w:val="0"/>
              <w:jc w:val="both"/>
              <w:textAlignment w:val="bottom"/>
              <w:rPr>
                <w:rFonts w:hint="eastAsia" w:cs="宋体" w:asciiTheme="majorEastAsia" w:hAnsiTheme="majorEastAsia" w:eastAsiaTheme="majorEastAsia"/>
                <w:color w:val="000000"/>
                <w:sz w:val="22"/>
                <w:szCs w:val="22"/>
                <w:highlight w:val="none"/>
                <w:lang w:val="en-US" w:eastAsia="zh-CN"/>
              </w:rPr>
            </w:pPr>
          </w:p>
        </w:tc>
        <w:tc>
          <w:tcPr>
            <w:tcW w:w="2268" w:type="dxa"/>
          </w:tcPr>
          <w:p w14:paraId="656B8AA5">
            <w:pPr>
              <w:autoSpaceDE w:val="0"/>
              <w:autoSpaceDN w:val="0"/>
              <w:adjustRightInd w:val="0"/>
              <w:snapToGrid w:val="0"/>
              <w:textAlignment w:val="bottom"/>
              <w:rPr>
                <w:b/>
                <w:sz w:val="24"/>
                <w:highlight w:val="none"/>
              </w:rPr>
            </w:pPr>
          </w:p>
        </w:tc>
        <w:tc>
          <w:tcPr>
            <w:tcW w:w="2410" w:type="dxa"/>
          </w:tcPr>
          <w:p w14:paraId="249F8DC9">
            <w:pPr>
              <w:autoSpaceDE w:val="0"/>
              <w:autoSpaceDN w:val="0"/>
              <w:adjustRightInd w:val="0"/>
              <w:snapToGrid w:val="0"/>
              <w:textAlignment w:val="bottom"/>
              <w:rPr>
                <w:b/>
                <w:sz w:val="24"/>
                <w:highlight w:val="none"/>
              </w:rPr>
            </w:pPr>
          </w:p>
        </w:tc>
        <w:tc>
          <w:tcPr>
            <w:tcW w:w="1842" w:type="dxa"/>
          </w:tcPr>
          <w:p w14:paraId="1AE95835">
            <w:pPr>
              <w:autoSpaceDE w:val="0"/>
              <w:autoSpaceDN w:val="0"/>
              <w:adjustRightInd w:val="0"/>
              <w:snapToGrid w:val="0"/>
              <w:textAlignment w:val="bottom"/>
              <w:rPr>
                <w:b/>
                <w:sz w:val="24"/>
                <w:highlight w:val="none"/>
              </w:rPr>
            </w:pPr>
          </w:p>
        </w:tc>
      </w:tr>
    </w:tbl>
    <w:p w14:paraId="69069A0A">
      <w:pPr>
        <w:autoSpaceDE w:val="0"/>
        <w:autoSpaceDN w:val="0"/>
        <w:adjustRightInd w:val="0"/>
        <w:snapToGrid w:val="0"/>
        <w:textAlignment w:val="bottom"/>
        <w:rPr>
          <w:sz w:val="24"/>
          <w:highlight w:val="none"/>
        </w:rPr>
      </w:pPr>
    </w:p>
    <w:p w14:paraId="1BA0B3C7">
      <w:pPr>
        <w:autoSpaceDE w:val="0"/>
        <w:autoSpaceDN w:val="0"/>
        <w:spacing w:line="360" w:lineRule="auto"/>
        <w:textAlignment w:val="bottom"/>
        <w:rPr>
          <w:sz w:val="24"/>
          <w:highlight w:val="none"/>
        </w:rPr>
      </w:pPr>
      <w:r>
        <w:rPr>
          <w:sz w:val="24"/>
          <w:highlight w:val="none"/>
        </w:rPr>
        <w:t>供应商授权代表签字：</w:t>
      </w:r>
      <w:r>
        <w:rPr>
          <w:sz w:val="24"/>
          <w:highlight w:val="none"/>
          <w:u w:val="single"/>
        </w:rPr>
        <w:t xml:space="preserve">                       </w:t>
      </w:r>
      <w:r>
        <w:rPr>
          <w:sz w:val="24"/>
          <w:highlight w:val="none"/>
        </w:rPr>
        <w:t xml:space="preserve"> </w:t>
      </w:r>
    </w:p>
    <w:p w14:paraId="0A3EC774">
      <w:pPr>
        <w:autoSpaceDE w:val="0"/>
        <w:autoSpaceDN w:val="0"/>
        <w:spacing w:line="360" w:lineRule="auto"/>
        <w:textAlignment w:val="bottom"/>
        <w:rPr>
          <w:sz w:val="24"/>
          <w:highlight w:val="none"/>
        </w:rPr>
      </w:pPr>
      <w:r>
        <w:rPr>
          <w:sz w:val="24"/>
          <w:highlight w:val="none"/>
        </w:rPr>
        <w:t>供应商名称：</w:t>
      </w:r>
      <w:r>
        <w:rPr>
          <w:sz w:val="24"/>
          <w:highlight w:val="none"/>
          <w:u w:val="single"/>
        </w:rPr>
        <w:t xml:space="preserve">                       </w:t>
      </w:r>
      <w:r>
        <w:rPr>
          <w:sz w:val="24"/>
          <w:highlight w:val="none"/>
        </w:rPr>
        <w:t>（加盖公章）</w:t>
      </w:r>
    </w:p>
    <w:p w14:paraId="34F6060C">
      <w:pPr>
        <w:autoSpaceDE w:val="0"/>
        <w:autoSpaceDN w:val="0"/>
        <w:spacing w:line="360" w:lineRule="auto"/>
        <w:textAlignment w:val="bottom"/>
        <w:rPr>
          <w:sz w:val="24"/>
          <w:highlight w:val="none"/>
        </w:rPr>
      </w:pPr>
      <w:r>
        <w:rPr>
          <w:sz w:val="24"/>
          <w:highlight w:val="none"/>
        </w:rPr>
        <w:t>日期：</w:t>
      </w:r>
      <w:r>
        <w:rPr>
          <w:sz w:val="24"/>
          <w:highlight w:val="none"/>
          <w:u w:val="single"/>
        </w:rPr>
        <w:t xml:space="preserve">                         </w:t>
      </w:r>
    </w:p>
    <w:p w14:paraId="307AAFB9">
      <w:pPr>
        <w:autoSpaceDE w:val="0"/>
        <w:autoSpaceDN w:val="0"/>
        <w:adjustRightInd w:val="0"/>
        <w:snapToGrid w:val="0"/>
        <w:textAlignment w:val="bottom"/>
        <w:rPr>
          <w:sz w:val="24"/>
          <w:highlight w:val="none"/>
        </w:rPr>
      </w:pPr>
    </w:p>
    <w:p w14:paraId="40593EAA">
      <w:pPr>
        <w:autoSpaceDE w:val="0"/>
        <w:autoSpaceDN w:val="0"/>
        <w:adjustRightInd w:val="0"/>
        <w:snapToGrid w:val="0"/>
        <w:ind w:right="471"/>
        <w:textAlignment w:val="bottom"/>
        <w:rPr>
          <w:b/>
          <w:sz w:val="24"/>
          <w:highlight w:val="none"/>
        </w:rPr>
      </w:pPr>
      <w:r>
        <w:rPr>
          <w:b/>
          <w:sz w:val="24"/>
          <w:highlight w:val="none"/>
        </w:rPr>
        <w:t>注：</w:t>
      </w:r>
    </w:p>
    <w:p w14:paraId="25A8A905">
      <w:pPr>
        <w:numPr>
          <w:ilvl w:val="1"/>
          <w:numId w:val="0"/>
        </w:numPr>
        <w:ind w:left="674" w:hanging="390"/>
        <w:rPr>
          <w:b/>
          <w:sz w:val="24"/>
          <w:highlight w:val="none"/>
        </w:rPr>
      </w:pPr>
      <w:r>
        <w:rPr>
          <w:b/>
          <w:bCs/>
          <w:sz w:val="24"/>
          <w:highlight w:val="none"/>
        </w:rPr>
        <w:t>1、</w:t>
      </w:r>
      <w:r>
        <w:rPr>
          <w:b/>
          <w:sz w:val="24"/>
          <w:highlight w:val="none"/>
        </w:rPr>
        <w:t>本表须针对磋商文件“第五部分：项目需求 具体要求”内容逐条应答；</w:t>
      </w:r>
    </w:p>
    <w:p w14:paraId="6D039CC1">
      <w:pPr>
        <w:numPr>
          <w:ilvl w:val="1"/>
          <w:numId w:val="0"/>
        </w:numPr>
        <w:ind w:left="674" w:hanging="390"/>
        <w:rPr>
          <w:b/>
          <w:sz w:val="24"/>
          <w:highlight w:val="none"/>
        </w:rPr>
      </w:pPr>
      <w:r>
        <w:rPr>
          <w:b/>
          <w:bCs/>
          <w:sz w:val="24"/>
          <w:highlight w:val="none"/>
        </w:rPr>
        <w:t>2、</w:t>
      </w:r>
      <w:r>
        <w:rPr>
          <w:b/>
          <w:sz w:val="24"/>
          <w:highlight w:val="none"/>
        </w:rPr>
        <w:t>所应答的技术指标应有具体内容，不能简单复制磋商文件内容，或全部响应仅以“符合、满足”应答；</w:t>
      </w:r>
    </w:p>
    <w:p w14:paraId="496A3642">
      <w:pPr>
        <w:numPr>
          <w:ilvl w:val="1"/>
          <w:numId w:val="0"/>
        </w:numPr>
        <w:autoSpaceDE w:val="0"/>
        <w:autoSpaceDN w:val="0"/>
        <w:adjustRightInd w:val="0"/>
        <w:snapToGrid w:val="0"/>
        <w:ind w:left="674" w:right="471" w:hanging="390"/>
        <w:textAlignment w:val="bottom"/>
        <w:rPr>
          <w:sz w:val="24"/>
          <w:highlight w:val="none"/>
          <w:u w:val="single"/>
        </w:rPr>
      </w:pPr>
      <w:r>
        <w:rPr>
          <w:b/>
          <w:bCs/>
          <w:sz w:val="24"/>
          <w:highlight w:val="none"/>
        </w:rPr>
        <w:t>3、</w:t>
      </w:r>
      <w:r>
        <w:rPr>
          <w:b/>
          <w:sz w:val="24"/>
          <w:highlight w:val="none"/>
        </w:rPr>
        <w:t>无论正负偏离均须对偏离情况作具体说明；</w:t>
      </w:r>
    </w:p>
    <w:p w14:paraId="61BA1572">
      <w:pPr>
        <w:pStyle w:val="22"/>
        <w:rPr>
          <w:highlight w:val="none"/>
        </w:rPr>
      </w:pPr>
      <w:r>
        <w:rPr>
          <w:highlight w:val="none"/>
        </w:rPr>
        <w:br w:type="page"/>
      </w:r>
    </w:p>
    <w:p w14:paraId="2F8AC4B4">
      <w:pPr>
        <w:adjustRightInd w:val="0"/>
        <w:snapToGrid w:val="0"/>
        <w:jc w:val="center"/>
        <w:outlineLvl w:val="1"/>
        <w:rPr>
          <w:sz w:val="24"/>
          <w:highlight w:val="none"/>
        </w:rPr>
      </w:pPr>
      <w:r>
        <w:rPr>
          <w:rFonts w:ascii="Segoe UI Symbol" w:hAnsi="Segoe UI Symbol" w:cs="Segoe UI Symbol"/>
          <w:b/>
          <w:bCs/>
          <w:sz w:val="24"/>
          <w:highlight w:val="none"/>
        </w:rPr>
        <w:t>★</w:t>
      </w:r>
      <w:r>
        <w:rPr>
          <w:b/>
          <w:sz w:val="24"/>
          <w:highlight w:val="none"/>
        </w:rPr>
        <w:t>附件</w:t>
      </w:r>
      <w:r>
        <w:rPr>
          <w:rFonts w:hint="eastAsia"/>
          <w:b/>
          <w:sz w:val="24"/>
          <w:highlight w:val="none"/>
        </w:rPr>
        <w:t>5</w:t>
      </w:r>
      <w:r>
        <w:rPr>
          <w:b/>
          <w:sz w:val="24"/>
          <w:highlight w:val="none"/>
        </w:rPr>
        <w:t xml:space="preserve">：商务条款偏离表 </w:t>
      </w:r>
    </w:p>
    <w:p w14:paraId="65B3D0F6">
      <w:pPr>
        <w:pStyle w:val="27"/>
        <w:rPr>
          <w:rFonts w:ascii="Times New Roman" w:hAnsi="Times New Roman"/>
          <w:highlight w:val="none"/>
        </w:rPr>
      </w:pPr>
    </w:p>
    <w:p w14:paraId="4201C681">
      <w:pPr>
        <w:adjustRightInd w:val="0"/>
        <w:snapToGrid w:val="0"/>
        <w:rPr>
          <w:sz w:val="24"/>
          <w:highlight w:val="none"/>
        </w:rPr>
      </w:pPr>
      <w:r>
        <w:rPr>
          <w:sz w:val="24"/>
          <w:highlight w:val="none"/>
        </w:rPr>
        <w:t>项目名称：</w:t>
      </w:r>
      <w:r>
        <w:rPr>
          <w:sz w:val="24"/>
          <w:highlight w:val="none"/>
          <w:u w:val="single"/>
        </w:rPr>
        <w:t xml:space="preserve">                </w:t>
      </w:r>
      <w:r>
        <w:rPr>
          <w:sz w:val="24"/>
          <w:highlight w:val="none"/>
        </w:rPr>
        <w:t xml:space="preserve"> </w:t>
      </w:r>
    </w:p>
    <w:p w14:paraId="20BC1DC9">
      <w:pPr>
        <w:adjustRightInd w:val="0"/>
        <w:snapToGrid w:val="0"/>
        <w:rPr>
          <w:sz w:val="24"/>
          <w:highlight w:val="none"/>
        </w:rPr>
      </w:pPr>
    </w:p>
    <w:p w14:paraId="70D18C52">
      <w:pPr>
        <w:adjustRightInd w:val="0"/>
        <w:snapToGrid w:val="0"/>
        <w:rPr>
          <w:sz w:val="24"/>
          <w:highlight w:val="none"/>
          <w:u w:val="single"/>
        </w:rPr>
      </w:pPr>
      <w:r>
        <w:rPr>
          <w:sz w:val="24"/>
          <w:highlight w:val="none"/>
        </w:rPr>
        <w:t>项目编号/包号</w:t>
      </w:r>
      <w:r>
        <w:rPr>
          <w:sz w:val="24"/>
          <w:highlight w:val="none"/>
          <w:u w:val="single"/>
        </w:rPr>
        <w:t xml:space="preserve">：                  / 1 </w:t>
      </w:r>
      <w:r>
        <w:rPr>
          <w:sz w:val="24"/>
          <w:highlight w:val="none"/>
        </w:rPr>
        <w:t xml:space="preserve"> </w:t>
      </w:r>
    </w:p>
    <w:p w14:paraId="5D06C988">
      <w:pPr>
        <w:adjustRightInd w:val="0"/>
        <w:snapToGrid w:val="0"/>
        <w:rPr>
          <w:sz w:val="24"/>
          <w:highlight w:val="none"/>
        </w:rPr>
      </w:pP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605"/>
        <w:gridCol w:w="2055"/>
        <w:gridCol w:w="2268"/>
        <w:gridCol w:w="1260"/>
        <w:gridCol w:w="1008"/>
      </w:tblGrid>
      <w:tr w14:paraId="3B5C7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35" w:type="dxa"/>
            <w:vAlign w:val="center"/>
          </w:tcPr>
          <w:p w14:paraId="657A2C58">
            <w:pPr>
              <w:adjustRightInd w:val="0"/>
              <w:snapToGrid w:val="0"/>
              <w:jc w:val="center"/>
              <w:rPr>
                <w:sz w:val="24"/>
                <w:highlight w:val="none"/>
              </w:rPr>
            </w:pPr>
            <w:r>
              <w:rPr>
                <w:sz w:val="24"/>
                <w:highlight w:val="none"/>
              </w:rPr>
              <w:t>序号</w:t>
            </w:r>
          </w:p>
        </w:tc>
        <w:tc>
          <w:tcPr>
            <w:tcW w:w="1605" w:type="dxa"/>
            <w:vAlign w:val="center"/>
          </w:tcPr>
          <w:p w14:paraId="7E11C1FA">
            <w:pPr>
              <w:adjustRightInd w:val="0"/>
              <w:snapToGrid w:val="0"/>
              <w:jc w:val="center"/>
              <w:rPr>
                <w:sz w:val="24"/>
                <w:highlight w:val="none"/>
              </w:rPr>
            </w:pPr>
            <w:r>
              <w:rPr>
                <w:sz w:val="24"/>
                <w:highlight w:val="none"/>
              </w:rPr>
              <w:t>磋商文件</w:t>
            </w:r>
          </w:p>
          <w:p w14:paraId="311E211A">
            <w:pPr>
              <w:adjustRightInd w:val="0"/>
              <w:snapToGrid w:val="0"/>
              <w:jc w:val="center"/>
              <w:rPr>
                <w:sz w:val="24"/>
                <w:highlight w:val="none"/>
              </w:rPr>
            </w:pPr>
            <w:r>
              <w:rPr>
                <w:sz w:val="24"/>
                <w:highlight w:val="none"/>
              </w:rPr>
              <w:t>条款号</w:t>
            </w:r>
          </w:p>
        </w:tc>
        <w:tc>
          <w:tcPr>
            <w:tcW w:w="2055" w:type="dxa"/>
            <w:vAlign w:val="center"/>
          </w:tcPr>
          <w:p w14:paraId="1FFF07A4">
            <w:pPr>
              <w:adjustRightInd w:val="0"/>
              <w:snapToGrid w:val="0"/>
              <w:jc w:val="center"/>
              <w:rPr>
                <w:sz w:val="24"/>
                <w:highlight w:val="none"/>
              </w:rPr>
            </w:pPr>
            <w:r>
              <w:rPr>
                <w:sz w:val="24"/>
                <w:highlight w:val="none"/>
              </w:rPr>
              <w:t>磋商文件要求</w:t>
            </w:r>
          </w:p>
        </w:tc>
        <w:tc>
          <w:tcPr>
            <w:tcW w:w="2268" w:type="dxa"/>
            <w:vAlign w:val="center"/>
          </w:tcPr>
          <w:p w14:paraId="10E6AF75">
            <w:pPr>
              <w:adjustRightInd w:val="0"/>
              <w:snapToGrid w:val="0"/>
              <w:jc w:val="center"/>
              <w:rPr>
                <w:sz w:val="24"/>
                <w:highlight w:val="none"/>
              </w:rPr>
            </w:pPr>
            <w:r>
              <w:rPr>
                <w:sz w:val="24"/>
                <w:highlight w:val="none"/>
              </w:rPr>
              <w:t>磋商响应文件响应</w:t>
            </w:r>
          </w:p>
        </w:tc>
        <w:tc>
          <w:tcPr>
            <w:tcW w:w="1260" w:type="dxa"/>
            <w:vAlign w:val="center"/>
          </w:tcPr>
          <w:p w14:paraId="1AC19FEC">
            <w:pPr>
              <w:tabs>
                <w:tab w:val="left" w:pos="432"/>
              </w:tabs>
              <w:autoSpaceDE w:val="0"/>
              <w:autoSpaceDN w:val="0"/>
              <w:adjustRightInd w:val="0"/>
              <w:snapToGrid w:val="0"/>
              <w:jc w:val="center"/>
              <w:textAlignment w:val="bottom"/>
              <w:rPr>
                <w:sz w:val="24"/>
                <w:highlight w:val="none"/>
              </w:rPr>
            </w:pPr>
            <w:r>
              <w:rPr>
                <w:sz w:val="24"/>
                <w:highlight w:val="none"/>
              </w:rPr>
              <w:t>偏离</w:t>
            </w:r>
          </w:p>
          <w:p w14:paraId="43100E51">
            <w:pPr>
              <w:adjustRightInd w:val="0"/>
              <w:snapToGrid w:val="0"/>
              <w:jc w:val="center"/>
              <w:rPr>
                <w:sz w:val="24"/>
                <w:highlight w:val="none"/>
              </w:rPr>
            </w:pPr>
            <w:r>
              <w:rPr>
                <w:sz w:val="24"/>
                <w:highlight w:val="none"/>
              </w:rPr>
              <w:t>（正/负）</w:t>
            </w:r>
          </w:p>
        </w:tc>
        <w:tc>
          <w:tcPr>
            <w:tcW w:w="1008" w:type="dxa"/>
            <w:vAlign w:val="center"/>
          </w:tcPr>
          <w:p w14:paraId="1C8871C8">
            <w:pPr>
              <w:adjustRightInd w:val="0"/>
              <w:snapToGrid w:val="0"/>
              <w:jc w:val="center"/>
              <w:rPr>
                <w:sz w:val="24"/>
                <w:highlight w:val="none"/>
              </w:rPr>
            </w:pPr>
            <w:r>
              <w:rPr>
                <w:sz w:val="24"/>
                <w:highlight w:val="none"/>
              </w:rPr>
              <w:t>偏离</w:t>
            </w:r>
          </w:p>
          <w:p w14:paraId="4158ED08">
            <w:pPr>
              <w:adjustRightInd w:val="0"/>
              <w:snapToGrid w:val="0"/>
              <w:jc w:val="center"/>
              <w:rPr>
                <w:sz w:val="24"/>
                <w:highlight w:val="none"/>
              </w:rPr>
            </w:pPr>
            <w:r>
              <w:rPr>
                <w:sz w:val="24"/>
                <w:highlight w:val="none"/>
              </w:rPr>
              <w:t>说明</w:t>
            </w:r>
          </w:p>
        </w:tc>
      </w:tr>
      <w:tr w14:paraId="6D4E0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35" w:type="dxa"/>
            <w:vAlign w:val="center"/>
          </w:tcPr>
          <w:p w14:paraId="7FE327D3">
            <w:pPr>
              <w:adjustRightInd w:val="0"/>
              <w:snapToGrid w:val="0"/>
              <w:jc w:val="center"/>
              <w:rPr>
                <w:sz w:val="24"/>
                <w:highlight w:val="none"/>
              </w:rPr>
            </w:pPr>
            <w:r>
              <w:rPr>
                <w:sz w:val="24"/>
                <w:highlight w:val="none"/>
              </w:rPr>
              <w:t>1</w:t>
            </w:r>
          </w:p>
        </w:tc>
        <w:tc>
          <w:tcPr>
            <w:tcW w:w="1605" w:type="dxa"/>
            <w:vAlign w:val="center"/>
          </w:tcPr>
          <w:p w14:paraId="3ADAA5F6">
            <w:pPr>
              <w:adjustRightInd w:val="0"/>
              <w:snapToGrid w:val="0"/>
              <w:jc w:val="center"/>
              <w:rPr>
                <w:sz w:val="24"/>
                <w:highlight w:val="none"/>
              </w:rPr>
            </w:pPr>
          </w:p>
        </w:tc>
        <w:tc>
          <w:tcPr>
            <w:tcW w:w="2055" w:type="dxa"/>
            <w:vAlign w:val="center"/>
          </w:tcPr>
          <w:p w14:paraId="7C498EFE">
            <w:pPr>
              <w:adjustRightInd w:val="0"/>
              <w:snapToGrid w:val="0"/>
              <w:jc w:val="center"/>
              <w:rPr>
                <w:sz w:val="24"/>
                <w:highlight w:val="none"/>
              </w:rPr>
            </w:pPr>
          </w:p>
        </w:tc>
        <w:tc>
          <w:tcPr>
            <w:tcW w:w="2268" w:type="dxa"/>
            <w:vAlign w:val="center"/>
          </w:tcPr>
          <w:p w14:paraId="5E75E02B">
            <w:pPr>
              <w:adjustRightInd w:val="0"/>
              <w:snapToGrid w:val="0"/>
              <w:jc w:val="center"/>
              <w:rPr>
                <w:sz w:val="24"/>
                <w:highlight w:val="none"/>
              </w:rPr>
            </w:pPr>
          </w:p>
        </w:tc>
        <w:tc>
          <w:tcPr>
            <w:tcW w:w="1260" w:type="dxa"/>
            <w:vAlign w:val="center"/>
          </w:tcPr>
          <w:p w14:paraId="2A28E345">
            <w:pPr>
              <w:adjustRightInd w:val="0"/>
              <w:snapToGrid w:val="0"/>
              <w:jc w:val="center"/>
              <w:rPr>
                <w:sz w:val="24"/>
                <w:highlight w:val="none"/>
              </w:rPr>
            </w:pPr>
          </w:p>
        </w:tc>
        <w:tc>
          <w:tcPr>
            <w:tcW w:w="1008" w:type="dxa"/>
            <w:vAlign w:val="center"/>
          </w:tcPr>
          <w:p w14:paraId="3F52F6B9">
            <w:pPr>
              <w:adjustRightInd w:val="0"/>
              <w:snapToGrid w:val="0"/>
              <w:jc w:val="center"/>
              <w:rPr>
                <w:sz w:val="24"/>
                <w:highlight w:val="none"/>
              </w:rPr>
            </w:pPr>
          </w:p>
        </w:tc>
      </w:tr>
      <w:tr w14:paraId="030EF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35" w:type="dxa"/>
            <w:vAlign w:val="center"/>
          </w:tcPr>
          <w:p w14:paraId="1A330269">
            <w:pPr>
              <w:adjustRightInd w:val="0"/>
              <w:snapToGrid w:val="0"/>
              <w:jc w:val="center"/>
              <w:rPr>
                <w:sz w:val="24"/>
                <w:highlight w:val="none"/>
              </w:rPr>
            </w:pPr>
            <w:r>
              <w:rPr>
                <w:sz w:val="24"/>
                <w:highlight w:val="none"/>
              </w:rPr>
              <w:t>2</w:t>
            </w:r>
          </w:p>
        </w:tc>
        <w:tc>
          <w:tcPr>
            <w:tcW w:w="1605" w:type="dxa"/>
            <w:vAlign w:val="center"/>
          </w:tcPr>
          <w:p w14:paraId="2307205C">
            <w:pPr>
              <w:adjustRightInd w:val="0"/>
              <w:snapToGrid w:val="0"/>
              <w:jc w:val="center"/>
              <w:rPr>
                <w:sz w:val="24"/>
                <w:highlight w:val="none"/>
              </w:rPr>
            </w:pPr>
          </w:p>
        </w:tc>
        <w:tc>
          <w:tcPr>
            <w:tcW w:w="2055" w:type="dxa"/>
            <w:vAlign w:val="center"/>
          </w:tcPr>
          <w:p w14:paraId="71400050">
            <w:pPr>
              <w:adjustRightInd w:val="0"/>
              <w:snapToGrid w:val="0"/>
              <w:jc w:val="center"/>
              <w:rPr>
                <w:sz w:val="24"/>
                <w:highlight w:val="none"/>
              </w:rPr>
            </w:pPr>
          </w:p>
        </w:tc>
        <w:tc>
          <w:tcPr>
            <w:tcW w:w="2268" w:type="dxa"/>
            <w:vAlign w:val="center"/>
          </w:tcPr>
          <w:p w14:paraId="5B83F6CF">
            <w:pPr>
              <w:adjustRightInd w:val="0"/>
              <w:snapToGrid w:val="0"/>
              <w:jc w:val="center"/>
              <w:rPr>
                <w:sz w:val="24"/>
                <w:highlight w:val="none"/>
              </w:rPr>
            </w:pPr>
          </w:p>
        </w:tc>
        <w:tc>
          <w:tcPr>
            <w:tcW w:w="1260" w:type="dxa"/>
            <w:vAlign w:val="center"/>
          </w:tcPr>
          <w:p w14:paraId="20BDF84B">
            <w:pPr>
              <w:adjustRightInd w:val="0"/>
              <w:snapToGrid w:val="0"/>
              <w:jc w:val="center"/>
              <w:rPr>
                <w:sz w:val="24"/>
                <w:highlight w:val="none"/>
              </w:rPr>
            </w:pPr>
          </w:p>
        </w:tc>
        <w:tc>
          <w:tcPr>
            <w:tcW w:w="1008" w:type="dxa"/>
            <w:vAlign w:val="center"/>
          </w:tcPr>
          <w:p w14:paraId="1D2C7697">
            <w:pPr>
              <w:adjustRightInd w:val="0"/>
              <w:snapToGrid w:val="0"/>
              <w:jc w:val="center"/>
              <w:rPr>
                <w:sz w:val="24"/>
                <w:highlight w:val="none"/>
              </w:rPr>
            </w:pPr>
          </w:p>
        </w:tc>
      </w:tr>
      <w:tr w14:paraId="1F2EA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35" w:type="dxa"/>
            <w:vAlign w:val="center"/>
          </w:tcPr>
          <w:p w14:paraId="1B0A5DE7">
            <w:pPr>
              <w:adjustRightInd w:val="0"/>
              <w:snapToGrid w:val="0"/>
              <w:jc w:val="center"/>
              <w:rPr>
                <w:sz w:val="24"/>
                <w:highlight w:val="none"/>
              </w:rPr>
            </w:pPr>
            <w:r>
              <w:rPr>
                <w:sz w:val="24"/>
                <w:highlight w:val="none"/>
              </w:rPr>
              <w:t>3</w:t>
            </w:r>
          </w:p>
        </w:tc>
        <w:tc>
          <w:tcPr>
            <w:tcW w:w="1605" w:type="dxa"/>
            <w:vAlign w:val="center"/>
          </w:tcPr>
          <w:p w14:paraId="6320569B">
            <w:pPr>
              <w:adjustRightInd w:val="0"/>
              <w:snapToGrid w:val="0"/>
              <w:jc w:val="center"/>
              <w:rPr>
                <w:sz w:val="24"/>
                <w:highlight w:val="none"/>
              </w:rPr>
            </w:pPr>
          </w:p>
        </w:tc>
        <w:tc>
          <w:tcPr>
            <w:tcW w:w="2055" w:type="dxa"/>
            <w:vAlign w:val="center"/>
          </w:tcPr>
          <w:p w14:paraId="5B35AB72">
            <w:pPr>
              <w:adjustRightInd w:val="0"/>
              <w:snapToGrid w:val="0"/>
              <w:jc w:val="center"/>
              <w:rPr>
                <w:sz w:val="24"/>
                <w:highlight w:val="none"/>
              </w:rPr>
            </w:pPr>
          </w:p>
        </w:tc>
        <w:tc>
          <w:tcPr>
            <w:tcW w:w="2268" w:type="dxa"/>
            <w:vAlign w:val="center"/>
          </w:tcPr>
          <w:p w14:paraId="0EF67419">
            <w:pPr>
              <w:adjustRightInd w:val="0"/>
              <w:snapToGrid w:val="0"/>
              <w:jc w:val="center"/>
              <w:rPr>
                <w:sz w:val="24"/>
                <w:highlight w:val="none"/>
              </w:rPr>
            </w:pPr>
          </w:p>
        </w:tc>
        <w:tc>
          <w:tcPr>
            <w:tcW w:w="1260" w:type="dxa"/>
            <w:vAlign w:val="center"/>
          </w:tcPr>
          <w:p w14:paraId="63238AE9">
            <w:pPr>
              <w:adjustRightInd w:val="0"/>
              <w:snapToGrid w:val="0"/>
              <w:jc w:val="center"/>
              <w:rPr>
                <w:sz w:val="24"/>
                <w:highlight w:val="none"/>
              </w:rPr>
            </w:pPr>
          </w:p>
        </w:tc>
        <w:tc>
          <w:tcPr>
            <w:tcW w:w="1008" w:type="dxa"/>
            <w:vAlign w:val="center"/>
          </w:tcPr>
          <w:p w14:paraId="2D3E455D">
            <w:pPr>
              <w:adjustRightInd w:val="0"/>
              <w:snapToGrid w:val="0"/>
              <w:jc w:val="center"/>
              <w:rPr>
                <w:sz w:val="24"/>
                <w:highlight w:val="none"/>
              </w:rPr>
            </w:pPr>
          </w:p>
        </w:tc>
      </w:tr>
      <w:tr w14:paraId="2055A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35" w:type="dxa"/>
            <w:vAlign w:val="center"/>
          </w:tcPr>
          <w:p w14:paraId="6D4338D9">
            <w:pPr>
              <w:adjustRightInd w:val="0"/>
              <w:snapToGrid w:val="0"/>
              <w:jc w:val="center"/>
              <w:rPr>
                <w:sz w:val="24"/>
                <w:highlight w:val="none"/>
              </w:rPr>
            </w:pPr>
            <w:r>
              <w:rPr>
                <w:sz w:val="24"/>
                <w:highlight w:val="none"/>
              </w:rPr>
              <w:t>4</w:t>
            </w:r>
          </w:p>
        </w:tc>
        <w:tc>
          <w:tcPr>
            <w:tcW w:w="1605" w:type="dxa"/>
            <w:vAlign w:val="center"/>
          </w:tcPr>
          <w:p w14:paraId="39F70334">
            <w:pPr>
              <w:adjustRightInd w:val="0"/>
              <w:snapToGrid w:val="0"/>
              <w:jc w:val="center"/>
              <w:rPr>
                <w:sz w:val="24"/>
                <w:highlight w:val="none"/>
              </w:rPr>
            </w:pPr>
          </w:p>
        </w:tc>
        <w:tc>
          <w:tcPr>
            <w:tcW w:w="2055" w:type="dxa"/>
            <w:vAlign w:val="center"/>
          </w:tcPr>
          <w:p w14:paraId="5090DA72">
            <w:pPr>
              <w:adjustRightInd w:val="0"/>
              <w:snapToGrid w:val="0"/>
              <w:jc w:val="center"/>
              <w:rPr>
                <w:sz w:val="24"/>
                <w:highlight w:val="none"/>
              </w:rPr>
            </w:pPr>
          </w:p>
        </w:tc>
        <w:tc>
          <w:tcPr>
            <w:tcW w:w="2268" w:type="dxa"/>
            <w:vAlign w:val="center"/>
          </w:tcPr>
          <w:p w14:paraId="69FF0A9A">
            <w:pPr>
              <w:adjustRightInd w:val="0"/>
              <w:snapToGrid w:val="0"/>
              <w:jc w:val="center"/>
              <w:rPr>
                <w:sz w:val="24"/>
                <w:highlight w:val="none"/>
              </w:rPr>
            </w:pPr>
          </w:p>
        </w:tc>
        <w:tc>
          <w:tcPr>
            <w:tcW w:w="1260" w:type="dxa"/>
            <w:vAlign w:val="center"/>
          </w:tcPr>
          <w:p w14:paraId="100C89F8">
            <w:pPr>
              <w:rPr>
                <w:sz w:val="24"/>
                <w:highlight w:val="none"/>
              </w:rPr>
            </w:pPr>
          </w:p>
        </w:tc>
        <w:tc>
          <w:tcPr>
            <w:tcW w:w="1008" w:type="dxa"/>
            <w:vAlign w:val="center"/>
          </w:tcPr>
          <w:p w14:paraId="6E8FB2DB">
            <w:pPr>
              <w:adjustRightInd w:val="0"/>
              <w:snapToGrid w:val="0"/>
              <w:jc w:val="center"/>
              <w:rPr>
                <w:sz w:val="24"/>
                <w:highlight w:val="none"/>
              </w:rPr>
            </w:pPr>
          </w:p>
        </w:tc>
      </w:tr>
      <w:tr w14:paraId="433EB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35" w:type="dxa"/>
            <w:vAlign w:val="center"/>
          </w:tcPr>
          <w:p w14:paraId="79F17CF1">
            <w:pPr>
              <w:adjustRightInd w:val="0"/>
              <w:snapToGrid w:val="0"/>
              <w:jc w:val="center"/>
              <w:rPr>
                <w:sz w:val="24"/>
                <w:highlight w:val="none"/>
              </w:rPr>
            </w:pPr>
            <w:r>
              <w:rPr>
                <w:sz w:val="24"/>
                <w:highlight w:val="none"/>
              </w:rPr>
              <w:t>5</w:t>
            </w:r>
          </w:p>
        </w:tc>
        <w:tc>
          <w:tcPr>
            <w:tcW w:w="1605" w:type="dxa"/>
            <w:vAlign w:val="center"/>
          </w:tcPr>
          <w:p w14:paraId="5F1549B8">
            <w:pPr>
              <w:adjustRightInd w:val="0"/>
              <w:snapToGrid w:val="0"/>
              <w:jc w:val="center"/>
              <w:rPr>
                <w:sz w:val="24"/>
                <w:highlight w:val="none"/>
              </w:rPr>
            </w:pPr>
          </w:p>
        </w:tc>
        <w:tc>
          <w:tcPr>
            <w:tcW w:w="2055" w:type="dxa"/>
            <w:vAlign w:val="center"/>
          </w:tcPr>
          <w:p w14:paraId="4581EC4B">
            <w:pPr>
              <w:adjustRightInd w:val="0"/>
              <w:snapToGrid w:val="0"/>
              <w:jc w:val="center"/>
              <w:rPr>
                <w:sz w:val="24"/>
                <w:highlight w:val="none"/>
              </w:rPr>
            </w:pPr>
          </w:p>
        </w:tc>
        <w:tc>
          <w:tcPr>
            <w:tcW w:w="2268" w:type="dxa"/>
            <w:vAlign w:val="center"/>
          </w:tcPr>
          <w:p w14:paraId="070DB8D4">
            <w:pPr>
              <w:adjustRightInd w:val="0"/>
              <w:snapToGrid w:val="0"/>
              <w:jc w:val="center"/>
              <w:rPr>
                <w:sz w:val="24"/>
                <w:highlight w:val="none"/>
              </w:rPr>
            </w:pPr>
          </w:p>
        </w:tc>
        <w:tc>
          <w:tcPr>
            <w:tcW w:w="1260" w:type="dxa"/>
            <w:vAlign w:val="center"/>
          </w:tcPr>
          <w:p w14:paraId="7B20AFF8">
            <w:pPr>
              <w:rPr>
                <w:sz w:val="24"/>
                <w:highlight w:val="none"/>
              </w:rPr>
            </w:pPr>
          </w:p>
        </w:tc>
        <w:tc>
          <w:tcPr>
            <w:tcW w:w="1008" w:type="dxa"/>
            <w:vAlign w:val="center"/>
          </w:tcPr>
          <w:p w14:paraId="60B24CCF">
            <w:pPr>
              <w:adjustRightInd w:val="0"/>
              <w:snapToGrid w:val="0"/>
              <w:jc w:val="center"/>
              <w:rPr>
                <w:sz w:val="24"/>
                <w:highlight w:val="none"/>
              </w:rPr>
            </w:pPr>
          </w:p>
        </w:tc>
      </w:tr>
      <w:tr w14:paraId="2661E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35" w:type="dxa"/>
            <w:vAlign w:val="center"/>
          </w:tcPr>
          <w:p w14:paraId="71B80A73">
            <w:pPr>
              <w:adjustRightInd w:val="0"/>
              <w:snapToGrid w:val="0"/>
              <w:jc w:val="center"/>
              <w:rPr>
                <w:sz w:val="24"/>
                <w:highlight w:val="none"/>
              </w:rPr>
            </w:pPr>
            <w:r>
              <w:rPr>
                <w:sz w:val="24"/>
                <w:highlight w:val="none"/>
              </w:rPr>
              <w:t>6</w:t>
            </w:r>
          </w:p>
        </w:tc>
        <w:tc>
          <w:tcPr>
            <w:tcW w:w="1605" w:type="dxa"/>
            <w:vAlign w:val="center"/>
          </w:tcPr>
          <w:p w14:paraId="18279355">
            <w:pPr>
              <w:adjustRightInd w:val="0"/>
              <w:snapToGrid w:val="0"/>
              <w:jc w:val="center"/>
              <w:rPr>
                <w:sz w:val="24"/>
                <w:highlight w:val="none"/>
              </w:rPr>
            </w:pPr>
          </w:p>
        </w:tc>
        <w:tc>
          <w:tcPr>
            <w:tcW w:w="2055" w:type="dxa"/>
            <w:vAlign w:val="center"/>
          </w:tcPr>
          <w:p w14:paraId="38F9DC80">
            <w:pPr>
              <w:adjustRightInd w:val="0"/>
              <w:snapToGrid w:val="0"/>
              <w:jc w:val="center"/>
              <w:rPr>
                <w:sz w:val="24"/>
                <w:highlight w:val="none"/>
              </w:rPr>
            </w:pPr>
          </w:p>
        </w:tc>
        <w:tc>
          <w:tcPr>
            <w:tcW w:w="2268" w:type="dxa"/>
            <w:vAlign w:val="center"/>
          </w:tcPr>
          <w:p w14:paraId="38C2F410">
            <w:pPr>
              <w:adjustRightInd w:val="0"/>
              <w:snapToGrid w:val="0"/>
              <w:jc w:val="center"/>
              <w:rPr>
                <w:sz w:val="24"/>
                <w:highlight w:val="none"/>
              </w:rPr>
            </w:pPr>
          </w:p>
        </w:tc>
        <w:tc>
          <w:tcPr>
            <w:tcW w:w="1260" w:type="dxa"/>
            <w:vAlign w:val="center"/>
          </w:tcPr>
          <w:p w14:paraId="6953C666">
            <w:pPr>
              <w:rPr>
                <w:sz w:val="24"/>
                <w:highlight w:val="none"/>
              </w:rPr>
            </w:pPr>
          </w:p>
        </w:tc>
        <w:tc>
          <w:tcPr>
            <w:tcW w:w="1008" w:type="dxa"/>
            <w:vAlign w:val="center"/>
          </w:tcPr>
          <w:p w14:paraId="77695DFC">
            <w:pPr>
              <w:adjustRightInd w:val="0"/>
              <w:snapToGrid w:val="0"/>
              <w:jc w:val="center"/>
              <w:rPr>
                <w:sz w:val="24"/>
                <w:highlight w:val="none"/>
              </w:rPr>
            </w:pPr>
          </w:p>
        </w:tc>
      </w:tr>
    </w:tbl>
    <w:p w14:paraId="2E80CF11">
      <w:pPr>
        <w:autoSpaceDE w:val="0"/>
        <w:autoSpaceDN w:val="0"/>
        <w:adjustRightInd w:val="0"/>
        <w:snapToGrid w:val="0"/>
        <w:ind w:right="893"/>
        <w:textAlignment w:val="bottom"/>
        <w:rPr>
          <w:sz w:val="24"/>
          <w:highlight w:val="none"/>
        </w:rPr>
      </w:pPr>
    </w:p>
    <w:p w14:paraId="064158C5">
      <w:pPr>
        <w:autoSpaceDE w:val="0"/>
        <w:autoSpaceDN w:val="0"/>
        <w:adjustRightInd w:val="0"/>
        <w:snapToGrid w:val="0"/>
        <w:ind w:right="893"/>
        <w:textAlignment w:val="bottom"/>
        <w:rPr>
          <w:sz w:val="24"/>
          <w:highlight w:val="none"/>
        </w:rPr>
      </w:pPr>
    </w:p>
    <w:p w14:paraId="4435EF67">
      <w:pPr>
        <w:autoSpaceDE w:val="0"/>
        <w:autoSpaceDN w:val="0"/>
        <w:spacing w:line="360" w:lineRule="auto"/>
        <w:ind w:right="890"/>
        <w:textAlignment w:val="bottom"/>
        <w:rPr>
          <w:sz w:val="24"/>
          <w:highlight w:val="none"/>
        </w:rPr>
      </w:pPr>
      <w:r>
        <w:rPr>
          <w:sz w:val="24"/>
          <w:highlight w:val="none"/>
        </w:rPr>
        <w:t>供应商授权代表签字：</w:t>
      </w:r>
      <w:r>
        <w:rPr>
          <w:sz w:val="24"/>
          <w:highlight w:val="none"/>
          <w:u w:val="single"/>
        </w:rPr>
        <w:t xml:space="preserve">                       </w:t>
      </w:r>
      <w:r>
        <w:rPr>
          <w:sz w:val="24"/>
          <w:highlight w:val="none"/>
        </w:rPr>
        <w:t xml:space="preserve"> </w:t>
      </w:r>
    </w:p>
    <w:p w14:paraId="5591843C">
      <w:pPr>
        <w:autoSpaceDE w:val="0"/>
        <w:autoSpaceDN w:val="0"/>
        <w:spacing w:line="360" w:lineRule="auto"/>
        <w:ind w:right="890"/>
        <w:textAlignment w:val="bottom"/>
        <w:rPr>
          <w:sz w:val="24"/>
          <w:highlight w:val="none"/>
        </w:rPr>
      </w:pPr>
      <w:r>
        <w:rPr>
          <w:sz w:val="24"/>
          <w:highlight w:val="none"/>
        </w:rPr>
        <w:t>供应商名称：</w:t>
      </w:r>
      <w:r>
        <w:rPr>
          <w:sz w:val="24"/>
          <w:highlight w:val="none"/>
          <w:u w:val="single"/>
        </w:rPr>
        <w:t xml:space="preserve">                       </w:t>
      </w:r>
      <w:r>
        <w:rPr>
          <w:sz w:val="24"/>
          <w:highlight w:val="none"/>
        </w:rPr>
        <w:t>（加盖公章）</w:t>
      </w:r>
    </w:p>
    <w:p w14:paraId="5EE3583E">
      <w:pPr>
        <w:autoSpaceDE w:val="0"/>
        <w:autoSpaceDN w:val="0"/>
        <w:spacing w:line="360" w:lineRule="auto"/>
        <w:ind w:right="890"/>
        <w:textAlignment w:val="bottom"/>
        <w:rPr>
          <w:sz w:val="24"/>
          <w:highlight w:val="none"/>
        </w:rPr>
      </w:pPr>
      <w:r>
        <w:rPr>
          <w:sz w:val="24"/>
          <w:highlight w:val="none"/>
        </w:rPr>
        <w:t>日期：</w:t>
      </w:r>
      <w:r>
        <w:rPr>
          <w:sz w:val="24"/>
          <w:highlight w:val="none"/>
          <w:u w:val="single"/>
        </w:rPr>
        <w:t xml:space="preserve">                         </w:t>
      </w:r>
    </w:p>
    <w:p w14:paraId="2BD06239">
      <w:pPr>
        <w:pStyle w:val="27"/>
        <w:rPr>
          <w:rFonts w:ascii="Times New Roman" w:hAnsi="Times New Roman"/>
          <w:highlight w:val="none"/>
        </w:rPr>
      </w:pPr>
    </w:p>
    <w:p w14:paraId="5D6147C6">
      <w:pPr>
        <w:autoSpaceDE w:val="0"/>
        <w:autoSpaceDN w:val="0"/>
        <w:adjustRightInd w:val="0"/>
        <w:snapToGrid w:val="0"/>
        <w:ind w:right="893"/>
        <w:textAlignment w:val="bottom"/>
        <w:rPr>
          <w:bCs/>
          <w:sz w:val="24"/>
          <w:highlight w:val="none"/>
        </w:rPr>
      </w:pPr>
      <w:r>
        <w:rPr>
          <w:bCs/>
          <w:sz w:val="24"/>
          <w:highlight w:val="none"/>
        </w:rPr>
        <w:t>注：</w:t>
      </w:r>
    </w:p>
    <w:p w14:paraId="40412BDA">
      <w:pPr>
        <w:autoSpaceDE w:val="0"/>
        <w:autoSpaceDN w:val="0"/>
        <w:adjustRightInd w:val="0"/>
        <w:snapToGrid w:val="0"/>
        <w:textAlignment w:val="bottom"/>
        <w:rPr>
          <w:bCs/>
          <w:sz w:val="24"/>
          <w:highlight w:val="none"/>
        </w:rPr>
      </w:pPr>
      <w:r>
        <w:rPr>
          <w:bCs/>
          <w:sz w:val="24"/>
          <w:highlight w:val="none"/>
        </w:rPr>
        <w:t>1、供应商须认真阅读磋商文件中的供应商须知前附表、供应商须知、</w:t>
      </w:r>
      <w:r>
        <w:rPr>
          <w:rFonts w:hint="eastAsia"/>
          <w:bCs/>
          <w:sz w:val="24"/>
          <w:highlight w:val="none"/>
        </w:rPr>
        <w:t>商务要求</w:t>
      </w:r>
      <w:r>
        <w:rPr>
          <w:bCs/>
          <w:sz w:val="24"/>
          <w:highlight w:val="none"/>
        </w:rPr>
        <w:t>及合同条款（包括磋商文件中交货期、付款条件、质保期、培训、售后服务等要求），如在应答时有偏离，须在此表中明确填写并注明“正偏离”或“负偏离”。</w:t>
      </w:r>
    </w:p>
    <w:p w14:paraId="779B66CE">
      <w:pPr>
        <w:autoSpaceDE w:val="0"/>
        <w:autoSpaceDN w:val="0"/>
        <w:adjustRightInd w:val="0"/>
        <w:snapToGrid w:val="0"/>
        <w:textAlignment w:val="bottom"/>
        <w:rPr>
          <w:b/>
          <w:sz w:val="24"/>
          <w:highlight w:val="none"/>
        </w:rPr>
      </w:pPr>
      <w:r>
        <w:rPr>
          <w:bCs/>
          <w:sz w:val="24"/>
          <w:highlight w:val="none"/>
        </w:rPr>
        <w:t>2、供应商须如实填写“商务条款偏离表”，</w:t>
      </w:r>
      <w:r>
        <w:rPr>
          <w:b/>
          <w:sz w:val="24"/>
          <w:highlight w:val="none"/>
        </w:rPr>
        <w:t>若无偏离，应当明确标注“商务条款全部无偏离”。</w:t>
      </w:r>
    </w:p>
    <w:p w14:paraId="4AFC94E4">
      <w:pPr>
        <w:pStyle w:val="2"/>
        <w:ind w:left="0" w:firstLine="0" w:firstLineChars="0"/>
        <w:rPr>
          <w:bCs/>
          <w:highlight w:val="none"/>
        </w:rPr>
      </w:pPr>
      <w:r>
        <w:rPr>
          <w:bCs/>
          <w:sz w:val="24"/>
          <w:highlight w:val="none"/>
        </w:rPr>
        <w:t>3、对磋商文件有任何偏离应列明，并标明“其他无偏离”；</w:t>
      </w:r>
    </w:p>
    <w:p w14:paraId="00292D7E">
      <w:pPr>
        <w:autoSpaceDE w:val="0"/>
        <w:autoSpaceDN w:val="0"/>
        <w:adjustRightInd w:val="0"/>
        <w:snapToGrid w:val="0"/>
        <w:ind w:right="893"/>
        <w:textAlignment w:val="bottom"/>
        <w:rPr>
          <w:b/>
          <w:sz w:val="24"/>
          <w:highlight w:val="none"/>
        </w:rPr>
      </w:pPr>
    </w:p>
    <w:p w14:paraId="18A55469">
      <w:pPr>
        <w:spacing w:line="360" w:lineRule="auto"/>
        <w:outlineLvl w:val="1"/>
        <w:rPr>
          <w:sz w:val="24"/>
          <w:highlight w:val="none"/>
        </w:rPr>
      </w:pPr>
      <w:r>
        <w:rPr>
          <w:highlight w:val="none"/>
        </w:rPr>
        <w:br w:type="page"/>
      </w:r>
      <w:r>
        <w:rPr>
          <w:b/>
          <w:bCs/>
          <w:sz w:val="24"/>
          <w:highlight w:val="none"/>
        </w:rPr>
        <w:t>附件</w:t>
      </w:r>
      <w:r>
        <w:rPr>
          <w:rFonts w:hint="eastAsia"/>
          <w:b/>
          <w:bCs/>
          <w:sz w:val="24"/>
          <w:highlight w:val="none"/>
        </w:rPr>
        <w:t>6-</w:t>
      </w:r>
      <w:r>
        <w:rPr>
          <w:b/>
          <w:bCs/>
          <w:sz w:val="24"/>
          <w:highlight w:val="none"/>
        </w:rPr>
        <w:t>-资格证明文件</w:t>
      </w:r>
    </w:p>
    <w:p w14:paraId="47646BE4">
      <w:pPr>
        <w:spacing w:line="360" w:lineRule="auto"/>
        <w:jc w:val="center"/>
        <w:outlineLvl w:val="1"/>
        <w:rPr>
          <w:b/>
          <w:bCs/>
          <w:sz w:val="24"/>
          <w:highlight w:val="none"/>
        </w:rPr>
      </w:pPr>
      <w:r>
        <w:rPr>
          <w:rFonts w:ascii="Segoe UI Symbol" w:hAnsi="Segoe UI Symbol" w:cs="Segoe UI Symbol"/>
          <w:b/>
          <w:bCs/>
          <w:sz w:val="24"/>
          <w:highlight w:val="none"/>
        </w:rPr>
        <w:t>★</w:t>
      </w:r>
      <w:r>
        <w:rPr>
          <w:rFonts w:hint="eastAsia" w:ascii="Segoe UI Symbol" w:hAnsi="Segoe UI Symbol" w:cs="Segoe UI Symbol"/>
          <w:b/>
          <w:bCs/>
          <w:sz w:val="24"/>
          <w:highlight w:val="none"/>
        </w:rPr>
        <w:t>附件</w:t>
      </w:r>
      <w:r>
        <w:rPr>
          <w:rFonts w:hint="eastAsia"/>
          <w:b/>
          <w:bCs/>
          <w:sz w:val="24"/>
          <w:highlight w:val="none"/>
        </w:rPr>
        <w:t>6-</w:t>
      </w:r>
      <w:r>
        <w:rPr>
          <w:b/>
          <w:bCs/>
          <w:sz w:val="24"/>
          <w:highlight w:val="none"/>
        </w:rPr>
        <w:t>1</w:t>
      </w:r>
      <w:r>
        <w:rPr>
          <w:rFonts w:hint="eastAsia"/>
          <w:b/>
          <w:bCs/>
          <w:sz w:val="24"/>
          <w:highlight w:val="none"/>
        </w:rPr>
        <w:t>：</w:t>
      </w:r>
      <w:r>
        <w:rPr>
          <w:b/>
          <w:bCs/>
          <w:sz w:val="24"/>
          <w:highlight w:val="none"/>
        </w:rPr>
        <w:t>法人营业执照/事业单位法人证书（复印件，供应商必须提供）</w:t>
      </w:r>
    </w:p>
    <w:p w14:paraId="611D8D93">
      <w:pPr>
        <w:spacing w:line="360" w:lineRule="auto"/>
        <w:jc w:val="center"/>
        <w:rPr>
          <w:sz w:val="24"/>
          <w:highlight w:val="none"/>
        </w:rPr>
      </w:pPr>
    </w:p>
    <w:p w14:paraId="692FF341">
      <w:pPr>
        <w:spacing w:line="360" w:lineRule="auto"/>
        <w:jc w:val="center"/>
        <w:rPr>
          <w:sz w:val="24"/>
          <w:highlight w:val="none"/>
        </w:rPr>
      </w:pPr>
    </w:p>
    <w:p w14:paraId="084E163D">
      <w:pPr>
        <w:spacing w:line="360" w:lineRule="auto"/>
        <w:jc w:val="center"/>
        <w:rPr>
          <w:sz w:val="24"/>
          <w:highlight w:val="none"/>
        </w:rPr>
      </w:pPr>
    </w:p>
    <w:p w14:paraId="02A482DD">
      <w:pPr>
        <w:spacing w:line="360" w:lineRule="auto"/>
        <w:jc w:val="center"/>
        <w:rPr>
          <w:sz w:val="24"/>
          <w:highlight w:val="none"/>
        </w:rPr>
      </w:pPr>
    </w:p>
    <w:p w14:paraId="0EB701BA">
      <w:pPr>
        <w:spacing w:line="360" w:lineRule="auto"/>
        <w:jc w:val="center"/>
        <w:outlineLvl w:val="1"/>
        <w:rPr>
          <w:b/>
          <w:bCs/>
          <w:sz w:val="24"/>
          <w:highlight w:val="none"/>
        </w:rPr>
      </w:pPr>
      <w:r>
        <w:rPr>
          <w:rFonts w:hint="eastAsia"/>
          <w:b/>
          <w:bCs/>
          <w:sz w:val="24"/>
          <w:highlight w:val="none"/>
        </w:rPr>
        <w:t>附件6-</w:t>
      </w:r>
      <w:r>
        <w:rPr>
          <w:b/>
          <w:bCs/>
          <w:sz w:val="24"/>
          <w:highlight w:val="none"/>
        </w:rPr>
        <w:t>2</w:t>
      </w:r>
      <w:r>
        <w:rPr>
          <w:rFonts w:hint="eastAsia"/>
          <w:b/>
          <w:bCs/>
          <w:sz w:val="24"/>
          <w:highlight w:val="none"/>
        </w:rPr>
        <w:t>：</w:t>
      </w:r>
      <w:r>
        <w:rPr>
          <w:b/>
          <w:bCs/>
          <w:sz w:val="24"/>
          <w:highlight w:val="none"/>
        </w:rPr>
        <w:t>税务登记证书（复印件）</w:t>
      </w:r>
    </w:p>
    <w:p w14:paraId="5B951BCA">
      <w:pPr>
        <w:rPr>
          <w:highlight w:val="none"/>
        </w:rPr>
      </w:pPr>
    </w:p>
    <w:p w14:paraId="79FFA390">
      <w:pPr>
        <w:adjustRightInd w:val="0"/>
        <w:snapToGrid w:val="0"/>
        <w:jc w:val="center"/>
        <w:rPr>
          <w:b/>
          <w:sz w:val="24"/>
          <w:highlight w:val="none"/>
        </w:rPr>
      </w:pPr>
    </w:p>
    <w:p w14:paraId="04DC592F">
      <w:pPr>
        <w:adjustRightInd w:val="0"/>
        <w:snapToGrid w:val="0"/>
        <w:jc w:val="center"/>
        <w:rPr>
          <w:b/>
          <w:sz w:val="24"/>
          <w:highlight w:val="none"/>
        </w:rPr>
      </w:pPr>
    </w:p>
    <w:p w14:paraId="367363D4">
      <w:pPr>
        <w:adjustRightInd w:val="0"/>
        <w:snapToGrid w:val="0"/>
        <w:jc w:val="center"/>
        <w:rPr>
          <w:b/>
          <w:sz w:val="24"/>
          <w:highlight w:val="none"/>
        </w:rPr>
      </w:pPr>
    </w:p>
    <w:p w14:paraId="6BFA56F1">
      <w:pPr>
        <w:adjustRightInd w:val="0"/>
        <w:snapToGrid w:val="0"/>
        <w:jc w:val="center"/>
        <w:outlineLvl w:val="1"/>
        <w:rPr>
          <w:b/>
          <w:sz w:val="24"/>
          <w:highlight w:val="none"/>
        </w:rPr>
      </w:pPr>
      <w:r>
        <w:rPr>
          <w:b/>
          <w:sz w:val="24"/>
          <w:highlight w:val="none"/>
        </w:rPr>
        <w:br w:type="page"/>
      </w:r>
      <w:r>
        <w:rPr>
          <w:rFonts w:ascii="Segoe UI Symbol" w:hAnsi="Segoe UI Symbol" w:cs="Segoe UI Symbol"/>
          <w:b/>
          <w:bCs/>
          <w:sz w:val="24"/>
          <w:highlight w:val="none"/>
        </w:rPr>
        <w:t>★</w:t>
      </w:r>
      <w:r>
        <w:rPr>
          <w:b/>
          <w:sz w:val="24"/>
          <w:highlight w:val="none"/>
        </w:rPr>
        <w:t>附件</w:t>
      </w:r>
      <w:r>
        <w:rPr>
          <w:rFonts w:hint="eastAsia"/>
          <w:b/>
          <w:sz w:val="24"/>
          <w:highlight w:val="none"/>
        </w:rPr>
        <w:t>6-</w:t>
      </w:r>
      <w:r>
        <w:rPr>
          <w:b/>
          <w:sz w:val="24"/>
          <w:highlight w:val="none"/>
        </w:rPr>
        <w:t>3</w:t>
      </w:r>
      <w:r>
        <w:rPr>
          <w:rFonts w:hint="eastAsia"/>
          <w:b/>
          <w:sz w:val="24"/>
          <w:highlight w:val="none"/>
        </w:rPr>
        <w:t>：</w:t>
      </w:r>
      <w:r>
        <w:rPr>
          <w:b/>
          <w:sz w:val="24"/>
          <w:highlight w:val="none"/>
        </w:rPr>
        <w:t xml:space="preserve">法定代表人资格证明书及法定代表人授权书 </w:t>
      </w:r>
    </w:p>
    <w:p w14:paraId="79A99BDB">
      <w:pPr>
        <w:rPr>
          <w:highlight w:val="none"/>
        </w:rPr>
      </w:pPr>
    </w:p>
    <w:p w14:paraId="0D5D8A41">
      <w:pPr>
        <w:adjustRightInd w:val="0"/>
        <w:snapToGrid w:val="0"/>
        <w:rPr>
          <w:sz w:val="24"/>
          <w:highlight w:val="none"/>
        </w:rPr>
      </w:pPr>
    </w:p>
    <w:p w14:paraId="334D2EB9">
      <w:pPr>
        <w:jc w:val="center"/>
        <w:rPr>
          <w:sz w:val="24"/>
          <w:szCs w:val="24"/>
          <w:highlight w:val="none"/>
        </w:rPr>
      </w:pPr>
      <w:r>
        <w:rPr>
          <w:b/>
          <w:sz w:val="24"/>
          <w:szCs w:val="24"/>
          <w:highlight w:val="none"/>
        </w:rPr>
        <w:t>（1）法定代表人资格证明书</w:t>
      </w:r>
    </w:p>
    <w:p w14:paraId="38950A59">
      <w:pPr>
        <w:jc w:val="center"/>
        <w:rPr>
          <w:sz w:val="24"/>
          <w:szCs w:val="24"/>
          <w:highlight w:val="none"/>
        </w:rPr>
      </w:pPr>
      <w:r>
        <w:rPr>
          <w:b/>
          <w:sz w:val="24"/>
          <w:szCs w:val="24"/>
          <w:highlight w:val="none"/>
        </w:rPr>
        <w:t>（注：响应签字代表为法定代表人，适用本表）</w:t>
      </w:r>
    </w:p>
    <w:p w14:paraId="5BD233D9">
      <w:pPr>
        <w:ind w:left="750"/>
        <w:rPr>
          <w:b/>
          <w:highlight w:val="none"/>
        </w:rPr>
      </w:pPr>
    </w:p>
    <w:p w14:paraId="6D79B618">
      <w:pPr>
        <w:spacing w:line="360" w:lineRule="auto"/>
        <w:rPr>
          <w:bCs/>
          <w:sz w:val="24"/>
          <w:szCs w:val="24"/>
          <w:highlight w:val="none"/>
        </w:rPr>
      </w:pPr>
      <w:r>
        <w:rPr>
          <w:bCs/>
          <w:sz w:val="24"/>
          <w:szCs w:val="24"/>
          <w:highlight w:val="none"/>
        </w:rPr>
        <w:t>致：</w:t>
      </w:r>
      <w:r>
        <w:rPr>
          <w:bCs/>
          <w:sz w:val="24"/>
          <w:szCs w:val="24"/>
          <w:highlight w:val="none"/>
          <w:u w:val="single"/>
        </w:rPr>
        <w:t xml:space="preserve">                   (采购人名称)</w:t>
      </w:r>
    </w:p>
    <w:p w14:paraId="684021C4">
      <w:pPr>
        <w:spacing w:line="360" w:lineRule="auto"/>
        <w:ind w:firstLine="420"/>
        <w:rPr>
          <w:bCs/>
          <w:sz w:val="24"/>
          <w:szCs w:val="24"/>
          <w:highlight w:val="none"/>
          <w:u w:val="single"/>
        </w:rPr>
      </w:pPr>
    </w:p>
    <w:p w14:paraId="1F37F870">
      <w:pPr>
        <w:spacing w:line="360" w:lineRule="auto"/>
        <w:ind w:firstLine="420"/>
        <w:rPr>
          <w:bCs/>
          <w:sz w:val="24"/>
          <w:szCs w:val="24"/>
          <w:highlight w:val="none"/>
        </w:rPr>
      </w:pPr>
      <w:r>
        <w:rPr>
          <w:bCs/>
          <w:sz w:val="24"/>
          <w:szCs w:val="24"/>
          <w:highlight w:val="none"/>
          <w:u w:val="single"/>
        </w:rPr>
        <w:t>    </w:t>
      </w:r>
      <w:r>
        <w:rPr>
          <w:bCs/>
          <w:sz w:val="24"/>
          <w:szCs w:val="24"/>
          <w:highlight w:val="none"/>
        </w:rPr>
        <w:t>同志，现任我单位</w:t>
      </w:r>
      <w:r>
        <w:rPr>
          <w:bCs/>
          <w:sz w:val="24"/>
          <w:szCs w:val="24"/>
          <w:highlight w:val="none"/>
          <w:u w:val="single"/>
        </w:rPr>
        <w:t>    </w:t>
      </w:r>
      <w:r>
        <w:rPr>
          <w:bCs/>
          <w:sz w:val="24"/>
          <w:szCs w:val="24"/>
          <w:highlight w:val="none"/>
        </w:rPr>
        <w:t>职务，为法定代表人，特此证明。</w:t>
      </w:r>
    </w:p>
    <w:tbl>
      <w:tblPr>
        <w:tblStyle w:val="46"/>
        <w:tblW w:w="9175" w:type="dxa"/>
        <w:jc w:val="center"/>
        <w:tblLayout w:type="fixed"/>
        <w:tblCellMar>
          <w:top w:w="0" w:type="dxa"/>
          <w:left w:w="108" w:type="dxa"/>
          <w:bottom w:w="0" w:type="dxa"/>
          <w:right w:w="108" w:type="dxa"/>
        </w:tblCellMar>
      </w:tblPr>
      <w:tblGrid>
        <w:gridCol w:w="4587"/>
        <w:gridCol w:w="4588"/>
      </w:tblGrid>
      <w:tr w14:paraId="11905AA8">
        <w:tblPrEx>
          <w:tblCellMar>
            <w:top w:w="0" w:type="dxa"/>
            <w:left w:w="108" w:type="dxa"/>
            <w:bottom w:w="0" w:type="dxa"/>
            <w:right w:w="108" w:type="dxa"/>
          </w:tblCellMar>
        </w:tblPrEx>
        <w:trPr>
          <w:jc w:val="center"/>
        </w:trPr>
        <w:tc>
          <w:tcPr>
            <w:tcW w:w="4587" w:type="dxa"/>
            <w:vAlign w:val="center"/>
          </w:tcPr>
          <w:p w14:paraId="6C7D563B">
            <w:pPr>
              <w:spacing w:line="360" w:lineRule="auto"/>
              <w:rPr>
                <w:bCs/>
                <w:sz w:val="24"/>
                <w:szCs w:val="24"/>
                <w:highlight w:val="none"/>
              </w:rPr>
            </w:pPr>
            <w:r>
              <w:rPr>
                <w:bCs/>
                <w:sz w:val="24"/>
                <w:szCs w:val="24"/>
                <w:highlight w:val="none"/>
              </w:rPr>
              <w:t>签发日期：</w:t>
            </w:r>
            <w:r>
              <w:rPr>
                <w:bCs/>
                <w:sz w:val="24"/>
                <w:szCs w:val="24"/>
                <w:highlight w:val="none"/>
                <w:u w:val="single"/>
              </w:rPr>
              <w:t>   </w:t>
            </w:r>
            <w:r>
              <w:rPr>
                <w:bCs/>
                <w:sz w:val="24"/>
                <w:szCs w:val="24"/>
                <w:highlight w:val="none"/>
              </w:rPr>
              <w:t>年</w:t>
            </w:r>
            <w:r>
              <w:rPr>
                <w:bCs/>
                <w:sz w:val="24"/>
                <w:szCs w:val="24"/>
                <w:highlight w:val="none"/>
                <w:u w:val="single"/>
              </w:rPr>
              <w:t>  </w:t>
            </w:r>
            <w:r>
              <w:rPr>
                <w:bCs/>
                <w:sz w:val="24"/>
                <w:szCs w:val="24"/>
                <w:highlight w:val="none"/>
              </w:rPr>
              <w:t>月</w:t>
            </w:r>
            <w:r>
              <w:rPr>
                <w:bCs/>
                <w:sz w:val="24"/>
                <w:szCs w:val="24"/>
                <w:highlight w:val="none"/>
                <w:u w:val="single"/>
              </w:rPr>
              <w:t>  </w:t>
            </w:r>
            <w:r>
              <w:rPr>
                <w:bCs/>
                <w:sz w:val="24"/>
                <w:szCs w:val="24"/>
                <w:highlight w:val="none"/>
              </w:rPr>
              <w:t>日</w:t>
            </w:r>
          </w:p>
        </w:tc>
        <w:tc>
          <w:tcPr>
            <w:tcW w:w="4588" w:type="dxa"/>
            <w:vAlign w:val="center"/>
          </w:tcPr>
          <w:p w14:paraId="1AB3E7E5">
            <w:pPr>
              <w:spacing w:line="360" w:lineRule="auto"/>
              <w:rPr>
                <w:bCs/>
                <w:sz w:val="24"/>
                <w:szCs w:val="24"/>
                <w:highlight w:val="none"/>
                <w:u w:val="single"/>
              </w:rPr>
            </w:pPr>
            <w:r>
              <w:rPr>
                <w:bCs/>
                <w:sz w:val="24"/>
                <w:szCs w:val="24"/>
                <w:highlight w:val="none"/>
              </w:rPr>
              <w:t>单位（加盖公章）：</w:t>
            </w:r>
          </w:p>
        </w:tc>
      </w:tr>
      <w:tr w14:paraId="4DB7E5CE">
        <w:tblPrEx>
          <w:tblCellMar>
            <w:top w:w="0" w:type="dxa"/>
            <w:left w:w="108" w:type="dxa"/>
            <w:bottom w:w="0" w:type="dxa"/>
            <w:right w:w="108" w:type="dxa"/>
          </w:tblCellMar>
        </w:tblPrEx>
        <w:trPr>
          <w:jc w:val="center"/>
        </w:trPr>
        <w:tc>
          <w:tcPr>
            <w:tcW w:w="4587" w:type="dxa"/>
            <w:vAlign w:val="center"/>
          </w:tcPr>
          <w:p w14:paraId="28AB6C7E">
            <w:pPr>
              <w:spacing w:line="360" w:lineRule="auto"/>
              <w:rPr>
                <w:bCs/>
                <w:sz w:val="24"/>
                <w:szCs w:val="24"/>
                <w:highlight w:val="none"/>
              </w:rPr>
            </w:pPr>
          </w:p>
          <w:p w14:paraId="629C02E2">
            <w:pPr>
              <w:spacing w:line="360" w:lineRule="auto"/>
              <w:rPr>
                <w:bCs/>
                <w:sz w:val="24"/>
                <w:szCs w:val="24"/>
                <w:highlight w:val="none"/>
              </w:rPr>
            </w:pPr>
          </w:p>
          <w:p w14:paraId="7577C3D3">
            <w:pPr>
              <w:spacing w:line="360" w:lineRule="auto"/>
              <w:rPr>
                <w:bCs/>
                <w:sz w:val="24"/>
                <w:szCs w:val="24"/>
                <w:highlight w:val="none"/>
              </w:rPr>
            </w:pPr>
            <w:r>
              <w:rPr>
                <w:bCs/>
                <w:sz w:val="24"/>
                <w:szCs w:val="24"/>
                <w:highlight w:val="none"/>
              </w:rPr>
              <w:t>附：</w:t>
            </w:r>
          </w:p>
        </w:tc>
        <w:tc>
          <w:tcPr>
            <w:tcW w:w="4588" w:type="dxa"/>
            <w:vAlign w:val="center"/>
          </w:tcPr>
          <w:p w14:paraId="3BAB46AC">
            <w:pPr>
              <w:spacing w:line="360" w:lineRule="auto"/>
              <w:rPr>
                <w:bCs/>
                <w:sz w:val="24"/>
                <w:szCs w:val="24"/>
                <w:highlight w:val="none"/>
              </w:rPr>
            </w:pPr>
          </w:p>
        </w:tc>
      </w:tr>
      <w:tr w14:paraId="5627887C">
        <w:tblPrEx>
          <w:tblCellMar>
            <w:top w:w="0" w:type="dxa"/>
            <w:left w:w="108" w:type="dxa"/>
            <w:bottom w:w="0" w:type="dxa"/>
            <w:right w:w="108" w:type="dxa"/>
          </w:tblCellMar>
        </w:tblPrEx>
        <w:trPr>
          <w:jc w:val="center"/>
        </w:trPr>
        <w:tc>
          <w:tcPr>
            <w:tcW w:w="4587" w:type="dxa"/>
            <w:vAlign w:val="center"/>
          </w:tcPr>
          <w:p w14:paraId="294C4371">
            <w:pPr>
              <w:spacing w:line="360" w:lineRule="auto"/>
              <w:rPr>
                <w:bCs/>
                <w:sz w:val="24"/>
                <w:szCs w:val="24"/>
                <w:highlight w:val="none"/>
                <w:u w:val="single"/>
              </w:rPr>
            </w:pPr>
            <w:r>
              <w:rPr>
                <w:bCs/>
                <w:sz w:val="24"/>
                <w:szCs w:val="24"/>
                <w:highlight w:val="none"/>
              </w:rPr>
              <w:t>代表人性别：</w:t>
            </w:r>
          </w:p>
        </w:tc>
        <w:tc>
          <w:tcPr>
            <w:tcW w:w="4588" w:type="dxa"/>
            <w:vAlign w:val="center"/>
          </w:tcPr>
          <w:p w14:paraId="4A7EEE70">
            <w:pPr>
              <w:spacing w:line="360" w:lineRule="auto"/>
              <w:rPr>
                <w:bCs/>
                <w:sz w:val="24"/>
                <w:szCs w:val="24"/>
                <w:highlight w:val="none"/>
                <w:u w:val="single"/>
              </w:rPr>
            </w:pPr>
            <w:r>
              <w:rPr>
                <w:bCs/>
                <w:sz w:val="24"/>
                <w:szCs w:val="24"/>
                <w:highlight w:val="none"/>
              </w:rPr>
              <w:t>年龄：</w:t>
            </w:r>
          </w:p>
        </w:tc>
      </w:tr>
      <w:tr w14:paraId="71153822">
        <w:tblPrEx>
          <w:tblCellMar>
            <w:top w:w="0" w:type="dxa"/>
            <w:left w:w="108" w:type="dxa"/>
            <w:bottom w:w="0" w:type="dxa"/>
            <w:right w:w="108" w:type="dxa"/>
          </w:tblCellMar>
        </w:tblPrEx>
        <w:trPr>
          <w:jc w:val="center"/>
        </w:trPr>
        <w:tc>
          <w:tcPr>
            <w:tcW w:w="9175" w:type="dxa"/>
            <w:gridSpan w:val="2"/>
            <w:vAlign w:val="center"/>
          </w:tcPr>
          <w:p w14:paraId="36086B32">
            <w:pPr>
              <w:spacing w:line="360" w:lineRule="auto"/>
              <w:rPr>
                <w:bCs/>
                <w:sz w:val="24"/>
                <w:szCs w:val="24"/>
                <w:highlight w:val="none"/>
                <w:u w:val="single"/>
              </w:rPr>
            </w:pPr>
            <w:r>
              <w:rPr>
                <w:bCs/>
                <w:sz w:val="24"/>
                <w:szCs w:val="24"/>
                <w:highlight w:val="none"/>
              </w:rPr>
              <w:t>身份证号码：</w:t>
            </w:r>
          </w:p>
        </w:tc>
      </w:tr>
      <w:tr w14:paraId="7B9FD2FE">
        <w:tblPrEx>
          <w:tblCellMar>
            <w:top w:w="0" w:type="dxa"/>
            <w:left w:w="108" w:type="dxa"/>
            <w:bottom w:w="0" w:type="dxa"/>
            <w:right w:w="108" w:type="dxa"/>
          </w:tblCellMar>
        </w:tblPrEx>
        <w:trPr>
          <w:jc w:val="center"/>
        </w:trPr>
        <w:tc>
          <w:tcPr>
            <w:tcW w:w="9175" w:type="dxa"/>
            <w:gridSpan w:val="2"/>
            <w:vAlign w:val="center"/>
          </w:tcPr>
          <w:p w14:paraId="379D56B7">
            <w:pPr>
              <w:spacing w:line="360" w:lineRule="auto"/>
              <w:rPr>
                <w:bCs/>
                <w:sz w:val="24"/>
                <w:szCs w:val="24"/>
                <w:highlight w:val="none"/>
                <w:u w:val="single"/>
              </w:rPr>
            </w:pPr>
            <w:r>
              <w:rPr>
                <w:bCs/>
                <w:sz w:val="24"/>
                <w:szCs w:val="24"/>
                <w:highlight w:val="none"/>
              </w:rPr>
              <w:t>联系电话：</w:t>
            </w:r>
          </w:p>
        </w:tc>
      </w:tr>
      <w:tr w14:paraId="1FEA9D15">
        <w:tblPrEx>
          <w:tblCellMar>
            <w:top w:w="0" w:type="dxa"/>
            <w:left w:w="108" w:type="dxa"/>
            <w:bottom w:w="0" w:type="dxa"/>
            <w:right w:w="108" w:type="dxa"/>
          </w:tblCellMar>
        </w:tblPrEx>
        <w:trPr>
          <w:jc w:val="center"/>
        </w:trPr>
        <w:tc>
          <w:tcPr>
            <w:tcW w:w="4587" w:type="dxa"/>
            <w:vAlign w:val="center"/>
          </w:tcPr>
          <w:p w14:paraId="73D41429">
            <w:pPr>
              <w:spacing w:line="360" w:lineRule="auto"/>
              <w:rPr>
                <w:bCs/>
                <w:sz w:val="24"/>
                <w:szCs w:val="24"/>
                <w:highlight w:val="none"/>
                <w:u w:val="single"/>
              </w:rPr>
            </w:pPr>
            <w:r>
              <w:rPr>
                <w:bCs/>
                <w:sz w:val="24"/>
                <w:szCs w:val="24"/>
                <w:highlight w:val="none"/>
              </w:rPr>
              <w:t>营业执照号码：</w:t>
            </w:r>
          </w:p>
        </w:tc>
        <w:tc>
          <w:tcPr>
            <w:tcW w:w="4588" w:type="dxa"/>
            <w:vAlign w:val="center"/>
          </w:tcPr>
          <w:p w14:paraId="1606C5B7">
            <w:pPr>
              <w:spacing w:line="360" w:lineRule="auto"/>
              <w:rPr>
                <w:bCs/>
                <w:sz w:val="24"/>
                <w:szCs w:val="24"/>
                <w:highlight w:val="none"/>
                <w:u w:val="single"/>
              </w:rPr>
            </w:pPr>
            <w:r>
              <w:rPr>
                <w:bCs/>
                <w:sz w:val="24"/>
                <w:szCs w:val="24"/>
                <w:highlight w:val="none"/>
              </w:rPr>
              <w:t>经济性质：</w:t>
            </w:r>
          </w:p>
        </w:tc>
      </w:tr>
    </w:tbl>
    <w:p w14:paraId="09FEA0C7">
      <w:pPr>
        <w:spacing w:line="360" w:lineRule="auto"/>
        <w:rPr>
          <w:b/>
          <w:bCs/>
          <w:highlight w:val="none"/>
        </w:rPr>
      </w:pPr>
    </w:p>
    <w:p w14:paraId="3FDC73E4">
      <w:pPr>
        <w:spacing w:line="360" w:lineRule="auto"/>
        <w:rPr>
          <w:b/>
          <w:bCs/>
          <w:highlight w:val="none"/>
        </w:rPr>
      </w:pPr>
    </w:p>
    <w:p w14:paraId="5254A7A5">
      <w:pPr>
        <w:spacing w:line="360" w:lineRule="auto"/>
        <w:rPr>
          <w:b/>
          <w:bCs/>
          <w:highlight w:val="none"/>
        </w:rPr>
      </w:pPr>
    </w:p>
    <w:p w14:paraId="56C188F8">
      <w:pPr>
        <w:spacing w:line="360" w:lineRule="auto"/>
        <w:rPr>
          <w:b/>
          <w:bCs/>
          <w:highlight w:val="none"/>
        </w:rPr>
      </w:pPr>
    </w:p>
    <w:p w14:paraId="4857A698">
      <w:pPr>
        <w:spacing w:line="360" w:lineRule="auto"/>
        <w:rPr>
          <w:b/>
          <w:sz w:val="24"/>
          <w:highlight w:val="none"/>
        </w:rPr>
      </w:pPr>
      <w:r>
        <w:rPr>
          <w:b/>
          <w:sz w:val="24"/>
          <w:highlight w:val="none"/>
        </w:rPr>
        <w:t>附：法定代表人居民身份证（人像页、国徽页）复印件或影印件粘贴处</w:t>
      </w:r>
    </w:p>
    <w:tbl>
      <w:tblPr>
        <w:tblStyle w:val="46"/>
        <w:tblW w:w="91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75"/>
      </w:tblGrid>
      <w:tr w14:paraId="6CFBA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8" w:hRule="atLeast"/>
          <w:jc w:val="center"/>
        </w:trPr>
        <w:tc>
          <w:tcPr>
            <w:tcW w:w="9175" w:type="dxa"/>
            <w:vAlign w:val="center"/>
          </w:tcPr>
          <w:p w14:paraId="48E7348C">
            <w:pPr>
              <w:jc w:val="center"/>
              <w:rPr>
                <w:b/>
                <w:highlight w:val="none"/>
              </w:rPr>
            </w:pPr>
            <w:r>
              <w:rPr>
                <w:b/>
                <w:highlight w:val="none"/>
              </w:rPr>
              <w:t>粘贴法定代表人居民身份证（人像页、国徽页）复印件或影印件</w:t>
            </w:r>
          </w:p>
        </w:tc>
      </w:tr>
    </w:tbl>
    <w:p w14:paraId="75F71C43">
      <w:pPr>
        <w:autoSpaceDE w:val="0"/>
        <w:autoSpaceDN w:val="0"/>
        <w:spacing w:line="360" w:lineRule="auto"/>
        <w:textAlignment w:val="bottom"/>
        <w:rPr>
          <w:b/>
          <w:bCs/>
          <w:highlight w:val="none"/>
        </w:rPr>
      </w:pPr>
    </w:p>
    <w:p w14:paraId="5817B505">
      <w:pPr>
        <w:widowControl/>
        <w:jc w:val="left"/>
        <w:rPr>
          <w:b/>
          <w:snapToGrid w:val="0"/>
          <w:sz w:val="24"/>
          <w:highlight w:val="none"/>
        </w:rPr>
      </w:pPr>
      <w:r>
        <w:rPr>
          <w:b/>
          <w:snapToGrid w:val="0"/>
          <w:sz w:val="24"/>
          <w:highlight w:val="none"/>
        </w:rPr>
        <w:br w:type="page"/>
      </w:r>
    </w:p>
    <w:p w14:paraId="210020EA">
      <w:pPr>
        <w:pStyle w:val="27"/>
        <w:spacing w:line="440" w:lineRule="exact"/>
        <w:jc w:val="center"/>
        <w:rPr>
          <w:rFonts w:ascii="Times New Roman" w:hAnsi="Times New Roman"/>
          <w:b/>
          <w:snapToGrid w:val="0"/>
          <w:sz w:val="24"/>
          <w:szCs w:val="24"/>
          <w:highlight w:val="none"/>
        </w:rPr>
      </w:pPr>
      <w:r>
        <w:rPr>
          <w:rFonts w:ascii="Times New Roman" w:hAnsi="Times New Roman"/>
          <w:b/>
          <w:snapToGrid w:val="0"/>
          <w:sz w:val="24"/>
          <w:szCs w:val="24"/>
          <w:highlight w:val="none"/>
        </w:rPr>
        <w:t>（2）法定代表人授权委托书</w:t>
      </w:r>
    </w:p>
    <w:p w14:paraId="30451654">
      <w:pPr>
        <w:pStyle w:val="27"/>
        <w:spacing w:line="440" w:lineRule="exact"/>
        <w:jc w:val="center"/>
        <w:rPr>
          <w:rFonts w:ascii="Times New Roman" w:hAnsi="Times New Roman"/>
          <w:b/>
          <w:snapToGrid w:val="0"/>
          <w:sz w:val="24"/>
          <w:szCs w:val="24"/>
          <w:highlight w:val="none"/>
        </w:rPr>
      </w:pPr>
    </w:p>
    <w:p w14:paraId="7C04E31E">
      <w:pPr>
        <w:pStyle w:val="27"/>
        <w:spacing w:line="440" w:lineRule="exact"/>
        <w:jc w:val="center"/>
        <w:rPr>
          <w:rFonts w:ascii="Times New Roman" w:hAnsi="Times New Roman"/>
          <w:b/>
          <w:snapToGrid w:val="0"/>
          <w:highlight w:val="none"/>
        </w:rPr>
      </w:pPr>
      <w:r>
        <w:rPr>
          <w:rFonts w:ascii="Times New Roman" w:hAnsi="Times New Roman"/>
          <w:b/>
          <w:snapToGrid w:val="0"/>
          <w:highlight w:val="none"/>
        </w:rPr>
        <w:t>（注：响应签字代表为被授权代表人，除出具此表外，还需出具法定代表人资格证明书）</w:t>
      </w:r>
    </w:p>
    <w:p w14:paraId="645179D3">
      <w:pPr>
        <w:spacing w:line="360" w:lineRule="auto"/>
        <w:rPr>
          <w:bCs/>
          <w:sz w:val="24"/>
          <w:highlight w:val="none"/>
        </w:rPr>
      </w:pPr>
    </w:p>
    <w:p w14:paraId="20B8AA29">
      <w:pPr>
        <w:pStyle w:val="27"/>
        <w:tabs>
          <w:tab w:val="left" w:pos="5580"/>
        </w:tabs>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    本授权书声明：注册于</w:t>
      </w:r>
      <w:r>
        <w:rPr>
          <w:rFonts w:ascii="Times New Roman" w:hAnsi="Times New Roman"/>
          <w:bCs/>
          <w:sz w:val="24"/>
          <w:szCs w:val="24"/>
          <w:highlight w:val="none"/>
          <w:u w:val="single"/>
        </w:rPr>
        <w:t xml:space="preserve">            （国家或地区的名称）</w:t>
      </w:r>
      <w:r>
        <w:rPr>
          <w:rFonts w:ascii="Times New Roman" w:hAnsi="Times New Roman"/>
          <w:bCs/>
          <w:sz w:val="24"/>
          <w:szCs w:val="24"/>
          <w:highlight w:val="none"/>
        </w:rPr>
        <w:t>的（</w:t>
      </w:r>
      <w:r>
        <w:rPr>
          <w:rFonts w:ascii="Times New Roman" w:hAnsi="Times New Roman"/>
          <w:bCs/>
          <w:i/>
          <w:iCs/>
          <w:sz w:val="24"/>
          <w:szCs w:val="24"/>
          <w:highlight w:val="none"/>
          <w:u w:val="single"/>
        </w:rPr>
        <w:t>公司名称</w:t>
      </w:r>
      <w:r>
        <w:rPr>
          <w:rFonts w:ascii="Times New Roman" w:hAnsi="Times New Roman"/>
          <w:bCs/>
          <w:sz w:val="24"/>
          <w:szCs w:val="24"/>
          <w:highlight w:val="none"/>
          <w:u w:val="single"/>
        </w:rPr>
        <w:t>）</w:t>
      </w:r>
      <w:r>
        <w:rPr>
          <w:rFonts w:ascii="Times New Roman" w:hAnsi="Times New Roman"/>
          <w:bCs/>
          <w:sz w:val="24"/>
          <w:szCs w:val="24"/>
          <w:highlight w:val="none"/>
        </w:rPr>
        <w:t>的在下面签字的</w:t>
      </w:r>
      <w:r>
        <w:rPr>
          <w:rFonts w:ascii="Times New Roman" w:hAnsi="Times New Roman"/>
          <w:bCs/>
          <w:sz w:val="24"/>
          <w:szCs w:val="24"/>
          <w:highlight w:val="none"/>
          <w:u w:val="single"/>
        </w:rPr>
        <w:t xml:space="preserve">            （</w:t>
      </w:r>
      <w:r>
        <w:rPr>
          <w:rFonts w:ascii="Times New Roman" w:hAnsi="Times New Roman"/>
          <w:bCs/>
          <w:i/>
          <w:iCs/>
          <w:sz w:val="24"/>
          <w:szCs w:val="24"/>
          <w:highlight w:val="none"/>
          <w:u w:val="single"/>
        </w:rPr>
        <w:t>法人代表姓名、职务</w:t>
      </w:r>
      <w:r>
        <w:rPr>
          <w:rFonts w:ascii="Times New Roman" w:hAnsi="Times New Roman"/>
          <w:bCs/>
          <w:sz w:val="24"/>
          <w:szCs w:val="24"/>
          <w:highlight w:val="none"/>
          <w:u w:val="single"/>
        </w:rPr>
        <w:t>）</w:t>
      </w:r>
      <w:r>
        <w:rPr>
          <w:rFonts w:ascii="Times New Roman" w:hAnsi="Times New Roman"/>
          <w:bCs/>
          <w:sz w:val="24"/>
          <w:szCs w:val="24"/>
          <w:highlight w:val="none"/>
        </w:rPr>
        <w:t>代表本公司授权</w:t>
      </w:r>
      <w:r>
        <w:rPr>
          <w:rFonts w:ascii="Times New Roman" w:hAnsi="Times New Roman"/>
          <w:bCs/>
          <w:sz w:val="24"/>
          <w:szCs w:val="24"/>
          <w:highlight w:val="none"/>
          <w:u w:val="single"/>
        </w:rPr>
        <w:t xml:space="preserve">      （</w:t>
      </w:r>
      <w:r>
        <w:rPr>
          <w:rFonts w:ascii="Times New Roman" w:hAnsi="Times New Roman"/>
          <w:bCs/>
          <w:i/>
          <w:iCs/>
          <w:sz w:val="24"/>
          <w:szCs w:val="24"/>
          <w:highlight w:val="none"/>
          <w:u w:val="single"/>
        </w:rPr>
        <w:t>单位名称</w:t>
      </w:r>
      <w:r>
        <w:rPr>
          <w:rFonts w:ascii="Times New Roman" w:hAnsi="Times New Roman"/>
          <w:bCs/>
          <w:sz w:val="24"/>
          <w:szCs w:val="24"/>
          <w:highlight w:val="none"/>
          <w:u w:val="single"/>
        </w:rPr>
        <w:t>）</w:t>
      </w:r>
      <w:r>
        <w:rPr>
          <w:rFonts w:ascii="Times New Roman" w:hAnsi="Times New Roman"/>
          <w:bCs/>
          <w:sz w:val="24"/>
          <w:szCs w:val="24"/>
          <w:highlight w:val="none"/>
        </w:rPr>
        <w:t>的在下面签字的</w:t>
      </w:r>
      <w:r>
        <w:rPr>
          <w:rFonts w:ascii="Times New Roman" w:hAnsi="Times New Roman"/>
          <w:bCs/>
          <w:sz w:val="24"/>
          <w:szCs w:val="24"/>
          <w:highlight w:val="none"/>
          <w:u w:val="single"/>
        </w:rPr>
        <w:t xml:space="preserve">             （</w:t>
      </w:r>
      <w:r>
        <w:rPr>
          <w:rFonts w:ascii="Times New Roman" w:hAnsi="Times New Roman"/>
          <w:bCs/>
          <w:i/>
          <w:iCs/>
          <w:sz w:val="24"/>
          <w:szCs w:val="24"/>
          <w:highlight w:val="none"/>
          <w:u w:val="single"/>
        </w:rPr>
        <w:t>被授权人的姓名、职务</w:t>
      </w:r>
      <w:r>
        <w:rPr>
          <w:rFonts w:ascii="Times New Roman" w:hAnsi="Times New Roman"/>
          <w:bCs/>
          <w:sz w:val="24"/>
          <w:szCs w:val="24"/>
          <w:highlight w:val="none"/>
          <w:u w:val="single"/>
        </w:rPr>
        <w:t>）</w:t>
      </w:r>
      <w:r>
        <w:rPr>
          <w:rFonts w:ascii="Times New Roman" w:hAnsi="Times New Roman"/>
          <w:bCs/>
          <w:sz w:val="24"/>
          <w:szCs w:val="24"/>
          <w:highlight w:val="none"/>
        </w:rPr>
        <w:t>为本公司的合法代理人，就</w:t>
      </w:r>
      <w:r>
        <w:rPr>
          <w:rFonts w:ascii="Times New Roman" w:hAnsi="Times New Roman"/>
          <w:bCs/>
          <w:sz w:val="24"/>
          <w:szCs w:val="24"/>
          <w:highlight w:val="none"/>
          <w:u w:val="single"/>
        </w:rPr>
        <w:t xml:space="preserve">                               （</w:t>
      </w:r>
      <w:r>
        <w:rPr>
          <w:rFonts w:ascii="Times New Roman" w:hAnsi="Times New Roman"/>
          <w:bCs/>
          <w:i/>
          <w:iCs/>
          <w:sz w:val="24"/>
          <w:szCs w:val="24"/>
          <w:highlight w:val="none"/>
          <w:u w:val="single"/>
        </w:rPr>
        <w:t>项目名称</w:t>
      </w:r>
      <w:r>
        <w:rPr>
          <w:rFonts w:ascii="Times New Roman" w:hAnsi="Times New Roman"/>
          <w:bCs/>
          <w:sz w:val="24"/>
          <w:szCs w:val="24"/>
          <w:highlight w:val="none"/>
          <w:u w:val="single"/>
        </w:rPr>
        <w:t>）</w:t>
      </w:r>
      <w:r>
        <w:rPr>
          <w:rFonts w:ascii="Times New Roman" w:hAnsi="Times New Roman"/>
          <w:bCs/>
          <w:sz w:val="24"/>
          <w:szCs w:val="24"/>
          <w:highlight w:val="none"/>
        </w:rPr>
        <w:t>的投标，以本公司名义处理一切与之有关的事务。</w:t>
      </w:r>
    </w:p>
    <w:p w14:paraId="371D2164">
      <w:pPr>
        <w:pStyle w:val="27"/>
        <w:tabs>
          <w:tab w:val="left" w:pos="5580"/>
        </w:tabs>
        <w:spacing w:line="360" w:lineRule="auto"/>
        <w:ind w:firstLine="480"/>
        <w:rPr>
          <w:rFonts w:ascii="Times New Roman" w:hAnsi="Times New Roman"/>
          <w:bCs/>
          <w:sz w:val="24"/>
          <w:szCs w:val="24"/>
          <w:highlight w:val="none"/>
        </w:rPr>
      </w:pPr>
    </w:p>
    <w:p w14:paraId="6C585041">
      <w:pPr>
        <w:pStyle w:val="27"/>
        <w:tabs>
          <w:tab w:val="left" w:pos="5580"/>
        </w:tabs>
        <w:spacing w:line="360" w:lineRule="auto"/>
        <w:ind w:firstLine="480"/>
        <w:rPr>
          <w:rFonts w:ascii="Times New Roman" w:hAnsi="Times New Roman"/>
          <w:bCs/>
          <w:sz w:val="24"/>
          <w:szCs w:val="24"/>
          <w:highlight w:val="none"/>
        </w:rPr>
      </w:pPr>
      <w:r>
        <w:rPr>
          <w:rFonts w:ascii="Times New Roman" w:hAnsi="Times New Roman"/>
          <w:bCs/>
          <w:sz w:val="24"/>
          <w:szCs w:val="24"/>
          <w:highlight w:val="none"/>
        </w:rPr>
        <w:t>本授权书于</w:t>
      </w:r>
      <w:r>
        <w:rPr>
          <w:rFonts w:ascii="Times New Roman" w:hAnsi="Times New Roman"/>
          <w:sz w:val="24"/>
          <w:highlight w:val="none"/>
          <w:u w:val="single"/>
        </w:rPr>
        <w:t xml:space="preserve">        </w:t>
      </w:r>
      <w:r>
        <w:rPr>
          <w:rFonts w:ascii="Times New Roman" w:hAnsi="Times New Roman"/>
          <w:bCs/>
          <w:sz w:val="24"/>
          <w:szCs w:val="24"/>
          <w:highlight w:val="none"/>
        </w:rPr>
        <w:t>年</w:t>
      </w:r>
      <w:r>
        <w:rPr>
          <w:rFonts w:ascii="Times New Roman" w:hAnsi="Times New Roman"/>
          <w:sz w:val="24"/>
          <w:highlight w:val="none"/>
          <w:u w:val="single"/>
        </w:rPr>
        <w:t xml:space="preserve">     </w:t>
      </w:r>
      <w:r>
        <w:rPr>
          <w:rFonts w:ascii="Times New Roman" w:hAnsi="Times New Roman"/>
          <w:bCs/>
          <w:sz w:val="24"/>
          <w:szCs w:val="24"/>
          <w:highlight w:val="none"/>
        </w:rPr>
        <w:t>月</w:t>
      </w:r>
      <w:r>
        <w:rPr>
          <w:rFonts w:ascii="Times New Roman" w:hAnsi="Times New Roman"/>
          <w:sz w:val="24"/>
          <w:highlight w:val="none"/>
          <w:u w:val="single"/>
        </w:rPr>
        <w:t xml:space="preserve">     </w:t>
      </w:r>
      <w:r>
        <w:rPr>
          <w:rFonts w:ascii="Times New Roman" w:hAnsi="Times New Roman"/>
          <w:bCs/>
          <w:sz w:val="24"/>
          <w:szCs w:val="24"/>
          <w:highlight w:val="none"/>
        </w:rPr>
        <w:t>日签字生效,特此声明。</w:t>
      </w:r>
    </w:p>
    <w:p w14:paraId="6527B89D">
      <w:pPr>
        <w:pStyle w:val="27"/>
        <w:tabs>
          <w:tab w:val="left" w:pos="5580"/>
        </w:tabs>
        <w:spacing w:line="360" w:lineRule="auto"/>
        <w:ind w:firstLine="480"/>
        <w:rPr>
          <w:rFonts w:ascii="Times New Roman" w:hAnsi="Times New Roman"/>
          <w:bCs/>
          <w:sz w:val="24"/>
          <w:szCs w:val="24"/>
          <w:highlight w:val="none"/>
        </w:rPr>
      </w:pPr>
    </w:p>
    <w:p w14:paraId="5150C576">
      <w:pPr>
        <w:pStyle w:val="27"/>
        <w:tabs>
          <w:tab w:val="left" w:pos="5580"/>
        </w:tabs>
        <w:spacing w:line="360" w:lineRule="auto"/>
        <w:ind w:firstLine="480"/>
        <w:rPr>
          <w:rFonts w:ascii="Times New Roman" w:hAnsi="Times New Roman"/>
          <w:bCs/>
          <w:sz w:val="24"/>
          <w:szCs w:val="24"/>
          <w:highlight w:val="none"/>
        </w:rPr>
      </w:pPr>
      <w:r>
        <w:rPr>
          <w:rFonts w:ascii="Times New Roman" w:hAnsi="Times New Roman"/>
          <w:bCs/>
          <w:sz w:val="24"/>
          <w:szCs w:val="24"/>
          <w:highlight w:val="none"/>
        </w:rPr>
        <w:t>法定代表人签字或人名印章或法人章：</w:t>
      </w:r>
      <w:r>
        <w:rPr>
          <w:rFonts w:ascii="Times New Roman" w:hAnsi="Times New Roman"/>
          <w:sz w:val="24"/>
          <w:highlight w:val="none"/>
          <w:u w:val="single"/>
        </w:rPr>
        <w:t xml:space="preserve">                       </w:t>
      </w:r>
    </w:p>
    <w:p w14:paraId="46E3D744">
      <w:pPr>
        <w:pStyle w:val="27"/>
        <w:tabs>
          <w:tab w:val="left" w:pos="5580"/>
        </w:tabs>
        <w:spacing w:line="360" w:lineRule="auto"/>
        <w:ind w:firstLine="480" w:firstLineChars="200"/>
        <w:rPr>
          <w:rFonts w:ascii="Times New Roman" w:hAnsi="Times New Roman"/>
          <w:bCs/>
          <w:sz w:val="24"/>
          <w:szCs w:val="24"/>
          <w:highlight w:val="none"/>
        </w:rPr>
      </w:pPr>
      <w:r>
        <w:rPr>
          <w:rFonts w:ascii="Times New Roman" w:hAnsi="Times New Roman"/>
          <w:bCs/>
          <w:sz w:val="24"/>
          <w:szCs w:val="24"/>
          <w:highlight w:val="none"/>
        </w:rPr>
        <w:t>被授权人签字：</w:t>
      </w:r>
      <w:r>
        <w:rPr>
          <w:rFonts w:ascii="Times New Roman" w:hAnsi="Times New Roman"/>
          <w:sz w:val="24"/>
          <w:highlight w:val="none"/>
          <w:u w:val="single"/>
        </w:rPr>
        <w:t xml:space="preserve">                       </w:t>
      </w:r>
    </w:p>
    <w:p w14:paraId="6B014946">
      <w:pPr>
        <w:pStyle w:val="27"/>
        <w:tabs>
          <w:tab w:val="left" w:pos="5580"/>
        </w:tabs>
        <w:spacing w:line="360" w:lineRule="auto"/>
        <w:ind w:firstLine="480" w:firstLineChars="200"/>
        <w:rPr>
          <w:rFonts w:ascii="Times New Roman" w:hAnsi="Times New Roman"/>
          <w:bCs/>
          <w:sz w:val="24"/>
          <w:szCs w:val="24"/>
          <w:highlight w:val="none"/>
        </w:rPr>
      </w:pPr>
      <w:r>
        <w:rPr>
          <w:rFonts w:ascii="Times New Roman" w:hAnsi="Times New Roman"/>
          <w:bCs/>
          <w:sz w:val="24"/>
          <w:szCs w:val="24"/>
          <w:highlight w:val="none"/>
        </w:rPr>
        <w:t>公司加盖公章：</w:t>
      </w:r>
    </w:p>
    <w:p w14:paraId="2D35F2C8">
      <w:pPr>
        <w:pStyle w:val="27"/>
        <w:tabs>
          <w:tab w:val="left" w:pos="5580"/>
        </w:tabs>
        <w:spacing w:line="360" w:lineRule="auto"/>
        <w:rPr>
          <w:rFonts w:ascii="Times New Roman" w:hAnsi="Times New Roman"/>
          <w:bCs/>
          <w:sz w:val="24"/>
          <w:szCs w:val="24"/>
          <w:highlight w:val="none"/>
        </w:rPr>
      </w:pPr>
    </w:p>
    <w:p w14:paraId="37BB4949">
      <w:pPr>
        <w:pStyle w:val="27"/>
        <w:tabs>
          <w:tab w:val="left" w:pos="5580"/>
        </w:tabs>
        <w:spacing w:line="360" w:lineRule="auto"/>
        <w:rPr>
          <w:rFonts w:ascii="Times New Roman" w:hAnsi="Times New Roman"/>
          <w:bCs/>
          <w:sz w:val="24"/>
          <w:szCs w:val="24"/>
          <w:highlight w:val="none"/>
          <w:u w:val="single"/>
        </w:rPr>
      </w:pPr>
      <w:r>
        <w:rPr>
          <w:rFonts w:ascii="Times New Roman" w:hAnsi="Times New Roman"/>
          <w:bCs/>
          <w:sz w:val="24"/>
          <w:szCs w:val="24"/>
          <w:highlight w:val="none"/>
        </w:rPr>
        <w:t>被授权人姓名：                            职务：</w:t>
      </w:r>
    </w:p>
    <w:p w14:paraId="46AC69B3">
      <w:pPr>
        <w:pStyle w:val="27"/>
        <w:tabs>
          <w:tab w:val="left" w:pos="5580"/>
        </w:tabs>
        <w:spacing w:line="360" w:lineRule="auto"/>
        <w:rPr>
          <w:rFonts w:ascii="Times New Roman" w:hAnsi="Times New Roman"/>
          <w:bCs/>
          <w:sz w:val="24"/>
          <w:szCs w:val="24"/>
          <w:highlight w:val="none"/>
          <w:u w:val="single"/>
        </w:rPr>
      </w:pPr>
      <w:r>
        <w:rPr>
          <w:rFonts w:ascii="Times New Roman" w:hAnsi="Times New Roman"/>
          <w:bCs/>
          <w:sz w:val="24"/>
          <w:szCs w:val="24"/>
          <w:highlight w:val="none"/>
        </w:rPr>
        <w:t>详细通讯地址：</w:t>
      </w:r>
    </w:p>
    <w:p w14:paraId="7B5630D0">
      <w:pPr>
        <w:pStyle w:val="27"/>
        <w:tabs>
          <w:tab w:val="left" w:pos="5580"/>
        </w:tabs>
        <w:spacing w:line="360" w:lineRule="auto"/>
        <w:rPr>
          <w:rFonts w:ascii="Times New Roman" w:hAnsi="Times New Roman"/>
          <w:bCs/>
          <w:sz w:val="24"/>
          <w:szCs w:val="24"/>
          <w:highlight w:val="none"/>
          <w:u w:val="single"/>
        </w:rPr>
      </w:pPr>
      <w:r>
        <w:rPr>
          <w:rFonts w:ascii="Times New Roman" w:hAnsi="Times New Roman"/>
          <w:bCs/>
          <w:sz w:val="24"/>
          <w:szCs w:val="24"/>
          <w:highlight w:val="none"/>
        </w:rPr>
        <w:t>邮政编码：                                传真：</w:t>
      </w:r>
    </w:p>
    <w:p w14:paraId="543F27CC">
      <w:pPr>
        <w:pStyle w:val="27"/>
        <w:tabs>
          <w:tab w:val="left" w:pos="5580"/>
        </w:tabs>
        <w:spacing w:line="360" w:lineRule="auto"/>
        <w:rPr>
          <w:rFonts w:ascii="Times New Roman" w:hAnsi="Times New Roman"/>
          <w:bCs/>
          <w:sz w:val="24"/>
          <w:szCs w:val="24"/>
          <w:highlight w:val="none"/>
          <w:u w:val="single"/>
        </w:rPr>
      </w:pPr>
      <w:r>
        <w:rPr>
          <w:rFonts w:ascii="Times New Roman" w:hAnsi="Times New Roman"/>
          <w:bCs/>
          <w:sz w:val="24"/>
          <w:szCs w:val="24"/>
          <w:highlight w:val="none"/>
        </w:rPr>
        <w:t xml:space="preserve">电话：                                    邮箱： </w:t>
      </w:r>
    </w:p>
    <w:p w14:paraId="261FF69C">
      <w:pPr>
        <w:spacing w:line="480" w:lineRule="auto"/>
        <w:rPr>
          <w:b/>
          <w:sz w:val="24"/>
          <w:highlight w:val="none"/>
        </w:rPr>
      </w:pPr>
      <w:r>
        <w:rPr>
          <w:b/>
          <w:sz w:val="24"/>
          <w:highlight w:val="none"/>
        </w:rPr>
        <w:t>附：被授权人居民身份证（人像页、国徽页）复印件或影印件粘贴处</w:t>
      </w:r>
    </w:p>
    <w:tbl>
      <w:tblPr>
        <w:tblStyle w:val="46"/>
        <w:tblW w:w="88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3"/>
      </w:tblGrid>
      <w:tr w14:paraId="1D1DA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3" w:hRule="atLeast"/>
          <w:jc w:val="center"/>
        </w:trPr>
        <w:tc>
          <w:tcPr>
            <w:tcW w:w="8833" w:type="dxa"/>
            <w:vAlign w:val="center"/>
          </w:tcPr>
          <w:p w14:paraId="11042D31">
            <w:pPr>
              <w:jc w:val="center"/>
              <w:rPr>
                <w:b/>
                <w:highlight w:val="none"/>
              </w:rPr>
            </w:pPr>
            <w:r>
              <w:rPr>
                <w:b/>
                <w:highlight w:val="none"/>
              </w:rPr>
              <w:t>粘贴被授权人居民身份证（人像页、国徽页）复印件或影印件</w:t>
            </w:r>
          </w:p>
        </w:tc>
      </w:tr>
    </w:tbl>
    <w:p w14:paraId="456A7AAA">
      <w:pPr>
        <w:pStyle w:val="27"/>
        <w:tabs>
          <w:tab w:val="left" w:pos="5580"/>
        </w:tabs>
        <w:spacing w:line="360" w:lineRule="auto"/>
        <w:rPr>
          <w:rFonts w:ascii="Times New Roman" w:hAnsi="Times New Roman"/>
          <w:sz w:val="24"/>
          <w:szCs w:val="24"/>
          <w:highlight w:val="none"/>
          <w:u w:val="single"/>
        </w:rPr>
      </w:pPr>
    </w:p>
    <w:p w14:paraId="14EE030E">
      <w:pPr>
        <w:pStyle w:val="27"/>
        <w:rPr>
          <w:rFonts w:ascii="Times New Roman" w:hAnsi="Times New Roman"/>
          <w:highlight w:val="none"/>
        </w:rPr>
      </w:pPr>
      <w:r>
        <w:rPr>
          <w:rFonts w:ascii="Times New Roman" w:hAnsi="Times New Roman"/>
          <w:highlight w:val="none"/>
        </w:rPr>
        <w:br w:type="page"/>
      </w:r>
    </w:p>
    <w:p w14:paraId="4E1EB87E">
      <w:pPr>
        <w:tabs>
          <w:tab w:val="left" w:pos="425"/>
          <w:tab w:val="left" w:pos="1389"/>
          <w:tab w:val="left" w:pos="5580"/>
        </w:tabs>
        <w:spacing w:before="120" w:line="360" w:lineRule="auto"/>
        <w:ind w:firstLine="2650" w:firstLineChars="1100"/>
        <w:outlineLvl w:val="1"/>
        <w:rPr>
          <w:b/>
          <w:bCs/>
          <w:sz w:val="24"/>
          <w:szCs w:val="24"/>
          <w:highlight w:val="none"/>
        </w:rPr>
      </w:pPr>
      <w:r>
        <w:rPr>
          <w:rFonts w:ascii="Segoe UI Symbol" w:hAnsi="Segoe UI Symbol" w:cs="Segoe UI Symbol"/>
          <w:b/>
          <w:bCs/>
          <w:sz w:val="24"/>
          <w:highlight w:val="none"/>
        </w:rPr>
        <w:t>★</w:t>
      </w:r>
      <w:r>
        <w:rPr>
          <w:b/>
          <w:sz w:val="24"/>
          <w:highlight w:val="none"/>
        </w:rPr>
        <w:t>附件</w:t>
      </w:r>
      <w:r>
        <w:rPr>
          <w:rFonts w:hint="eastAsia"/>
          <w:b/>
          <w:sz w:val="24"/>
          <w:highlight w:val="none"/>
        </w:rPr>
        <w:t>6-</w:t>
      </w:r>
      <w:r>
        <w:rPr>
          <w:b/>
          <w:sz w:val="24"/>
          <w:highlight w:val="none"/>
        </w:rPr>
        <w:t>4</w:t>
      </w:r>
      <w:r>
        <w:rPr>
          <w:rFonts w:hint="eastAsia"/>
          <w:b/>
          <w:sz w:val="24"/>
          <w:highlight w:val="none"/>
        </w:rPr>
        <w:t>：</w:t>
      </w:r>
      <w:r>
        <w:rPr>
          <w:b/>
          <w:bCs/>
          <w:sz w:val="24"/>
          <w:highlight w:val="none"/>
        </w:rPr>
        <w:t xml:space="preserve">供应商基本情况表 </w:t>
      </w:r>
    </w:p>
    <w:p w14:paraId="45E0F43A">
      <w:pPr>
        <w:tabs>
          <w:tab w:val="left" w:pos="5580"/>
        </w:tabs>
        <w:adjustRightInd w:val="0"/>
        <w:spacing w:before="120" w:line="360" w:lineRule="exact"/>
        <w:jc w:val="left"/>
        <w:textAlignment w:val="baseline"/>
        <w:rPr>
          <w:b/>
          <w:kern w:val="0"/>
          <w:sz w:val="24"/>
          <w:szCs w:val="20"/>
          <w:highlight w:val="none"/>
        </w:rPr>
      </w:pPr>
      <w:r>
        <w:rPr>
          <w:b/>
          <w:kern w:val="0"/>
          <w:sz w:val="24"/>
          <w:szCs w:val="20"/>
          <w:highlight w:val="none"/>
        </w:rPr>
        <w:t>1、基本情况：</w:t>
      </w:r>
    </w:p>
    <w:p w14:paraId="311C4427">
      <w:pPr>
        <w:tabs>
          <w:tab w:val="left" w:pos="5580"/>
        </w:tabs>
        <w:adjustRightInd w:val="0"/>
        <w:spacing w:before="120" w:line="360" w:lineRule="exact"/>
        <w:jc w:val="left"/>
        <w:textAlignment w:val="baseline"/>
        <w:rPr>
          <w:kern w:val="0"/>
          <w:sz w:val="24"/>
          <w:szCs w:val="20"/>
          <w:highlight w:val="none"/>
        </w:rPr>
      </w:pPr>
      <w:r>
        <w:rPr>
          <w:kern w:val="0"/>
          <w:sz w:val="24"/>
          <w:szCs w:val="20"/>
          <w:highlight w:val="none"/>
        </w:rPr>
        <w:t xml:space="preserve">（1）供应商名称：                            </w:t>
      </w:r>
    </w:p>
    <w:p w14:paraId="08E6DF96">
      <w:pPr>
        <w:tabs>
          <w:tab w:val="left" w:pos="5580"/>
        </w:tabs>
        <w:adjustRightInd w:val="0"/>
        <w:spacing w:before="120" w:line="360" w:lineRule="exact"/>
        <w:jc w:val="left"/>
        <w:textAlignment w:val="baseline"/>
        <w:rPr>
          <w:kern w:val="0"/>
          <w:sz w:val="24"/>
          <w:szCs w:val="20"/>
          <w:highlight w:val="none"/>
        </w:rPr>
      </w:pPr>
      <w:r>
        <w:rPr>
          <w:kern w:val="0"/>
          <w:sz w:val="24"/>
          <w:szCs w:val="20"/>
          <w:highlight w:val="none"/>
        </w:rPr>
        <w:t>（2）地址：</w:t>
      </w:r>
      <w:r>
        <w:rPr>
          <w:kern w:val="0"/>
          <w:sz w:val="24"/>
          <w:szCs w:val="20"/>
          <w:highlight w:val="none"/>
          <w:u w:val="single"/>
        </w:rPr>
        <w:t xml:space="preserve">                         </w:t>
      </w:r>
      <w:r>
        <w:rPr>
          <w:kern w:val="0"/>
          <w:sz w:val="24"/>
          <w:szCs w:val="20"/>
          <w:highlight w:val="none"/>
        </w:rPr>
        <w:t xml:space="preserve">           邮编：</w:t>
      </w:r>
      <w:r>
        <w:rPr>
          <w:kern w:val="0"/>
          <w:sz w:val="24"/>
          <w:szCs w:val="20"/>
          <w:highlight w:val="none"/>
          <w:u w:val="single"/>
        </w:rPr>
        <w:t xml:space="preserve">                 </w:t>
      </w:r>
      <w:r>
        <w:rPr>
          <w:kern w:val="0"/>
          <w:sz w:val="24"/>
          <w:szCs w:val="20"/>
          <w:highlight w:val="none"/>
        </w:rPr>
        <w:t xml:space="preserve"> </w:t>
      </w:r>
    </w:p>
    <w:p w14:paraId="7A092F44">
      <w:pPr>
        <w:tabs>
          <w:tab w:val="left" w:pos="5580"/>
        </w:tabs>
        <w:adjustRightInd w:val="0"/>
        <w:spacing w:before="120" w:line="360" w:lineRule="exact"/>
        <w:ind w:firstLine="600" w:firstLineChars="250"/>
        <w:jc w:val="left"/>
        <w:textAlignment w:val="baseline"/>
        <w:rPr>
          <w:kern w:val="0"/>
          <w:sz w:val="24"/>
          <w:szCs w:val="20"/>
          <w:highlight w:val="none"/>
        </w:rPr>
      </w:pPr>
      <w:r>
        <w:rPr>
          <w:kern w:val="0"/>
          <w:sz w:val="24"/>
          <w:szCs w:val="20"/>
          <w:highlight w:val="none"/>
        </w:rPr>
        <w:t>电话：</w:t>
      </w:r>
      <w:r>
        <w:rPr>
          <w:kern w:val="0"/>
          <w:sz w:val="24"/>
          <w:szCs w:val="20"/>
          <w:highlight w:val="none"/>
          <w:u w:val="single"/>
        </w:rPr>
        <w:t xml:space="preserve">                         </w:t>
      </w:r>
      <w:r>
        <w:rPr>
          <w:kern w:val="0"/>
          <w:sz w:val="24"/>
          <w:szCs w:val="20"/>
          <w:highlight w:val="none"/>
        </w:rPr>
        <w:t xml:space="preserve">           传真：</w:t>
      </w:r>
      <w:r>
        <w:rPr>
          <w:kern w:val="0"/>
          <w:sz w:val="24"/>
          <w:szCs w:val="20"/>
          <w:highlight w:val="none"/>
          <w:u w:val="single"/>
        </w:rPr>
        <w:t xml:space="preserve">                 </w:t>
      </w:r>
    </w:p>
    <w:p w14:paraId="1F4A73C9">
      <w:pPr>
        <w:tabs>
          <w:tab w:val="left" w:pos="5580"/>
        </w:tabs>
        <w:adjustRightInd w:val="0"/>
        <w:spacing w:before="120" w:line="360" w:lineRule="exact"/>
        <w:jc w:val="left"/>
        <w:textAlignment w:val="baseline"/>
        <w:rPr>
          <w:kern w:val="0"/>
          <w:sz w:val="24"/>
          <w:szCs w:val="20"/>
          <w:highlight w:val="none"/>
        </w:rPr>
      </w:pPr>
      <w:r>
        <w:rPr>
          <w:kern w:val="0"/>
          <w:sz w:val="24"/>
          <w:szCs w:val="20"/>
          <w:highlight w:val="none"/>
        </w:rPr>
        <w:t xml:space="preserve">（3）成立和/或注册日期：                       </w:t>
      </w:r>
    </w:p>
    <w:p w14:paraId="72E82136">
      <w:pPr>
        <w:tabs>
          <w:tab w:val="left" w:pos="5580"/>
        </w:tabs>
        <w:adjustRightInd w:val="0"/>
        <w:spacing w:before="120" w:line="360" w:lineRule="exact"/>
        <w:jc w:val="left"/>
        <w:textAlignment w:val="baseline"/>
        <w:rPr>
          <w:kern w:val="0"/>
          <w:sz w:val="24"/>
          <w:szCs w:val="20"/>
          <w:highlight w:val="none"/>
        </w:rPr>
      </w:pPr>
      <w:r>
        <w:rPr>
          <w:kern w:val="0"/>
          <w:sz w:val="24"/>
          <w:szCs w:val="20"/>
          <w:highlight w:val="none"/>
        </w:rPr>
        <w:t xml:space="preserve">（4）企业性质：                                </w:t>
      </w:r>
    </w:p>
    <w:p w14:paraId="2962211B">
      <w:pPr>
        <w:tabs>
          <w:tab w:val="left" w:pos="5580"/>
        </w:tabs>
        <w:adjustRightInd w:val="0"/>
        <w:spacing w:before="120" w:line="360" w:lineRule="exact"/>
        <w:jc w:val="left"/>
        <w:textAlignment w:val="baseline"/>
        <w:rPr>
          <w:kern w:val="0"/>
          <w:sz w:val="24"/>
          <w:szCs w:val="20"/>
          <w:highlight w:val="none"/>
        </w:rPr>
      </w:pPr>
      <w:r>
        <w:rPr>
          <w:kern w:val="0"/>
          <w:sz w:val="24"/>
          <w:szCs w:val="20"/>
          <w:highlight w:val="none"/>
        </w:rPr>
        <w:t xml:space="preserve">（5）法定代表人：                    </w:t>
      </w:r>
    </w:p>
    <w:p w14:paraId="0FA98D8D">
      <w:pPr>
        <w:tabs>
          <w:tab w:val="left" w:pos="5580"/>
        </w:tabs>
        <w:adjustRightInd w:val="0"/>
        <w:spacing w:before="120" w:line="360" w:lineRule="exact"/>
        <w:jc w:val="left"/>
        <w:textAlignment w:val="baseline"/>
        <w:rPr>
          <w:kern w:val="0"/>
          <w:sz w:val="24"/>
          <w:szCs w:val="20"/>
          <w:highlight w:val="none"/>
        </w:rPr>
      </w:pPr>
      <w:r>
        <w:rPr>
          <w:kern w:val="0"/>
          <w:sz w:val="24"/>
          <w:szCs w:val="20"/>
          <w:highlight w:val="none"/>
        </w:rPr>
        <w:t xml:space="preserve">（6）注册资本：                                        </w:t>
      </w:r>
    </w:p>
    <w:p w14:paraId="7FE25780">
      <w:pPr>
        <w:tabs>
          <w:tab w:val="left" w:pos="5580"/>
        </w:tabs>
        <w:adjustRightInd w:val="0"/>
        <w:spacing w:before="120" w:line="360" w:lineRule="exact"/>
        <w:jc w:val="left"/>
        <w:textAlignment w:val="baseline"/>
        <w:rPr>
          <w:kern w:val="0"/>
          <w:sz w:val="24"/>
          <w:szCs w:val="20"/>
          <w:highlight w:val="none"/>
        </w:rPr>
      </w:pPr>
      <w:r>
        <w:rPr>
          <w:b/>
          <w:kern w:val="0"/>
          <w:sz w:val="24"/>
          <w:szCs w:val="20"/>
          <w:highlight w:val="none"/>
        </w:rPr>
        <w:t>2、单位基本情况介绍：</w:t>
      </w:r>
    </w:p>
    <w:p w14:paraId="442C0C63">
      <w:pPr>
        <w:tabs>
          <w:tab w:val="left" w:pos="5580"/>
        </w:tabs>
        <w:adjustRightInd w:val="0"/>
        <w:spacing w:before="120" w:line="360" w:lineRule="exact"/>
        <w:jc w:val="left"/>
        <w:textAlignment w:val="baseline"/>
        <w:rPr>
          <w:kern w:val="0"/>
          <w:sz w:val="24"/>
          <w:szCs w:val="20"/>
          <w:highlight w:val="none"/>
        </w:rPr>
      </w:pPr>
    </w:p>
    <w:p w14:paraId="63B63E93">
      <w:pPr>
        <w:tabs>
          <w:tab w:val="left" w:pos="5580"/>
        </w:tabs>
        <w:adjustRightInd w:val="0"/>
        <w:spacing w:before="120" w:line="360" w:lineRule="exact"/>
        <w:jc w:val="left"/>
        <w:textAlignment w:val="baseline"/>
        <w:rPr>
          <w:kern w:val="0"/>
          <w:sz w:val="24"/>
          <w:szCs w:val="20"/>
          <w:highlight w:val="none"/>
        </w:rPr>
      </w:pPr>
    </w:p>
    <w:p w14:paraId="3581A066">
      <w:pPr>
        <w:tabs>
          <w:tab w:val="left" w:pos="5580"/>
        </w:tabs>
        <w:adjustRightInd w:val="0"/>
        <w:spacing w:before="120" w:line="360" w:lineRule="exact"/>
        <w:jc w:val="left"/>
        <w:textAlignment w:val="baseline"/>
        <w:rPr>
          <w:kern w:val="0"/>
          <w:sz w:val="24"/>
          <w:szCs w:val="20"/>
          <w:highlight w:val="none"/>
        </w:rPr>
      </w:pPr>
    </w:p>
    <w:p w14:paraId="184FE656">
      <w:pPr>
        <w:tabs>
          <w:tab w:val="left" w:pos="5580"/>
        </w:tabs>
        <w:adjustRightInd w:val="0"/>
        <w:spacing w:before="120" w:line="360" w:lineRule="exact"/>
        <w:jc w:val="left"/>
        <w:textAlignment w:val="baseline"/>
        <w:rPr>
          <w:kern w:val="0"/>
          <w:sz w:val="24"/>
          <w:szCs w:val="20"/>
          <w:highlight w:val="none"/>
        </w:rPr>
      </w:pPr>
    </w:p>
    <w:p w14:paraId="485ADDF6">
      <w:pPr>
        <w:autoSpaceDE w:val="0"/>
        <w:autoSpaceDN w:val="0"/>
        <w:spacing w:line="360" w:lineRule="auto"/>
        <w:ind w:right="896"/>
        <w:textAlignment w:val="bottom"/>
        <w:rPr>
          <w:sz w:val="24"/>
          <w:highlight w:val="none"/>
        </w:rPr>
      </w:pPr>
      <w:r>
        <w:rPr>
          <w:sz w:val="24"/>
          <w:highlight w:val="none"/>
        </w:rPr>
        <w:t>供应商授权代表签字：</w:t>
      </w:r>
      <w:r>
        <w:rPr>
          <w:sz w:val="24"/>
          <w:highlight w:val="none"/>
          <w:u w:val="single"/>
        </w:rPr>
        <w:t xml:space="preserve">                       </w:t>
      </w:r>
      <w:r>
        <w:rPr>
          <w:sz w:val="24"/>
          <w:highlight w:val="none"/>
        </w:rPr>
        <w:t xml:space="preserve"> </w:t>
      </w:r>
    </w:p>
    <w:p w14:paraId="072E6DD4">
      <w:pPr>
        <w:autoSpaceDE w:val="0"/>
        <w:autoSpaceDN w:val="0"/>
        <w:spacing w:line="360" w:lineRule="auto"/>
        <w:ind w:right="896"/>
        <w:textAlignment w:val="bottom"/>
        <w:rPr>
          <w:sz w:val="24"/>
          <w:highlight w:val="none"/>
        </w:rPr>
      </w:pPr>
      <w:r>
        <w:rPr>
          <w:sz w:val="24"/>
          <w:highlight w:val="none"/>
        </w:rPr>
        <w:t>供应商名称：</w:t>
      </w:r>
      <w:r>
        <w:rPr>
          <w:sz w:val="24"/>
          <w:highlight w:val="none"/>
          <w:u w:val="single"/>
        </w:rPr>
        <w:t xml:space="preserve">                       </w:t>
      </w:r>
      <w:r>
        <w:rPr>
          <w:sz w:val="24"/>
          <w:highlight w:val="none"/>
        </w:rPr>
        <w:t>（加盖公章）</w:t>
      </w:r>
    </w:p>
    <w:p w14:paraId="6EBE688D">
      <w:pPr>
        <w:autoSpaceDE w:val="0"/>
        <w:autoSpaceDN w:val="0"/>
        <w:spacing w:line="360" w:lineRule="auto"/>
        <w:ind w:right="896"/>
        <w:textAlignment w:val="bottom"/>
        <w:rPr>
          <w:sz w:val="24"/>
          <w:highlight w:val="none"/>
        </w:rPr>
      </w:pPr>
      <w:r>
        <w:rPr>
          <w:sz w:val="24"/>
          <w:highlight w:val="none"/>
        </w:rPr>
        <w:t>日期：</w:t>
      </w:r>
      <w:r>
        <w:rPr>
          <w:sz w:val="24"/>
          <w:highlight w:val="none"/>
          <w:u w:val="single"/>
        </w:rPr>
        <w:t xml:space="preserve">                         </w:t>
      </w:r>
    </w:p>
    <w:p w14:paraId="2E369D4E">
      <w:pPr>
        <w:pStyle w:val="27"/>
        <w:rPr>
          <w:rFonts w:ascii="Times New Roman" w:hAnsi="Times New Roman"/>
          <w:highlight w:val="none"/>
        </w:rPr>
      </w:pPr>
      <w:r>
        <w:rPr>
          <w:rFonts w:ascii="Times New Roman" w:hAnsi="Times New Roman"/>
          <w:highlight w:val="none"/>
        </w:rPr>
        <w:br w:type="page"/>
      </w:r>
    </w:p>
    <w:p w14:paraId="0A69F22C">
      <w:pPr>
        <w:pStyle w:val="27"/>
        <w:tabs>
          <w:tab w:val="left" w:pos="2520"/>
          <w:tab w:val="left" w:pos="3045"/>
          <w:tab w:val="left" w:pos="5580"/>
        </w:tabs>
        <w:spacing w:line="360" w:lineRule="auto"/>
        <w:jc w:val="center"/>
        <w:outlineLvl w:val="1"/>
        <w:rPr>
          <w:rFonts w:ascii="Times New Roman" w:hAnsi="Times New Roman"/>
          <w:b/>
          <w:bCs/>
          <w:sz w:val="24"/>
          <w:szCs w:val="24"/>
          <w:highlight w:val="none"/>
        </w:rPr>
      </w:pPr>
      <w:r>
        <w:rPr>
          <w:rFonts w:ascii="Segoe UI Symbol" w:hAnsi="Segoe UI Symbol" w:cs="Segoe UI Symbol"/>
          <w:b/>
          <w:bCs/>
          <w:sz w:val="24"/>
          <w:highlight w:val="none"/>
        </w:rPr>
        <w:t>★</w:t>
      </w:r>
      <w:r>
        <w:rPr>
          <w:rFonts w:ascii="Times New Roman" w:hAnsi="Times New Roman"/>
          <w:b/>
          <w:bCs/>
          <w:sz w:val="24"/>
          <w:highlight w:val="none"/>
        </w:rPr>
        <w:t>附件</w:t>
      </w:r>
      <w:r>
        <w:rPr>
          <w:rFonts w:hint="eastAsia" w:ascii="Times New Roman" w:hAnsi="Times New Roman"/>
          <w:b/>
          <w:bCs/>
          <w:sz w:val="24"/>
          <w:highlight w:val="none"/>
        </w:rPr>
        <w:t>6-5：</w:t>
      </w:r>
      <w:r>
        <w:rPr>
          <w:rFonts w:ascii="Times New Roman" w:hAnsi="Times New Roman"/>
          <w:b/>
          <w:bCs/>
          <w:sz w:val="24"/>
          <w:highlight w:val="none"/>
        </w:rPr>
        <w:t>磋商谈判日前3个月内</w:t>
      </w:r>
      <w:r>
        <w:rPr>
          <w:rFonts w:ascii="Times New Roman" w:hAnsi="Times New Roman"/>
          <w:b/>
          <w:bCs/>
          <w:sz w:val="24"/>
          <w:szCs w:val="24"/>
          <w:highlight w:val="none"/>
        </w:rPr>
        <w:t>银行出具盖章的资信证明文件或公司上一年度（2024年度）经会计师事务所盖章审计的财务审计报告</w:t>
      </w:r>
    </w:p>
    <w:p w14:paraId="5003D6CC">
      <w:pPr>
        <w:rPr>
          <w:highlight w:val="none"/>
        </w:rPr>
      </w:pPr>
    </w:p>
    <w:p w14:paraId="4C2EC1C7">
      <w:pPr>
        <w:pStyle w:val="27"/>
        <w:tabs>
          <w:tab w:val="left" w:pos="2520"/>
          <w:tab w:val="left" w:pos="3045"/>
          <w:tab w:val="left" w:pos="5580"/>
        </w:tabs>
        <w:spacing w:line="360" w:lineRule="auto"/>
        <w:ind w:firstLine="1446" w:firstLineChars="600"/>
        <w:rPr>
          <w:rFonts w:ascii="Times New Roman" w:hAnsi="Times New Roman"/>
          <w:b/>
          <w:bCs/>
          <w:sz w:val="24"/>
          <w:szCs w:val="24"/>
          <w:highlight w:val="none"/>
        </w:rPr>
      </w:pPr>
      <w:r>
        <w:rPr>
          <w:rFonts w:ascii="Times New Roman" w:hAnsi="Times New Roman"/>
          <w:b/>
          <w:bCs/>
          <w:sz w:val="24"/>
          <w:szCs w:val="24"/>
          <w:highlight w:val="none"/>
        </w:rPr>
        <w:t>（供应商必须提供，但由专业担保机构已出具投标担保函的除外）</w:t>
      </w:r>
    </w:p>
    <w:p w14:paraId="40C1FB94">
      <w:pPr>
        <w:rPr>
          <w:highlight w:val="none"/>
        </w:rPr>
      </w:pPr>
    </w:p>
    <w:p w14:paraId="1C4865E7">
      <w:pPr>
        <w:tabs>
          <w:tab w:val="left" w:pos="5580"/>
        </w:tabs>
        <w:spacing w:before="120" w:line="360" w:lineRule="auto"/>
        <w:rPr>
          <w:sz w:val="24"/>
          <w:highlight w:val="none"/>
        </w:rPr>
      </w:pPr>
      <w:r>
        <w:rPr>
          <w:sz w:val="24"/>
          <w:highlight w:val="none"/>
        </w:rPr>
        <w:t>说明：</w:t>
      </w:r>
    </w:p>
    <w:p w14:paraId="597ACA2F">
      <w:pPr>
        <w:tabs>
          <w:tab w:val="left" w:pos="5580"/>
        </w:tabs>
        <w:spacing w:before="120" w:line="360" w:lineRule="auto"/>
        <w:ind w:left="522" w:leftChars="100" w:hanging="312" w:hangingChars="130"/>
        <w:rPr>
          <w:sz w:val="24"/>
          <w:highlight w:val="none"/>
        </w:rPr>
      </w:pPr>
      <w:r>
        <w:rPr>
          <w:sz w:val="24"/>
          <w:highlight w:val="none"/>
        </w:rPr>
        <w:t>1、供应商要求提供磋商谈判日前3个月内银行出具盖章的资信证明文件或公司上一年度（2024年度）经会计师事务所盖章审计的财务审计报告。银行资信证明可提供原件，也可提供开户银行在磋商谈判日前三个月内开具资信证明的复印件。若提供的是复印件，采购人和采购代理机构保留审核原件的权利。</w:t>
      </w:r>
    </w:p>
    <w:p w14:paraId="4E1561E5">
      <w:pPr>
        <w:tabs>
          <w:tab w:val="left" w:pos="5580"/>
        </w:tabs>
        <w:spacing w:before="120" w:line="360" w:lineRule="auto"/>
        <w:ind w:left="522" w:leftChars="100" w:hanging="312" w:hangingChars="130"/>
        <w:rPr>
          <w:sz w:val="24"/>
          <w:highlight w:val="none"/>
        </w:rPr>
      </w:pPr>
      <w:r>
        <w:rPr>
          <w:sz w:val="24"/>
          <w:highlight w:val="none"/>
        </w:rPr>
        <w:t>2、银行资信证明应能说明该供应商与银行之间业务往来正常，企业信誉良好等。</w:t>
      </w:r>
    </w:p>
    <w:p w14:paraId="54A12DA3">
      <w:pPr>
        <w:spacing w:line="360" w:lineRule="auto"/>
        <w:outlineLvl w:val="1"/>
        <w:rPr>
          <w:b/>
          <w:bCs/>
          <w:sz w:val="24"/>
          <w:highlight w:val="none"/>
        </w:rPr>
      </w:pPr>
      <w:r>
        <w:rPr>
          <w:highlight w:val="none"/>
        </w:rPr>
        <w:br w:type="page"/>
      </w:r>
      <w:r>
        <w:rPr>
          <w:rFonts w:ascii="Segoe UI Symbol" w:hAnsi="Segoe UI Symbol" w:cs="Segoe UI Symbol"/>
          <w:b/>
          <w:bCs/>
          <w:sz w:val="24"/>
          <w:highlight w:val="none"/>
        </w:rPr>
        <w:t>★</w:t>
      </w:r>
      <w:r>
        <w:rPr>
          <w:rFonts w:hint="eastAsia" w:ascii="Segoe UI Symbol" w:hAnsi="Segoe UI Symbol" w:cs="Segoe UI Symbol"/>
          <w:b/>
          <w:bCs/>
          <w:sz w:val="24"/>
          <w:highlight w:val="none"/>
        </w:rPr>
        <w:t>附件</w:t>
      </w:r>
      <w:r>
        <w:rPr>
          <w:rFonts w:hint="eastAsia"/>
          <w:b/>
          <w:bCs/>
          <w:sz w:val="24"/>
          <w:highlight w:val="none"/>
        </w:rPr>
        <w:t>6-6：</w:t>
      </w:r>
      <w:r>
        <w:rPr>
          <w:b/>
          <w:bCs/>
          <w:sz w:val="24"/>
          <w:highlight w:val="none"/>
        </w:rPr>
        <w:t>依法缴纳税收的记录（提供投标截止日期之前12个月内任何一期纳税记录复印件，缴纳记录须体现有银行或税务部门印章，自行编写或网页截图无效）（依法免税的供应商，须提供相应文件证明其依法免税）</w:t>
      </w:r>
    </w:p>
    <w:p w14:paraId="3CEABF92">
      <w:pPr>
        <w:spacing w:line="360" w:lineRule="auto"/>
        <w:rPr>
          <w:rFonts w:ascii="Segoe UI Symbol" w:hAnsi="Segoe UI Symbol" w:cs="Segoe UI Symbol"/>
          <w:b/>
          <w:bCs/>
          <w:sz w:val="24"/>
          <w:highlight w:val="none"/>
        </w:rPr>
      </w:pPr>
    </w:p>
    <w:p w14:paraId="1349ABE0">
      <w:pPr>
        <w:spacing w:line="360" w:lineRule="auto"/>
        <w:rPr>
          <w:rFonts w:ascii="Segoe UI Symbol" w:hAnsi="Segoe UI Symbol" w:cs="Segoe UI Symbol"/>
          <w:b/>
          <w:bCs/>
          <w:sz w:val="24"/>
          <w:highlight w:val="none"/>
        </w:rPr>
      </w:pPr>
    </w:p>
    <w:p w14:paraId="685A0C98">
      <w:pPr>
        <w:spacing w:line="360" w:lineRule="auto"/>
        <w:outlineLvl w:val="1"/>
        <w:rPr>
          <w:b/>
          <w:bCs/>
          <w:sz w:val="24"/>
          <w:highlight w:val="none"/>
        </w:rPr>
      </w:pPr>
      <w:r>
        <w:rPr>
          <w:rFonts w:ascii="Segoe UI Symbol" w:hAnsi="Segoe UI Symbol" w:cs="Segoe UI Symbol"/>
          <w:b/>
          <w:bCs/>
          <w:sz w:val="24"/>
          <w:highlight w:val="none"/>
        </w:rPr>
        <w:t>★</w:t>
      </w:r>
      <w:r>
        <w:rPr>
          <w:rFonts w:hint="eastAsia" w:ascii="Segoe UI Symbol" w:hAnsi="Segoe UI Symbol" w:cs="Segoe UI Symbol"/>
          <w:b/>
          <w:bCs/>
          <w:sz w:val="24"/>
          <w:highlight w:val="none"/>
        </w:rPr>
        <w:t>附件</w:t>
      </w:r>
      <w:r>
        <w:rPr>
          <w:rFonts w:hint="eastAsia"/>
          <w:b/>
          <w:bCs/>
          <w:sz w:val="24"/>
          <w:highlight w:val="none"/>
        </w:rPr>
        <w:t>6-7：</w:t>
      </w:r>
      <w:r>
        <w:rPr>
          <w:b/>
          <w:bCs/>
          <w:sz w:val="24"/>
          <w:highlight w:val="none"/>
        </w:rPr>
        <w:t>依法缴纳社会保障资金的记录（提供投标截止日期之前12个月内任何一期缴费记录复印件，缴纳记录须体现有银行或税务部门或社保部门印章，自行编写或网页截图无效）（依法不需要缴纳社会保障资金的供应商，须提供相应文件证明其依法不需要缴纳社会保障资金）</w:t>
      </w:r>
    </w:p>
    <w:p w14:paraId="301A29D5">
      <w:pPr>
        <w:spacing w:line="360" w:lineRule="auto"/>
        <w:rPr>
          <w:rFonts w:ascii="Segoe UI Symbol" w:hAnsi="Segoe UI Symbol" w:cs="Segoe UI Symbol"/>
          <w:b/>
          <w:bCs/>
          <w:sz w:val="24"/>
          <w:highlight w:val="none"/>
        </w:rPr>
      </w:pPr>
    </w:p>
    <w:p w14:paraId="12404A14">
      <w:pPr>
        <w:spacing w:line="360" w:lineRule="auto"/>
        <w:rPr>
          <w:rFonts w:ascii="Segoe UI Symbol" w:hAnsi="Segoe UI Symbol" w:cs="Segoe UI Symbol"/>
          <w:b/>
          <w:bCs/>
          <w:sz w:val="24"/>
          <w:highlight w:val="none"/>
        </w:rPr>
      </w:pPr>
    </w:p>
    <w:p w14:paraId="69FA5CDD">
      <w:pPr>
        <w:spacing w:line="360" w:lineRule="auto"/>
        <w:outlineLvl w:val="1"/>
        <w:rPr>
          <w:b/>
          <w:bCs/>
          <w:sz w:val="24"/>
          <w:highlight w:val="none"/>
        </w:rPr>
      </w:pPr>
      <w:r>
        <w:rPr>
          <w:rFonts w:ascii="Segoe UI Symbol" w:hAnsi="Segoe UI Symbol" w:cs="Segoe UI Symbol"/>
          <w:b/>
          <w:bCs/>
          <w:sz w:val="24"/>
          <w:highlight w:val="none"/>
        </w:rPr>
        <w:t>★</w:t>
      </w:r>
      <w:r>
        <w:rPr>
          <w:rFonts w:hint="eastAsia" w:ascii="Segoe UI Symbol" w:hAnsi="Segoe UI Symbol" w:cs="Segoe UI Symbol"/>
          <w:b/>
          <w:bCs/>
          <w:sz w:val="24"/>
          <w:highlight w:val="none"/>
        </w:rPr>
        <w:t>附件</w:t>
      </w:r>
      <w:r>
        <w:rPr>
          <w:rFonts w:hint="eastAsia"/>
          <w:b/>
          <w:bCs/>
          <w:sz w:val="24"/>
          <w:highlight w:val="none"/>
        </w:rPr>
        <w:t>6-8：</w:t>
      </w:r>
      <w:r>
        <w:rPr>
          <w:b/>
          <w:bCs/>
          <w:sz w:val="24"/>
          <w:highlight w:val="none"/>
        </w:rPr>
        <w:t>参加政府采购活动前三年内，在经营活动中没有重大违法记录声明。（格式自拟，加盖公章）</w:t>
      </w:r>
    </w:p>
    <w:p w14:paraId="4442E0F0">
      <w:pPr>
        <w:spacing w:line="360" w:lineRule="auto"/>
        <w:rPr>
          <w:rFonts w:ascii="Segoe UI Symbol" w:hAnsi="Segoe UI Symbol" w:cs="Segoe UI Symbol"/>
          <w:b/>
          <w:bCs/>
          <w:sz w:val="24"/>
          <w:highlight w:val="none"/>
        </w:rPr>
      </w:pPr>
    </w:p>
    <w:p w14:paraId="45E2BA87">
      <w:pPr>
        <w:spacing w:line="360" w:lineRule="auto"/>
        <w:rPr>
          <w:rFonts w:ascii="Segoe UI Symbol" w:hAnsi="Segoe UI Symbol" w:cs="Segoe UI Symbol"/>
          <w:b/>
          <w:bCs/>
          <w:sz w:val="24"/>
          <w:highlight w:val="none"/>
        </w:rPr>
      </w:pPr>
    </w:p>
    <w:p w14:paraId="5FC64E2D">
      <w:pPr>
        <w:spacing w:line="360" w:lineRule="auto"/>
        <w:outlineLvl w:val="1"/>
        <w:rPr>
          <w:b/>
          <w:bCs/>
          <w:sz w:val="24"/>
          <w:highlight w:val="none"/>
        </w:rPr>
      </w:pPr>
      <w:r>
        <w:rPr>
          <w:rFonts w:ascii="Segoe UI Symbol" w:hAnsi="Segoe UI Symbol" w:cs="Segoe UI Symbol"/>
          <w:b/>
          <w:bCs/>
          <w:sz w:val="24"/>
          <w:highlight w:val="none"/>
        </w:rPr>
        <w:t>★</w:t>
      </w:r>
      <w:r>
        <w:rPr>
          <w:rFonts w:hint="eastAsia" w:ascii="Segoe UI Symbol" w:hAnsi="Segoe UI Symbol" w:cs="Segoe UI Symbol"/>
          <w:b/>
          <w:bCs/>
          <w:sz w:val="24"/>
          <w:highlight w:val="none"/>
        </w:rPr>
        <w:t>附件</w:t>
      </w:r>
      <w:r>
        <w:rPr>
          <w:rFonts w:hint="eastAsia"/>
          <w:b/>
          <w:bCs/>
          <w:sz w:val="24"/>
          <w:highlight w:val="none"/>
        </w:rPr>
        <w:t>6-9：</w:t>
      </w:r>
      <w:r>
        <w:rPr>
          <w:b/>
          <w:bCs/>
          <w:sz w:val="24"/>
          <w:highlight w:val="none"/>
        </w:rPr>
        <w:t>具有良好商业信誉和健全财务会计制度的财务状况的承诺（格式自拟，加盖公章）</w:t>
      </w:r>
    </w:p>
    <w:p w14:paraId="6D46DA9D">
      <w:pPr>
        <w:spacing w:line="360" w:lineRule="auto"/>
        <w:rPr>
          <w:rFonts w:ascii="Segoe UI Symbol" w:hAnsi="Segoe UI Symbol" w:cs="Segoe UI Symbol"/>
          <w:b/>
          <w:bCs/>
          <w:sz w:val="24"/>
          <w:highlight w:val="none"/>
        </w:rPr>
      </w:pPr>
    </w:p>
    <w:p w14:paraId="7DCC1C2C">
      <w:pPr>
        <w:spacing w:line="360" w:lineRule="auto"/>
        <w:rPr>
          <w:rFonts w:ascii="Segoe UI Symbol" w:hAnsi="Segoe UI Symbol" w:cs="Segoe UI Symbol"/>
          <w:b/>
          <w:bCs/>
          <w:sz w:val="24"/>
          <w:highlight w:val="none"/>
        </w:rPr>
      </w:pPr>
    </w:p>
    <w:p w14:paraId="4C6394A4">
      <w:pPr>
        <w:spacing w:line="360" w:lineRule="auto"/>
        <w:outlineLvl w:val="1"/>
        <w:rPr>
          <w:b/>
          <w:bCs/>
          <w:sz w:val="24"/>
          <w:highlight w:val="none"/>
        </w:rPr>
      </w:pPr>
      <w:r>
        <w:rPr>
          <w:rFonts w:ascii="Segoe UI Symbol" w:hAnsi="Segoe UI Symbol" w:cs="Segoe UI Symbol"/>
          <w:b/>
          <w:bCs/>
          <w:sz w:val="24"/>
          <w:highlight w:val="none"/>
        </w:rPr>
        <w:t>★</w:t>
      </w:r>
      <w:r>
        <w:rPr>
          <w:rFonts w:hint="eastAsia" w:ascii="Segoe UI Symbol" w:hAnsi="Segoe UI Symbol" w:cs="Segoe UI Symbol"/>
          <w:b/>
          <w:bCs/>
          <w:sz w:val="24"/>
          <w:highlight w:val="none"/>
        </w:rPr>
        <w:t>附件</w:t>
      </w:r>
      <w:r>
        <w:rPr>
          <w:rFonts w:hint="eastAsia"/>
          <w:b/>
          <w:bCs/>
          <w:sz w:val="24"/>
          <w:highlight w:val="none"/>
        </w:rPr>
        <w:t>6-</w:t>
      </w:r>
      <w:r>
        <w:rPr>
          <w:b/>
          <w:bCs/>
          <w:sz w:val="24"/>
          <w:highlight w:val="none"/>
        </w:rPr>
        <w:t>1</w:t>
      </w:r>
      <w:r>
        <w:rPr>
          <w:rFonts w:hint="eastAsia"/>
          <w:b/>
          <w:bCs/>
          <w:sz w:val="24"/>
          <w:highlight w:val="none"/>
        </w:rPr>
        <w:t>0：</w:t>
      </w:r>
      <w:r>
        <w:rPr>
          <w:b/>
          <w:bCs/>
          <w:sz w:val="24"/>
          <w:highlight w:val="none"/>
        </w:rPr>
        <w:t>具有履行合同所必需的设备和专业技术能力的承诺（格式自拟，加盖公章）</w:t>
      </w:r>
    </w:p>
    <w:p w14:paraId="654ABDD5">
      <w:pPr>
        <w:spacing w:line="360" w:lineRule="auto"/>
        <w:rPr>
          <w:rFonts w:ascii="Segoe UI Symbol" w:hAnsi="Segoe UI Symbol" w:cs="Segoe UI Symbol"/>
          <w:b/>
          <w:bCs/>
          <w:sz w:val="24"/>
          <w:highlight w:val="none"/>
        </w:rPr>
      </w:pPr>
    </w:p>
    <w:p w14:paraId="516F1180">
      <w:pPr>
        <w:spacing w:line="360" w:lineRule="auto"/>
        <w:rPr>
          <w:rFonts w:ascii="Segoe UI Symbol" w:hAnsi="Segoe UI Symbol" w:cs="Segoe UI Symbol"/>
          <w:b/>
          <w:bCs/>
          <w:sz w:val="24"/>
          <w:highlight w:val="none"/>
        </w:rPr>
      </w:pPr>
    </w:p>
    <w:p w14:paraId="30756C32">
      <w:pPr>
        <w:spacing w:line="360" w:lineRule="auto"/>
        <w:outlineLvl w:val="1"/>
        <w:rPr>
          <w:b/>
          <w:bCs/>
          <w:sz w:val="24"/>
          <w:highlight w:val="none"/>
        </w:rPr>
      </w:pPr>
      <w:r>
        <w:rPr>
          <w:rFonts w:ascii="Segoe UI Symbol" w:hAnsi="Segoe UI Symbol" w:cs="Segoe UI Symbol"/>
          <w:b/>
          <w:bCs/>
          <w:sz w:val="24"/>
          <w:highlight w:val="none"/>
        </w:rPr>
        <w:t>★</w:t>
      </w:r>
      <w:r>
        <w:rPr>
          <w:rFonts w:hint="eastAsia" w:ascii="Segoe UI Symbol" w:hAnsi="Segoe UI Symbol" w:cs="Segoe UI Symbol"/>
          <w:b/>
          <w:bCs/>
          <w:sz w:val="24"/>
          <w:highlight w:val="none"/>
        </w:rPr>
        <w:t>附件</w:t>
      </w:r>
      <w:r>
        <w:rPr>
          <w:rFonts w:hint="eastAsia"/>
          <w:b/>
          <w:bCs/>
          <w:sz w:val="24"/>
          <w:highlight w:val="none"/>
        </w:rPr>
        <w:t>6-</w:t>
      </w:r>
      <w:r>
        <w:rPr>
          <w:b/>
          <w:bCs/>
          <w:sz w:val="24"/>
          <w:highlight w:val="none"/>
        </w:rPr>
        <w:t>1</w:t>
      </w:r>
      <w:r>
        <w:rPr>
          <w:rFonts w:hint="eastAsia"/>
          <w:b/>
          <w:bCs/>
          <w:sz w:val="24"/>
          <w:highlight w:val="none"/>
        </w:rPr>
        <w:t>1：</w:t>
      </w:r>
      <w:r>
        <w:rPr>
          <w:b/>
          <w:bCs/>
          <w:sz w:val="24"/>
          <w:highlight w:val="none"/>
        </w:rPr>
        <w:t>供应商必须提供“未为本项目提供整体设计、规范编制或者项目管理、监理、检测等服务的声明”（格式自拟，加盖公章）</w:t>
      </w:r>
    </w:p>
    <w:p w14:paraId="0FC0C172">
      <w:pPr>
        <w:spacing w:line="360" w:lineRule="auto"/>
        <w:rPr>
          <w:rFonts w:ascii="Segoe UI Symbol" w:hAnsi="Segoe UI Symbol" w:cs="Segoe UI Symbol"/>
          <w:b/>
          <w:bCs/>
          <w:sz w:val="24"/>
          <w:highlight w:val="none"/>
        </w:rPr>
      </w:pPr>
    </w:p>
    <w:p w14:paraId="52F0144D">
      <w:pPr>
        <w:spacing w:line="360" w:lineRule="auto"/>
        <w:rPr>
          <w:rFonts w:ascii="Segoe UI Symbol" w:hAnsi="Segoe UI Symbol" w:cs="Segoe UI Symbol"/>
          <w:b/>
          <w:bCs/>
          <w:sz w:val="24"/>
          <w:highlight w:val="none"/>
        </w:rPr>
      </w:pPr>
    </w:p>
    <w:p w14:paraId="3AD02F42">
      <w:pPr>
        <w:spacing w:line="360" w:lineRule="auto"/>
        <w:rPr>
          <w:rFonts w:ascii="Segoe UI Symbol" w:hAnsi="Segoe UI Symbol" w:cs="Segoe UI Symbol"/>
          <w:b/>
          <w:bCs/>
          <w:sz w:val="24"/>
          <w:highlight w:val="none"/>
        </w:rPr>
      </w:pPr>
    </w:p>
    <w:p w14:paraId="174B38CE">
      <w:pPr>
        <w:spacing w:line="360" w:lineRule="auto"/>
        <w:rPr>
          <w:rFonts w:ascii="Segoe UI Symbol" w:hAnsi="Segoe UI Symbol" w:cs="Segoe UI Symbol"/>
          <w:b/>
          <w:bCs/>
          <w:sz w:val="24"/>
          <w:highlight w:val="none"/>
        </w:rPr>
      </w:pPr>
    </w:p>
    <w:p w14:paraId="6DAA2C66">
      <w:pPr>
        <w:spacing w:line="360" w:lineRule="auto"/>
        <w:rPr>
          <w:rFonts w:ascii="Segoe UI Symbol" w:hAnsi="Segoe UI Symbol" w:cs="Segoe UI Symbol"/>
          <w:b/>
          <w:bCs/>
          <w:sz w:val="24"/>
          <w:highlight w:val="none"/>
        </w:rPr>
      </w:pPr>
    </w:p>
    <w:p w14:paraId="25FD7567">
      <w:pPr>
        <w:spacing w:line="360" w:lineRule="auto"/>
        <w:outlineLvl w:val="1"/>
        <w:rPr>
          <w:b/>
          <w:bCs/>
          <w:sz w:val="24"/>
          <w:highlight w:val="none"/>
        </w:rPr>
      </w:pPr>
      <w:r>
        <w:rPr>
          <w:rFonts w:ascii="Segoe UI Symbol" w:hAnsi="Segoe UI Symbol" w:cs="Segoe UI Symbol"/>
          <w:b/>
          <w:bCs/>
          <w:sz w:val="24"/>
          <w:highlight w:val="none"/>
        </w:rPr>
        <w:t>★</w:t>
      </w:r>
      <w:r>
        <w:rPr>
          <w:rFonts w:hint="eastAsia" w:ascii="Segoe UI Symbol" w:hAnsi="Segoe UI Symbol" w:cs="Segoe UI Symbol"/>
          <w:b/>
          <w:bCs/>
          <w:sz w:val="24"/>
          <w:highlight w:val="none"/>
        </w:rPr>
        <w:t>附件</w:t>
      </w:r>
      <w:r>
        <w:rPr>
          <w:rFonts w:hint="eastAsia"/>
          <w:b/>
          <w:bCs/>
          <w:sz w:val="24"/>
          <w:highlight w:val="none"/>
        </w:rPr>
        <w:t>6-12：</w:t>
      </w:r>
      <w:r>
        <w:rPr>
          <w:b/>
          <w:bCs/>
          <w:sz w:val="24"/>
          <w:highlight w:val="none"/>
        </w:rPr>
        <w:t>供应商必须提供“控股股东名称、控股企业的名称和存在管理、被管理关系的单位名称且不存在以上有关联关系单位同时参加同一项目投标的说明”（</w:t>
      </w:r>
      <w:r>
        <w:rPr>
          <w:rFonts w:hint="eastAsia"/>
          <w:b/>
          <w:bCs/>
          <w:sz w:val="24"/>
          <w:highlight w:val="none"/>
        </w:rPr>
        <w:t>统一格式</w:t>
      </w:r>
      <w:r>
        <w:rPr>
          <w:b/>
          <w:bCs/>
          <w:sz w:val="24"/>
          <w:highlight w:val="none"/>
        </w:rPr>
        <w:t>，加盖公章）</w:t>
      </w:r>
    </w:p>
    <w:p w14:paraId="190F3D7B">
      <w:pPr>
        <w:pStyle w:val="44"/>
        <w:spacing w:before="0" w:after="0" w:line="360" w:lineRule="auto"/>
        <w:jc w:val="both"/>
        <w:outlineLvl w:val="9"/>
        <w:rPr>
          <w:rFonts w:hint="eastAsia" w:ascii="宋体" w:hAnsi="宋体" w:cs="宋体"/>
          <w:b w:val="0"/>
          <w:bCs w:val="0"/>
          <w:sz w:val="24"/>
          <w:szCs w:val="24"/>
          <w:highlight w:val="none"/>
        </w:rPr>
      </w:pPr>
    </w:p>
    <w:p w14:paraId="0F4BC17D">
      <w:pPr>
        <w:pStyle w:val="44"/>
        <w:spacing w:before="0" w:after="0" w:line="360" w:lineRule="auto"/>
        <w:jc w:val="both"/>
        <w:outlineLvl w:val="9"/>
        <w:rPr>
          <w:rFonts w:hint="eastAsia" w:ascii="宋体" w:hAnsi="宋体" w:cs="宋体"/>
          <w:b w:val="0"/>
          <w:bCs w:val="0"/>
          <w:sz w:val="24"/>
          <w:szCs w:val="24"/>
          <w:highlight w:val="none"/>
        </w:rPr>
      </w:pPr>
      <w:r>
        <w:rPr>
          <w:rFonts w:hint="eastAsia" w:ascii="宋体" w:hAnsi="宋体" w:cs="宋体"/>
          <w:b w:val="0"/>
          <w:bCs w:val="0"/>
          <w:sz w:val="24"/>
          <w:szCs w:val="24"/>
          <w:highlight w:val="none"/>
        </w:rPr>
        <w:t>致东方国际招标有限责任公司：</w:t>
      </w:r>
    </w:p>
    <w:p w14:paraId="3A8D050B">
      <w:pPr>
        <w:pStyle w:val="44"/>
        <w:spacing w:before="0" w:after="0" w:line="360" w:lineRule="auto"/>
        <w:ind w:firstLine="480" w:firstLineChars="200"/>
        <w:jc w:val="both"/>
        <w:outlineLvl w:val="9"/>
        <w:rPr>
          <w:rFonts w:hint="eastAsia" w:ascii="宋体" w:hAnsi="宋体" w:cs="宋体"/>
          <w:b w:val="0"/>
          <w:bCs w:val="0"/>
          <w:sz w:val="24"/>
          <w:szCs w:val="24"/>
          <w:highlight w:val="none"/>
        </w:rPr>
      </w:pPr>
      <w:r>
        <w:rPr>
          <w:rFonts w:hint="eastAsia" w:ascii="宋体" w:hAnsi="宋体" w:cs="宋体"/>
          <w:b w:val="0"/>
          <w:bCs w:val="0"/>
          <w:sz w:val="24"/>
          <w:szCs w:val="24"/>
          <w:highlight w:val="none"/>
        </w:rPr>
        <w:t>我单位承诺：单位负责人为同一人或者存在直接控股、管理关系的不同供应商单位，未参加同一合同项下的政府采购活动。</w:t>
      </w:r>
    </w:p>
    <w:p w14:paraId="6583840A">
      <w:pPr>
        <w:widowControl/>
        <w:tabs>
          <w:tab w:val="left" w:pos="5580"/>
        </w:tabs>
        <w:adjustRightInd w:val="0"/>
        <w:snapToGrid w:val="0"/>
        <w:spacing w:line="360" w:lineRule="auto"/>
        <w:ind w:firstLine="480" w:firstLineChars="200"/>
        <w:jc w:val="left"/>
        <w:rPr>
          <w:sz w:val="24"/>
          <w:highlight w:val="none"/>
        </w:rPr>
      </w:pPr>
      <w:r>
        <w:rPr>
          <w:sz w:val="24"/>
          <w:highlight w:val="none"/>
          <w:lang w:bidi="ar"/>
        </w:rPr>
        <w:t>与我单位存在“单位负责人为同一人或者存在直接控股、管理关系”的其他法人单位信息如下</w:t>
      </w:r>
      <w:r>
        <w:rPr>
          <w:rFonts w:hint="eastAsia"/>
          <w:sz w:val="24"/>
          <w:highlight w:val="none"/>
          <w:lang w:bidi="ar"/>
        </w:rPr>
        <w:t>（如有，不论其是否参加同一合同项下的政府采购活动均须填写；如不存在相关单位，须填写“无”）</w:t>
      </w:r>
      <w:r>
        <w:rPr>
          <w:sz w:val="24"/>
          <w:highlight w:val="none"/>
          <w:lang w:bidi="ar"/>
        </w:rPr>
        <w:t>：</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5"/>
        <w:gridCol w:w="3095"/>
        <w:gridCol w:w="3096"/>
      </w:tblGrid>
      <w:tr w14:paraId="5ECA4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53888DAD">
            <w:pPr>
              <w:widowControl/>
              <w:tabs>
                <w:tab w:val="left" w:pos="5580"/>
              </w:tabs>
              <w:adjustRightInd w:val="0"/>
              <w:snapToGrid w:val="0"/>
              <w:spacing w:line="360" w:lineRule="auto"/>
              <w:jc w:val="center"/>
              <w:rPr>
                <w:sz w:val="24"/>
                <w:highlight w:val="none"/>
                <w:lang w:bidi="ar"/>
              </w:rPr>
            </w:pPr>
            <w:r>
              <w:rPr>
                <w:sz w:val="24"/>
                <w:highlight w:val="none"/>
                <w:lang w:bidi="ar"/>
              </w:rPr>
              <w:t>序号</w:t>
            </w:r>
          </w:p>
        </w:tc>
        <w:tc>
          <w:tcPr>
            <w:tcW w:w="3095" w:type="dxa"/>
          </w:tcPr>
          <w:p w14:paraId="4CE2984C">
            <w:pPr>
              <w:widowControl/>
              <w:tabs>
                <w:tab w:val="left" w:pos="5580"/>
              </w:tabs>
              <w:adjustRightInd w:val="0"/>
              <w:snapToGrid w:val="0"/>
              <w:spacing w:line="360" w:lineRule="auto"/>
              <w:jc w:val="center"/>
              <w:rPr>
                <w:sz w:val="24"/>
                <w:highlight w:val="none"/>
                <w:lang w:bidi="ar"/>
              </w:rPr>
            </w:pPr>
            <w:r>
              <w:rPr>
                <w:sz w:val="24"/>
                <w:highlight w:val="none"/>
                <w:lang w:bidi="ar"/>
              </w:rPr>
              <w:t>单位名称</w:t>
            </w:r>
          </w:p>
        </w:tc>
        <w:tc>
          <w:tcPr>
            <w:tcW w:w="3096" w:type="dxa"/>
          </w:tcPr>
          <w:p w14:paraId="663B10BE">
            <w:pPr>
              <w:widowControl/>
              <w:tabs>
                <w:tab w:val="left" w:pos="5580"/>
              </w:tabs>
              <w:adjustRightInd w:val="0"/>
              <w:snapToGrid w:val="0"/>
              <w:spacing w:line="360" w:lineRule="auto"/>
              <w:jc w:val="center"/>
              <w:rPr>
                <w:sz w:val="24"/>
                <w:highlight w:val="none"/>
                <w:lang w:bidi="ar"/>
              </w:rPr>
            </w:pPr>
            <w:r>
              <w:rPr>
                <w:sz w:val="24"/>
                <w:highlight w:val="none"/>
                <w:lang w:bidi="ar"/>
              </w:rPr>
              <w:t>相互关系</w:t>
            </w:r>
          </w:p>
        </w:tc>
      </w:tr>
      <w:tr w14:paraId="7B40F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096B052B">
            <w:pPr>
              <w:widowControl/>
              <w:tabs>
                <w:tab w:val="left" w:pos="5580"/>
              </w:tabs>
              <w:adjustRightInd w:val="0"/>
              <w:snapToGrid w:val="0"/>
              <w:spacing w:line="360" w:lineRule="auto"/>
              <w:jc w:val="left"/>
              <w:rPr>
                <w:sz w:val="24"/>
                <w:highlight w:val="none"/>
                <w:lang w:bidi="ar"/>
              </w:rPr>
            </w:pPr>
            <w:r>
              <w:rPr>
                <w:sz w:val="24"/>
                <w:highlight w:val="none"/>
                <w:lang w:bidi="ar"/>
              </w:rPr>
              <w:t xml:space="preserve">1 </w:t>
            </w:r>
          </w:p>
        </w:tc>
        <w:tc>
          <w:tcPr>
            <w:tcW w:w="3095" w:type="dxa"/>
          </w:tcPr>
          <w:p w14:paraId="2A633D85">
            <w:pPr>
              <w:widowControl/>
              <w:tabs>
                <w:tab w:val="left" w:pos="5580"/>
              </w:tabs>
              <w:adjustRightInd w:val="0"/>
              <w:snapToGrid w:val="0"/>
              <w:spacing w:line="360" w:lineRule="auto"/>
              <w:jc w:val="left"/>
              <w:rPr>
                <w:sz w:val="24"/>
                <w:highlight w:val="none"/>
                <w:lang w:bidi="ar"/>
              </w:rPr>
            </w:pPr>
          </w:p>
        </w:tc>
        <w:tc>
          <w:tcPr>
            <w:tcW w:w="3096" w:type="dxa"/>
          </w:tcPr>
          <w:p w14:paraId="69573587">
            <w:pPr>
              <w:widowControl/>
              <w:tabs>
                <w:tab w:val="left" w:pos="5580"/>
              </w:tabs>
              <w:adjustRightInd w:val="0"/>
              <w:snapToGrid w:val="0"/>
              <w:spacing w:line="360" w:lineRule="auto"/>
              <w:jc w:val="left"/>
              <w:rPr>
                <w:sz w:val="24"/>
                <w:highlight w:val="none"/>
                <w:lang w:bidi="ar"/>
              </w:rPr>
            </w:pPr>
          </w:p>
        </w:tc>
      </w:tr>
      <w:tr w14:paraId="37D42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306193F9">
            <w:pPr>
              <w:widowControl/>
              <w:tabs>
                <w:tab w:val="left" w:pos="5580"/>
              </w:tabs>
              <w:adjustRightInd w:val="0"/>
              <w:snapToGrid w:val="0"/>
              <w:spacing w:line="360" w:lineRule="auto"/>
              <w:jc w:val="left"/>
              <w:rPr>
                <w:sz w:val="24"/>
                <w:highlight w:val="none"/>
                <w:lang w:bidi="ar"/>
              </w:rPr>
            </w:pPr>
            <w:r>
              <w:rPr>
                <w:sz w:val="24"/>
                <w:highlight w:val="none"/>
                <w:lang w:bidi="ar"/>
              </w:rPr>
              <w:t>2</w:t>
            </w:r>
          </w:p>
        </w:tc>
        <w:tc>
          <w:tcPr>
            <w:tcW w:w="3095" w:type="dxa"/>
          </w:tcPr>
          <w:p w14:paraId="1999D714">
            <w:pPr>
              <w:widowControl/>
              <w:tabs>
                <w:tab w:val="left" w:pos="5580"/>
              </w:tabs>
              <w:adjustRightInd w:val="0"/>
              <w:snapToGrid w:val="0"/>
              <w:spacing w:line="360" w:lineRule="auto"/>
              <w:jc w:val="left"/>
              <w:rPr>
                <w:sz w:val="24"/>
                <w:highlight w:val="none"/>
                <w:lang w:bidi="ar"/>
              </w:rPr>
            </w:pPr>
          </w:p>
        </w:tc>
        <w:tc>
          <w:tcPr>
            <w:tcW w:w="3096" w:type="dxa"/>
          </w:tcPr>
          <w:p w14:paraId="7FF4B494">
            <w:pPr>
              <w:widowControl/>
              <w:tabs>
                <w:tab w:val="left" w:pos="5580"/>
              </w:tabs>
              <w:adjustRightInd w:val="0"/>
              <w:snapToGrid w:val="0"/>
              <w:spacing w:line="360" w:lineRule="auto"/>
              <w:jc w:val="left"/>
              <w:rPr>
                <w:sz w:val="24"/>
                <w:highlight w:val="none"/>
                <w:lang w:bidi="ar"/>
              </w:rPr>
            </w:pPr>
          </w:p>
        </w:tc>
      </w:tr>
      <w:tr w14:paraId="4CCB4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49EA2C2B">
            <w:pPr>
              <w:widowControl/>
              <w:tabs>
                <w:tab w:val="left" w:pos="5580"/>
              </w:tabs>
              <w:adjustRightInd w:val="0"/>
              <w:snapToGrid w:val="0"/>
              <w:spacing w:line="360" w:lineRule="auto"/>
              <w:jc w:val="left"/>
              <w:rPr>
                <w:sz w:val="24"/>
                <w:highlight w:val="none"/>
                <w:lang w:bidi="ar"/>
              </w:rPr>
            </w:pPr>
            <w:r>
              <w:rPr>
                <w:sz w:val="24"/>
                <w:highlight w:val="none"/>
                <w:lang w:bidi="ar"/>
              </w:rPr>
              <w:t xml:space="preserve">… </w:t>
            </w:r>
          </w:p>
        </w:tc>
        <w:tc>
          <w:tcPr>
            <w:tcW w:w="3095" w:type="dxa"/>
          </w:tcPr>
          <w:p w14:paraId="57D72AE0">
            <w:pPr>
              <w:widowControl/>
              <w:tabs>
                <w:tab w:val="left" w:pos="5580"/>
              </w:tabs>
              <w:adjustRightInd w:val="0"/>
              <w:snapToGrid w:val="0"/>
              <w:spacing w:line="360" w:lineRule="auto"/>
              <w:jc w:val="left"/>
              <w:rPr>
                <w:sz w:val="24"/>
                <w:highlight w:val="none"/>
                <w:lang w:bidi="ar"/>
              </w:rPr>
            </w:pPr>
          </w:p>
        </w:tc>
        <w:tc>
          <w:tcPr>
            <w:tcW w:w="3096" w:type="dxa"/>
          </w:tcPr>
          <w:p w14:paraId="50522239">
            <w:pPr>
              <w:widowControl/>
              <w:tabs>
                <w:tab w:val="left" w:pos="5580"/>
              </w:tabs>
              <w:adjustRightInd w:val="0"/>
              <w:snapToGrid w:val="0"/>
              <w:spacing w:line="360" w:lineRule="auto"/>
              <w:jc w:val="left"/>
              <w:rPr>
                <w:sz w:val="24"/>
                <w:highlight w:val="none"/>
                <w:lang w:bidi="ar"/>
              </w:rPr>
            </w:pPr>
          </w:p>
        </w:tc>
      </w:tr>
    </w:tbl>
    <w:p w14:paraId="12414348">
      <w:pPr>
        <w:widowControl/>
        <w:tabs>
          <w:tab w:val="left" w:pos="5580"/>
        </w:tabs>
        <w:adjustRightInd w:val="0"/>
        <w:snapToGrid w:val="0"/>
        <w:spacing w:line="360" w:lineRule="auto"/>
        <w:ind w:firstLine="480" w:firstLineChars="200"/>
        <w:jc w:val="left"/>
        <w:rPr>
          <w:sz w:val="24"/>
          <w:highlight w:val="none"/>
          <w:lang w:bidi="ar"/>
        </w:rPr>
      </w:pPr>
    </w:p>
    <w:p w14:paraId="318508A7">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我单位对上述声明的内容事项的真实性负责。如经查实上述声明的内容事项存在虚假，我单位愿意接受以提供虚假材料谋取中标追究法律责任。</w:t>
      </w:r>
    </w:p>
    <w:p w14:paraId="3C877085">
      <w:pPr>
        <w:spacing w:line="480" w:lineRule="atLeast"/>
        <w:ind w:firstLine="720" w:firstLineChars="300"/>
        <w:jc w:val="right"/>
        <w:rPr>
          <w:rFonts w:hint="eastAsia" w:ascii="宋体" w:hAnsi="宋体" w:cs="宋体"/>
          <w:bCs/>
          <w:sz w:val="24"/>
          <w:szCs w:val="16"/>
          <w:highlight w:val="none"/>
        </w:rPr>
      </w:pPr>
      <w:r>
        <w:rPr>
          <w:rFonts w:hint="eastAsia" w:ascii="宋体" w:hAnsi="宋体" w:cs="宋体"/>
          <w:bCs/>
          <w:sz w:val="24"/>
          <w:szCs w:val="16"/>
          <w:highlight w:val="none"/>
        </w:rPr>
        <w:t xml:space="preserve">供应商名称（加盖公章）： ____________ </w:t>
      </w:r>
    </w:p>
    <w:p w14:paraId="6AF486DB">
      <w:pPr>
        <w:jc w:val="right"/>
        <w:rPr>
          <w:rFonts w:hint="eastAsia" w:ascii="宋体" w:hAnsi="宋体" w:cs="宋体"/>
          <w:bCs/>
          <w:sz w:val="24"/>
          <w:szCs w:val="16"/>
          <w:highlight w:val="none"/>
        </w:rPr>
      </w:pPr>
    </w:p>
    <w:p w14:paraId="7BB3381E">
      <w:pPr>
        <w:jc w:val="right"/>
        <w:rPr>
          <w:rFonts w:hint="eastAsia" w:ascii="宋体" w:hAnsi="宋体" w:cs="宋体"/>
          <w:bCs/>
          <w:sz w:val="24"/>
          <w:szCs w:val="16"/>
          <w:highlight w:val="none"/>
        </w:rPr>
      </w:pPr>
      <w:r>
        <w:rPr>
          <w:rFonts w:hint="eastAsia" w:ascii="宋体" w:hAnsi="宋体" w:cs="宋体"/>
          <w:bCs/>
          <w:sz w:val="24"/>
          <w:szCs w:val="16"/>
          <w:highlight w:val="none"/>
        </w:rPr>
        <w:t>日期：_____年______月______日</w:t>
      </w:r>
    </w:p>
    <w:p w14:paraId="22A50A86">
      <w:pPr>
        <w:rPr>
          <w:rFonts w:hint="eastAsia" w:ascii="宋体" w:hAnsi="宋体" w:cs="宋体"/>
          <w:bCs/>
          <w:sz w:val="24"/>
          <w:szCs w:val="16"/>
          <w:highlight w:val="none"/>
        </w:rPr>
      </w:pPr>
    </w:p>
    <w:p w14:paraId="3E8E461E">
      <w:pPr>
        <w:rPr>
          <w:rFonts w:hint="eastAsia" w:ascii="宋体" w:hAnsi="宋体" w:cs="宋体"/>
          <w:bCs/>
          <w:sz w:val="24"/>
          <w:szCs w:val="16"/>
          <w:highlight w:val="none"/>
        </w:rPr>
      </w:pPr>
    </w:p>
    <w:p w14:paraId="5E7FF28E">
      <w:pPr>
        <w:rPr>
          <w:rFonts w:hint="eastAsia" w:ascii="宋体" w:hAnsi="宋体" w:cs="宋体"/>
          <w:bCs/>
          <w:sz w:val="24"/>
          <w:szCs w:val="16"/>
          <w:highlight w:val="none"/>
        </w:rPr>
      </w:pPr>
    </w:p>
    <w:p w14:paraId="4624E250">
      <w:pPr>
        <w:spacing w:line="360" w:lineRule="auto"/>
        <w:rPr>
          <w:sz w:val="24"/>
          <w:highlight w:val="none"/>
        </w:rPr>
      </w:pPr>
      <w:r>
        <w:rPr>
          <w:sz w:val="24"/>
          <w:highlight w:val="none"/>
        </w:rPr>
        <w:br w:type="page"/>
      </w:r>
    </w:p>
    <w:p w14:paraId="2C79004B">
      <w:pPr>
        <w:spacing w:line="360" w:lineRule="auto"/>
        <w:outlineLvl w:val="1"/>
        <w:rPr>
          <w:b/>
          <w:bCs/>
          <w:sz w:val="24"/>
          <w:highlight w:val="none"/>
        </w:rPr>
      </w:pPr>
      <w:r>
        <w:rPr>
          <w:rFonts w:hint="eastAsia" w:ascii="Segoe UI Symbol" w:hAnsi="Segoe UI Symbol" w:cs="Segoe UI Symbol"/>
          <w:b/>
          <w:bCs/>
          <w:sz w:val="24"/>
          <w:highlight w:val="none"/>
        </w:rPr>
        <w:t>附件</w:t>
      </w:r>
      <w:r>
        <w:rPr>
          <w:rFonts w:hint="eastAsia"/>
          <w:b/>
          <w:bCs/>
          <w:sz w:val="24"/>
          <w:highlight w:val="none"/>
        </w:rPr>
        <w:t>6-</w:t>
      </w:r>
      <w:r>
        <w:rPr>
          <w:b/>
          <w:bCs/>
          <w:sz w:val="24"/>
          <w:highlight w:val="none"/>
        </w:rPr>
        <w:t>1</w:t>
      </w:r>
      <w:r>
        <w:rPr>
          <w:rFonts w:hint="eastAsia"/>
          <w:b/>
          <w:bCs/>
          <w:sz w:val="24"/>
          <w:highlight w:val="none"/>
        </w:rPr>
        <w:t>3：</w:t>
      </w:r>
      <w:r>
        <w:rPr>
          <w:b/>
          <w:bCs/>
          <w:sz w:val="24"/>
          <w:highlight w:val="none"/>
        </w:rPr>
        <w:t>磋商文件要求或供应商认为必要的其它内容（如：质量认证、荣誉证书等）</w:t>
      </w:r>
    </w:p>
    <w:p w14:paraId="65138CF5">
      <w:pPr>
        <w:spacing w:line="360" w:lineRule="auto"/>
        <w:rPr>
          <w:sz w:val="24"/>
          <w:highlight w:val="none"/>
        </w:rPr>
      </w:pPr>
    </w:p>
    <w:p w14:paraId="20667852">
      <w:pPr>
        <w:spacing w:line="360" w:lineRule="auto"/>
        <w:rPr>
          <w:sz w:val="24"/>
          <w:highlight w:val="none"/>
        </w:rPr>
      </w:pPr>
    </w:p>
    <w:p w14:paraId="295D994F">
      <w:pPr>
        <w:spacing w:line="360" w:lineRule="auto"/>
        <w:outlineLvl w:val="1"/>
        <w:rPr>
          <w:b/>
          <w:bCs/>
          <w:sz w:val="24"/>
          <w:highlight w:val="none"/>
        </w:rPr>
      </w:pPr>
      <w:r>
        <w:rPr>
          <w:rFonts w:hint="eastAsia" w:ascii="Segoe UI Symbol" w:hAnsi="Segoe UI Symbol" w:cs="Segoe UI Symbol"/>
          <w:b/>
          <w:bCs/>
          <w:sz w:val="24"/>
          <w:highlight w:val="none"/>
        </w:rPr>
        <w:t>附件</w:t>
      </w:r>
      <w:r>
        <w:rPr>
          <w:rFonts w:hint="eastAsia"/>
          <w:b/>
          <w:bCs/>
          <w:sz w:val="24"/>
          <w:highlight w:val="none"/>
        </w:rPr>
        <w:t>6-</w:t>
      </w:r>
      <w:r>
        <w:rPr>
          <w:b/>
          <w:bCs/>
          <w:sz w:val="24"/>
          <w:highlight w:val="none"/>
        </w:rPr>
        <w:t>1</w:t>
      </w:r>
      <w:r>
        <w:rPr>
          <w:rFonts w:hint="eastAsia"/>
          <w:b/>
          <w:bCs/>
          <w:sz w:val="24"/>
          <w:highlight w:val="none"/>
        </w:rPr>
        <w:t>4：</w:t>
      </w:r>
      <w:r>
        <w:rPr>
          <w:b/>
          <w:bCs/>
          <w:sz w:val="24"/>
          <w:highlight w:val="none"/>
        </w:rPr>
        <w:t>国家法律法规要求的资质证明文件（如有）</w:t>
      </w:r>
    </w:p>
    <w:p w14:paraId="5C9990DA">
      <w:pPr>
        <w:pStyle w:val="27"/>
        <w:rPr>
          <w:rFonts w:ascii="Times New Roman" w:hAnsi="Times New Roman"/>
          <w:highlight w:val="none"/>
        </w:rPr>
      </w:pPr>
    </w:p>
    <w:p w14:paraId="560ACD0B">
      <w:pPr>
        <w:adjustRightInd w:val="0"/>
        <w:snapToGrid w:val="0"/>
        <w:jc w:val="center"/>
        <w:outlineLvl w:val="1"/>
        <w:rPr>
          <w:b/>
          <w:sz w:val="24"/>
          <w:highlight w:val="none"/>
        </w:rPr>
      </w:pPr>
      <w:r>
        <w:rPr>
          <w:b/>
          <w:sz w:val="24"/>
          <w:highlight w:val="none"/>
        </w:rPr>
        <w:br w:type="page"/>
      </w:r>
      <w:r>
        <w:rPr>
          <w:b/>
          <w:sz w:val="24"/>
          <w:highlight w:val="none"/>
        </w:rPr>
        <w:t>附件</w:t>
      </w:r>
      <w:r>
        <w:rPr>
          <w:rFonts w:hint="eastAsia"/>
          <w:b/>
          <w:sz w:val="24"/>
          <w:highlight w:val="none"/>
        </w:rPr>
        <w:t>7：</w:t>
      </w:r>
      <w:r>
        <w:rPr>
          <w:b/>
          <w:sz w:val="24"/>
          <w:highlight w:val="none"/>
        </w:rPr>
        <w:t>磋商保证金说明函</w:t>
      </w:r>
    </w:p>
    <w:p w14:paraId="1F535A1C">
      <w:pPr>
        <w:pStyle w:val="72"/>
        <w:spacing w:before="48"/>
        <w:rPr>
          <w:rFonts w:ascii="Times New Roman" w:hAnsi="Times New Roman" w:cs="Times New Roman"/>
          <w:sz w:val="24"/>
          <w:szCs w:val="24"/>
          <w:highlight w:val="none"/>
        </w:rPr>
      </w:pPr>
    </w:p>
    <w:p w14:paraId="2AC1DD17">
      <w:pPr>
        <w:pStyle w:val="72"/>
        <w:spacing w:before="48"/>
        <w:rPr>
          <w:rFonts w:ascii="Times New Roman" w:hAnsi="Times New Roman" w:cs="Times New Roman"/>
          <w:sz w:val="24"/>
          <w:szCs w:val="24"/>
          <w:highlight w:val="none"/>
        </w:rPr>
      </w:pPr>
      <w:r>
        <w:rPr>
          <w:rFonts w:ascii="Times New Roman" w:hAnsi="Times New Roman" w:cs="Times New Roman"/>
          <w:sz w:val="24"/>
          <w:szCs w:val="24"/>
          <w:highlight w:val="none"/>
        </w:rPr>
        <w:t>致：</w:t>
      </w:r>
      <w:r>
        <w:rPr>
          <w:rFonts w:ascii="Times New Roman" w:hAnsi="Times New Roman" w:cs="Times New Roman"/>
          <w:i/>
          <w:iCs/>
          <w:sz w:val="24"/>
          <w:szCs w:val="24"/>
          <w:highlight w:val="none"/>
          <w:u w:val="single"/>
        </w:rPr>
        <w:t>（采购代理机构）</w:t>
      </w:r>
    </w:p>
    <w:p w14:paraId="5B65084F">
      <w:pPr>
        <w:pStyle w:val="27"/>
        <w:rPr>
          <w:rFonts w:ascii="Times New Roman" w:hAnsi="Times New Roman"/>
          <w:highlight w:val="none"/>
        </w:rPr>
      </w:pPr>
    </w:p>
    <w:p w14:paraId="0CE73D99">
      <w:pPr>
        <w:pStyle w:val="72"/>
        <w:spacing w:before="48"/>
        <w:rPr>
          <w:rFonts w:ascii="Times New Roman" w:hAnsi="Times New Roman" w:cs="Times New Roman"/>
          <w:sz w:val="24"/>
          <w:szCs w:val="24"/>
          <w:highlight w:val="none"/>
        </w:rPr>
      </w:pPr>
      <w:r>
        <w:rPr>
          <w:rFonts w:ascii="Times New Roman" w:hAnsi="Times New Roman" w:cs="Times New Roman"/>
          <w:sz w:val="24"/>
          <w:szCs w:val="24"/>
          <w:highlight w:val="none"/>
        </w:rPr>
        <w:t>项目编号：</w:t>
      </w:r>
    </w:p>
    <w:p w14:paraId="119104C7">
      <w:pPr>
        <w:pStyle w:val="27"/>
        <w:rPr>
          <w:rFonts w:ascii="Times New Roman" w:hAnsi="Times New Roman"/>
          <w:highlight w:val="none"/>
        </w:rPr>
      </w:pPr>
    </w:p>
    <w:p w14:paraId="527346D5">
      <w:pPr>
        <w:pStyle w:val="72"/>
        <w:spacing w:before="48"/>
        <w:rPr>
          <w:rFonts w:ascii="Times New Roman" w:hAnsi="Times New Roman" w:cs="Times New Roman"/>
          <w:sz w:val="24"/>
          <w:szCs w:val="24"/>
          <w:highlight w:val="none"/>
        </w:rPr>
      </w:pPr>
      <w:r>
        <w:rPr>
          <w:rFonts w:ascii="Times New Roman" w:hAnsi="Times New Roman" w:cs="Times New Roman"/>
          <w:sz w:val="24"/>
          <w:szCs w:val="24"/>
          <w:highlight w:val="none"/>
        </w:rPr>
        <w:t>l、磋商保证金金额(大写)</w:t>
      </w:r>
      <w:r>
        <w:rPr>
          <w:rFonts w:ascii="Times New Roman" w:hAnsi="Times New Roman" w:cs="Times New Roman"/>
          <w:sz w:val="24"/>
          <w:szCs w:val="24"/>
          <w:highlight w:val="none"/>
          <w:u w:val="single"/>
        </w:rPr>
        <w:t xml:space="preserve">             </w:t>
      </w:r>
      <w:r>
        <w:rPr>
          <w:rFonts w:ascii="Times New Roman" w:hAnsi="Times New Roman" w:cs="Times New Roman"/>
          <w:sz w:val="24"/>
          <w:szCs w:val="24"/>
          <w:highlight w:val="none"/>
        </w:rPr>
        <w:t>元，以电汇/保函方式支付。</w:t>
      </w:r>
    </w:p>
    <w:p w14:paraId="3688706E">
      <w:pPr>
        <w:rPr>
          <w:highlight w:val="none"/>
        </w:rPr>
      </w:pPr>
    </w:p>
    <w:p w14:paraId="0690FCAD">
      <w:pPr>
        <w:pStyle w:val="72"/>
        <w:spacing w:before="48"/>
        <w:rPr>
          <w:rFonts w:ascii="Times New Roman" w:hAnsi="Times New Roman" w:cs="Times New Roman"/>
          <w:sz w:val="24"/>
          <w:szCs w:val="24"/>
          <w:highlight w:val="none"/>
        </w:rPr>
      </w:pPr>
      <w:r>
        <w:rPr>
          <w:rFonts w:ascii="Times New Roman" w:hAnsi="Times New Roman" w:cs="Times New Roman"/>
          <w:sz w:val="24"/>
          <w:szCs w:val="24"/>
          <w:highlight w:val="none"/>
        </w:rPr>
        <w:t>2、在担保期内，贵公司根据下列事实中的任何一点，即可无条件地扣留保证金。</w:t>
      </w:r>
    </w:p>
    <w:p w14:paraId="6DD223D0">
      <w:pPr>
        <w:rPr>
          <w:highlight w:val="none"/>
        </w:rPr>
      </w:pPr>
    </w:p>
    <w:p w14:paraId="0F50778B">
      <w:pPr>
        <w:pStyle w:val="27"/>
        <w:tabs>
          <w:tab w:val="left" w:pos="2240"/>
        </w:tabs>
        <w:ind w:left="900" w:leftChars="200" w:hanging="480" w:hangingChars="200"/>
        <w:rPr>
          <w:rFonts w:ascii="Times New Roman" w:hAnsi="Times New Roman"/>
          <w:sz w:val="24"/>
          <w:highlight w:val="none"/>
        </w:rPr>
      </w:pPr>
      <w:r>
        <w:rPr>
          <w:rFonts w:ascii="Times New Roman" w:hAnsi="Times New Roman"/>
          <w:sz w:val="24"/>
          <w:highlight w:val="none"/>
        </w:rPr>
        <w:t>（1）在磋商之日后到报价有效期满前，供应商撤回报价的；</w:t>
      </w:r>
    </w:p>
    <w:p w14:paraId="255708C4">
      <w:pPr>
        <w:pStyle w:val="27"/>
        <w:tabs>
          <w:tab w:val="left" w:pos="2240"/>
        </w:tabs>
        <w:ind w:left="1020" w:leftChars="200" w:hanging="600" w:hangingChars="250"/>
        <w:rPr>
          <w:rFonts w:ascii="Times New Roman" w:hAnsi="Times New Roman"/>
          <w:sz w:val="24"/>
          <w:highlight w:val="none"/>
        </w:rPr>
      </w:pPr>
      <w:r>
        <w:rPr>
          <w:rFonts w:ascii="Times New Roman" w:hAnsi="Times New Roman"/>
          <w:sz w:val="24"/>
          <w:highlight w:val="none"/>
        </w:rPr>
        <w:t>（2）供应商以他人名义报价、相互串通磋商或者以其他方式弄虚作假的，供应商提交的响应文件中提交虚假资料或失实资料的；</w:t>
      </w:r>
    </w:p>
    <w:p w14:paraId="6C7F8592">
      <w:pPr>
        <w:pStyle w:val="27"/>
        <w:tabs>
          <w:tab w:val="left" w:pos="2240"/>
        </w:tabs>
        <w:ind w:left="900" w:leftChars="200" w:hanging="480" w:hangingChars="200"/>
        <w:rPr>
          <w:rFonts w:ascii="Times New Roman" w:hAnsi="Times New Roman"/>
          <w:sz w:val="24"/>
          <w:highlight w:val="none"/>
        </w:rPr>
      </w:pPr>
      <w:r>
        <w:rPr>
          <w:rFonts w:ascii="Times New Roman" w:hAnsi="Times New Roman"/>
          <w:sz w:val="24"/>
          <w:highlight w:val="none"/>
        </w:rPr>
        <w:t>（3）成交供应商不按本磋商文件规定与采购人或采购代理机构签订合同的；</w:t>
      </w:r>
    </w:p>
    <w:p w14:paraId="3E38B28A">
      <w:pPr>
        <w:pStyle w:val="27"/>
        <w:tabs>
          <w:tab w:val="left" w:pos="2240"/>
        </w:tabs>
        <w:ind w:left="900" w:leftChars="200" w:hanging="480" w:hangingChars="200"/>
        <w:rPr>
          <w:rFonts w:ascii="Times New Roman" w:hAnsi="Times New Roman"/>
          <w:sz w:val="24"/>
          <w:highlight w:val="none"/>
        </w:rPr>
      </w:pPr>
      <w:r>
        <w:rPr>
          <w:rFonts w:ascii="Times New Roman" w:hAnsi="Times New Roman"/>
          <w:sz w:val="24"/>
          <w:highlight w:val="none"/>
        </w:rPr>
        <w:t>（4）成交供应商不按本磋商文件的规定提交履约保证金的；</w:t>
      </w:r>
    </w:p>
    <w:p w14:paraId="797EE5CA">
      <w:pPr>
        <w:pStyle w:val="72"/>
        <w:spacing w:before="48"/>
        <w:ind w:left="900" w:leftChars="200" w:hanging="480" w:hangingChars="200"/>
        <w:rPr>
          <w:rFonts w:ascii="Times New Roman" w:hAnsi="Times New Roman" w:cs="Times New Roman"/>
          <w:sz w:val="24"/>
          <w:szCs w:val="24"/>
          <w:highlight w:val="none"/>
        </w:rPr>
      </w:pPr>
      <w:r>
        <w:rPr>
          <w:rFonts w:ascii="Times New Roman" w:hAnsi="Times New Roman" w:cs="Times New Roman"/>
          <w:sz w:val="24"/>
          <w:highlight w:val="none"/>
        </w:rPr>
        <w:t>（5）成交供应商</w:t>
      </w:r>
      <w:r>
        <w:rPr>
          <w:rFonts w:ascii="Times New Roman" w:hAnsi="Times New Roman" w:cs="Times New Roman"/>
          <w:sz w:val="24"/>
          <w:szCs w:val="24"/>
          <w:highlight w:val="none"/>
        </w:rPr>
        <w:t>不按本磋商文件的规定缴纳成交服务费的。</w:t>
      </w:r>
    </w:p>
    <w:p w14:paraId="14709EF6">
      <w:pPr>
        <w:rPr>
          <w:highlight w:val="none"/>
        </w:rPr>
      </w:pPr>
    </w:p>
    <w:p w14:paraId="446E4B6F">
      <w:pPr>
        <w:pStyle w:val="72"/>
        <w:spacing w:before="48"/>
        <w:rPr>
          <w:rFonts w:ascii="Times New Roman" w:hAnsi="Times New Roman" w:cs="Times New Roman"/>
          <w:sz w:val="24"/>
          <w:szCs w:val="24"/>
          <w:highlight w:val="none"/>
        </w:rPr>
      </w:pPr>
      <w:r>
        <w:rPr>
          <w:rFonts w:ascii="Times New Roman" w:hAnsi="Times New Roman" w:cs="Times New Roman"/>
          <w:sz w:val="24"/>
          <w:szCs w:val="24"/>
          <w:highlight w:val="none"/>
        </w:rPr>
        <w:t>3、保证金自磋商之日起生效，直到报价有效期止或贵方与我方书面协定的延长期内有效。</w:t>
      </w:r>
    </w:p>
    <w:p w14:paraId="4E844418">
      <w:pPr>
        <w:rPr>
          <w:highlight w:val="none"/>
        </w:rPr>
      </w:pPr>
    </w:p>
    <w:p w14:paraId="6FD6A5C4">
      <w:pPr>
        <w:rPr>
          <w:highlight w:val="none"/>
        </w:rPr>
      </w:pPr>
    </w:p>
    <w:p w14:paraId="3FC07E1F">
      <w:pPr>
        <w:pStyle w:val="72"/>
        <w:spacing w:before="48" w:line="360" w:lineRule="auto"/>
        <w:rPr>
          <w:rFonts w:ascii="Times New Roman" w:hAnsi="Times New Roman" w:cs="Times New Roman"/>
          <w:sz w:val="24"/>
          <w:szCs w:val="24"/>
          <w:highlight w:val="none"/>
          <w:u w:val="single"/>
        </w:rPr>
      </w:pPr>
      <w:r>
        <w:rPr>
          <w:rFonts w:ascii="Times New Roman" w:hAnsi="Times New Roman" w:cs="Times New Roman"/>
          <w:sz w:val="24"/>
          <w:szCs w:val="24"/>
          <w:highlight w:val="none"/>
        </w:rPr>
        <w:t>供应商名称(盖章)：</w:t>
      </w:r>
      <w:r>
        <w:rPr>
          <w:rFonts w:ascii="Times New Roman" w:hAnsi="Times New Roman" w:cs="Times New Roman"/>
          <w:sz w:val="24"/>
          <w:highlight w:val="none"/>
          <w:u w:val="single"/>
        </w:rPr>
        <w:t xml:space="preserve">                              </w:t>
      </w:r>
    </w:p>
    <w:p w14:paraId="2F9B0B69">
      <w:pPr>
        <w:pStyle w:val="72"/>
        <w:spacing w:before="48"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法定代表人或授权代表（签字）：</w:t>
      </w:r>
      <w:r>
        <w:rPr>
          <w:rFonts w:ascii="Times New Roman" w:hAnsi="Times New Roman" w:cs="Times New Roman"/>
          <w:sz w:val="24"/>
          <w:highlight w:val="none"/>
          <w:u w:val="single"/>
        </w:rPr>
        <w:t xml:space="preserve">                  </w:t>
      </w:r>
    </w:p>
    <w:p w14:paraId="5F63FCCE">
      <w:pPr>
        <w:pStyle w:val="72"/>
        <w:spacing w:before="48"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日  期：</w:t>
      </w:r>
      <w:r>
        <w:rPr>
          <w:rFonts w:ascii="Times New Roman" w:hAnsi="Times New Roman" w:cs="Times New Roman"/>
          <w:sz w:val="24"/>
          <w:highlight w:val="none"/>
          <w:u w:val="single"/>
        </w:rPr>
        <w:t xml:space="preserve">                       </w:t>
      </w:r>
    </w:p>
    <w:p w14:paraId="3A3E7738">
      <w:pPr>
        <w:pStyle w:val="27"/>
        <w:rPr>
          <w:rFonts w:ascii="Times New Roman" w:hAnsi="Times New Roman"/>
          <w:highlight w:val="none"/>
        </w:rPr>
      </w:pPr>
      <w:r>
        <w:rPr>
          <w:rFonts w:ascii="Times New Roman" w:hAnsi="Times New Roman"/>
          <w:highlight w:val="none"/>
        </w:rPr>
        <w:br w:type="page"/>
      </w:r>
    </w:p>
    <w:p w14:paraId="5DC52751">
      <w:pPr>
        <w:adjustRightInd w:val="0"/>
        <w:snapToGrid w:val="0"/>
        <w:jc w:val="center"/>
        <w:outlineLvl w:val="1"/>
        <w:rPr>
          <w:b/>
          <w:sz w:val="24"/>
          <w:highlight w:val="none"/>
        </w:rPr>
      </w:pPr>
      <w:r>
        <w:rPr>
          <w:b/>
          <w:sz w:val="24"/>
          <w:highlight w:val="none"/>
        </w:rPr>
        <w:t>附件</w:t>
      </w:r>
      <w:r>
        <w:rPr>
          <w:rFonts w:hint="eastAsia"/>
          <w:b/>
          <w:sz w:val="24"/>
          <w:highlight w:val="none"/>
        </w:rPr>
        <w:t>8：</w:t>
      </w:r>
      <w:r>
        <w:rPr>
          <w:b/>
          <w:sz w:val="24"/>
          <w:highlight w:val="none"/>
        </w:rPr>
        <w:t xml:space="preserve">磋商保证金银行保函 </w:t>
      </w:r>
    </w:p>
    <w:p w14:paraId="3C1072B5">
      <w:pPr>
        <w:autoSpaceDE w:val="0"/>
        <w:autoSpaceDN w:val="0"/>
        <w:adjustRightInd w:val="0"/>
        <w:snapToGrid w:val="0"/>
        <w:ind w:right="893"/>
        <w:jc w:val="center"/>
        <w:textAlignment w:val="bottom"/>
        <w:rPr>
          <w:b/>
          <w:sz w:val="24"/>
          <w:highlight w:val="none"/>
        </w:rPr>
      </w:pPr>
    </w:p>
    <w:p w14:paraId="77B76E6E">
      <w:pPr>
        <w:ind w:firstLine="6720" w:firstLineChars="3200"/>
        <w:rPr>
          <w:highlight w:val="none"/>
          <w:u w:val="single"/>
        </w:rPr>
      </w:pPr>
      <w:r>
        <w:rPr>
          <w:highlight w:val="none"/>
        </w:rPr>
        <w:t>采购编号：</w:t>
      </w:r>
      <w:r>
        <w:rPr>
          <w:highlight w:val="none"/>
          <w:u w:val="single"/>
        </w:rPr>
        <w:t xml:space="preserve">            </w:t>
      </w:r>
    </w:p>
    <w:p w14:paraId="696B3595">
      <w:pPr>
        <w:rPr>
          <w:highlight w:val="none"/>
        </w:rPr>
      </w:pPr>
    </w:p>
    <w:p w14:paraId="121395E7">
      <w:pPr>
        <w:spacing w:line="360" w:lineRule="auto"/>
        <w:rPr>
          <w:sz w:val="24"/>
          <w:highlight w:val="none"/>
        </w:rPr>
      </w:pPr>
      <w:r>
        <w:rPr>
          <w:sz w:val="24"/>
          <w:highlight w:val="none"/>
          <w:u w:val="single"/>
        </w:rPr>
        <w:t xml:space="preserve">            （采购代理机构） </w:t>
      </w:r>
      <w:r>
        <w:rPr>
          <w:sz w:val="24"/>
          <w:highlight w:val="none"/>
        </w:rPr>
        <w:t>：</w:t>
      </w:r>
    </w:p>
    <w:p w14:paraId="28915C54">
      <w:pPr>
        <w:rPr>
          <w:highlight w:val="none"/>
        </w:rPr>
      </w:pPr>
    </w:p>
    <w:p w14:paraId="6578F2A3">
      <w:pPr>
        <w:spacing w:line="360" w:lineRule="auto"/>
        <w:ind w:firstLine="480" w:firstLineChars="200"/>
        <w:rPr>
          <w:sz w:val="24"/>
          <w:highlight w:val="none"/>
        </w:rPr>
      </w:pPr>
      <w:r>
        <w:rPr>
          <w:sz w:val="24"/>
          <w:highlight w:val="none"/>
        </w:rPr>
        <w:t>鉴于</w:t>
      </w:r>
      <w:r>
        <w:rPr>
          <w:sz w:val="24"/>
          <w:highlight w:val="none"/>
          <w:u w:val="single"/>
        </w:rPr>
        <w:t xml:space="preserve">               </w:t>
      </w:r>
      <w:r>
        <w:rPr>
          <w:sz w:val="24"/>
          <w:highlight w:val="none"/>
        </w:rPr>
        <w:t>（以下简称“供应商”）拟参加编号为</w:t>
      </w:r>
      <w:r>
        <w:rPr>
          <w:sz w:val="24"/>
          <w:highlight w:val="none"/>
          <w:u w:val="single"/>
        </w:rPr>
        <w:t xml:space="preserve">      </w:t>
      </w:r>
      <w:r>
        <w:rPr>
          <w:sz w:val="24"/>
          <w:highlight w:val="none"/>
        </w:rPr>
        <w:t>的</w:t>
      </w:r>
      <w:r>
        <w:rPr>
          <w:sz w:val="24"/>
          <w:highlight w:val="none"/>
          <w:u w:val="single"/>
        </w:rPr>
        <w:t xml:space="preserve">           </w:t>
      </w:r>
      <w:r>
        <w:rPr>
          <w:sz w:val="24"/>
          <w:highlight w:val="none"/>
        </w:rPr>
        <w:t xml:space="preserve">                            </w:t>
      </w:r>
    </w:p>
    <w:p w14:paraId="45B556C1">
      <w:pPr>
        <w:spacing w:line="360" w:lineRule="auto"/>
        <w:rPr>
          <w:sz w:val="24"/>
          <w:highlight w:val="none"/>
        </w:rPr>
      </w:pPr>
      <w:r>
        <w:rPr>
          <w:sz w:val="24"/>
          <w:highlight w:val="none"/>
        </w:rPr>
        <w:t>项目（以下简称“本项目”）磋商，根据本项目磋商文件，供应商参加磋商时应向你方交纳磋商保证金，且可以报价担保函的形式交纳磋商保证金。应供应商的申请，我方以保证的方式向你方提供如下磋商保证金担保：</w:t>
      </w:r>
    </w:p>
    <w:p w14:paraId="1B5BC574">
      <w:pPr>
        <w:spacing w:line="360" w:lineRule="auto"/>
        <w:ind w:firstLine="480" w:firstLineChars="200"/>
        <w:rPr>
          <w:sz w:val="24"/>
          <w:highlight w:val="none"/>
        </w:rPr>
      </w:pPr>
      <w:r>
        <w:rPr>
          <w:sz w:val="24"/>
          <w:highlight w:val="none"/>
        </w:rPr>
        <w:t>一、保证责任的情形及保证金额</w:t>
      </w:r>
    </w:p>
    <w:p w14:paraId="5FEC9956">
      <w:pPr>
        <w:spacing w:line="360" w:lineRule="auto"/>
        <w:ind w:firstLine="240" w:firstLineChars="100"/>
        <w:rPr>
          <w:sz w:val="24"/>
          <w:highlight w:val="none"/>
        </w:rPr>
      </w:pPr>
      <w:r>
        <w:rPr>
          <w:sz w:val="24"/>
          <w:highlight w:val="none"/>
        </w:rPr>
        <w:t>（一）在供应商出现下列情形之一时，我方承担保证责任：</w:t>
      </w:r>
    </w:p>
    <w:p w14:paraId="5051B115">
      <w:pPr>
        <w:spacing w:line="360" w:lineRule="auto"/>
        <w:ind w:firstLine="480" w:firstLineChars="200"/>
        <w:rPr>
          <w:sz w:val="24"/>
          <w:highlight w:val="none"/>
        </w:rPr>
      </w:pPr>
      <w:r>
        <w:rPr>
          <w:sz w:val="24"/>
          <w:highlight w:val="none"/>
        </w:rPr>
        <w:t>1．成交后供应商无正当理由不与采购人或者采购代理机构签订《政府采购合同》；</w:t>
      </w:r>
    </w:p>
    <w:p w14:paraId="22574B5E">
      <w:pPr>
        <w:spacing w:line="360" w:lineRule="auto"/>
        <w:ind w:firstLine="480" w:firstLineChars="200"/>
        <w:rPr>
          <w:sz w:val="24"/>
          <w:highlight w:val="none"/>
        </w:rPr>
      </w:pPr>
      <w:r>
        <w:rPr>
          <w:sz w:val="24"/>
          <w:highlight w:val="none"/>
        </w:rPr>
        <w:t>2．磋商文件规定的供应商应当缴纳保证金的其他情形。</w:t>
      </w:r>
    </w:p>
    <w:p w14:paraId="5DFC7297">
      <w:pPr>
        <w:spacing w:line="360" w:lineRule="auto"/>
        <w:ind w:firstLine="240" w:firstLineChars="100"/>
        <w:rPr>
          <w:sz w:val="24"/>
          <w:highlight w:val="none"/>
        </w:rPr>
      </w:pPr>
      <w:r>
        <w:rPr>
          <w:sz w:val="24"/>
          <w:highlight w:val="none"/>
        </w:rPr>
        <w:t>（二）我方承担保证责任的最高金额为人民币</w:t>
      </w:r>
      <w:r>
        <w:rPr>
          <w:sz w:val="24"/>
          <w:highlight w:val="none"/>
          <w:u w:val="single"/>
        </w:rPr>
        <w:t xml:space="preserve">       </w:t>
      </w:r>
      <w:r>
        <w:rPr>
          <w:sz w:val="24"/>
          <w:highlight w:val="none"/>
        </w:rPr>
        <w:t>元（大写</w:t>
      </w:r>
      <w:r>
        <w:rPr>
          <w:sz w:val="24"/>
          <w:highlight w:val="none"/>
          <w:u w:val="single"/>
        </w:rPr>
        <w:t xml:space="preserve">            </w:t>
      </w:r>
      <w:r>
        <w:rPr>
          <w:sz w:val="24"/>
          <w:highlight w:val="none"/>
        </w:rPr>
        <w:t>），即本项目的磋商保证金金额。</w:t>
      </w:r>
    </w:p>
    <w:p w14:paraId="0314E5B1">
      <w:pPr>
        <w:spacing w:line="360" w:lineRule="auto"/>
        <w:ind w:firstLine="480" w:firstLineChars="200"/>
        <w:rPr>
          <w:sz w:val="24"/>
          <w:highlight w:val="none"/>
        </w:rPr>
      </w:pPr>
      <w:r>
        <w:rPr>
          <w:sz w:val="24"/>
          <w:highlight w:val="none"/>
        </w:rPr>
        <w:t>二、保证的方式及保证期间</w:t>
      </w:r>
    </w:p>
    <w:p w14:paraId="6A8051BA">
      <w:pPr>
        <w:spacing w:line="360" w:lineRule="auto"/>
        <w:ind w:firstLine="480" w:firstLineChars="200"/>
        <w:rPr>
          <w:sz w:val="24"/>
          <w:highlight w:val="none"/>
        </w:rPr>
      </w:pPr>
      <w:r>
        <w:rPr>
          <w:sz w:val="24"/>
          <w:highlight w:val="none"/>
        </w:rPr>
        <w:t>我方保证的方式为：连带责任保证。</w:t>
      </w:r>
    </w:p>
    <w:p w14:paraId="31E219CE">
      <w:pPr>
        <w:spacing w:line="360" w:lineRule="auto"/>
        <w:ind w:firstLine="480" w:firstLineChars="200"/>
        <w:rPr>
          <w:sz w:val="24"/>
          <w:highlight w:val="none"/>
        </w:rPr>
      </w:pPr>
      <w:r>
        <w:rPr>
          <w:sz w:val="24"/>
          <w:highlight w:val="none"/>
        </w:rPr>
        <w:t>我方的保证期间为：自本保函生效之日起</w:t>
      </w:r>
      <w:r>
        <w:rPr>
          <w:sz w:val="24"/>
          <w:highlight w:val="none"/>
          <w:u w:val="single"/>
        </w:rPr>
        <w:t xml:space="preserve">    </w:t>
      </w:r>
      <w:r>
        <w:rPr>
          <w:sz w:val="24"/>
          <w:highlight w:val="none"/>
        </w:rPr>
        <w:t>个月止。</w:t>
      </w:r>
    </w:p>
    <w:p w14:paraId="70AE6F8D">
      <w:pPr>
        <w:spacing w:line="360" w:lineRule="auto"/>
        <w:ind w:firstLine="480" w:firstLineChars="200"/>
        <w:rPr>
          <w:sz w:val="24"/>
          <w:highlight w:val="none"/>
        </w:rPr>
      </w:pPr>
      <w:r>
        <w:rPr>
          <w:sz w:val="24"/>
          <w:highlight w:val="none"/>
        </w:rPr>
        <w:t>三、承担保证责任的程序</w:t>
      </w:r>
    </w:p>
    <w:p w14:paraId="7F46DDB1">
      <w:pPr>
        <w:spacing w:line="360" w:lineRule="auto"/>
        <w:ind w:firstLine="480" w:firstLineChars="200"/>
        <w:rPr>
          <w:sz w:val="24"/>
          <w:highlight w:val="none"/>
        </w:rPr>
      </w:pPr>
      <w:r>
        <w:rPr>
          <w:sz w:val="24"/>
          <w:highlight w:val="none"/>
        </w:rPr>
        <w:t>1．你方要求我方承担保证责任的，应在本保函保证期间内向我方发出书面索赔通知。索赔通知应写明要求索赔的金额，支付款项应到达的账号，并附有证明供应商发生我方应承担保证责任情形的事实材料。</w:t>
      </w:r>
    </w:p>
    <w:p w14:paraId="33EA828E">
      <w:pPr>
        <w:spacing w:line="360" w:lineRule="auto"/>
        <w:ind w:firstLine="480" w:firstLineChars="200"/>
        <w:rPr>
          <w:sz w:val="24"/>
          <w:highlight w:val="none"/>
        </w:rPr>
      </w:pPr>
      <w:r>
        <w:rPr>
          <w:sz w:val="24"/>
          <w:highlight w:val="none"/>
        </w:rPr>
        <w:t>2．我方在收到索赔通知及相关证明材料后，在</w:t>
      </w:r>
      <w:r>
        <w:rPr>
          <w:sz w:val="24"/>
          <w:highlight w:val="none"/>
          <w:u w:val="single"/>
        </w:rPr>
        <w:t xml:space="preserve">      </w:t>
      </w:r>
      <w:r>
        <w:rPr>
          <w:sz w:val="24"/>
          <w:highlight w:val="none"/>
        </w:rPr>
        <w:t>个工作日内进行审查，符合应承担保证责任情形的，我方应按照你方的要求代供应商向你方支付磋商保证金。</w:t>
      </w:r>
    </w:p>
    <w:p w14:paraId="32E71853">
      <w:pPr>
        <w:spacing w:line="360" w:lineRule="auto"/>
        <w:ind w:firstLine="480" w:firstLineChars="200"/>
        <w:rPr>
          <w:sz w:val="24"/>
          <w:highlight w:val="none"/>
        </w:rPr>
      </w:pPr>
      <w:r>
        <w:rPr>
          <w:sz w:val="24"/>
          <w:highlight w:val="none"/>
        </w:rPr>
        <w:t>四、保证责任的终止</w:t>
      </w:r>
    </w:p>
    <w:p w14:paraId="1FA2D3F5">
      <w:pPr>
        <w:spacing w:line="360" w:lineRule="auto"/>
        <w:ind w:firstLine="480" w:firstLineChars="200"/>
        <w:rPr>
          <w:sz w:val="24"/>
          <w:highlight w:val="none"/>
        </w:rPr>
      </w:pPr>
      <w:r>
        <w:rPr>
          <w:sz w:val="24"/>
          <w:highlight w:val="none"/>
        </w:rPr>
        <w:t>1．保证期间届满你方未向我方书面主张保证责任的，自保证期间届满次日起，我方保证责任自动终止。</w:t>
      </w:r>
    </w:p>
    <w:p w14:paraId="51D70B8E">
      <w:pPr>
        <w:spacing w:line="360" w:lineRule="auto"/>
        <w:ind w:firstLine="480" w:firstLineChars="200"/>
        <w:rPr>
          <w:sz w:val="24"/>
          <w:highlight w:val="none"/>
        </w:rPr>
      </w:pPr>
      <w:r>
        <w:rPr>
          <w:sz w:val="24"/>
          <w:highlight w:val="none"/>
        </w:rPr>
        <w:t>2．我方按照本保函向你贵方履行了保证责任后，自我方向你贵方支付款项（支付款项从我方账户划出）之日起，保证责任终止。</w:t>
      </w:r>
    </w:p>
    <w:p w14:paraId="4A6BBEE6">
      <w:pPr>
        <w:spacing w:line="360" w:lineRule="auto"/>
        <w:ind w:firstLine="480" w:firstLineChars="200"/>
        <w:rPr>
          <w:sz w:val="24"/>
          <w:highlight w:val="none"/>
        </w:rPr>
      </w:pPr>
      <w:r>
        <w:rPr>
          <w:sz w:val="24"/>
          <w:highlight w:val="none"/>
        </w:rPr>
        <w:t>3．按照法律法规的规定或出现我方保证责任终止的其它情形的，我方在本保函项下的保证责任亦终止。</w:t>
      </w:r>
    </w:p>
    <w:p w14:paraId="1322C997">
      <w:pPr>
        <w:spacing w:line="360" w:lineRule="auto"/>
        <w:ind w:firstLine="480" w:firstLineChars="200"/>
        <w:rPr>
          <w:sz w:val="24"/>
          <w:highlight w:val="none"/>
        </w:rPr>
      </w:pPr>
      <w:r>
        <w:rPr>
          <w:sz w:val="24"/>
          <w:highlight w:val="none"/>
        </w:rPr>
        <w:t>五、免责条款</w:t>
      </w:r>
    </w:p>
    <w:p w14:paraId="50DA67AC">
      <w:pPr>
        <w:spacing w:line="360" w:lineRule="auto"/>
        <w:ind w:firstLine="480" w:firstLineChars="200"/>
        <w:rPr>
          <w:sz w:val="24"/>
          <w:highlight w:val="none"/>
        </w:rPr>
      </w:pPr>
      <w:r>
        <w:rPr>
          <w:sz w:val="24"/>
          <w:highlight w:val="none"/>
        </w:rPr>
        <w:t>1．依照法律规定或你方与供应商的另行约定，全部或者部分免除供应商磋商保证金义务时，我方亦免除相应的保证责任。</w:t>
      </w:r>
    </w:p>
    <w:p w14:paraId="75CCD759">
      <w:pPr>
        <w:spacing w:line="360" w:lineRule="auto"/>
        <w:ind w:firstLine="480" w:firstLineChars="200"/>
        <w:rPr>
          <w:sz w:val="24"/>
          <w:highlight w:val="none"/>
        </w:rPr>
      </w:pPr>
      <w:r>
        <w:rPr>
          <w:sz w:val="24"/>
          <w:highlight w:val="none"/>
        </w:rPr>
        <w:t>2．因你方原因致使供应商发生本保函第一条第（一）款约定情形的，我方不承担保证责任。</w:t>
      </w:r>
    </w:p>
    <w:p w14:paraId="646AC0FC">
      <w:pPr>
        <w:spacing w:line="360" w:lineRule="auto"/>
        <w:ind w:firstLine="480" w:firstLineChars="200"/>
        <w:rPr>
          <w:sz w:val="24"/>
          <w:highlight w:val="none"/>
        </w:rPr>
      </w:pPr>
      <w:r>
        <w:rPr>
          <w:sz w:val="24"/>
          <w:highlight w:val="none"/>
        </w:rPr>
        <w:t>3．因不可抗力造成供应商发生本保函第一条约定情形的，我方不承担保证责任。</w:t>
      </w:r>
    </w:p>
    <w:p w14:paraId="4C1FD080">
      <w:pPr>
        <w:spacing w:line="360" w:lineRule="auto"/>
        <w:ind w:firstLine="480" w:firstLineChars="200"/>
        <w:rPr>
          <w:sz w:val="24"/>
          <w:highlight w:val="none"/>
        </w:rPr>
      </w:pPr>
      <w:r>
        <w:rPr>
          <w:sz w:val="24"/>
          <w:highlight w:val="none"/>
        </w:rPr>
        <w:t>4．你方或其他有权机关对磋商文件进行任何澄清或修改，加重我方保证责任的，我方对加重部分不承担保证责任，但该澄清或修改经我方事先书面同意的除外。</w:t>
      </w:r>
    </w:p>
    <w:p w14:paraId="25306261">
      <w:pPr>
        <w:spacing w:line="360" w:lineRule="auto"/>
        <w:ind w:firstLine="480" w:firstLineChars="200"/>
        <w:rPr>
          <w:sz w:val="24"/>
          <w:highlight w:val="none"/>
        </w:rPr>
      </w:pPr>
      <w:r>
        <w:rPr>
          <w:sz w:val="24"/>
          <w:highlight w:val="none"/>
        </w:rPr>
        <w:t>六、争议的解决</w:t>
      </w:r>
    </w:p>
    <w:p w14:paraId="3D8313D6">
      <w:pPr>
        <w:spacing w:line="360" w:lineRule="auto"/>
        <w:ind w:firstLine="480" w:firstLineChars="200"/>
        <w:rPr>
          <w:sz w:val="24"/>
          <w:highlight w:val="none"/>
        </w:rPr>
      </w:pPr>
      <w:r>
        <w:rPr>
          <w:sz w:val="24"/>
          <w:highlight w:val="none"/>
        </w:rPr>
        <w:t>因本保函发生的纠纷，由你我双方协商解决，协商不成的，通过诉讼程序解决，诉讼管辖地法院为</w:t>
      </w:r>
      <w:r>
        <w:rPr>
          <w:sz w:val="24"/>
          <w:highlight w:val="none"/>
          <w:u w:val="single"/>
        </w:rPr>
        <w:t xml:space="preserve">          </w:t>
      </w:r>
      <w:r>
        <w:rPr>
          <w:sz w:val="24"/>
          <w:highlight w:val="none"/>
        </w:rPr>
        <w:t>法院。</w:t>
      </w:r>
    </w:p>
    <w:p w14:paraId="33AF7CB7">
      <w:pPr>
        <w:spacing w:line="360" w:lineRule="auto"/>
        <w:ind w:firstLine="480" w:firstLineChars="200"/>
        <w:rPr>
          <w:sz w:val="24"/>
          <w:highlight w:val="none"/>
        </w:rPr>
      </w:pPr>
      <w:r>
        <w:rPr>
          <w:sz w:val="24"/>
          <w:highlight w:val="none"/>
        </w:rPr>
        <w:t>七、保函的生效</w:t>
      </w:r>
    </w:p>
    <w:p w14:paraId="461B2436">
      <w:pPr>
        <w:spacing w:line="360" w:lineRule="auto"/>
        <w:ind w:firstLine="480" w:firstLineChars="200"/>
        <w:rPr>
          <w:sz w:val="24"/>
          <w:highlight w:val="none"/>
        </w:rPr>
      </w:pPr>
      <w:r>
        <w:rPr>
          <w:sz w:val="24"/>
          <w:highlight w:val="none"/>
        </w:rPr>
        <w:t>本保函自我方加盖公章之日起生效。</w:t>
      </w:r>
    </w:p>
    <w:p w14:paraId="03B46B23">
      <w:pPr>
        <w:spacing w:line="360" w:lineRule="auto"/>
        <w:rPr>
          <w:sz w:val="24"/>
          <w:highlight w:val="none"/>
        </w:rPr>
      </w:pPr>
    </w:p>
    <w:p w14:paraId="54D3BDB3">
      <w:pPr>
        <w:spacing w:line="360" w:lineRule="auto"/>
        <w:rPr>
          <w:sz w:val="24"/>
          <w:highlight w:val="none"/>
        </w:rPr>
      </w:pPr>
      <w:r>
        <w:rPr>
          <w:sz w:val="24"/>
          <w:highlight w:val="none"/>
        </w:rPr>
        <w:t>保证人：（公章）</w:t>
      </w:r>
    </w:p>
    <w:p w14:paraId="4162E121">
      <w:pPr>
        <w:pStyle w:val="27"/>
        <w:snapToGrid w:val="0"/>
        <w:ind w:firstLine="480" w:firstLineChars="200"/>
        <w:jc w:val="right"/>
        <w:rPr>
          <w:rFonts w:ascii="Times New Roman" w:hAnsi="Times New Roman"/>
          <w:sz w:val="24"/>
          <w:highlight w:val="none"/>
        </w:rPr>
      </w:pPr>
    </w:p>
    <w:p w14:paraId="627CDBCF">
      <w:pPr>
        <w:pStyle w:val="27"/>
        <w:snapToGrid w:val="0"/>
        <w:ind w:firstLine="480" w:firstLineChars="200"/>
        <w:jc w:val="right"/>
        <w:rPr>
          <w:rFonts w:ascii="Times New Roman" w:hAnsi="Times New Roman"/>
          <w:sz w:val="24"/>
          <w:highlight w:val="none"/>
        </w:rPr>
      </w:pPr>
    </w:p>
    <w:p w14:paraId="7DBCDAD0">
      <w:pPr>
        <w:pStyle w:val="27"/>
        <w:snapToGrid w:val="0"/>
        <w:ind w:firstLine="480" w:firstLineChars="200"/>
        <w:jc w:val="right"/>
        <w:rPr>
          <w:rFonts w:ascii="Times New Roman" w:hAnsi="Times New Roman"/>
          <w:sz w:val="24"/>
          <w:highlight w:val="none"/>
        </w:rPr>
      </w:pPr>
      <w:r>
        <w:rPr>
          <w:rFonts w:ascii="Times New Roman" w:hAnsi="Times New Roman"/>
          <w:sz w:val="24"/>
          <w:highlight w:val="none"/>
        </w:rPr>
        <w:t>年     月      日</w:t>
      </w:r>
    </w:p>
    <w:p w14:paraId="473B98F2">
      <w:pPr>
        <w:tabs>
          <w:tab w:val="left" w:pos="5580"/>
        </w:tabs>
        <w:spacing w:before="120" w:line="360" w:lineRule="auto"/>
        <w:jc w:val="center"/>
        <w:outlineLvl w:val="1"/>
        <w:rPr>
          <w:b/>
          <w:sz w:val="24"/>
          <w:highlight w:val="none"/>
        </w:rPr>
      </w:pPr>
      <w:r>
        <w:rPr>
          <w:sz w:val="24"/>
          <w:highlight w:val="none"/>
        </w:rPr>
        <w:br w:type="page"/>
      </w:r>
      <w:r>
        <w:rPr>
          <w:b/>
          <w:sz w:val="24"/>
          <w:highlight w:val="none"/>
        </w:rPr>
        <w:t>附件</w:t>
      </w:r>
      <w:r>
        <w:rPr>
          <w:rFonts w:hint="eastAsia"/>
          <w:b/>
          <w:sz w:val="24"/>
          <w:highlight w:val="none"/>
        </w:rPr>
        <w:t>9：</w:t>
      </w:r>
      <w:r>
        <w:rPr>
          <w:b/>
          <w:sz w:val="24"/>
          <w:highlight w:val="none"/>
        </w:rPr>
        <w:t>成交服务费承诺书</w:t>
      </w:r>
    </w:p>
    <w:p w14:paraId="17FE0566">
      <w:pPr>
        <w:rPr>
          <w:b/>
          <w:bCs/>
          <w:sz w:val="24"/>
          <w:highlight w:val="none"/>
        </w:rPr>
      </w:pPr>
    </w:p>
    <w:p w14:paraId="27D55326">
      <w:pPr>
        <w:ind w:right="1440"/>
        <w:jc w:val="right"/>
        <w:rPr>
          <w:sz w:val="24"/>
          <w:highlight w:val="none"/>
        </w:rPr>
      </w:pPr>
      <w:r>
        <w:rPr>
          <w:sz w:val="24"/>
          <w:highlight w:val="none"/>
        </w:rPr>
        <w:t xml:space="preserve">承诺书号： </w:t>
      </w:r>
      <w:r>
        <w:rPr>
          <w:sz w:val="24"/>
          <w:highlight w:val="none"/>
          <w:u w:val="single"/>
        </w:rPr>
        <w:t xml:space="preserve">        </w:t>
      </w:r>
      <w:r>
        <w:rPr>
          <w:sz w:val="24"/>
          <w:highlight w:val="none"/>
        </w:rPr>
        <w:t xml:space="preserve">  </w:t>
      </w:r>
    </w:p>
    <w:p w14:paraId="1541F201">
      <w:pPr>
        <w:pStyle w:val="43"/>
        <w:rPr>
          <w:highlight w:val="none"/>
        </w:rPr>
      </w:pPr>
    </w:p>
    <w:p w14:paraId="07C8F755">
      <w:pPr>
        <w:rPr>
          <w:sz w:val="24"/>
          <w:highlight w:val="none"/>
        </w:rPr>
      </w:pPr>
    </w:p>
    <w:p w14:paraId="26FE5838">
      <w:pPr>
        <w:rPr>
          <w:sz w:val="24"/>
          <w:highlight w:val="none"/>
          <w:u w:val="single"/>
        </w:rPr>
      </w:pPr>
      <w:r>
        <w:rPr>
          <w:sz w:val="24"/>
          <w:highlight w:val="none"/>
        </w:rPr>
        <w:t>致：</w:t>
      </w:r>
      <w:r>
        <w:rPr>
          <w:i/>
          <w:iCs/>
          <w:sz w:val="24"/>
          <w:highlight w:val="none"/>
          <w:u w:val="single"/>
        </w:rPr>
        <w:t>（采购代理机构 ）</w:t>
      </w:r>
    </w:p>
    <w:p w14:paraId="16D7CB6C">
      <w:pPr>
        <w:rPr>
          <w:sz w:val="24"/>
          <w:highlight w:val="none"/>
        </w:rPr>
      </w:pPr>
    </w:p>
    <w:p w14:paraId="0B5A2BC7">
      <w:pPr>
        <w:spacing w:line="360" w:lineRule="auto"/>
        <w:ind w:firstLine="480" w:firstLineChars="200"/>
        <w:rPr>
          <w:sz w:val="24"/>
          <w:highlight w:val="none"/>
        </w:rPr>
      </w:pPr>
      <w:r>
        <w:rPr>
          <w:sz w:val="24"/>
          <w:highlight w:val="none"/>
        </w:rPr>
        <w:t>我们在贵公司组织的</w:t>
      </w:r>
      <w:r>
        <w:rPr>
          <w:sz w:val="24"/>
          <w:highlight w:val="none"/>
          <w:u w:val="single"/>
        </w:rPr>
        <w:t xml:space="preserve">             </w:t>
      </w:r>
      <w:r>
        <w:rPr>
          <w:sz w:val="24"/>
          <w:highlight w:val="none"/>
        </w:rPr>
        <w:t>项目磋商中若获成交（磋商文件编号：</w:t>
      </w:r>
      <w:r>
        <w:rPr>
          <w:sz w:val="24"/>
          <w:highlight w:val="none"/>
          <w:u w:val="single"/>
        </w:rPr>
        <w:t xml:space="preserve">         </w:t>
      </w:r>
      <w:r>
        <w:rPr>
          <w:sz w:val="24"/>
          <w:highlight w:val="none"/>
        </w:rPr>
        <w:t>），我们保证在收到通知书后5个工作日内，按磋商文件的规定，以支票、电汇或现金，向贵公司一次性支付应该交纳的成交服务费用。</w:t>
      </w:r>
    </w:p>
    <w:p w14:paraId="33E083EE">
      <w:pPr>
        <w:rPr>
          <w:sz w:val="24"/>
          <w:highlight w:val="none"/>
        </w:rPr>
      </w:pPr>
    </w:p>
    <w:p w14:paraId="157ECF10">
      <w:pPr>
        <w:ind w:firstLine="480" w:firstLineChars="200"/>
        <w:rPr>
          <w:sz w:val="24"/>
          <w:highlight w:val="none"/>
        </w:rPr>
      </w:pPr>
      <w:r>
        <w:rPr>
          <w:sz w:val="24"/>
          <w:highlight w:val="none"/>
        </w:rPr>
        <w:t>特此承诺！</w:t>
      </w:r>
    </w:p>
    <w:p w14:paraId="4D583A02">
      <w:pPr>
        <w:rPr>
          <w:highlight w:val="none"/>
        </w:rPr>
      </w:pPr>
    </w:p>
    <w:p w14:paraId="6C7495B3">
      <w:pPr>
        <w:rPr>
          <w:highlight w:val="none"/>
        </w:rPr>
      </w:pPr>
    </w:p>
    <w:p w14:paraId="252A257F">
      <w:pPr>
        <w:rPr>
          <w:highlight w:val="none"/>
        </w:rPr>
      </w:pPr>
    </w:p>
    <w:p w14:paraId="04949A47">
      <w:pPr>
        <w:rPr>
          <w:highlight w:val="none"/>
        </w:rPr>
      </w:pPr>
    </w:p>
    <w:p w14:paraId="02E84BD6">
      <w:pPr>
        <w:spacing w:line="360" w:lineRule="auto"/>
        <w:rPr>
          <w:sz w:val="24"/>
          <w:highlight w:val="none"/>
        </w:rPr>
      </w:pPr>
      <w:r>
        <w:rPr>
          <w:sz w:val="24"/>
          <w:highlight w:val="none"/>
        </w:rPr>
        <w:t>承诺方法定名称：</w:t>
      </w:r>
      <w:r>
        <w:rPr>
          <w:sz w:val="24"/>
          <w:highlight w:val="none"/>
          <w:u w:val="single"/>
        </w:rPr>
        <w:t xml:space="preserve">                                 </w:t>
      </w:r>
    </w:p>
    <w:p w14:paraId="1FD5E3B7">
      <w:pPr>
        <w:spacing w:line="360" w:lineRule="auto"/>
        <w:rPr>
          <w:sz w:val="24"/>
          <w:highlight w:val="none"/>
        </w:rPr>
      </w:pPr>
      <w:r>
        <w:rPr>
          <w:sz w:val="24"/>
          <w:highlight w:val="none"/>
        </w:rPr>
        <w:t>地址：</w:t>
      </w:r>
      <w:r>
        <w:rPr>
          <w:sz w:val="24"/>
          <w:highlight w:val="none"/>
          <w:u w:val="single"/>
        </w:rPr>
        <w:t xml:space="preserve">                                           </w:t>
      </w:r>
    </w:p>
    <w:p w14:paraId="4D58670C">
      <w:pPr>
        <w:spacing w:line="360" w:lineRule="auto"/>
        <w:rPr>
          <w:sz w:val="24"/>
          <w:highlight w:val="none"/>
        </w:rPr>
      </w:pPr>
      <w:r>
        <w:rPr>
          <w:sz w:val="24"/>
          <w:highlight w:val="none"/>
        </w:rPr>
        <w:t>电话：</w:t>
      </w:r>
      <w:r>
        <w:rPr>
          <w:sz w:val="24"/>
          <w:highlight w:val="none"/>
          <w:u w:val="single"/>
        </w:rPr>
        <w:t xml:space="preserve">                </w:t>
      </w:r>
      <w:r>
        <w:rPr>
          <w:sz w:val="24"/>
          <w:highlight w:val="none"/>
        </w:rPr>
        <w:t>传真：</w:t>
      </w:r>
      <w:r>
        <w:rPr>
          <w:sz w:val="24"/>
          <w:highlight w:val="none"/>
          <w:u w:val="single"/>
        </w:rPr>
        <w:t xml:space="preserve">               </w:t>
      </w:r>
    </w:p>
    <w:p w14:paraId="3100E495">
      <w:pPr>
        <w:spacing w:line="360" w:lineRule="auto"/>
        <w:rPr>
          <w:sz w:val="24"/>
          <w:highlight w:val="none"/>
        </w:rPr>
      </w:pPr>
      <w:r>
        <w:rPr>
          <w:sz w:val="24"/>
          <w:highlight w:val="none"/>
        </w:rPr>
        <w:t>电传：</w:t>
      </w:r>
      <w:r>
        <w:rPr>
          <w:sz w:val="24"/>
          <w:highlight w:val="none"/>
          <w:u w:val="single"/>
        </w:rPr>
        <w:t xml:space="preserve">                </w:t>
      </w:r>
      <w:r>
        <w:rPr>
          <w:sz w:val="24"/>
          <w:highlight w:val="none"/>
        </w:rPr>
        <w:t>邮编：</w:t>
      </w:r>
      <w:r>
        <w:rPr>
          <w:sz w:val="24"/>
          <w:highlight w:val="none"/>
          <w:u w:val="single"/>
        </w:rPr>
        <w:t xml:space="preserve">               </w:t>
      </w:r>
    </w:p>
    <w:p w14:paraId="0A6F3071">
      <w:pPr>
        <w:spacing w:line="360" w:lineRule="auto"/>
        <w:rPr>
          <w:sz w:val="24"/>
          <w:highlight w:val="none"/>
        </w:rPr>
      </w:pPr>
      <w:r>
        <w:rPr>
          <w:sz w:val="24"/>
          <w:highlight w:val="none"/>
        </w:rPr>
        <w:t>承诺方授权代表签字：</w:t>
      </w:r>
      <w:r>
        <w:rPr>
          <w:sz w:val="24"/>
          <w:highlight w:val="none"/>
          <w:u w:val="single"/>
        </w:rPr>
        <w:t xml:space="preserve">                         </w:t>
      </w:r>
      <w:r>
        <w:rPr>
          <w:sz w:val="24"/>
          <w:highlight w:val="none"/>
        </w:rPr>
        <w:t>（承诺方盖章）</w:t>
      </w:r>
    </w:p>
    <w:p w14:paraId="77E2B134">
      <w:pPr>
        <w:spacing w:line="360" w:lineRule="auto"/>
        <w:rPr>
          <w:sz w:val="24"/>
          <w:highlight w:val="none"/>
          <w:u w:val="single"/>
        </w:rPr>
      </w:pPr>
      <w:r>
        <w:rPr>
          <w:sz w:val="24"/>
          <w:highlight w:val="none"/>
        </w:rPr>
        <w:t>承诺日期：</w:t>
      </w:r>
      <w:r>
        <w:rPr>
          <w:sz w:val="24"/>
          <w:highlight w:val="none"/>
          <w:u w:val="single"/>
        </w:rPr>
        <w:t xml:space="preserve">                 </w:t>
      </w:r>
    </w:p>
    <w:p w14:paraId="4B068327">
      <w:pPr>
        <w:adjustRightInd w:val="0"/>
        <w:snapToGrid w:val="0"/>
        <w:rPr>
          <w:highlight w:val="none"/>
        </w:rPr>
        <w:sectPr>
          <w:pgSz w:w="11907" w:h="16840"/>
          <w:pgMar w:top="1418" w:right="1418" w:bottom="1418" w:left="1418" w:header="851" w:footer="851" w:gutter="0"/>
          <w:cols w:space="720" w:num="1"/>
          <w:titlePg/>
          <w:docGrid w:linePitch="462" w:charSpace="0"/>
        </w:sectPr>
      </w:pPr>
    </w:p>
    <w:p w14:paraId="12E23BF4">
      <w:pPr>
        <w:tabs>
          <w:tab w:val="left" w:pos="5580"/>
        </w:tabs>
        <w:spacing w:before="120" w:line="360" w:lineRule="auto"/>
        <w:jc w:val="center"/>
        <w:rPr>
          <w:sz w:val="24"/>
          <w:highlight w:val="none"/>
        </w:rPr>
      </w:pPr>
    </w:p>
    <w:p w14:paraId="501A6673">
      <w:pPr>
        <w:tabs>
          <w:tab w:val="left" w:pos="5580"/>
        </w:tabs>
        <w:spacing w:before="120" w:line="360" w:lineRule="auto"/>
        <w:jc w:val="center"/>
        <w:outlineLvl w:val="1"/>
        <w:rPr>
          <w:b/>
          <w:sz w:val="24"/>
          <w:highlight w:val="none"/>
        </w:rPr>
      </w:pPr>
      <w:r>
        <w:rPr>
          <w:b/>
          <w:sz w:val="24"/>
          <w:highlight w:val="none"/>
        </w:rPr>
        <w:t>附件</w:t>
      </w:r>
      <w:r>
        <w:rPr>
          <w:rFonts w:hint="eastAsia"/>
          <w:b/>
          <w:sz w:val="24"/>
          <w:highlight w:val="none"/>
        </w:rPr>
        <w:t>11：</w:t>
      </w:r>
      <w:r>
        <w:rPr>
          <w:b/>
          <w:sz w:val="24"/>
          <w:highlight w:val="none"/>
        </w:rPr>
        <w:t>中小企业声明函</w:t>
      </w:r>
    </w:p>
    <w:p w14:paraId="7783EDBD">
      <w:pPr>
        <w:spacing w:before="240"/>
        <w:ind w:left="992" w:hanging="567"/>
        <w:rPr>
          <w:sz w:val="24"/>
          <w:szCs w:val="24"/>
          <w:highlight w:val="none"/>
        </w:rPr>
      </w:pPr>
      <w:r>
        <w:rPr>
          <w:sz w:val="24"/>
          <w:szCs w:val="24"/>
          <w:highlight w:val="none"/>
        </w:rPr>
        <w:t>（如为中小企业，应按《政府采购促进中小企业发展管理办法》的规定提供）</w:t>
      </w:r>
    </w:p>
    <w:p w14:paraId="17D25DDE">
      <w:pPr>
        <w:jc w:val="center"/>
        <w:rPr>
          <w:b/>
          <w:bCs/>
          <w:sz w:val="24"/>
          <w:szCs w:val="24"/>
          <w:highlight w:val="none"/>
        </w:rPr>
      </w:pPr>
      <w:r>
        <w:rPr>
          <w:b/>
          <w:bCs/>
          <w:sz w:val="24"/>
          <w:szCs w:val="24"/>
          <w:highlight w:val="none"/>
        </w:rPr>
        <w:t>中小企业声明函（服务）</w:t>
      </w:r>
    </w:p>
    <w:p w14:paraId="2ADF13AE">
      <w:pPr>
        <w:rPr>
          <w:highlight w:val="none"/>
        </w:rPr>
      </w:pPr>
    </w:p>
    <w:p w14:paraId="545CA890">
      <w:pPr>
        <w:pStyle w:val="108"/>
        <w:spacing w:line="360" w:lineRule="auto"/>
        <w:ind w:right="158" w:firstLine="643"/>
        <w:rPr>
          <w:rFonts w:ascii="Times New Roman" w:hAnsi="Times New Roman" w:eastAsia="宋体"/>
          <w:bCs/>
          <w:highlight w:val="none"/>
        </w:rPr>
      </w:pPr>
      <w:r>
        <w:rPr>
          <w:rFonts w:ascii="Times New Roman" w:hAnsi="Times New Roman" w:eastAsia="宋体"/>
          <w:bCs/>
          <w:highlight w:val="none"/>
        </w:rPr>
        <w:t>本公司（联合体）郑重声明，根据《政府采购促进中小企业发展管理办法》（财库﹝2020﹞46号）的规定，本公司（联合体）参加</w:t>
      </w:r>
      <w:r>
        <w:rPr>
          <w:rFonts w:ascii="Times New Roman" w:hAnsi="Times New Roman" w:eastAsia="宋体"/>
          <w:b/>
          <w:highlight w:val="none"/>
          <w:u w:val="single"/>
        </w:rPr>
        <w:t>（单位名称）</w:t>
      </w:r>
      <w:r>
        <w:rPr>
          <w:rFonts w:ascii="Times New Roman" w:hAnsi="Times New Roman" w:eastAsia="宋体"/>
          <w:bCs/>
          <w:highlight w:val="none"/>
        </w:rPr>
        <w:t>的</w:t>
      </w:r>
      <w:r>
        <w:rPr>
          <w:rFonts w:ascii="Times New Roman" w:hAnsi="Times New Roman" w:eastAsia="宋体"/>
          <w:b/>
          <w:highlight w:val="none"/>
          <w:u w:val="single"/>
        </w:rPr>
        <w:t>（项目名称）</w:t>
      </w:r>
      <w:r>
        <w:rPr>
          <w:rFonts w:ascii="Times New Roman" w:hAnsi="Times New Roman" w:eastAsia="宋体"/>
          <w:bCs/>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0C69657D">
      <w:pPr>
        <w:pStyle w:val="107"/>
        <w:spacing w:line="360" w:lineRule="auto"/>
        <w:ind w:firstLine="640"/>
        <w:rPr>
          <w:rFonts w:ascii="Times New Roman" w:hAnsi="Times New Roman" w:eastAsia="宋体"/>
          <w:bCs/>
          <w:highlight w:val="none"/>
        </w:rPr>
      </w:pPr>
      <w:r>
        <w:rPr>
          <w:rFonts w:ascii="Times New Roman" w:hAnsi="Times New Roman" w:eastAsia="宋体"/>
          <w:bCs/>
          <w:highlight w:val="none"/>
        </w:rPr>
        <w:t xml:space="preserve">1. </w:t>
      </w:r>
      <w:r>
        <w:rPr>
          <w:rFonts w:ascii="Times New Roman" w:hAnsi="Times New Roman" w:eastAsia="宋体"/>
          <w:b/>
          <w:highlight w:val="none"/>
          <w:u w:val="single"/>
        </w:rPr>
        <w:t>（标的名称）</w:t>
      </w:r>
      <w:r>
        <w:rPr>
          <w:rFonts w:ascii="Times New Roman" w:hAnsi="Times New Roman" w:eastAsia="宋体"/>
          <w:bCs/>
          <w:highlight w:val="none"/>
        </w:rPr>
        <w:t>，属于</w:t>
      </w:r>
      <w:r>
        <w:rPr>
          <w:rFonts w:ascii="Times New Roman" w:hAnsi="Times New Roman" w:eastAsia="宋体"/>
          <w:b/>
          <w:highlight w:val="none"/>
          <w:u w:val="single"/>
        </w:rPr>
        <w:t>（采购文件中明确的所属行业）</w:t>
      </w:r>
      <w:r>
        <w:rPr>
          <w:rFonts w:ascii="Times New Roman" w:hAnsi="Times New Roman" w:eastAsia="宋体"/>
          <w:bCs/>
          <w:highlight w:val="none"/>
        </w:rPr>
        <w:t>；承建（承接）企业为</w:t>
      </w:r>
      <w:r>
        <w:rPr>
          <w:rFonts w:ascii="Times New Roman" w:hAnsi="Times New Roman" w:eastAsia="宋体"/>
          <w:b/>
          <w:highlight w:val="none"/>
          <w:u w:val="single"/>
        </w:rPr>
        <w:t>（企业名称）</w:t>
      </w:r>
      <w:r>
        <w:rPr>
          <w:rFonts w:ascii="Times New Roman" w:hAnsi="Times New Roman" w:eastAsia="宋体"/>
          <w:bCs/>
          <w:highlight w:val="none"/>
        </w:rPr>
        <w:t>，从业人员</w:t>
      </w:r>
      <w:r>
        <w:rPr>
          <w:rFonts w:ascii="Times New Roman" w:hAnsi="Times New Roman" w:eastAsia="宋体"/>
          <w:bCs/>
          <w:highlight w:val="none"/>
          <w:u w:val="single"/>
        </w:rPr>
        <w:t xml:space="preserve">      </w:t>
      </w:r>
      <w:r>
        <w:rPr>
          <w:rFonts w:ascii="Times New Roman" w:hAnsi="Times New Roman" w:eastAsia="宋体"/>
          <w:bCs/>
          <w:highlight w:val="none"/>
        </w:rPr>
        <w:t>人，营业收入为</w:t>
      </w:r>
      <w:r>
        <w:rPr>
          <w:rFonts w:ascii="Times New Roman" w:hAnsi="Times New Roman" w:eastAsia="宋体"/>
          <w:bCs/>
          <w:highlight w:val="none"/>
          <w:u w:val="single"/>
        </w:rPr>
        <w:t xml:space="preserve">      </w:t>
      </w:r>
      <w:r>
        <w:rPr>
          <w:rFonts w:ascii="Times New Roman" w:hAnsi="Times New Roman" w:eastAsia="宋体"/>
          <w:bCs/>
          <w:highlight w:val="none"/>
        </w:rPr>
        <w:t>万元，资产总额为</w:t>
      </w:r>
      <w:r>
        <w:rPr>
          <w:rFonts w:ascii="Times New Roman" w:hAnsi="Times New Roman" w:eastAsia="宋体"/>
          <w:bCs/>
          <w:highlight w:val="none"/>
          <w:u w:val="single"/>
        </w:rPr>
        <w:t xml:space="preserve">      </w:t>
      </w:r>
      <w:r>
        <w:rPr>
          <w:rFonts w:ascii="Times New Roman" w:hAnsi="Times New Roman" w:eastAsia="宋体"/>
          <w:bCs/>
          <w:highlight w:val="none"/>
        </w:rPr>
        <w:t>万元</w:t>
      </w:r>
      <w:r>
        <w:rPr>
          <w:highlight w:val="none"/>
        </w:rPr>
        <w:fldChar w:fldCharType="begin"/>
      </w:r>
      <w:r>
        <w:rPr>
          <w:highlight w:val="none"/>
        </w:rPr>
        <w:instrText xml:space="preserve"> HYPERLINK \l "_bookmark0" </w:instrText>
      </w:r>
      <w:r>
        <w:rPr>
          <w:highlight w:val="none"/>
        </w:rPr>
        <w:fldChar w:fldCharType="separate"/>
      </w:r>
      <w:r>
        <w:rPr>
          <w:rFonts w:ascii="Times New Roman" w:hAnsi="Times New Roman"/>
          <w:bCs/>
          <w:spacing w:val="-2"/>
          <w:highlight w:val="none"/>
          <w:vertAlign w:val="superscript"/>
        </w:rPr>
        <w:t>1</w:t>
      </w:r>
      <w:r>
        <w:rPr>
          <w:rFonts w:ascii="Times New Roman" w:hAnsi="Times New Roman"/>
          <w:bCs/>
          <w:spacing w:val="-2"/>
          <w:highlight w:val="none"/>
          <w:vertAlign w:val="superscript"/>
        </w:rPr>
        <w:fldChar w:fldCharType="end"/>
      </w:r>
      <w:r>
        <w:rPr>
          <w:rFonts w:ascii="Times New Roman" w:hAnsi="Times New Roman" w:eastAsia="宋体"/>
          <w:bCs/>
          <w:highlight w:val="none"/>
        </w:rPr>
        <w:t>，属于</w:t>
      </w:r>
      <w:r>
        <w:rPr>
          <w:rFonts w:ascii="Times New Roman" w:hAnsi="Times New Roman" w:eastAsia="宋体"/>
          <w:b/>
          <w:highlight w:val="none"/>
          <w:u w:val="single"/>
        </w:rPr>
        <w:t>（中型企业、小型企业、微型企业）</w:t>
      </w:r>
      <w:r>
        <w:rPr>
          <w:rFonts w:ascii="Times New Roman" w:hAnsi="Times New Roman" w:eastAsia="宋体"/>
          <w:bCs/>
          <w:highlight w:val="none"/>
        </w:rPr>
        <w:t>；</w:t>
      </w:r>
    </w:p>
    <w:p w14:paraId="08BC36D6">
      <w:pPr>
        <w:pStyle w:val="107"/>
        <w:spacing w:line="360" w:lineRule="auto"/>
        <w:ind w:firstLine="640"/>
        <w:rPr>
          <w:rFonts w:ascii="Times New Roman" w:hAnsi="Times New Roman" w:eastAsia="宋体"/>
          <w:bCs/>
          <w:highlight w:val="none"/>
        </w:rPr>
      </w:pPr>
      <w:r>
        <w:rPr>
          <w:rFonts w:ascii="Times New Roman" w:hAnsi="Times New Roman" w:eastAsia="宋体"/>
          <w:bCs/>
          <w:highlight w:val="none"/>
        </w:rPr>
        <w:t xml:space="preserve">2. </w:t>
      </w:r>
      <w:r>
        <w:rPr>
          <w:rFonts w:ascii="Times New Roman" w:hAnsi="Times New Roman" w:eastAsia="宋体"/>
          <w:bCs/>
          <w:highlight w:val="none"/>
          <w:u w:val="single"/>
        </w:rPr>
        <w:t>（标的名称）</w:t>
      </w:r>
      <w:r>
        <w:rPr>
          <w:rFonts w:ascii="Times New Roman" w:hAnsi="Times New Roman" w:eastAsia="宋体"/>
          <w:bCs/>
          <w:highlight w:val="none"/>
        </w:rPr>
        <w:t>，属于</w:t>
      </w:r>
      <w:r>
        <w:rPr>
          <w:rFonts w:ascii="Times New Roman" w:hAnsi="Times New Roman" w:eastAsia="宋体"/>
          <w:bCs/>
          <w:highlight w:val="none"/>
          <w:u w:val="single"/>
        </w:rPr>
        <w:t>（采购文件中明确的所属行业）</w:t>
      </w:r>
      <w:r>
        <w:rPr>
          <w:rFonts w:ascii="Times New Roman" w:hAnsi="Times New Roman" w:eastAsia="宋体"/>
          <w:bCs/>
          <w:highlight w:val="none"/>
        </w:rPr>
        <w:t>；承建（承接）企业为</w:t>
      </w:r>
      <w:r>
        <w:rPr>
          <w:rFonts w:ascii="Times New Roman" w:hAnsi="Times New Roman" w:eastAsia="宋体"/>
          <w:bCs/>
          <w:highlight w:val="none"/>
          <w:u w:val="single"/>
        </w:rPr>
        <w:t>（企业名称）</w:t>
      </w:r>
      <w:r>
        <w:rPr>
          <w:rFonts w:ascii="Times New Roman" w:hAnsi="Times New Roman" w:eastAsia="宋体"/>
          <w:bCs/>
          <w:highlight w:val="none"/>
        </w:rPr>
        <w:t>，从业人员</w:t>
      </w:r>
      <w:r>
        <w:rPr>
          <w:rFonts w:ascii="Times New Roman" w:hAnsi="Times New Roman" w:eastAsia="宋体"/>
          <w:bCs/>
          <w:highlight w:val="none"/>
          <w:u w:val="single"/>
        </w:rPr>
        <w:t xml:space="preserve">      </w:t>
      </w:r>
      <w:r>
        <w:rPr>
          <w:rFonts w:ascii="Times New Roman" w:hAnsi="Times New Roman" w:eastAsia="宋体"/>
          <w:bCs/>
          <w:highlight w:val="none"/>
        </w:rPr>
        <w:t>人，营业收入为</w:t>
      </w:r>
      <w:r>
        <w:rPr>
          <w:rFonts w:ascii="Times New Roman" w:hAnsi="Times New Roman" w:eastAsia="宋体"/>
          <w:bCs/>
          <w:highlight w:val="none"/>
          <w:u w:val="single"/>
        </w:rPr>
        <w:t xml:space="preserve">      </w:t>
      </w:r>
      <w:r>
        <w:rPr>
          <w:rFonts w:ascii="Times New Roman" w:hAnsi="Times New Roman" w:eastAsia="宋体"/>
          <w:bCs/>
          <w:highlight w:val="none"/>
        </w:rPr>
        <w:t>万元，资产总额为</w:t>
      </w:r>
      <w:r>
        <w:rPr>
          <w:rFonts w:ascii="Times New Roman" w:hAnsi="Times New Roman" w:eastAsia="宋体"/>
          <w:bCs/>
          <w:highlight w:val="none"/>
          <w:u w:val="single"/>
        </w:rPr>
        <w:t xml:space="preserve">      </w:t>
      </w:r>
      <w:r>
        <w:rPr>
          <w:rFonts w:ascii="Times New Roman" w:hAnsi="Times New Roman" w:eastAsia="宋体"/>
          <w:bCs/>
          <w:highlight w:val="none"/>
        </w:rPr>
        <w:t>万元</w:t>
      </w:r>
      <w:r>
        <w:rPr>
          <w:highlight w:val="none"/>
        </w:rPr>
        <w:fldChar w:fldCharType="begin"/>
      </w:r>
      <w:r>
        <w:rPr>
          <w:highlight w:val="none"/>
        </w:rPr>
        <w:instrText xml:space="preserve"> HYPERLINK \l "_bookmark0" </w:instrText>
      </w:r>
      <w:r>
        <w:rPr>
          <w:highlight w:val="none"/>
        </w:rPr>
        <w:fldChar w:fldCharType="separate"/>
      </w:r>
      <w:r>
        <w:rPr>
          <w:rFonts w:ascii="Times New Roman" w:hAnsi="Times New Roman"/>
          <w:bCs/>
          <w:spacing w:val="-2"/>
          <w:highlight w:val="none"/>
          <w:vertAlign w:val="superscript"/>
        </w:rPr>
        <w:t>1</w:t>
      </w:r>
      <w:r>
        <w:rPr>
          <w:rFonts w:ascii="Times New Roman" w:hAnsi="Times New Roman"/>
          <w:bCs/>
          <w:spacing w:val="-2"/>
          <w:highlight w:val="none"/>
          <w:vertAlign w:val="superscript"/>
        </w:rPr>
        <w:fldChar w:fldCharType="end"/>
      </w:r>
      <w:r>
        <w:rPr>
          <w:rFonts w:ascii="Times New Roman" w:hAnsi="Times New Roman" w:eastAsia="宋体"/>
          <w:bCs/>
          <w:highlight w:val="none"/>
        </w:rPr>
        <w:t>，属于</w:t>
      </w:r>
      <w:r>
        <w:rPr>
          <w:rFonts w:ascii="Times New Roman" w:hAnsi="Times New Roman" w:eastAsia="宋体"/>
          <w:bCs/>
          <w:highlight w:val="none"/>
          <w:u w:val="single"/>
        </w:rPr>
        <w:t>（中型企业、小型企业、微型企业）</w:t>
      </w:r>
      <w:r>
        <w:rPr>
          <w:rFonts w:ascii="Times New Roman" w:hAnsi="Times New Roman" w:eastAsia="宋体"/>
          <w:bCs/>
          <w:highlight w:val="none"/>
        </w:rPr>
        <w:t>；</w:t>
      </w:r>
    </w:p>
    <w:p w14:paraId="78D5C83F">
      <w:pPr>
        <w:pStyle w:val="109"/>
        <w:spacing w:line="360" w:lineRule="auto"/>
        <w:ind w:left="643"/>
        <w:rPr>
          <w:rFonts w:ascii="Times New Roman" w:hAnsi="Times New Roman" w:eastAsia="宋体"/>
          <w:bCs/>
          <w:highlight w:val="none"/>
        </w:rPr>
      </w:pPr>
      <w:r>
        <w:rPr>
          <w:rFonts w:ascii="Times New Roman" w:hAnsi="Times New Roman" w:eastAsia="宋体"/>
          <w:bCs/>
          <w:highlight w:val="none"/>
        </w:rPr>
        <w:t>……</w:t>
      </w:r>
    </w:p>
    <w:p w14:paraId="3B2B243F">
      <w:pPr>
        <w:pStyle w:val="108"/>
        <w:spacing w:line="360" w:lineRule="auto"/>
        <w:ind w:right="158" w:firstLine="643"/>
        <w:rPr>
          <w:rFonts w:ascii="Times New Roman" w:hAnsi="Times New Roman" w:eastAsia="宋体"/>
          <w:bCs/>
          <w:highlight w:val="none"/>
        </w:rPr>
      </w:pPr>
      <w:r>
        <w:rPr>
          <w:rFonts w:ascii="Times New Roman" w:hAnsi="Times New Roman" w:eastAsia="宋体"/>
          <w:bCs/>
          <w:highlight w:val="none"/>
        </w:rPr>
        <w:t>以上企业，不属于大企业的分支机构，不存在控股股东为大企业的情形，也不存在与大企业的负责人为同一人的情形。</w:t>
      </w:r>
    </w:p>
    <w:p w14:paraId="0E1FED05">
      <w:pPr>
        <w:pStyle w:val="109"/>
        <w:spacing w:line="360" w:lineRule="auto"/>
        <w:ind w:left="643"/>
        <w:rPr>
          <w:rFonts w:ascii="Times New Roman" w:hAnsi="Times New Roman" w:eastAsia="宋体"/>
          <w:bCs/>
          <w:highlight w:val="none"/>
        </w:rPr>
      </w:pPr>
      <w:r>
        <w:rPr>
          <w:rFonts w:ascii="Times New Roman" w:hAnsi="Times New Roman" w:eastAsia="宋体"/>
          <w:bCs/>
          <w:highlight w:val="none"/>
        </w:rPr>
        <w:t>本企业对上述声明内容的真实性负责。如有虚假，将依法承担相应责任。</w:t>
      </w:r>
    </w:p>
    <w:p w14:paraId="5026B95F">
      <w:pPr>
        <w:pStyle w:val="109"/>
        <w:ind w:firstLine="1200" w:firstLineChars="500"/>
        <w:rPr>
          <w:rFonts w:ascii="Times New Roman" w:hAnsi="Times New Roman" w:eastAsia="宋体"/>
          <w:bCs/>
          <w:highlight w:val="none"/>
        </w:rPr>
      </w:pPr>
    </w:p>
    <w:p w14:paraId="3B754798">
      <w:pPr>
        <w:pStyle w:val="109"/>
        <w:ind w:firstLine="5760" w:firstLineChars="2400"/>
        <w:rPr>
          <w:rFonts w:ascii="Times New Roman" w:hAnsi="Times New Roman" w:eastAsia="宋体"/>
          <w:bCs/>
          <w:highlight w:val="none"/>
        </w:rPr>
      </w:pPr>
      <w:r>
        <w:rPr>
          <w:rFonts w:ascii="Times New Roman" w:hAnsi="Times New Roman" w:eastAsia="宋体"/>
          <w:bCs/>
          <w:highlight w:val="none"/>
        </w:rPr>
        <w:t>企业名称（盖章）：</w:t>
      </w:r>
    </w:p>
    <w:p w14:paraId="67690D75">
      <w:pPr>
        <w:pStyle w:val="109"/>
        <w:ind w:firstLine="5760" w:firstLineChars="2400"/>
        <w:rPr>
          <w:rFonts w:ascii="Times New Roman" w:hAnsi="Times New Roman" w:eastAsia="宋体"/>
          <w:bCs/>
          <w:highlight w:val="none"/>
        </w:rPr>
      </w:pPr>
      <w:r>
        <w:rPr>
          <w:rFonts w:ascii="Times New Roman" w:hAnsi="Times New Roman" w:eastAsia="宋体"/>
          <w:bCs/>
          <w:highlight w:val="none"/>
        </w:rPr>
        <w:t>日期：</w:t>
      </w:r>
    </w:p>
    <w:p w14:paraId="3DFFA3E3">
      <w:pPr>
        <w:pStyle w:val="23"/>
        <w:spacing w:before="48"/>
        <w:rPr>
          <w:rFonts w:ascii="Times New Roman" w:hAnsi="Times New Roman" w:cs="Times New Roman"/>
          <w:b/>
          <w:color w:val="auto"/>
          <w:highlight w:val="none"/>
        </w:rPr>
      </w:pPr>
    </w:p>
    <w:p w14:paraId="29769151">
      <w:pPr>
        <w:pStyle w:val="22"/>
        <w:spacing w:before="55" w:line="302" w:lineRule="auto"/>
        <w:ind w:right="415"/>
        <w:rPr>
          <w:sz w:val="21"/>
          <w:szCs w:val="21"/>
          <w:highlight w:val="none"/>
        </w:rPr>
      </w:pPr>
    </w:p>
    <w:p w14:paraId="3E7D1389">
      <w:pPr>
        <w:pStyle w:val="22"/>
        <w:spacing w:before="55" w:line="302" w:lineRule="auto"/>
        <w:ind w:right="415"/>
        <w:rPr>
          <w:sz w:val="21"/>
          <w:szCs w:val="21"/>
          <w:highlight w:val="none"/>
        </w:rPr>
      </w:pPr>
    </w:p>
    <w:p w14:paraId="68421991">
      <w:pPr>
        <w:spacing w:line="225" w:lineRule="exact"/>
        <w:ind w:left="20"/>
        <w:rPr>
          <w:bCs/>
          <w:highlight w:val="none"/>
        </w:rPr>
      </w:pPr>
      <w:r>
        <w:rPr>
          <w:bCs/>
          <w:highlight w:val="none"/>
          <w:vertAlign w:val="superscript"/>
        </w:rPr>
        <w:t>1</w:t>
      </w:r>
      <w:r>
        <w:rPr>
          <w:bCs/>
          <w:highlight w:val="none"/>
        </w:rPr>
        <w:t>从业人员、营业收入、资产总额填报上一年度数据，无上一年度数据的新成立企业可不填报。</w:t>
      </w:r>
    </w:p>
    <w:p w14:paraId="0842143C">
      <w:pPr>
        <w:pStyle w:val="22"/>
        <w:spacing w:before="55" w:line="302" w:lineRule="auto"/>
        <w:ind w:right="415"/>
        <w:rPr>
          <w:bCs/>
          <w:sz w:val="21"/>
          <w:szCs w:val="21"/>
          <w:highlight w:val="none"/>
        </w:rPr>
      </w:pPr>
    </w:p>
    <w:p w14:paraId="307F051C">
      <w:pPr>
        <w:widowControl/>
        <w:jc w:val="left"/>
        <w:rPr>
          <w:highlight w:val="none"/>
        </w:rPr>
      </w:pPr>
    </w:p>
    <w:p w14:paraId="42786541">
      <w:pPr>
        <w:snapToGrid w:val="0"/>
        <w:jc w:val="center"/>
        <w:rPr>
          <w:highlight w:val="none"/>
        </w:rPr>
      </w:pPr>
    </w:p>
    <w:p w14:paraId="47444B40">
      <w:pPr>
        <w:tabs>
          <w:tab w:val="left" w:pos="5580"/>
        </w:tabs>
        <w:spacing w:before="120" w:line="360" w:lineRule="auto"/>
        <w:jc w:val="center"/>
        <w:rPr>
          <w:b/>
          <w:sz w:val="24"/>
          <w:highlight w:val="none"/>
        </w:rPr>
        <w:sectPr>
          <w:footerReference r:id="rId11" w:type="default"/>
          <w:footerReference r:id="rId12" w:type="even"/>
          <w:pgSz w:w="11906" w:h="16838"/>
          <w:pgMar w:top="1134" w:right="1466" w:bottom="1134" w:left="1260" w:header="737" w:footer="851" w:gutter="0"/>
          <w:cols w:space="720" w:num="1"/>
          <w:docGrid w:linePitch="312" w:charSpace="0"/>
        </w:sectPr>
      </w:pPr>
    </w:p>
    <w:p w14:paraId="6482557B">
      <w:pPr>
        <w:tabs>
          <w:tab w:val="left" w:pos="5580"/>
        </w:tabs>
        <w:spacing w:before="120" w:line="360" w:lineRule="auto"/>
        <w:jc w:val="center"/>
        <w:outlineLvl w:val="1"/>
        <w:rPr>
          <w:b/>
          <w:sz w:val="24"/>
          <w:highlight w:val="none"/>
        </w:rPr>
      </w:pPr>
      <w:r>
        <w:rPr>
          <w:b/>
          <w:sz w:val="24"/>
          <w:highlight w:val="none"/>
        </w:rPr>
        <w:t>附件1</w:t>
      </w:r>
      <w:r>
        <w:rPr>
          <w:rFonts w:hint="eastAsia"/>
          <w:b/>
          <w:sz w:val="24"/>
          <w:highlight w:val="none"/>
        </w:rPr>
        <w:t>2：</w:t>
      </w:r>
      <w:r>
        <w:rPr>
          <w:b/>
          <w:sz w:val="24"/>
          <w:highlight w:val="none"/>
        </w:rPr>
        <w:t>残疾人福利性单位声明函（统一格式）</w:t>
      </w:r>
    </w:p>
    <w:p w14:paraId="7BD402C0">
      <w:pPr>
        <w:spacing w:before="240"/>
        <w:rPr>
          <w:sz w:val="24"/>
          <w:szCs w:val="24"/>
          <w:highlight w:val="none"/>
        </w:rPr>
      </w:pPr>
      <w:r>
        <w:rPr>
          <w:sz w:val="24"/>
          <w:szCs w:val="24"/>
          <w:highlight w:val="none"/>
        </w:rPr>
        <w:t>（如为残疾人福利性单位，应按《财政部 民政部 中国残疾人联合会关于促进残疾人就业政府采购政策的通知》（财库〔2017〕 141号）的规定提供）</w:t>
      </w:r>
    </w:p>
    <w:p w14:paraId="304E616C">
      <w:pPr>
        <w:rPr>
          <w:highlight w:val="none"/>
        </w:rPr>
      </w:pPr>
    </w:p>
    <w:p w14:paraId="611C30E8">
      <w:pPr>
        <w:spacing w:line="588" w:lineRule="exact"/>
        <w:jc w:val="center"/>
        <w:rPr>
          <w:kern w:val="0"/>
          <w:sz w:val="24"/>
          <w:highlight w:val="none"/>
        </w:rPr>
      </w:pPr>
      <w:r>
        <w:rPr>
          <w:kern w:val="0"/>
          <w:sz w:val="24"/>
          <w:highlight w:val="none"/>
        </w:rPr>
        <w:t>残疾人福利性单位声明函</w:t>
      </w:r>
    </w:p>
    <w:p w14:paraId="1E59707D">
      <w:pPr>
        <w:spacing w:line="588" w:lineRule="exact"/>
        <w:rPr>
          <w:kern w:val="0"/>
          <w:sz w:val="24"/>
          <w:highlight w:val="none"/>
        </w:rPr>
      </w:pPr>
    </w:p>
    <w:p w14:paraId="0F5CA86F">
      <w:pPr>
        <w:spacing w:line="588" w:lineRule="exact"/>
        <w:ind w:firstLine="480" w:firstLineChars="200"/>
        <w:rPr>
          <w:kern w:val="0"/>
          <w:sz w:val="24"/>
          <w:highlight w:val="none"/>
        </w:rPr>
      </w:pPr>
      <w:r>
        <w:rPr>
          <w:kern w:val="0"/>
          <w:sz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659B256">
      <w:pPr>
        <w:spacing w:line="588" w:lineRule="exact"/>
        <w:ind w:firstLine="480" w:firstLineChars="200"/>
        <w:rPr>
          <w:kern w:val="0"/>
          <w:sz w:val="24"/>
          <w:highlight w:val="none"/>
        </w:rPr>
      </w:pPr>
      <w:r>
        <w:rPr>
          <w:kern w:val="0"/>
          <w:sz w:val="24"/>
          <w:highlight w:val="none"/>
        </w:rPr>
        <w:t>本单位对上述声明的真实性负责。如有虚假，将依法承担相应责任。</w:t>
      </w:r>
    </w:p>
    <w:p w14:paraId="1DBB6B6E">
      <w:pPr>
        <w:spacing w:line="588" w:lineRule="exact"/>
        <w:ind w:firstLine="480" w:firstLineChars="200"/>
        <w:rPr>
          <w:kern w:val="0"/>
          <w:sz w:val="24"/>
          <w:highlight w:val="none"/>
        </w:rPr>
      </w:pPr>
    </w:p>
    <w:p w14:paraId="5DB036EC">
      <w:pPr>
        <w:spacing w:line="588" w:lineRule="exact"/>
        <w:ind w:firstLine="480" w:firstLineChars="200"/>
        <w:rPr>
          <w:kern w:val="0"/>
          <w:sz w:val="24"/>
          <w:highlight w:val="none"/>
        </w:rPr>
      </w:pPr>
    </w:p>
    <w:p w14:paraId="3E2EF1AD">
      <w:pPr>
        <w:tabs>
          <w:tab w:val="left" w:pos="4860"/>
        </w:tabs>
        <w:spacing w:line="588" w:lineRule="exact"/>
        <w:ind w:right="1560" w:firstLine="480" w:firstLineChars="200"/>
        <w:jc w:val="center"/>
        <w:rPr>
          <w:kern w:val="0"/>
          <w:sz w:val="24"/>
          <w:highlight w:val="none"/>
        </w:rPr>
      </w:pPr>
      <w:r>
        <w:rPr>
          <w:kern w:val="0"/>
          <w:sz w:val="24"/>
          <w:highlight w:val="none"/>
        </w:rPr>
        <w:t xml:space="preserve">                                         单位名称（盖章）：</w:t>
      </w:r>
    </w:p>
    <w:p w14:paraId="6F6520D5">
      <w:pPr>
        <w:tabs>
          <w:tab w:val="left" w:pos="4860"/>
        </w:tabs>
        <w:spacing w:line="588" w:lineRule="exact"/>
        <w:ind w:right="1560" w:firstLine="480" w:firstLineChars="200"/>
        <w:jc w:val="center"/>
        <w:rPr>
          <w:kern w:val="0"/>
          <w:sz w:val="24"/>
          <w:highlight w:val="none"/>
        </w:rPr>
      </w:pPr>
      <w:r>
        <w:rPr>
          <w:kern w:val="0"/>
          <w:sz w:val="24"/>
          <w:highlight w:val="none"/>
        </w:rPr>
        <w:t xml:space="preserve">                               日  期：</w:t>
      </w:r>
    </w:p>
    <w:p w14:paraId="4B5CEA0C">
      <w:pPr>
        <w:tabs>
          <w:tab w:val="left" w:pos="5580"/>
        </w:tabs>
        <w:spacing w:before="120" w:line="360" w:lineRule="auto"/>
        <w:jc w:val="center"/>
        <w:outlineLvl w:val="1"/>
        <w:rPr>
          <w:b/>
          <w:sz w:val="24"/>
          <w:highlight w:val="none"/>
        </w:rPr>
      </w:pPr>
      <w:r>
        <w:rPr>
          <w:b/>
          <w:sz w:val="24"/>
          <w:highlight w:val="none"/>
        </w:rPr>
        <w:br w:type="page"/>
      </w:r>
      <w:r>
        <w:rPr>
          <w:b/>
          <w:sz w:val="24"/>
          <w:highlight w:val="none"/>
        </w:rPr>
        <w:t>附件1</w:t>
      </w:r>
      <w:r>
        <w:rPr>
          <w:rFonts w:hint="eastAsia"/>
          <w:b/>
          <w:sz w:val="24"/>
          <w:highlight w:val="none"/>
        </w:rPr>
        <w:t>3：</w:t>
      </w:r>
      <w:r>
        <w:rPr>
          <w:b/>
          <w:sz w:val="24"/>
          <w:highlight w:val="none"/>
        </w:rPr>
        <w:t>政府采购磋商担保函格式（统一格式）</w:t>
      </w:r>
    </w:p>
    <w:p w14:paraId="160DB2C5">
      <w:pPr>
        <w:jc w:val="center"/>
        <w:rPr>
          <w:rFonts w:eastAsia="仿宋_GB2312"/>
          <w:bCs/>
          <w:highlight w:val="none"/>
        </w:rPr>
      </w:pPr>
    </w:p>
    <w:p w14:paraId="4CFBFE05">
      <w:pPr>
        <w:spacing w:line="360" w:lineRule="auto"/>
        <w:ind w:firstLine="480" w:firstLineChars="200"/>
        <w:rPr>
          <w:sz w:val="24"/>
          <w:highlight w:val="none"/>
          <w:u w:val="single"/>
        </w:rPr>
      </w:pPr>
      <w:r>
        <w:rPr>
          <w:sz w:val="24"/>
          <w:highlight w:val="none"/>
        </w:rPr>
        <w:t>项目编号：</w:t>
      </w:r>
      <w:r>
        <w:rPr>
          <w:sz w:val="24"/>
          <w:highlight w:val="none"/>
          <w:u w:val="single"/>
        </w:rPr>
        <w:t xml:space="preserve">               </w:t>
      </w:r>
    </w:p>
    <w:p w14:paraId="1687458B">
      <w:pPr>
        <w:spacing w:line="360" w:lineRule="auto"/>
        <w:ind w:firstLine="480" w:firstLineChars="200"/>
        <w:rPr>
          <w:sz w:val="24"/>
          <w:highlight w:val="none"/>
        </w:rPr>
      </w:pPr>
      <w:r>
        <w:rPr>
          <w:sz w:val="24"/>
          <w:highlight w:val="none"/>
          <w:u w:val="single"/>
        </w:rPr>
        <w:t xml:space="preserve">             （采购人或采购代理机构） </w:t>
      </w:r>
      <w:r>
        <w:rPr>
          <w:sz w:val="24"/>
          <w:highlight w:val="none"/>
        </w:rPr>
        <w:t>：</w:t>
      </w:r>
    </w:p>
    <w:p w14:paraId="5DC2FC08">
      <w:pPr>
        <w:spacing w:line="360" w:lineRule="auto"/>
        <w:ind w:firstLine="480" w:firstLineChars="200"/>
        <w:rPr>
          <w:sz w:val="24"/>
          <w:highlight w:val="none"/>
        </w:rPr>
      </w:pPr>
    </w:p>
    <w:p w14:paraId="7DD12071">
      <w:pPr>
        <w:spacing w:line="360" w:lineRule="auto"/>
        <w:ind w:firstLine="480" w:firstLineChars="200"/>
        <w:rPr>
          <w:sz w:val="24"/>
          <w:highlight w:val="none"/>
        </w:rPr>
      </w:pPr>
      <w:r>
        <w:rPr>
          <w:sz w:val="24"/>
          <w:highlight w:val="none"/>
        </w:rPr>
        <w:t>鉴于</w:t>
      </w:r>
      <w:r>
        <w:rPr>
          <w:sz w:val="24"/>
          <w:highlight w:val="none"/>
          <w:u w:val="single"/>
        </w:rPr>
        <w:t xml:space="preserve">        </w:t>
      </w:r>
      <w:r>
        <w:rPr>
          <w:sz w:val="24"/>
          <w:highlight w:val="none"/>
        </w:rPr>
        <w:t>（以下简称“供应商”）拟参加编号为</w:t>
      </w:r>
      <w:r>
        <w:rPr>
          <w:sz w:val="24"/>
          <w:highlight w:val="none"/>
          <w:u w:val="single"/>
        </w:rPr>
        <w:t xml:space="preserve">        </w:t>
      </w:r>
      <w:r>
        <w:rPr>
          <w:sz w:val="24"/>
          <w:highlight w:val="none"/>
        </w:rPr>
        <w:t>的</w:t>
      </w:r>
      <w:r>
        <w:rPr>
          <w:sz w:val="24"/>
          <w:highlight w:val="none"/>
          <w:u w:val="single"/>
        </w:rPr>
        <w:t xml:space="preserve">         </w:t>
      </w:r>
      <w:r>
        <w:rPr>
          <w:sz w:val="24"/>
          <w:highlight w:val="none"/>
        </w:rPr>
        <w:t>项目（以下简称“本项目”）磋商，根据本项目磋商文件，供应商参加磋商时应向你方交纳磋商保证金，且可以磋商担保函的形式交纳磋商保证金。应供应商的申请，我方以保证的方式向你方提供如下磋商保证金担保：</w:t>
      </w:r>
    </w:p>
    <w:p w14:paraId="67D5BCAB">
      <w:pPr>
        <w:spacing w:line="360" w:lineRule="auto"/>
        <w:ind w:firstLine="480" w:firstLineChars="200"/>
        <w:rPr>
          <w:sz w:val="24"/>
          <w:highlight w:val="none"/>
        </w:rPr>
      </w:pPr>
      <w:r>
        <w:rPr>
          <w:sz w:val="24"/>
          <w:highlight w:val="none"/>
        </w:rPr>
        <w:t>一、保证责任的情形及保证金额</w:t>
      </w:r>
    </w:p>
    <w:p w14:paraId="63823A25">
      <w:pPr>
        <w:spacing w:line="360" w:lineRule="auto"/>
        <w:ind w:firstLine="480" w:firstLineChars="200"/>
        <w:rPr>
          <w:sz w:val="24"/>
          <w:highlight w:val="none"/>
        </w:rPr>
      </w:pPr>
      <w:r>
        <w:rPr>
          <w:sz w:val="24"/>
          <w:highlight w:val="none"/>
        </w:rPr>
        <w:t>（一）在供应商出现下列情形之一时，我方承担保证责任：</w:t>
      </w:r>
    </w:p>
    <w:p w14:paraId="5B4213F9">
      <w:pPr>
        <w:spacing w:line="360" w:lineRule="auto"/>
        <w:ind w:firstLine="480" w:firstLineChars="200"/>
        <w:rPr>
          <w:sz w:val="24"/>
          <w:highlight w:val="none"/>
        </w:rPr>
      </w:pPr>
      <w:r>
        <w:rPr>
          <w:sz w:val="24"/>
          <w:highlight w:val="none"/>
        </w:rPr>
        <w:t>1．中标后供应商无正当理由不与采购人或者采购代理机构签订《政府采购合同》；</w:t>
      </w:r>
    </w:p>
    <w:p w14:paraId="17688A51">
      <w:pPr>
        <w:spacing w:line="360" w:lineRule="auto"/>
        <w:ind w:firstLine="480" w:firstLineChars="200"/>
        <w:rPr>
          <w:sz w:val="24"/>
          <w:highlight w:val="none"/>
        </w:rPr>
      </w:pPr>
      <w:r>
        <w:rPr>
          <w:sz w:val="24"/>
          <w:highlight w:val="none"/>
        </w:rPr>
        <w:t>2．磋商文件规定的供应商应当缴纳保证金的其他情形。</w:t>
      </w:r>
    </w:p>
    <w:p w14:paraId="39A83D80">
      <w:pPr>
        <w:spacing w:line="360" w:lineRule="auto"/>
        <w:ind w:firstLine="480" w:firstLineChars="200"/>
        <w:rPr>
          <w:sz w:val="24"/>
          <w:highlight w:val="none"/>
        </w:rPr>
      </w:pPr>
      <w:r>
        <w:rPr>
          <w:sz w:val="24"/>
          <w:highlight w:val="none"/>
        </w:rPr>
        <w:t>（二）我方承担保证责任的最高金额为人民币</w:t>
      </w:r>
      <w:r>
        <w:rPr>
          <w:sz w:val="24"/>
          <w:highlight w:val="none"/>
          <w:u w:val="single"/>
        </w:rPr>
        <w:t xml:space="preserve">      </w:t>
      </w:r>
      <w:r>
        <w:rPr>
          <w:sz w:val="24"/>
          <w:highlight w:val="none"/>
        </w:rPr>
        <w:t>元（大写</w:t>
      </w:r>
      <w:r>
        <w:rPr>
          <w:sz w:val="24"/>
          <w:highlight w:val="none"/>
          <w:u w:val="single"/>
        </w:rPr>
        <w:t xml:space="preserve">            </w:t>
      </w:r>
      <w:r>
        <w:rPr>
          <w:sz w:val="24"/>
          <w:highlight w:val="none"/>
        </w:rPr>
        <w:t>），即本项目的磋商保证金金额。</w:t>
      </w:r>
    </w:p>
    <w:p w14:paraId="78B9A4FA">
      <w:pPr>
        <w:spacing w:line="360" w:lineRule="auto"/>
        <w:ind w:firstLine="480" w:firstLineChars="200"/>
        <w:rPr>
          <w:sz w:val="24"/>
          <w:highlight w:val="none"/>
        </w:rPr>
      </w:pPr>
      <w:r>
        <w:rPr>
          <w:sz w:val="24"/>
          <w:highlight w:val="none"/>
        </w:rPr>
        <w:t>二、保证的方式及保证期间</w:t>
      </w:r>
    </w:p>
    <w:p w14:paraId="2720CE57">
      <w:pPr>
        <w:spacing w:line="360" w:lineRule="auto"/>
        <w:ind w:firstLine="480" w:firstLineChars="200"/>
        <w:rPr>
          <w:sz w:val="24"/>
          <w:highlight w:val="none"/>
        </w:rPr>
      </w:pPr>
      <w:r>
        <w:rPr>
          <w:sz w:val="24"/>
          <w:highlight w:val="none"/>
        </w:rPr>
        <w:t>我方保证的方式为：连带责任保证。</w:t>
      </w:r>
    </w:p>
    <w:p w14:paraId="3C0E2EEC">
      <w:pPr>
        <w:spacing w:line="360" w:lineRule="auto"/>
        <w:ind w:firstLine="480" w:firstLineChars="200"/>
        <w:rPr>
          <w:sz w:val="24"/>
          <w:highlight w:val="none"/>
        </w:rPr>
      </w:pPr>
      <w:r>
        <w:rPr>
          <w:sz w:val="24"/>
          <w:highlight w:val="none"/>
        </w:rPr>
        <w:t>我方的保证期间为：自本保函生效之日起</w:t>
      </w:r>
      <w:r>
        <w:rPr>
          <w:sz w:val="24"/>
          <w:highlight w:val="none"/>
          <w:u w:val="single"/>
        </w:rPr>
        <w:t xml:space="preserve">    </w:t>
      </w:r>
      <w:r>
        <w:rPr>
          <w:sz w:val="24"/>
          <w:highlight w:val="none"/>
        </w:rPr>
        <w:t>个月止。</w:t>
      </w:r>
    </w:p>
    <w:p w14:paraId="11AEEA7C">
      <w:pPr>
        <w:spacing w:line="360" w:lineRule="auto"/>
        <w:ind w:firstLine="480" w:firstLineChars="200"/>
        <w:rPr>
          <w:sz w:val="24"/>
          <w:highlight w:val="none"/>
        </w:rPr>
      </w:pPr>
      <w:r>
        <w:rPr>
          <w:sz w:val="24"/>
          <w:highlight w:val="none"/>
        </w:rPr>
        <w:t>三、承担保证责任的程序</w:t>
      </w:r>
    </w:p>
    <w:p w14:paraId="49CB23E8">
      <w:pPr>
        <w:spacing w:line="360" w:lineRule="auto"/>
        <w:ind w:firstLine="480" w:firstLineChars="200"/>
        <w:rPr>
          <w:sz w:val="24"/>
          <w:highlight w:val="none"/>
        </w:rPr>
      </w:pPr>
      <w:r>
        <w:rPr>
          <w:sz w:val="24"/>
          <w:highlight w:val="none"/>
        </w:rPr>
        <w:t>1．你方要求我方承担保证责任的，应在本保函保证期间内向我方发出书面索赔通知。索赔通知应写明要求索赔的金额，支付款项应到达的账号，并附有证明供应商发生我方应承担保证责任情形的事实材料。</w:t>
      </w:r>
    </w:p>
    <w:p w14:paraId="340B64E9">
      <w:pPr>
        <w:spacing w:line="360" w:lineRule="auto"/>
        <w:ind w:firstLine="480" w:firstLineChars="200"/>
        <w:rPr>
          <w:sz w:val="24"/>
          <w:highlight w:val="none"/>
        </w:rPr>
      </w:pPr>
      <w:r>
        <w:rPr>
          <w:sz w:val="24"/>
          <w:highlight w:val="none"/>
        </w:rPr>
        <w:t>2．我方在收到索赔通知及相关证明材料后，在</w:t>
      </w:r>
      <w:r>
        <w:rPr>
          <w:sz w:val="24"/>
          <w:highlight w:val="none"/>
          <w:u w:val="single"/>
        </w:rPr>
        <w:t xml:space="preserve">     </w:t>
      </w:r>
      <w:r>
        <w:rPr>
          <w:sz w:val="24"/>
          <w:highlight w:val="none"/>
        </w:rPr>
        <w:t>个工作日内进行审查，符合应承担保证责任情形的，我方应按照你方的要求代供应商向你方支付磋商保证金。</w:t>
      </w:r>
    </w:p>
    <w:p w14:paraId="0A81A842">
      <w:pPr>
        <w:spacing w:line="360" w:lineRule="auto"/>
        <w:ind w:firstLine="480" w:firstLineChars="200"/>
        <w:rPr>
          <w:sz w:val="24"/>
          <w:highlight w:val="none"/>
        </w:rPr>
      </w:pPr>
      <w:r>
        <w:rPr>
          <w:sz w:val="24"/>
          <w:highlight w:val="none"/>
        </w:rPr>
        <w:t>四、保证责任的终止</w:t>
      </w:r>
    </w:p>
    <w:p w14:paraId="5B034CA7">
      <w:pPr>
        <w:spacing w:line="360" w:lineRule="auto"/>
        <w:ind w:firstLine="480" w:firstLineChars="200"/>
        <w:rPr>
          <w:sz w:val="24"/>
          <w:highlight w:val="none"/>
        </w:rPr>
      </w:pPr>
      <w:r>
        <w:rPr>
          <w:sz w:val="24"/>
          <w:highlight w:val="none"/>
        </w:rPr>
        <w:t>1．保证期间届满你方未向我方书面主张保证责任的，自保证期间届满次日起，我方保证责任自动终止。</w:t>
      </w:r>
    </w:p>
    <w:p w14:paraId="0CFFAC5F">
      <w:pPr>
        <w:spacing w:line="360" w:lineRule="auto"/>
        <w:ind w:firstLine="480" w:firstLineChars="200"/>
        <w:rPr>
          <w:sz w:val="24"/>
          <w:highlight w:val="none"/>
        </w:rPr>
      </w:pPr>
      <w:r>
        <w:rPr>
          <w:sz w:val="24"/>
          <w:highlight w:val="none"/>
        </w:rPr>
        <w:t>2．我方按照本保函向你贵方履行了保证责任后，自我方向你贵方支付款项（支付款项从我方账户划出）之日起，保证责任终止。</w:t>
      </w:r>
    </w:p>
    <w:p w14:paraId="71B7E59B">
      <w:pPr>
        <w:spacing w:line="360" w:lineRule="auto"/>
        <w:ind w:firstLine="480" w:firstLineChars="200"/>
        <w:rPr>
          <w:sz w:val="24"/>
          <w:highlight w:val="none"/>
        </w:rPr>
      </w:pPr>
      <w:r>
        <w:rPr>
          <w:sz w:val="24"/>
          <w:highlight w:val="none"/>
        </w:rPr>
        <w:t>3．按照法律法规的规定或出现我方保证责任终止的其它情形的，我方在本保函项下的保证责任亦终止。</w:t>
      </w:r>
    </w:p>
    <w:p w14:paraId="6C4AD333">
      <w:pPr>
        <w:spacing w:line="360" w:lineRule="auto"/>
        <w:ind w:firstLine="480" w:firstLineChars="200"/>
        <w:rPr>
          <w:sz w:val="24"/>
          <w:highlight w:val="none"/>
        </w:rPr>
      </w:pPr>
      <w:r>
        <w:rPr>
          <w:sz w:val="24"/>
          <w:highlight w:val="none"/>
        </w:rPr>
        <w:t>五、免责条款</w:t>
      </w:r>
    </w:p>
    <w:p w14:paraId="75A25F54">
      <w:pPr>
        <w:spacing w:line="360" w:lineRule="auto"/>
        <w:ind w:firstLine="480" w:firstLineChars="200"/>
        <w:rPr>
          <w:sz w:val="24"/>
          <w:highlight w:val="none"/>
        </w:rPr>
      </w:pPr>
      <w:r>
        <w:rPr>
          <w:sz w:val="24"/>
          <w:highlight w:val="none"/>
        </w:rPr>
        <w:t>1．依照法律规定或你方与供应商的另行约定，全部或者部分免除供应商磋商保证金义务时，我方亦免除相应的保证责任。</w:t>
      </w:r>
    </w:p>
    <w:p w14:paraId="6043827E">
      <w:pPr>
        <w:spacing w:line="360" w:lineRule="auto"/>
        <w:ind w:firstLine="480" w:firstLineChars="200"/>
        <w:rPr>
          <w:sz w:val="24"/>
          <w:highlight w:val="none"/>
        </w:rPr>
      </w:pPr>
      <w:r>
        <w:rPr>
          <w:sz w:val="24"/>
          <w:highlight w:val="none"/>
        </w:rPr>
        <w:t>2．因你方原因致使供应商发生本保函第一条第（一）款约定情形的，我方不承担保证责任。</w:t>
      </w:r>
    </w:p>
    <w:p w14:paraId="73A489AB">
      <w:pPr>
        <w:spacing w:line="360" w:lineRule="auto"/>
        <w:ind w:firstLine="480" w:firstLineChars="200"/>
        <w:rPr>
          <w:sz w:val="24"/>
          <w:highlight w:val="none"/>
        </w:rPr>
      </w:pPr>
      <w:r>
        <w:rPr>
          <w:sz w:val="24"/>
          <w:highlight w:val="none"/>
        </w:rPr>
        <w:t>3．因不可抗力造成供应商发生本保函第一条约定情形的，我方不承担保证责任。</w:t>
      </w:r>
    </w:p>
    <w:p w14:paraId="7EFC0EFC">
      <w:pPr>
        <w:spacing w:line="360" w:lineRule="auto"/>
        <w:ind w:firstLine="480" w:firstLineChars="200"/>
        <w:rPr>
          <w:sz w:val="24"/>
          <w:highlight w:val="none"/>
        </w:rPr>
      </w:pPr>
      <w:r>
        <w:rPr>
          <w:sz w:val="24"/>
          <w:highlight w:val="none"/>
        </w:rPr>
        <w:t>4．你方或其他有权机关对磋商文件进行任何澄清或修改，加重我方保证责任的，我方对加重部分不承担保证责任，但该澄清或修改经我方事先书面同意的除外。</w:t>
      </w:r>
    </w:p>
    <w:p w14:paraId="634D6AED">
      <w:pPr>
        <w:spacing w:line="360" w:lineRule="auto"/>
        <w:ind w:firstLine="480" w:firstLineChars="200"/>
        <w:rPr>
          <w:sz w:val="24"/>
          <w:highlight w:val="none"/>
        </w:rPr>
      </w:pPr>
      <w:r>
        <w:rPr>
          <w:sz w:val="24"/>
          <w:highlight w:val="none"/>
        </w:rPr>
        <w:t>六、争议的解决</w:t>
      </w:r>
    </w:p>
    <w:p w14:paraId="14BC9C50">
      <w:pPr>
        <w:spacing w:line="360" w:lineRule="auto"/>
        <w:ind w:firstLine="480" w:firstLineChars="200"/>
        <w:rPr>
          <w:sz w:val="24"/>
          <w:highlight w:val="none"/>
        </w:rPr>
      </w:pPr>
      <w:r>
        <w:rPr>
          <w:sz w:val="24"/>
          <w:highlight w:val="none"/>
        </w:rPr>
        <w:t>因本保函发生的纠纷，由你我双方协商解决，协商不成的，通过诉讼程序解决，诉讼管辖地法院为</w:t>
      </w:r>
      <w:r>
        <w:rPr>
          <w:sz w:val="24"/>
          <w:highlight w:val="none"/>
          <w:u w:val="single"/>
        </w:rPr>
        <w:t xml:space="preserve">          </w:t>
      </w:r>
      <w:r>
        <w:rPr>
          <w:sz w:val="24"/>
          <w:highlight w:val="none"/>
        </w:rPr>
        <w:t>法院。</w:t>
      </w:r>
    </w:p>
    <w:p w14:paraId="549F2749">
      <w:pPr>
        <w:spacing w:line="360" w:lineRule="auto"/>
        <w:ind w:firstLine="480" w:firstLineChars="200"/>
        <w:rPr>
          <w:sz w:val="24"/>
          <w:highlight w:val="none"/>
        </w:rPr>
      </w:pPr>
      <w:r>
        <w:rPr>
          <w:sz w:val="24"/>
          <w:highlight w:val="none"/>
        </w:rPr>
        <w:t>七、保函的生效</w:t>
      </w:r>
    </w:p>
    <w:p w14:paraId="502B6BD1">
      <w:pPr>
        <w:spacing w:line="360" w:lineRule="auto"/>
        <w:ind w:firstLine="480" w:firstLineChars="200"/>
        <w:rPr>
          <w:sz w:val="24"/>
          <w:highlight w:val="none"/>
        </w:rPr>
      </w:pPr>
      <w:r>
        <w:rPr>
          <w:sz w:val="24"/>
          <w:highlight w:val="none"/>
        </w:rPr>
        <w:t>本保函自我方加盖公章之日起生效。</w:t>
      </w:r>
    </w:p>
    <w:p w14:paraId="2C5CF1E4">
      <w:pPr>
        <w:spacing w:line="360" w:lineRule="auto"/>
        <w:ind w:firstLine="480" w:firstLineChars="200"/>
        <w:rPr>
          <w:sz w:val="24"/>
          <w:highlight w:val="none"/>
        </w:rPr>
      </w:pPr>
    </w:p>
    <w:p w14:paraId="2668BE77">
      <w:pPr>
        <w:spacing w:line="360" w:lineRule="auto"/>
        <w:ind w:firstLine="480" w:firstLineChars="200"/>
        <w:rPr>
          <w:sz w:val="24"/>
          <w:highlight w:val="none"/>
        </w:rPr>
      </w:pPr>
      <w:r>
        <w:rPr>
          <w:sz w:val="24"/>
          <w:highlight w:val="none"/>
        </w:rPr>
        <w:t>保证人：（公章）</w:t>
      </w:r>
    </w:p>
    <w:p w14:paraId="10A80370">
      <w:pPr>
        <w:spacing w:line="360" w:lineRule="auto"/>
        <w:ind w:firstLine="480" w:firstLineChars="200"/>
        <w:rPr>
          <w:sz w:val="24"/>
          <w:highlight w:val="none"/>
        </w:rPr>
      </w:pPr>
    </w:p>
    <w:p w14:paraId="75D9A3DE">
      <w:pPr>
        <w:spacing w:line="360" w:lineRule="auto"/>
        <w:ind w:firstLine="1440" w:firstLineChars="600"/>
        <w:rPr>
          <w:sz w:val="24"/>
          <w:highlight w:val="none"/>
        </w:rPr>
      </w:pPr>
      <w:r>
        <w:rPr>
          <w:sz w:val="24"/>
          <w:highlight w:val="none"/>
        </w:rPr>
        <w:t>年     月      日</w:t>
      </w:r>
    </w:p>
    <w:p w14:paraId="65CD02EA">
      <w:pPr>
        <w:rPr>
          <w:highlight w:val="none"/>
        </w:rPr>
      </w:pPr>
      <w:r>
        <w:rPr>
          <w:highlight w:val="none"/>
        </w:rPr>
        <w:br w:type="page"/>
      </w:r>
    </w:p>
    <w:p w14:paraId="404B714C">
      <w:pPr>
        <w:tabs>
          <w:tab w:val="left" w:pos="5580"/>
        </w:tabs>
        <w:spacing w:before="120" w:line="360" w:lineRule="auto"/>
        <w:jc w:val="center"/>
        <w:outlineLvl w:val="1"/>
        <w:rPr>
          <w:b/>
          <w:sz w:val="24"/>
          <w:highlight w:val="none"/>
        </w:rPr>
      </w:pPr>
      <w:r>
        <w:rPr>
          <w:b/>
          <w:sz w:val="24"/>
          <w:highlight w:val="none"/>
        </w:rPr>
        <w:t>附件1</w:t>
      </w:r>
      <w:r>
        <w:rPr>
          <w:rFonts w:hint="eastAsia"/>
          <w:b/>
          <w:sz w:val="24"/>
          <w:highlight w:val="none"/>
        </w:rPr>
        <w:t>4：</w:t>
      </w:r>
      <w:r>
        <w:rPr>
          <w:b/>
          <w:sz w:val="24"/>
          <w:highlight w:val="none"/>
        </w:rPr>
        <w:t>政府采购履约担保函（统一格式）</w:t>
      </w:r>
    </w:p>
    <w:p w14:paraId="7E265604">
      <w:pPr>
        <w:rPr>
          <w:highlight w:val="none"/>
        </w:rPr>
      </w:pPr>
    </w:p>
    <w:p w14:paraId="7F2759E1">
      <w:pPr>
        <w:spacing w:line="360" w:lineRule="auto"/>
        <w:ind w:firstLine="480" w:firstLineChars="200"/>
        <w:rPr>
          <w:sz w:val="24"/>
          <w:highlight w:val="none"/>
          <w:u w:val="single"/>
        </w:rPr>
      </w:pPr>
      <w:r>
        <w:rPr>
          <w:sz w:val="24"/>
          <w:highlight w:val="none"/>
        </w:rPr>
        <w:t>项目编号：</w:t>
      </w:r>
      <w:r>
        <w:rPr>
          <w:sz w:val="24"/>
          <w:highlight w:val="none"/>
          <w:u w:val="single"/>
        </w:rPr>
        <w:t xml:space="preserve">               </w:t>
      </w:r>
    </w:p>
    <w:p w14:paraId="16C7B6D3">
      <w:pPr>
        <w:spacing w:line="360" w:lineRule="auto"/>
        <w:ind w:firstLine="480" w:firstLineChars="200"/>
        <w:rPr>
          <w:sz w:val="24"/>
          <w:highlight w:val="none"/>
        </w:rPr>
      </w:pPr>
      <w:r>
        <w:rPr>
          <w:sz w:val="24"/>
          <w:highlight w:val="none"/>
          <w:u w:val="single"/>
        </w:rPr>
        <w:t xml:space="preserve">             （采购人或采购代理机构） </w:t>
      </w:r>
      <w:r>
        <w:rPr>
          <w:sz w:val="24"/>
          <w:highlight w:val="none"/>
        </w:rPr>
        <w:t>：</w:t>
      </w:r>
    </w:p>
    <w:p w14:paraId="72FC99EA">
      <w:pPr>
        <w:rPr>
          <w:highlight w:val="none"/>
        </w:rPr>
      </w:pPr>
    </w:p>
    <w:p w14:paraId="44BFFD77">
      <w:pPr>
        <w:spacing w:line="360" w:lineRule="auto"/>
        <w:ind w:firstLine="480" w:firstLineChars="200"/>
        <w:rPr>
          <w:sz w:val="24"/>
          <w:highlight w:val="none"/>
        </w:rPr>
      </w:pPr>
      <w:r>
        <w:rPr>
          <w:sz w:val="24"/>
          <w:highlight w:val="none"/>
        </w:rPr>
        <w:t>鉴于你方与</w:t>
      </w:r>
      <w:r>
        <w:rPr>
          <w:sz w:val="24"/>
          <w:highlight w:val="none"/>
          <w:u w:val="single"/>
        </w:rPr>
        <w:t xml:space="preserve">                   </w:t>
      </w:r>
      <w:r>
        <w:rPr>
          <w:sz w:val="24"/>
          <w:highlight w:val="none"/>
        </w:rPr>
        <w:t>（以下简称供应商）于</w:t>
      </w:r>
      <w:r>
        <w:rPr>
          <w:sz w:val="24"/>
          <w:highlight w:val="none"/>
          <w:u w:val="single"/>
        </w:rPr>
        <w:t xml:space="preserve">    </w:t>
      </w:r>
      <w:r>
        <w:rPr>
          <w:sz w:val="24"/>
          <w:highlight w:val="none"/>
        </w:rPr>
        <w:t>年</w:t>
      </w:r>
      <w:r>
        <w:rPr>
          <w:sz w:val="24"/>
          <w:highlight w:val="none"/>
          <w:u w:val="single"/>
        </w:rPr>
        <w:t xml:space="preserve">   </w:t>
      </w:r>
      <w:r>
        <w:rPr>
          <w:sz w:val="24"/>
          <w:highlight w:val="none"/>
        </w:rPr>
        <w:t>月</w:t>
      </w:r>
      <w:r>
        <w:rPr>
          <w:sz w:val="24"/>
          <w:highlight w:val="none"/>
          <w:u w:val="single"/>
        </w:rPr>
        <w:t xml:space="preserve">   </w:t>
      </w:r>
      <w:r>
        <w:rPr>
          <w:sz w:val="24"/>
          <w:highlight w:val="none"/>
        </w:rPr>
        <w:t>日签定编号为</w:t>
      </w:r>
      <w:r>
        <w:rPr>
          <w:sz w:val="24"/>
          <w:highlight w:val="none"/>
          <w:u w:val="single"/>
        </w:rPr>
        <w:t xml:space="preserve">      </w:t>
      </w:r>
      <w:r>
        <w:rPr>
          <w:sz w:val="24"/>
          <w:highlight w:val="none"/>
        </w:rPr>
        <w:t>的《</w:t>
      </w:r>
      <w:r>
        <w:rPr>
          <w:sz w:val="24"/>
          <w:highlight w:val="none"/>
          <w:u w:val="single"/>
        </w:rPr>
        <w:t xml:space="preserve">           </w:t>
      </w:r>
      <w:r>
        <w:rPr>
          <w:sz w:val="24"/>
          <w:highlight w:val="none"/>
        </w:rPr>
        <w:t>政府采购合同》（以下简称主合同），且依据该合同的约定，供应商应在</w:t>
      </w:r>
      <w:r>
        <w:rPr>
          <w:sz w:val="24"/>
          <w:highlight w:val="none"/>
          <w:u w:val="single"/>
        </w:rPr>
        <w:t xml:space="preserve">     </w:t>
      </w:r>
      <w:r>
        <w:rPr>
          <w:sz w:val="24"/>
          <w:highlight w:val="none"/>
        </w:rPr>
        <w:t>年</w:t>
      </w:r>
      <w:r>
        <w:rPr>
          <w:sz w:val="24"/>
          <w:highlight w:val="none"/>
          <w:u w:val="single"/>
        </w:rPr>
        <w:t xml:space="preserve">    </w:t>
      </w:r>
      <w:r>
        <w:rPr>
          <w:sz w:val="24"/>
          <w:highlight w:val="none"/>
        </w:rPr>
        <w:t>月</w:t>
      </w:r>
      <w:r>
        <w:rPr>
          <w:sz w:val="24"/>
          <w:highlight w:val="none"/>
          <w:u w:val="single"/>
        </w:rPr>
        <w:t xml:space="preserve">    </w:t>
      </w:r>
      <w:r>
        <w:rPr>
          <w:sz w:val="24"/>
          <w:highlight w:val="none"/>
        </w:rPr>
        <w:t>日前向你方交纳履约保证金，且可以履约担保函的形式交纳履约保证金。应供应商的申请，我方以保证的方式向你方提供如下履约保证金担保：</w:t>
      </w:r>
    </w:p>
    <w:p w14:paraId="51AF2A02">
      <w:pPr>
        <w:spacing w:line="360" w:lineRule="auto"/>
        <w:ind w:firstLine="480" w:firstLineChars="200"/>
        <w:rPr>
          <w:sz w:val="24"/>
          <w:highlight w:val="none"/>
        </w:rPr>
      </w:pPr>
      <w:r>
        <w:rPr>
          <w:sz w:val="24"/>
          <w:highlight w:val="none"/>
        </w:rPr>
        <w:t>一、保证责任的情形及保证金额</w:t>
      </w:r>
    </w:p>
    <w:p w14:paraId="26C6ABBA">
      <w:pPr>
        <w:spacing w:line="360" w:lineRule="auto"/>
        <w:ind w:firstLine="480" w:firstLineChars="200"/>
        <w:rPr>
          <w:sz w:val="24"/>
          <w:highlight w:val="none"/>
        </w:rPr>
      </w:pPr>
      <w:r>
        <w:rPr>
          <w:sz w:val="24"/>
          <w:highlight w:val="none"/>
        </w:rPr>
        <w:t>（一）在供应商出现下列情形之一时，我方承担保证责任：</w:t>
      </w:r>
    </w:p>
    <w:p w14:paraId="792A6F1E">
      <w:pPr>
        <w:spacing w:line="360" w:lineRule="auto"/>
        <w:ind w:firstLine="480" w:firstLineChars="200"/>
        <w:rPr>
          <w:sz w:val="24"/>
          <w:highlight w:val="none"/>
        </w:rPr>
      </w:pPr>
      <w:r>
        <w:rPr>
          <w:sz w:val="24"/>
          <w:highlight w:val="none"/>
        </w:rPr>
        <w:t>1．将中标项目转让给他人，或者在磋商文件中未说明，且未经采购招标机构人同意，将中标项目分包给他人的；</w:t>
      </w:r>
    </w:p>
    <w:p w14:paraId="75EB6213">
      <w:pPr>
        <w:spacing w:line="360" w:lineRule="auto"/>
        <w:ind w:firstLine="480" w:firstLineChars="200"/>
        <w:rPr>
          <w:sz w:val="24"/>
          <w:highlight w:val="none"/>
        </w:rPr>
      </w:pPr>
      <w:r>
        <w:rPr>
          <w:sz w:val="24"/>
          <w:highlight w:val="none"/>
        </w:rPr>
        <w:t xml:space="preserve">2．主合同约定的应当缴纳履约保证金的情形: </w:t>
      </w:r>
    </w:p>
    <w:p w14:paraId="5B4032AF">
      <w:pPr>
        <w:spacing w:line="360" w:lineRule="auto"/>
        <w:ind w:firstLine="480" w:firstLineChars="200"/>
        <w:rPr>
          <w:sz w:val="24"/>
          <w:highlight w:val="none"/>
        </w:rPr>
      </w:pPr>
      <w:r>
        <w:rPr>
          <w:sz w:val="24"/>
          <w:highlight w:val="none"/>
        </w:rPr>
        <w:t>（1）未按主合同约定的质量、数量和期限供应货物/提供服务/完成工程的；</w:t>
      </w:r>
    </w:p>
    <w:p w14:paraId="302A9A20">
      <w:pPr>
        <w:spacing w:line="360" w:lineRule="auto"/>
        <w:ind w:firstLine="480" w:firstLineChars="200"/>
        <w:rPr>
          <w:sz w:val="24"/>
          <w:highlight w:val="none"/>
        </w:rPr>
      </w:pPr>
      <w:r>
        <w:rPr>
          <w:sz w:val="24"/>
          <w:highlight w:val="none"/>
        </w:rPr>
        <w:t>（二）我方的保证范围是主合同约定的合同价款总额的</w:t>
      </w:r>
      <w:r>
        <w:rPr>
          <w:sz w:val="24"/>
          <w:highlight w:val="none"/>
          <w:u w:val="single"/>
        </w:rPr>
        <w:t xml:space="preserve">      </w:t>
      </w:r>
      <w:r>
        <w:rPr>
          <w:sz w:val="24"/>
          <w:highlight w:val="none"/>
        </w:rPr>
        <w:t>%，数额为</w:t>
      </w:r>
      <w:r>
        <w:rPr>
          <w:sz w:val="24"/>
          <w:highlight w:val="none"/>
          <w:u w:val="single"/>
        </w:rPr>
        <w:t xml:space="preserve">      </w:t>
      </w:r>
      <w:r>
        <w:rPr>
          <w:sz w:val="24"/>
          <w:highlight w:val="none"/>
        </w:rPr>
        <w:t>元（大写</w:t>
      </w:r>
      <w:r>
        <w:rPr>
          <w:sz w:val="24"/>
          <w:highlight w:val="none"/>
          <w:u w:val="single"/>
        </w:rPr>
        <w:t xml:space="preserve">           </w:t>
      </w:r>
      <w:r>
        <w:rPr>
          <w:sz w:val="24"/>
          <w:highlight w:val="none"/>
        </w:rPr>
        <w:t>），币种为</w:t>
      </w:r>
      <w:r>
        <w:rPr>
          <w:sz w:val="24"/>
          <w:highlight w:val="none"/>
          <w:u w:val="single"/>
        </w:rPr>
        <w:t xml:space="preserve">        </w:t>
      </w:r>
      <w:r>
        <w:rPr>
          <w:sz w:val="24"/>
          <w:highlight w:val="none"/>
        </w:rPr>
        <w:t>。（即主合同履约保证金金额）</w:t>
      </w:r>
    </w:p>
    <w:p w14:paraId="5A9943FD">
      <w:pPr>
        <w:spacing w:line="360" w:lineRule="auto"/>
        <w:ind w:firstLine="480" w:firstLineChars="200"/>
        <w:rPr>
          <w:sz w:val="24"/>
          <w:highlight w:val="none"/>
        </w:rPr>
      </w:pPr>
      <w:r>
        <w:rPr>
          <w:sz w:val="24"/>
          <w:highlight w:val="none"/>
        </w:rPr>
        <w:t>二、保证的方式及保证期间</w:t>
      </w:r>
    </w:p>
    <w:p w14:paraId="6B49D817">
      <w:pPr>
        <w:spacing w:line="360" w:lineRule="auto"/>
        <w:ind w:firstLine="480" w:firstLineChars="200"/>
        <w:rPr>
          <w:sz w:val="24"/>
          <w:highlight w:val="none"/>
        </w:rPr>
      </w:pPr>
      <w:r>
        <w:rPr>
          <w:sz w:val="24"/>
          <w:highlight w:val="none"/>
        </w:rPr>
        <w:t>我方保证的方式为：连带责任保证。</w:t>
      </w:r>
    </w:p>
    <w:p w14:paraId="3C91D0E0">
      <w:pPr>
        <w:spacing w:line="360" w:lineRule="auto"/>
        <w:ind w:firstLine="480" w:firstLineChars="200"/>
        <w:rPr>
          <w:sz w:val="24"/>
          <w:highlight w:val="none"/>
        </w:rPr>
      </w:pPr>
      <w:r>
        <w:rPr>
          <w:sz w:val="24"/>
          <w:highlight w:val="none"/>
        </w:rPr>
        <w:t>我方保证的期间为：自本合同生效之日起至供应商按照主合同约定的供货/完工期限届满后</w:t>
      </w:r>
      <w:r>
        <w:rPr>
          <w:sz w:val="24"/>
          <w:highlight w:val="none"/>
          <w:u w:val="single"/>
        </w:rPr>
        <w:t xml:space="preserve">     </w:t>
      </w:r>
      <w:r>
        <w:rPr>
          <w:sz w:val="24"/>
          <w:highlight w:val="none"/>
        </w:rPr>
        <w:t>日内。</w:t>
      </w:r>
    </w:p>
    <w:p w14:paraId="47D6F5AF">
      <w:pPr>
        <w:spacing w:line="360" w:lineRule="auto"/>
        <w:ind w:firstLine="480" w:firstLineChars="200"/>
        <w:rPr>
          <w:sz w:val="24"/>
          <w:highlight w:val="none"/>
        </w:rPr>
      </w:pPr>
      <w:r>
        <w:rPr>
          <w:sz w:val="24"/>
          <w:highlight w:val="none"/>
        </w:rPr>
        <w:t>如果供应商未按主合同约定向贵方供应货物/提供服务/完成工程的，由我方在保证金额内向你方支付上述款项。</w:t>
      </w:r>
    </w:p>
    <w:p w14:paraId="459A7EB7">
      <w:pPr>
        <w:spacing w:line="360" w:lineRule="auto"/>
        <w:ind w:firstLine="480" w:firstLineChars="200"/>
        <w:rPr>
          <w:sz w:val="24"/>
          <w:highlight w:val="none"/>
        </w:rPr>
      </w:pPr>
      <w:r>
        <w:rPr>
          <w:sz w:val="24"/>
          <w:highlight w:val="none"/>
        </w:rPr>
        <w:t>三、承担保证责任的程序</w:t>
      </w:r>
    </w:p>
    <w:p w14:paraId="11310E86">
      <w:pPr>
        <w:spacing w:line="360" w:lineRule="auto"/>
        <w:ind w:firstLine="480" w:firstLineChars="200"/>
        <w:rPr>
          <w:sz w:val="24"/>
          <w:highlight w:val="none"/>
        </w:rPr>
      </w:pPr>
      <w:r>
        <w:rPr>
          <w:sz w:val="24"/>
          <w:highlight w:val="none"/>
        </w:rPr>
        <w:t>1．你方要求我方承担保证责任的，应在本保函保证期间内向我方发出书面索赔通知。索赔通知应写明要求索赔的金额，支付款项应到达的账号。并附有证明供应商违约事实的证明材料。</w:t>
      </w:r>
    </w:p>
    <w:p w14:paraId="4EA3EE0A">
      <w:pPr>
        <w:spacing w:line="360" w:lineRule="auto"/>
        <w:ind w:firstLine="480" w:firstLineChars="200"/>
        <w:rPr>
          <w:sz w:val="24"/>
          <w:highlight w:val="none"/>
        </w:rPr>
      </w:pPr>
      <w:r>
        <w:rPr>
          <w:sz w:val="24"/>
          <w:highlight w:val="none"/>
        </w:rPr>
        <w:t>如果你方与供应商因货物质量问题产生争议，你方还需同时提供</w:t>
      </w:r>
      <w:r>
        <w:rPr>
          <w:sz w:val="24"/>
          <w:highlight w:val="none"/>
          <w:u w:val="single"/>
        </w:rPr>
        <w:t xml:space="preserve">        </w:t>
      </w:r>
      <w:r>
        <w:rPr>
          <w:sz w:val="24"/>
          <w:highlight w:val="none"/>
        </w:rPr>
        <w:t>部门出具的质量检测报告，或经诉讼（仲裁）程序裁决后的裁决书、调解书，本保证人即按照检测结果或裁决书、调解书决定是否承担保证责任。</w:t>
      </w:r>
    </w:p>
    <w:p w14:paraId="18AE88F1">
      <w:pPr>
        <w:spacing w:line="360" w:lineRule="auto"/>
        <w:ind w:firstLine="480" w:firstLineChars="200"/>
        <w:rPr>
          <w:sz w:val="24"/>
          <w:highlight w:val="none"/>
        </w:rPr>
      </w:pPr>
      <w:r>
        <w:rPr>
          <w:sz w:val="24"/>
          <w:highlight w:val="none"/>
        </w:rPr>
        <w:t>2． 我方收到你方的书面索赔通知及相应证明材料，在</w:t>
      </w:r>
      <w:r>
        <w:rPr>
          <w:sz w:val="24"/>
          <w:highlight w:val="none"/>
          <w:u w:val="single"/>
        </w:rPr>
        <w:t xml:space="preserve">     </w:t>
      </w:r>
      <w:r>
        <w:rPr>
          <w:sz w:val="24"/>
          <w:highlight w:val="none"/>
        </w:rPr>
        <w:t>工作日内进行核定后按照本保函的承诺承担保证责任。</w:t>
      </w:r>
    </w:p>
    <w:p w14:paraId="48B852CB">
      <w:pPr>
        <w:spacing w:line="360" w:lineRule="auto"/>
        <w:ind w:firstLine="480" w:firstLineChars="200"/>
        <w:rPr>
          <w:sz w:val="24"/>
          <w:highlight w:val="none"/>
        </w:rPr>
      </w:pPr>
      <w:r>
        <w:rPr>
          <w:sz w:val="24"/>
          <w:highlight w:val="none"/>
        </w:rPr>
        <w:t>四、保证责任的终止</w:t>
      </w:r>
    </w:p>
    <w:p w14:paraId="0C5BECE0">
      <w:pPr>
        <w:spacing w:line="360" w:lineRule="auto"/>
        <w:ind w:firstLine="480" w:firstLineChars="200"/>
        <w:rPr>
          <w:sz w:val="24"/>
          <w:highlight w:val="none"/>
        </w:rPr>
      </w:pPr>
      <w:r>
        <w:rPr>
          <w:sz w:val="24"/>
          <w:highlight w:val="none"/>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1E4E0B34">
      <w:pPr>
        <w:spacing w:line="360" w:lineRule="auto"/>
        <w:ind w:firstLine="480" w:firstLineChars="200"/>
        <w:rPr>
          <w:sz w:val="24"/>
          <w:highlight w:val="none"/>
        </w:rPr>
      </w:pPr>
      <w:r>
        <w:rPr>
          <w:sz w:val="24"/>
          <w:highlight w:val="none"/>
        </w:rPr>
        <w:t>2．我方按照本保函向你方履行了保证责任后，自我方向你方支付款项（支付款项从我方账户划出）之日起，保证责任即终止。</w:t>
      </w:r>
    </w:p>
    <w:p w14:paraId="672C152D">
      <w:pPr>
        <w:spacing w:line="360" w:lineRule="auto"/>
        <w:ind w:firstLine="480" w:firstLineChars="200"/>
        <w:rPr>
          <w:sz w:val="24"/>
          <w:highlight w:val="none"/>
        </w:rPr>
      </w:pPr>
      <w:r>
        <w:rPr>
          <w:sz w:val="24"/>
          <w:highlight w:val="none"/>
        </w:rPr>
        <w:t>3．按照法律法规的规定或出现应终止我方保证责任的其它情形的，我方在本保函项下的保证责任亦终止。</w:t>
      </w:r>
    </w:p>
    <w:p w14:paraId="3A987261">
      <w:pPr>
        <w:spacing w:line="360" w:lineRule="auto"/>
        <w:ind w:firstLine="480" w:firstLineChars="200"/>
        <w:rPr>
          <w:sz w:val="24"/>
          <w:highlight w:val="none"/>
        </w:rPr>
      </w:pPr>
      <w:r>
        <w:rPr>
          <w:sz w:val="24"/>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34CF718C">
      <w:pPr>
        <w:spacing w:line="360" w:lineRule="auto"/>
        <w:ind w:firstLine="480" w:firstLineChars="200"/>
        <w:rPr>
          <w:sz w:val="24"/>
          <w:highlight w:val="none"/>
        </w:rPr>
      </w:pPr>
      <w:r>
        <w:rPr>
          <w:sz w:val="24"/>
          <w:highlight w:val="none"/>
        </w:rPr>
        <w:t>五、免责条款</w:t>
      </w:r>
    </w:p>
    <w:p w14:paraId="1D621ABF">
      <w:pPr>
        <w:spacing w:line="360" w:lineRule="auto"/>
        <w:ind w:firstLine="480" w:firstLineChars="200"/>
        <w:rPr>
          <w:sz w:val="24"/>
          <w:highlight w:val="none"/>
        </w:rPr>
      </w:pPr>
      <w:r>
        <w:rPr>
          <w:sz w:val="24"/>
          <w:highlight w:val="none"/>
        </w:rPr>
        <w:t>1．因你方违反主合同约定致使供应商不能履行义务的，我方不承担保证责任。</w:t>
      </w:r>
    </w:p>
    <w:p w14:paraId="26E42A49">
      <w:pPr>
        <w:spacing w:line="360" w:lineRule="auto"/>
        <w:ind w:firstLine="480" w:firstLineChars="200"/>
        <w:rPr>
          <w:sz w:val="24"/>
          <w:highlight w:val="none"/>
        </w:rPr>
      </w:pPr>
      <w:r>
        <w:rPr>
          <w:sz w:val="24"/>
          <w:highlight w:val="none"/>
        </w:rPr>
        <w:t>2．依照法律法规的规定或你方与供应商的另行约定，全部或者部分免除供应商应缴纳的保证金义务的，我方亦免除相应的保证责任。</w:t>
      </w:r>
    </w:p>
    <w:p w14:paraId="56C0DFFB">
      <w:pPr>
        <w:spacing w:line="360" w:lineRule="auto"/>
        <w:ind w:firstLine="480" w:firstLineChars="200"/>
        <w:rPr>
          <w:sz w:val="24"/>
          <w:highlight w:val="none"/>
        </w:rPr>
      </w:pPr>
      <w:r>
        <w:rPr>
          <w:sz w:val="24"/>
          <w:highlight w:val="none"/>
        </w:rPr>
        <w:t>3．因不可抗力造成供应商不能履行供货义务的，我方不承担保证责任。</w:t>
      </w:r>
    </w:p>
    <w:p w14:paraId="17E1047E">
      <w:pPr>
        <w:spacing w:line="360" w:lineRule="auto"/>
        <w:ind w:firstLine="480" w:firstLineChars="200"/>
        <w:rPr>
          <w:sz w:val="24"/>
          <w:highlight w:val="none"/>
        </w:rPr>
      </w:pPr>
      <w:r>
        <w:rPr>
          <w:sz w:val="24"/>
          <w:highlight w:val="none"/>
        </w:rPr>
        <w:t>六、争议的解决</w:t>
      </w:r>
    </w:p>
    <w:p w14:paraId="1D026BF3">
      <w:pPr>
        <w:spacing w:line="360" w:lineRule="auto"/>
        <w:ind w:firstLine="480" w:firstLineChars="200"/>
        <w:rPr>
          <w:sz w:val="24"/>
          <w:highlight w:val="none"/>
        </w:rPr>
      </w:pPr>
      <w:r>
        <w:rPr>
          <w:sz w:val="24"/>
          <w:highlight w:val="none"/>
        </w:rPr>
        <w:t>因本保函发生的纠纷，由你我双方协商解决，协商不成的，通过诉讼程序解决，诉讼管辖地法院为</w:t>
      </w:r>
      <w:r>
        <w:rPr>
          <w:sz w:val="24"/>
          <w:highlight w:val="none"/>
          <w:u w:val="single"/>
        </w:rPr>
        <w:t xml:space="preserve">             </w:t>
      </w:r>
      <w:r>
        <w:rPr>
          <w:sz w:val="24"/>
          <w:highlight w:val="none"/>
        </w:rPr>
        <w:t>法院。</w:t>
      </w:r>
    </w:p>
    <w:p w14:paraId="1C56690A">
      <w:pPr>
        <w:spacing w:line="360" w:lineRule="auto"/>
        <w:ind w:firstLine="480" w:firstLineChars="200"/>
        <w:rPr>
          <w:sz w:val="24"/>
          <w:highlight w:val="none"/>
        </w:rPr>
      </w:pPr>
      <w:r>
        <w:rPr>
          <w:sz w:val="24"/>
          <w:highlight w:val="none"/>
        </w:rPr>
        <w:t>七、保函的生效</w:t>
      </w:r>
    </w:p>
    <w:p w14:paraId="388DFC21">
      <w:pPr>
        <w:spacing w:line="360" w:lineRule="auto"/>
        <w:ind w:firstLine="480" w:firstLineChars="200"/>
        <w:rPr>
          <w:sz w:val="24"/>
          <w:highlight w:val="none"/>
        </w:rPr>
      </w:pPr>
      <w:r>
        <w:rPr>
          <w:sz w:val="24"/>
          <w:highlight w:val="none"/>
        </w:rPr>
        <w:t>本保函自我方加盖公章之日起生效。</w:t>
      </w:r>
    </w:p>
    <w:p w14:paraId="4DE94F1F">
      <w:pPr>
        <w:spacing w:line="360" w:lineRule="auto"/>
        <w:ind w:firstLine="480" w:firstLineChars="200"/>
        <w:rPr>
          <w:sz w:val="24"/>
          <w:highlight w:val="none"/>
        </w:rPr>
      </w:pPr>
    </w:p>
    <w:p w14:paraId="3786BE1F">
      <w:pPr>
        <w:spacing w:line="360" w:lineRule="auto"/>
        <w:ind w:firstLine="480" w:firstLineChars="200"/>
        <w:rPr>
          <w:sz w:val="24"/>
          <w:highlight w:val="none"/>
        </w:rPr>
      </w:pPr>
      <w:r>
        <w:rPr>
          <w:sz w:val="24"/>
          <w:highlight w:val="none"/>
        </w:rPr>
        <w:t xml:space="preserve">                                 </w:t>
      </w:r>
    </w:p>
    <w:p w14:paraId="10E39373">
      <w:pPr>
        <w:spacing w:line="360" w:lineRule="auto"/>
        <w:ind w:firstLine="480" w:firstLineChars="200"/>
        <w:rPr>
          <w:sz w:val="24"/>
          <w:highlight w:val="none"/>
        </w:rPr>
      </w:pPr>
      <w:r>
        <w:rPr>
          <w:sz w:val="24"/>
          <w:highlight w:val="none"/>
        </w:rPr>
        <w:t>保证人：（公章）</w:t>
      </w:r>
    </w:p>
    <w:p w14:paraId="73F3BEE2">
      <w:pPr>
        <w:spacing w:line="360" w:lineRule="auto"/>
        <w:ind w:firstLine="480" w:firstLineChars="200"/>
        <w:rPr>
          <w:sz w:val="24"/>
          <w:highlight w:val="none"/>
        </w:rPr>
      </w:pPr>
    </w:p>
    <w:p w14:paraId="2BFBEA5E">
      <w:pPr>
        <w:spacing w:line="360" w:lineRule="auto"/>
        <w:ind w:firstLine="480" w:firstLineChars="200"/>
        <w:rPr>
          <w:sz w:val="24"/>
          <w:highlight w:val="none"/>
        </w:rPr>
      </w:pPr>
      <w:r>
        <w:rPr>
          <w:sz w:val="24"/>
          <w:highlight w:val="none"/>
        </w:rPr>
        <w:t xml:space="preserve">                                                    年     月      日</w:t>
      </w:r>
    </w:p>
    <w:p w14:paraId="21900950">
      <w:pPr>
        <w:jc w:val="center"/>
        <w:rPr>
          <w:highlight w:val="none"/>
        </w:rPr>
      </w:pPr>
    </w:p>
    <w:p w14:paraId="69BFC336">
      <w:pPr>
        <w:pStyle w:val="27"/>
        <w:snapToGrid w:val="0"/>
        <w:rPr>
          <w:rFonts w:ascii="Times New Roman" w:hAnsi="Times New Roman"/>
          <w:sz w:val="24"/>
          <w:highlight w:val="none"/>
          <w:u w:val="single"/>
        </w:rPr>
      </w:pPr>
      <w:r>
        <w:rPr>
          <w:rFonts w:ascii="Times New Roman" w:hAnsi="Times New Roman"/>
          <w:sz w:val="24"/>
          <w:highlight w:val="none"/>
          <w:u w:val="single"/>
        </w:rPr>
        <w:br w:type="page"/>
      </w:r>
    </w:p>
    <w:p w14:paraId="0348C25A">
      <w:pPr>
        <w:autoSpaceDE w:val="0"/>
        <w:autoSpaceDN w:val="0"/>
        <w:adjustRightInd w:val="0"/>
        <w:snapToGrid w:val="0"/>
        <w:ind w:right="893"/>
        <w:jc w:val="center"/>
        <w:textAlignment w:val="bottom"/>
        <w:rPr>
          <w:b/>
          <w:sz w:val="30"/>
          <w:szCs w:val="30"/>
          <w:highlight w:val="none"/>
        </w:rPr>
      </w:pPr>
    </w:p>
    <w:p w14:paraId="0F44C5D4">
      <w:pPr>
        <w:autoSpaceDE w:val="0"/>
        <w:autoSpaceDN w:val="0"/>
        <w:adjustRightInd w:val="0"/>
        <w:spacing w:line="360" w:lineRule="auto"/>
        <w:jc w:val="center"/>
        <w:outlineLvl w:val="0"/>
        <w:rPr>
          <w:b/>
          <w:color w:val="000000"/>
          <w:sz w:val="24"/>
          <w:highlight w:val="none"/>
        </w:rPr>
      </w:pPr>
      <w:bookmarkStart w:id="14" w:name="_Toc3070"/>
      <w:r>
        <w:rPr>
          <w:b/>
          <w:sz w:val="32"/>
          <w:szCs w:val="32"/>
          <w:highlight w:val="none"/>
        </w:rPr>
        <w:t>第五部分：项目需求</w:t>
      </w:r>
      <w:bookmarkEnd w:id="14"/>
    </w:p>
    <w:p w14:paraId="12FDD596">
      <w:pPr>
        <w:pStyle w:val="22"/>
        <w:tabs>
          <w:tab w:val="left" w:pos="567"/>
        </w:tabs>
        <w:rPr>
          <w:color w:val="000000"/>
          <w:highlight w:val="none"/>
        </w:rPr>
      </w:pPr>
    </w:p>
    <w:p w14:paraId="756773EC">
      <w:pPr>
        <w:rPr>
          <w:color w:val="000000"/>
          <w:highlight w:val="none"/>
        </w:rPr>
      </w:pPr>
    </w:p>
    <w:p w14:paraId="0D2D9D67">
      <w:pPr>
        <w:tabs>
          <w:tab w:val="left" w:pos="1560"/>
        </w:tabs>
        <w:adjustRightInd w:val="0"/>
        <w:snapToGrid w:val="0"/>
        <w:jc w:val="center"/>
        <w:rPr>
          <w:b/>
          <w:color w:val="000000"/>
          <w:sz w:val="30"/>
          <w:szCs w:val="30"/>
          <w:highlight w:val="none"/>
        </w:rPr>
      </w:pPr>
      <w:r>
        <w:rPr>
          <w:b/>
          <w:color w:val="000000"/>
          <w:sz w:val="30"/>
          <w:szCs w:val="30"/>
          <w:highlight w:val="none"/>
        </w:rPr>
        <w:t>一、</w:t>
      </w:r>
      <w:r>
        <w:rPr>
          <w:rFonts w:hint="eastAsia"/>
          <w:b/>
          <w:color w:val="000000"/>
          <w:sz w:val="30"/>
          <w:szCs w:val="30"/>
          <w:highlight w:val="none"/>
        </w:rPr>
        <w:t>服务</w:t>
      </w:r>
      <w:r>
        <w:rPr>
          <w:b/>
          <w:color w:val="000000"/>
          <w:sz w:val="30"/>
          <w:szCs w:val="30"/>
          <w:highlight w:val="none"/>
        </w:rPr>
        <w:t>需求一览表</w:t>
      </w:r>
    </w:p>
    <w:p w14:paraId="5BD03DC7">
      <w:pPr>
        <w:pStyle w:val="27"/>
        <w:rPr>
          <w:rFonts w:ascii="Times New Roman" w:hAnsi="Times New Roman"/>
          <w:color w:val="000000"/>
          <w:highlight w:val="none"/>
        </w:rPr>
      </w:pPr>
    </w:p>
    <w:p w14:paraId="0F954767">
      <w:pPr>
        <w:pStyle w:val="27"/>
        <w:rPr>
          <w:rFonts w:ascii="Times New Roman" w:hAnsi="Times New Roman"/>
          <w:color w:val="000000"/>
          <w:highlight w:val="none"/>
        </w:rPr>
      </w:pPr>
    </w:p>
    <w:tbl>
      <w:tblPr>
        <w:tblStyle w:val="46"/>
        <w:tblW w:w="78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946"/>
        <w:gridCol w:w="1484"/>
        <w:gridCol w:w="2900"/>
        <w:gridCol w:w="2537"/>
      </w:tblGrid>
      <w:tr w14:paraId="7EAC7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3" w:hRule="atLeast"/>
          <w:jc w:val="center"/>
        </w:trPr>
        <w:tc>
          <w:tcPr>
            <w:tcW w:w="946" w:type="dxa"/>
            <w:vAlign w:val="center"/>
          </w:tcPr>
          <w:p w14:paraId="78067902">
            <w:pPr>
              <w:jc w:val="center"/>
              <w:rPr>
                <w:color w:val="000000"/>
                <w:sz w:val="24"/>
                <w:highlight w:val="none"/>
              </w:rPr>
            </w:pPr>
            <w:r>
              <w:rPr>
                <w:color w:val="000000"/>
                <w:sz w:val="24"/>
                <w:highlight w:val="none"/>
              </w:rPr>
              <w:t>包号</w:t>
            </w:r>
          </w:p>
        </w:tc>
        <w:tc>
          <w:tcPr>
            <w:tcW w:w="1484" w:type="dxa"/>
            <w:vAlign w:val="center"/>
          </w:tcPr>
          <w:p w14:paraId="1DA6A109">
            <w:pPr>
              <w:jc w:val="center"/>
              <w:rPr>
                <w:color w:val="000000"/>
                <w:sz w:val="24"/>
                <w:highlight w:val="none"/>
              </w:rPr>
            </w:pPr>
            <w:r>
              <w:rPr>
                <w:rFonts w:hint="eastAsia"/>
                <w:color w:val="000000"/>
                <w:sz w:val="24"/>
                <w:highlight w:val="none"/>
              </w:rPr>
              <w:t>服务</w:t>
            </w:r>
            <w:r>
              <w:rPr>
                <w:color w:val="000000"/>
                <w:sz w:val="24"/>
                <w:highlight w:val="none"/>
              </w:rPr>
              <w:t>名称</w:t>
            </w:r>
          </w:p>
        </w:tc>
        <w:tc>
          <w:tcPr>
            <w:tcW w:w="2900" w:type="dxa"/>
            <w:vAlign w:val="center"/>
          </w:tcPr>
          <w:p w14:paraId="2DE657A2">
            <w:pPr>
              <w:jc w:val="center"/>
              <w:rPr>
                <w:color w:val="000000"/>
                <w:sz w:val="24"/>
                <w:highlight w:val="none"/>
              </w:rPr>
            </w:pPr>
            <w:r>
              <w:rPr>
                <w:rFonts w:hint="eastAsia"/>
                <w:color w:val="000000"/>
                <w:sz w:val="24"/>
                <w:highlight w:val="none"/>
              </w:rPr>
              <w:t>服务期限</w:t>
            </w:r>
          </w:p>
        </w:tc>
        <w:tc>
          <w:tcPr>
            <w:tcW w:w="2537" w:type="dxa"/>
            <w:vAlign w:val="center"/>
          </w:tcPr>
          <w:p w14:paraId="5759F31B">
            <w:pPr>
              <w:jc w:val="center"/>
              <w:rPr>
                <w:color w:val="000000"/>
                <w:sz w:val="24"/>
                <w:highlight w:val="none"/>
              </w:rPr>
            </w:pPr>
            <w:r>
              <w:rPr>
                <w:rFonts w:hint="eastAsia"/>
                <w:color w:val="000000"/>
                <w:sz w:val="24"/>
                <w:highlight w:val="none"/>
              </w:rPr>
              <w:t>项目</w:t>
            </w:r>
            <w:r>
              <w:rPr>
                <w:color w:val="000000"/>
                <w:sz w:val="24"/>
                <w:highlight w:val="none"/>
              </w:rPr>
              <w:t>地点</w:t>
            </w:r>
          </w:p>
        </w:tc>
      </w:tr>
      <w:tr w14:paraId="00776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180" w:hRule="atLeast"/>
          <w:jc w:val="center"/>
        </w:trPr>
        <w:tc>
          <w:tcPr>
            <w:tcW w:w="946" w:type="dxa"/>
            <w:vAlign w:val="center"/>
          </w:tcPr>
          <w:p w14:paraId="090B9A1A">
            <w:pPr>
              <w:jc w:val="center"/>
              <w:rPr>
                <w:color w:val="000000"/>
                <w:sz w:val="24"/>
                <w:highlight w:val="none"/>
              </w:rPr>
            </w:pPr>
            <w:r>
              <w:rPr>
                <w:color w:val="000000"/>
                <w:sz w:val="24"/>
                <w:highlight w:val="none"/>
              </w:rPr>
              <w:t>1</w:t>
            </w:r>
          </w:p>
        </w:tc>
        <w:tc>
          <w:tcPr>
            <w:tcW w:w="1484" w:type="dxa"/>
            <w:vAlign w:val="center"/>
          </w:tcPr>
          <w:p w14:paraId="6552AFF7">
            <w:pPr>
              <w:jc w:val="center"/>
              <w:rPr>
                <w:bCs/>
                <w:color w:val="000000"/>
                <w:sz w:val="24"/>
                <w:highlight w:val="none"/>
              </w:rPr>
            </w:pPr>
            <w:r>
              <w:rPr>
                <w:rFonts w:hint="eastAsia"/>
                <w:bCs/>
                <w:color w:val="000000"/>
                <w:sz w:val="24"/>
                <w:highlight w:val="none"/>
              </w:rPr>
              <w:t>实验室布展服务</w:t>
            </w:r>
          </w:p>
        </w:tc>
        <w:tc>
          <w:tcPr>
            <w:tcW w:w="2900" w:type="dxa"/>
            <w:vAlign w:val="center"/>
          </w:tcPr>
          <w:p w14:paraId="76C6F4DB">
            <w:pPr>
              <w:jc w:val="center"/>
              <w:rPr>
                <w:bCs/>
                <w:color w:val="000000"/>
                <w:sz w:val="24"/>
                <w:highlight w:val="none"/>
              </w:rPr>
            </w:pPr>
            <w:r>
              <w:rPr>
                <w:rFonts w:hint="eastAsia" w:asciiTheme="majorEastAsia" w:hAnsiTheme="majorEastAsia" w:eastAsiaTheme="majorEastAsia"/>
                <w:sz w:val="24"/>
                <w:highlight w:val="none"/>
              </w:rPr>
              <w:t>自合同签订后40日内具备验收条件。</w:t>
            </w:r>
          </w:p>
        </w:tc>
        <w:tc>
          <w:tcPr>
            <w:tcW w:w="2537" w:type="dxa"/>
            <w:vAlign w:val="center"/>
          </w:tcPr>
          <w:p w14:paraId="143CC545">
            <w:pPr>
              <w:jc w:val="center"/>
              <w:rPr>
                <w:bCs/>
                <w:color w:val="000000"/>
                <w:sz w:val="24"/>
                <w:highlight w:val="none"/>
              </w:rPr>
            </w:pPr>
            <w:r>
              <w:rPr>
                <w:rFonts w:hint="eastAsia" w:cs="宋体" w:asciiTheme="majorEastAsia" w:hAnsiTheme="majorEastAsia" w:eastAsiaTheme="majorEastAsia"/>
                <w:color w:val="000000"/>
                <w:sz w:val="24"/>
                <w:highlight w:val="none"/>
              </w:rPr>
              <w:t>中国科学院电工研究所1号楼1层大厅</w:t>
            </w:r>
          </w:p>
        </w:tc>
      </w:tr>
    </w:tbl>
    <w:p w14:paraId="7C0AEF14">
      <w:pPr>
        <w:pStyle w:val="22"/>
        <w:tabs>
          <w:tab w:val="left" w:pos="567"/>
        </w:tabs>
        <w:rPr>
          <w:color w:val="000000"/>
          <w:highlight w:val="none"/>
        </w:rPr>
      </w:pPr>
    </w:p>
    <w:p w14:paraId="5157BFEC">
      <w:pPr>
        <w:spacing w:line="360" w:lineRule="auto"/>
        <w:rPr>
          <w:color w:val="000000"/>
          <w:highlight w:val="none"/>
        </w:rPr>
      </w:pPr>
      <w:r>
        <w:rPr>
          <w:color w:val="000000"/>
          <w:sz w:val="24"/>
          <w:highlight w:val="none"/>
        </w:rPr>
        <w:t>注：</w:t>
      </w:r>
      <w:r>
        <w:rPr>
          <w:rFonts w:hint="eastAsia"/>
          <w:color w:val="000000"/>
          <w:sz w:val="24"/>
          <w:highlight w:val="none"/>
        </w:rPr>
        <w:t>本项目共一个包，供应商</w:t>
      </w:r>
      <w:r>
        <w:rPr>
          <w:color w:val="000000"/>
          <w:sz w:val="24"/>
          <w:highlight w:val="none"/>
        </w:rPr>
        <w:t>须对上述投标内容中完整的一包进行</w:t>
      </w:r>
      <w:r>
        <w:rPr>
          <w:rFonts w:hint="eastAsia"/>
          <w:color w:val="000000"/>
          <w:sz w:val="24"/>
          <w:highlight w:val="none"/>
        </w:rPr>
        <w:t>投标</w:t>
      </w:r>
      <w:r>
        <w:rPr>
          <w:color w:val="000000"/>
          <w:sz w:val="24"/>
          <w:highlight w:val="none"/>
        </w:rPr>
        <w:t>响应，不完整的投标将视为非响应性投标予以拒绝。</w:t>
      </w:r>
    </w:p>
    <w:p w14:paraId="25118AA6">
      <w:pPr>
        <w:adjustRightInd w:val="0"/>
        <w:snapToGrid w:val="0"/>
        <w:rPr>
          <w:color w:val="000000"/>
          <w:highlight w:val="none"/>
        </w:rPr>
      </w:pPr>
    </w:p>
    <w:p w14:paraId="2073721B">
      <w:pPr>
        <w:tabs>
          <w:tab w:val="left" w:pos="1560"/>
        </w:tabs>
        <w:adjustRightInd w:val="0"/>
        <w:snapToGrid w:val="0"/>
        <w:jc w:val="center"/>
        <w:rPr>
          <w:rFonts w:hint="eastAsia" w:ascii="宋体" w:hAnsi="宋体" w:cs="Arial"/>
          <w:sz w:val="32"/>
          <w:szCs w:val="32"/>
          <w:highlight w:val="none"/>
        </w:rPr>
      </w:pPr>
      <w:r>
        <w:rPr>
          <w:color w:val="000000"/>
          <w:highlight w:val="none"/>
        </w:rPr>
        <w:br w:type="page"/>
      </w:r>
      <w:r>
        <w:rPr>
          <w:rFonts w:hint="eastAsia" w:ascii="宋体" w:hAnsi="宋体" w:cs="Arial"/>
          <w:b/>
          <w:sz w:val="32"/>
          <w:szCs w:val="32"/>
          <w:highlight w:val="none"/>
        </w:rPr>
        <w:t>二、具体要求</w:t>
      </w:r>
    </w:p>
    <w:p w14:paraId="6E2E79DD">
      <w:pPr>
        <w:widowControl/>
        <w:spacing w:before="240" w:beforeLines="100" w:after="240" w:afterLines="100"/>
        <w:jc w:val="center"/>
        <w:rPr>
          <w:b/>
          <w:bCs/>
          <w:sz w:val="28"/>
          <w:szCs w:val="36"/>
          <w:highlight w:val="none"/>
        </w:rPr>
      </w:pPr>
      <w:r>
        <w:rPr>
          <w:rFonts w:hint="eastAsia"/>
          <w:b/>
          <w:sz w:val="28"/>
          <w:szCs w:val="28"/>
          <w:highlight w:val="none"/>
        </w:rPr>
        <w:t>服务名称：实验室布展服务</w:t>
      </w:r>
    </w:p>
    <w:p w14:paraId="4EBF265B">
      <w:pPr>
        <w:pStyle w:val="112"/>
        <w:spacing w:line="360" w:lineRule="auto"/>
        <w:ind w:left="765" w:hanging="480" w:firstLineChars="0"/>
        <w:rPr>
          <w:rFonts w:hint="eastAsia" w:cs="宋体" w:asciiTheme="majorEastAsia" w:hAnsiTheme="majorEastAsia" w:eastAsiaTheme="majorEastAsia"/>
          <w:b/>
          <w:bCs/>
          <w:color w:val="000000"/>
          <w:sz w:val="24"/>
          <w:highlight w:val="none"/>
        </w:rPr>
      </w:pPr>
      <w:r>
        <w:rPr>
          <w:rFonts w:cs="宋体" w:asciiTheme="majorEastAsia" w:hAnsiTheme="majorEastAsia" w:eastAsiaTheme="majorEastAsia"/>
          <w:b/>
          <w:bCs/>
          <w:color w:val="000000"/>
          <w:sz w:val="24"/>
          <w:szCs w:val="24"/>
          <w:highlight w:val="none"/>
        </w:rPr>
        <w:t>一、</w:t>
      </w:r>
      <w:r>
        <w:rPr>
          <w:rFonts w:hint="eastAsia" w:cs="宋体" w:asciiTheme="majorEastAsia" w:hAnsiTheme="majorEastAsia" w:eastAsiaTheme="majorEastAsia"/>
          <w:b/>
          <w:bCs/>
          <w:color w:val="000000"/>
          <w:sz w:val="24"/>
          <w:highlight w:val="none"/>
        </w:rPr>
        <w:t>总体要求</w:t>
      </w:r>
    </w:p>
    <w:p w14:paraId="3DE6316D">
      <w:pPr>
        <w:pStyle w:val="112"/>
        <w:numPr>
          <w:ilvl w:val="1"/>
          <w:numId w:val="0"/>
        </w:numPr>
        <w:spacing w:line="360" w:lineRule="auto"/>
        <w:ind w:left="765" w:hanging="480"/>
        <w:rPr>
          <w:rFonts w:hint="eastAsia" w:cs="宋体" w:asciiTheme="majorEastAsia" w:hAnsiTheme="majorEastAsia" w:eastAsiaTheme="majorEastAsia"/>
          <w:color w:val="000000"/>
          <w:sz w:val="24"/>
          <w:highlight w:val="none"/>
        </w:rPr>
      </w:pPr>
      <w:r>
        <w:rPr>
          <w:rFonts w:hint="eastAsia" w:cs="宋体" w:asciiTheme="majorEastAsia" w:hAnsiTheme="majorEastAsia" w:eastAsiaTheme="majorEastAsia"/>
          <w:color w:val="000000"/>
          <w:sz w:val="24"/>
          <w:szCs w:val="24"/>
          <w:highlight w:val="none"/>
        </w:rPr>
        <w:t>1.1</w:t>
      </w:r>
      <w:r>
        <w:rPr>
          <w:rFonts w:hint="eastAsia" w:cs="宋体" w:asciiTheme="majorEastAsia" w:hAnsiTheme="majorEastAsia" w:eastAsiaTheme="majorEastAsia"/>
          <w:color w:val="000000"/>
          <w:sz w:val="24"/>
          <w:highlight w:val="none"/>
        </w:rPr>
        <w:t>项目范围及内容</w:t>
      </w:r>
    </w:p>
    <w:p w14:paraId="3D180BDA">
      <w:pPr>
        <w:spacing w:line="360" w:lineRule="auto"/>
        <w:ind w:firstLine="480" w:firstLineChars="200"/>
        <w:rPr>
          <w:rFonts w:hint="eastAsia" w:cs="宋体" w:asciiTheme="majorEastAsia" w:hAnsiTheme="majorEastAsia" w:eastAsiaTheme="majorEastAsia"/>
          <w:sz w:val="24"/>
          <w:highlight w:val="none"/>
        </w:rPr>
      </w:pPr>
      <w:r>
        <w:rPr>
          <w:rFonts w:hint="eastAsia" w:cs="宋体" w:asciiTheme="majorEastAsia" w:hAnsiTheme="majorEastAsia" w:eastAsiaTheme="majorEastAsia"/>
          <w:color w:val="000000"/>
          <w:sz w:val="24"/>
          <w:highlight w:val="none"/>
        </w:rPr>
        <w:t>本项目为中国科学院电工研究所1号楼1层大厅进行的布展及展陈制作服务，涵盖展陈设计、内容排版与制作等全流程相关服务</w:t>
      </w:r>
      <w:r>
        <w:rPr>
          <w:rFonts w:hint="eastAsia" w:cs="宋体" w:asciiTheme="majorEastAsia" w:hAnsiTheme="majorEastAsia" w:eastAsiaTheme="majorEastAsia"/>
          <w:sz w:val="24"/>
          <w:highlight w:val="none"/>
        </w:rPr>
        <w:t>。具体内容包括但不限于：展示空间的整体策划与定位、空间方案效果设计、参观路线的科学规划与优化，施工设计阶段的深化图纸绘制与方案制定；展陈内容的编辑、校对、视觉设计及制作实施；采购与施工环节涉及展陈装饰工程的施工建设，调试、展示所需各类材料及设备的供应及等内容。</w:t>
      </w:r>
    </w:p>
    <w:p w14:paraId="08C6E770">
      <w:pPr>
        <w:spacing w:line="360" w:lineRule="auto"/>
        <w:ind w:firstLine="480" w:firstLineChars="200"/>
        <w:rPr>
          <w:rFonts w:hint="eastAsia" w:cs="宋体" w:asciiTheme="majorEastAsia" w:hAnsiTheme="majorEastAsia" w:eastAsiaTheme="majorEastAsia"/>
          <w:sz w:val="24"/>
          <w:highlight w:val="none"/>
        </w:rPr>
      </w:pPr>
      <w:r>
        <w:rPr>
          <w:rFonts w:hint="eastAsia" w:cs="宋体" w:asciiTheme="majorEastAsia" w:hAnsiTheme="majorEastAsia" w:eastAsiaTheme="majorEastAsia"/>
          <w:sz w:val="24"/>
          <w:highlight w:val="none"/>
        </w:rPr>
        <w:t>本项目内所有工作均由供应商负责，采购方负责配合提供展陈内容素材。</w:t>
      </w:r>
    </w:p>
    <w:p w14:paraId="42D7E5AD">
      <w:pPr>
        <w:pStyle w:val="112"/>
        <w:numPr>
          <w:ilvl w:val="1"/>
          <w:numId w:val="0"/>
        </w:numPr>
        <w:spacing w:line="360" w:lineRule="auto"/>
        <w:ind w:left="765" w:hanging="480"/>
        <w:rPr>
          <w:rFonts w:hint="eastAsia" w:cs="宋体" w:asciiTheme="majorEastAsia" w:hAnsiTheme="majorEastAsia" w:eastAsiaTheme="majorEastAsia"/>
          <w:color w:val="000000"/>
          <w:sz w:val="24"/>
          <w:highlight w:val="none"/>
        </w:rPr>
      </w:pPr>
      <w:r>
        <w:rPr>
          <w:rFonts w:hint="eastAsia" w:cs="宋体" w:asciiTheme="majorEastAsia" w:hAnsiTheme="majorEastAsia" w:eastAsiaTheme="majorEastAsia"/>
          <w:color w:val="000000"/>
          <w:sz w:val="24"/>
          <w:szCs w:val="24"/>
          <w:highlight w:val="none"/>
        </w:rPr>
        <w:t>1.2</w:t>
      </w:r>
      <w:r>
        <w:rPr>
          <w:rFonts w:hint="eastAsia" w:cs="宋体" w:asciiTheme="majorEastAsia" w:hAnsiTheme="majorEastAsia" w:eastAsiaTheme="majorEastAsia"/>
          <w:color w:val="000000"/>
          <w:sz w:val="24"/>
          <w:highlight w:val="none"/>
        </w:rPr>
        <w:t>项目定位</w:t>
      </w:r>
    </w:p>
    <w:p w14:paraId="13F54FC0">
      <w:pPr>
        <w:spacing w:line="360" w:lineRule="auto"/>
        <w:ind w:firstLine="480" w:firstLineChars="200"/>
        <w:rPr>
          <w:rFonts w:hint="eastAsia" w:cs="宋体" w:asciiTheme="majorEastAsia" w:hAnsiTheme="majorEastAsia" w:eastAsiaTheme="majorEastAsia"/>
          <w:color w:val="000000"/>
          <w:sz w:val="24"/>
          <w:highlight w:val="none"/>
        </w:rPr>
      </w:pPr>
      <w:r>
        <w:rPr>
          <w:rFonts w:hint="eastAsia" w:cs="宋体" w:asciiTheme="majorEastAsia" w:hAnsiTheme="majorEastAsia" w:eastAsiaTheme="majorEastAsia"/>
          <w:color w:val="000000"/>
          <w:sz w:val="24"/>
          <w:highlight w:val="none"/>
        </w:rPr>
        <w:t>围绕“高精尖科技智能”主题，以“突出基础、原创技术、驱动产业”为核心理念，充分体现研究所及高密度电磁动力与系统全国重点实验室在能源与电气工程领域前沿技术研究的定位。</w:t>
      </w:r>
    </w:p>
    <w:p w14:paraId="2F6843D8">
      <w:pPr>
        <w:spacing w:line="360" w:lineRule="auto"/>
        <w:ind w:firstLine="480" w:firstLineChars="200"/>
        <w:rPr>
          <w:rFonts w:hint="eastAsia" w:cs="宋体" w:asciiTheme="majorEastAsia" w:hAnsiTheme="majorEastAsia" w:eastAsiaTheme="majorEastAsia"/>
          <w:color w:val="000000"/>
          <w:sz w:val="24"/>
          <w:highlight w:val="none"/>
        </w:rPr>
      </w:pPr>
      <w:r>
        <w:rPr>
          <w:rFonts w:hint="eastAsia" w:cs="宋体" w:asciiTheme="majorEastAsia" w:hAnsiTheme="majorEastAsia" w:eastAsiaTheme="majorEastAsia"/>
          <w:color w:val="000000"/>
          <w:sz w:val="24"/>
          <w:highlight w:val="none"/>
        </w:rPr>
        <w:t>布展设计追求国际化、时代性与地域性的和谐统一，融合高科技、智能化、环保节能等多重元素，借助多媒体、光、影等多种表现手法，营造现代，富有强烈艺术感染力的展示环境。</w:t>
      </w:r>
    </w:p>
    <w:p w14:paraId="1A51B6D4">
      <w:pPr>
        <w:pStyle w:val="112"/>
        <w:numPr>
          <w:ilvl w:val="1"/>
          <w:numId w:val="0"/>
        </w:numPr>
        <w:spacing w:line="360" w:lineRule="auto"/>
        <w:ind w:left="765" w:hanging="480"/>
        <w:rPr>
          <w:rFonts w:hint="eastAsia" w:cs="宋体" w:asciiTheme="majorEastAsia" w:hAnsiTheme="majorEastAsia" w:eastAsiaTheme="majorEastAsia"/>
          <w:color w:val="000000"/>
          <w:sz w:val="24"/>
          <w:highlight w:val="none"/>
        </w:rPr>
      </w:pPr>
      <w:r>
        <w:rPr>
          <w:rFonts w:hint="eastAsia" w:cs="宋体" w:asciiTheme="majorEastAsia" w:hAnsiTheme="majorEastAsia" w:eastAsiaTheme="majorEastAsia"/>
          <w:color w:val="000000"/>
          <w:sz w:val="24"/>
          <w:highlight w:val="none"/>
        </w:rPr>
        <w:t>★</w:t>
      </w:r>
      <w:r>
        <w:rPr>
          <w:rFonts w:hint="eastAsia" w:cs="宋体" w:asciiTheme="majorEastAsia" w:hAnsiTheme="majorEastAsia" w:eastAsiaTheme="majorEastAsia"/>
          <w:color w:val="000000"/>
          <w:sz w:val="24"/>
          <w:szCs w:val="24"/>
          <w:highlight w:val="none"/>
        </w:rPr>
        <w:t>1.3</w:t>
      </w:r>
      <w:r>
        <w:rPr>
          <w:rFonts w:hint="eastAsia" w:cs="宋体" w:asciiTheme="majorEastAsia" w:hAnsiTheme="majorEastAsia" w:eastAsiaTheme="majorEastAsia"/>
          <w:color w:val="000000"/>
          <w:sz w:val="24"/>
          <w:highlight w:val="none"/>
        </w:rPr>
        <w:t>服务期限</w:t>
      </w:r>
    </w:p>
    <w:p w14:paraId="4EAF18E1">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自合同签订后40日内具备验收条件。</w:t>
      </w:r>
    </w:p>
    <w:p w14:paraId="00B8BB86">
      <w:pPr>
        <w:pStyle w:val="112"/>
        <w:numPr>
          <w:ilvl w:val="1"/>
          <w:numId w:val="0"/>
        </w:numPr>
        <w:tabs>
          <w:tab w:val="center" w:pos="4410"/>
        </w:tabs>
        <w:spacing w:line="360" w:lineRule="auto"/>
        <w:ind w:left="765" w:hanging="480"/>
        <w:rPr>
          <w:rFonts w:hint="eastAsia" w:asciiTheme="majorEastAsia" w:hAnsiTheme="majorEastAsia" w:eastAsiaTheme="majorEastAsia"/>
          <w:sz w:val="24"/>
          <w:highlight w:val="none"/>
        </w:rPr>
      </w:pPr>
      <w:bookmarkStart w:id="15" w:name="OLE_LINK11"/>
      <w:r>
        <w:rPr>
          <w:rFonts w:hint="eastAsia" w:asciiTheme="majorEastAsia" w:hAnsiTheme="majorEastAsia" w:eastAsiaTheme="majorEastAsia"/>
          <w:sz w:val="24"/>
          <w:szCs w:val="24"/>
          <w:highlight w:val="none"/>
        </w:rPr>
        <w:t>1.4</w:t>
      </w:r>
      <w:r>
        <w:rPr>
          <w:rFonts w:hint="eastAsia" w:asciiTheme="majorEastAsia" w:hAnsiTheme="majorEastAsia" w:eastAsiaTheme="majorEastAsia"/>
          <w:sz w:val="24"/>
          <w:highlight w:val="none"/>
        </w:rPr>
        <w:t>专业要求</w:t>
      </w:r>
    </w:p>
    <w:p w14:paraId="54602C32">
      <w:pPr>
        <w:tabs>
          <w:tab w:val="center" w:pos="4410"/>
        </w:tabs>
        <w:spacing w:line="360" w:lineRule="auto"/>
        <w:ind w:firstLine="480" w:firstLineChars="200"/>
        <w:rPr>
          <w:rFonts w:hint="eastAsia" w:asciiTheme="majorEastAsia" w:hAnsiTheme="majorEastAsia" w:eastAsiaTheme="majorEastAsia"/>
          <w:sz w:val="24"/>
          <w:highlight w:val="none"/>
        </w:rPr>
      </w:pPr>
      <w:bookmarkStart w:id="16" w:name="OLE_LINK18"/>
      <w:r>
        <w:rPr>
          <w:rFonts w:hint="eastAsia" w:asciiTheme="majorEastAsia" w:hAnsiTheme="majorEastAsia" w:eastAsiaTheme="majorEastAsia"/>
          <w:sz w:val="24"/>
          <w:highlight w:val="none"/>
        </w:rPr>
        <w:t>（1）聚焦主题与内容：设计需紧扣项目主题，成分展现研究所在能源与电气工程领域前沿技术研究方面的科研实力和创新成果，重点突出高密度电磁动力与系统全国重点实验室在支撑国家重大战略目标实现过程中发挥核心关键作用；展陈逻辑应清晰有序、形象表达准确到位，对于核心科研成果及主导优势应设置明确的视觉焦点，有效避免内容碎片化现象，从而强化访客对展览核心信息的记忆与理解。</w:t>
      </w:r>
    </w:p>
    <w:p w14:paraId="7C2B00D1">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2）进行总体规划设计：统筹规划大厅空间布局，明确展览内容分布及参观动线（兼顾消防与安全要求），预设最佳展位观赏点、摄影位、位置及容纳率，设置合影背景墙等设施。提供完整设计方案，含展览空间设计、基本展览设备的造型及尺度比例、平面设计、效果图等，并对总体设计理念及风格进行详细说明。</w:t>
      </w:r>
    </w:p>
    <w:p w14:paraId="5B1F525B">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（3）表现形式与空间风格：表现手法及科技手段需具备前瞻性与先进性，</w:t>
      </w:r>
      <w:bookmarkStart w:id="17" w:name="_Hlk212563895"/>
      <w:r>
        <w:rPr>
          <w:rFonts w:hint="eastAsia" w:asciiTheme="majorEastAsia" w:hAnsiTheme="majorEastAsia" w:eastAsiaTheme="majorEastAsia"/>
          <w:sz w:val="24"/>
          <w:highlight w:val="none"/>
        </w:rPr>
        <w:t>空间形象应简洁、大气、且富有现代科技感</w:t>
      </w:r>
      <w:bookmarkEnd w:id="17"/>
      <w:r>
        <w:rPr>
          <w:rFonts w:hint="eastAsia" w:asciiTheme="majorEastAsia" w:hAnsiTheme="majorEastAsia" w:eastAsiaTheme="majorEastAsia"/>
          <w:sz w:val="24"/>
          <w:highlight w:val="none"/>
        </w:rPr>
        <w:t>；场景设计须立意精准、布局合理，同时具备显著的实时特性、先进的工艺及强烈的艺术感染力。</w:t>
      </w:r>
      <w:bookmarkStart w:id="18" w:name="OLE_LINK12"/>
      <w:r>
        <w:rPr>
          <w:rFonts w:hint="eastAsia" w:asciiTheme="majorEastAsia" w:hAnsiTheme="majorEastAsia" w:eastAsiaTheme="majorEastAsia"/>
          <w:sz w:val="24"/>
          <w:highlight w:val="none"/>
        </w:rPr>
        <w:t>采用的新技术、新设备、新展示手段，应详细阐述其主要功能、技术原理、所用设备，并突出其创新性与特色等，进行全面可行性分析。</w:t>
      </w:r>
    </w:p>
    <w:p w14:paraId="56C488A6">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（4）技术手段及展项要求：以传统图文展示为基础，合理运用声、光、电、多媒体等现代技术手段；高科技展项需互动性强、性能优、操作简便、易维护、价格合理。</w:t>
      </w:r>
    </w:p>
    <w:bookmarkEnd w:id="18"/>
    <w:p w14:paraId="7C16E162">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5）材料选型标准：所有采购设备与材料必须采用国内外知名品牌，电子设备优先采用智能节电技术，并符合国家相关认证标准。既要满足常规高档建材的通用标准，更要适配实验室场景对环保、防腐蚀、低维护、无干扰的特殊需求。</w:t>
      </w:r>
    </w:p>
    <w:p w14:paraId="27EE3CA0">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如，灯具应照度均匀、显色真实、防护等级高、光源寿命长、可智能控制；铝材应高强度、防腐蚀、符合国家及行业相关标准；软膜应透光率高、透光均匀、抗污性强、环保等级高、VOC（挥发性有机物）低；亚克力板应透光率高、耐冲击性及耐腐蚀性强</w:t>
      </w:r>
      <w:r>
        <w:rPr>
          <w:rFonts w:hint="eastAsia" w:asciiTheme="majorEastAsia" w:hAnsiTheme="majorEastAsia" w:eastAsiaTheme="majorEastAsia"/>
          <w:b/>
          <w:bCs/>
          <w:sz w:val="24"/>
          <w:highlight w:val="none"/>
        </w:rPr>
        <w:t>（选材可提供第三方检测报告作为佐证）。</w:t>
      </w:r>
    </w:p>
    <w:p w14:paraId="41E01804">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（6）在确保耐用性、和功能需求的前提下，严格控制成本，确保项目经济合理。</w:t>
      </w:r>
    </w:p>
    <w:p w14:paraId="623389E3">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7）节能环保要求：全面引入成熟的智能化技术；项目建设与运行不能对环境造成污染，要保持环境可持续发展的条件。装饰材料必须严格控制其环保性、稳定性，要保证装饰材料放射性、有害气体、液体、光线、噪声、卫生条件均符合法规允许的范围。</w:t>
      </w:r>
    </w:p>
    <w:p w14:paraId="12E1DB5D">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（8）展示内容的排版、美化和平面设计工作由供应商负责。</w:t>
      </w:r>
    </w:p>
    <w:bookmarkEnd w:id="15"/>
    <w:bookmarkEnd w:id="16"/>
    <w:p w14:paraId="658A43C9">
      <w:pPr>
        <w:pStyle w:val="112"/>
        <w:spacing w:line="360" w:lineRule="auto"/>
        <w:ind w:left="765" w:hanging="480" w:firstLineChars="0"/>
        <w:rPr>
          <w:rFonts w:hint="eastAsia" w:cs="宋体" w:asciiTheme="majorEastAsia" w:hAnsiTheme="majorEastAsia" w:eastAsiaTheme="majorEastAsia"/>
          <w:b/>
          <w:bCs/>
          <w:color w:val="000000"/>
          <w:sz w:val="24"/>
          <w:highlight w:val="none"/>
        </w:rPr>
      </w:pPr>
      <w:r>
        <w:rPr>
          <w:rFonts w:hint="eastAsia" w:cs="宋体" w:asciiTheme="majorEastAsia" w:hAnsiTheme="majorEastAsia" w:eastAsiaTheme="majorEastAsia"/>
          <w:b/>
          <w:bCs/>
          <w:color w:val="000000"/>
          <w:sz w:val="24"/>
          <w:szCs w:val="24"/>
          <w:highlight w:val="none"/>
        </w:rPr>
        <w:t>二、</w:t>
      </w:r>
      <w:r>
        <w:rPr>
          <w:rFonts w:hint="eastAsia" w:cs="宋体" w:asciiTheme="majorEastAsia" w:hAnsiTheme="majorEastAsia" w:eastAsiaTheme="majorEastAsia"/>
          <w:b/>
          <w:bCs/>
          <w:color w:val="000000"/>
          <w:sz w:val="24"/>
          <w:highlight w:val="none"/>
        </w:rPr>
        <w:t>展示内容</w:t>
      </w:r>
    </w:p>
    <w:p w14:paraId="49F03DC6">
      <w:pPr>
        <w:tabs>
          <w:tab w:val="center" w:pos="4410"/>
        </w:tabs>
        <w:spacing w:line="360" w:lineRule="auto"/>
        <w:ind w:firstLine="48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主要展示研究所及高密度电磁动力与系统全国重点实验室的背景概况、目标定位、研究布局、研究进展和成果展示。</w:t>
      </w:r>
    </w:p>
    <w:p w14:paraId="53085657">
      <w:pPr>
        <w:tabs>
          <w:tab w:val="center" w:pos="4410"/>
        </w:tabs>
        <w:spacing w:line="360" w:lineRule="auto"/>
        <w:ind w:firstLine="48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根据布展内容和各自设计思路，供应商自主设计布展流线、展示方式等；采用图片、模型、数字媒体等多种展示手段进行综合展示。</w:t>
      </w:r>
    </w:p>
    <w:p w14:paraId="18BB0D88">
      <w:pPr>
        <w:tabs>
          <w:tab w:val="center" w:pos="4410"/>
        </w:tabs>
        <w:spacing w:line="360" w:lineRule="auto"/>
        <w:ind w:firstLine="48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布展大纲如下：</w:t>
      </w:r>
    </w:p>
    <w:p w14:paraId="32885AA6">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2.1一层及二层南侧主背景墙</w:t>
      </w:r>
    </w:p>
    <w:p w14:paraId="4912FEBE">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1）功能定位：作为主体形象展示墙，承担总体介绍、开篇引入展览主题的核心作用。具体功能包括展示欢迎词、全面展示实验室建设情况、介绍实验室发展历程及总体规划等，通过图文资料、视频展示等为参观者提供系统化的实验室整体概况介绍。采用墙面装饰更新、配备灯光系统、</w:t>
      </w:r>
      <w:bookmarkStart w:id="19" w:name="OLE_LINK19"/>
      <w:r>
        <w:rPr>
          <w:rFonts w:hint="eastAsia" w:asciiTheme="majorEastAsia" w:hAnsiTheme="majorEastAsia" w:eastAsiaTheme="majorEastAsia"/>
          <w:sz w:val="24"/>
          <w:highlight w:val="none"/>
        </w:rPr>
        <w:t>嵌入式展示</w:t>
      </w:r>
      <w:bookmarkEnd w:id="19"/>
      <w:r>
        <w:rPr>
          <w:rFonts w:hint="eastAsia" w:asciiTheme="majorEastAsia" w:hAnsiTheme="majorEastAsia" w:eastAsiaTheme="majorEastAsia"/>
          <w:sz w:val="24"/>
          <w:highlight w:val="none"/>
        </w:rPr>
        <w:t>屏等硬件组合，以提升展示效果。</w:t>
      </w:r>
    </w:p>
    <w:p w14:paraId="7E79A427">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cs="宋体" w:asciiTheme="majorEastAsia" w:hAnsiTheme="majorEastAsia" w:eastAsiaTheme="majorEastAsia"/>
          <w:color w:val="000000"/>
          <w:sz w:val="24"/>
          <w:highlight w:val="none"/>
        </w:rPr>
        <w:t>★</w:t>
      </w:r>
      <w:r>
        <w:rPr>
          <w:rFonts w:hint="eastAsia" w:asciiTheme="majorEastAsia" w:hAnsiTheme="majorEastAsia" w:eastAsiaTheme="majorEastAsia"/>
          <w:sz w:val="24"/>
          <w:highlight w:val="none"/>
        </w:rPr>
        <w:t>（</w:t>
      </w:r>
      <w:r>
        <w:rPr>
          <w:rFonts w:hint="eastAsia" w:asciiTheme="majorEastAsia" w:hAnsiTheme="majorEastAsia" w:eastAsiaTheme="majorEastAsia"/>
          <w:sz w:val="24"/>
          <w:highlight w:val="none"/>
          <w:lang w:val="en-US" w:eastAsia="zh-CN"/>
        </w:rPr>
        <w:t>2</w:t>
      </w:r>
      <w:r>
        <w:rPr>
          <w:rFonts w:hint="eastAsia" w:asciiTheme="majorEastAsia" w:hAnsiTheme="majorEastAsia" w:eastAsiaTheme="majorEastAsia"/>
          <w:sz w:val="24"/>
          <w:highlight w:val="none"/>
        </w:rPr>
        <w:t>）其中：本部分应配备</w:t>
      </w:r>
      <w:r>
        <w:rPr>
          <w:rFonts w:hint="eastAsia" w:asciiTheme="majorEastAsia" w:hAnsiTheme="majorEastAsia" w:eastAsiaTheme="majorEastAsia"/>
          <w:color w:val="000000" w:themeColor="text1"/>
          <w:sz w:val="24"/>
          <w:highlight w:val="none"/>
          <w14:textFill>
            <w14:solidFill>
              <w14:schemeClr w14:val="tx1"/>
            </w14:solidFill>
          </w14:textFill>
        </w:rPr>
        <w:t>触摸展示屏2块，每块尺寸85寸及以上，</w:t>
      </w:r>
      <w:r>
        <w:rPr>
          <w:rFonts w:hint="eastAsia" w:asciiTheme="majorEastAsia" w:hAnsiTheme="majorEastAsia" w:eastAsiaTheme="majorEastAsia"/>
          <w:sz w:val="24"/>
          <w:highlight w:val="none"/>
        </w:rPr>
        <w:t>安装方式应为壁挂，确保安装稳固，与空间布局相协调。同时，根据展厅整体色调，对原有木门进行改色装饰处理。</w:t>
      </w:r>
    </w:p>
    <w:p w14:paraId="06623D73">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2.2一层东侧及西侧展示墙</w:t>
      </w:r>
    </w:p>
    <w:p w14:paraId="773018DC">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1）功能定位：本区域作为主体形象展示的细节延伸，聚焦实验室在高密度电磁动力与系统领域的核心科研成果与关键技术突破，融合团队介绍、园区建设、科研成就、党建情况、技术创新、未来展望等多元功能，全面展示实验室的人才队伍构成、学科建设进展、核心技术体系、已取得的科研突破和成就、以及实验室的预期目标和长远愿景等。</w:t>
      </w:r>
      <w:r>
        <w:rPr>
          <w:rFonts w:hint="eastAsia" w:asciiTheme="majorEastAsia" w:hAnsiTheme="majorEastAsia" w:eastAsiaTheme="majorEastAsia"/>
          <w:color w:val="212121"/>
          <w:sz w:val="24"/>
          <w:highlight w:val="none"/>
        </w:rPr>
        <w:t>在关键展品区域设置聚光射灯，</w:t>
      </w:r>
      <w:r>
        <w:rPr>
          <w:rFonts w:hint="eastAsia" w:asciiTheme="majorEastAsia" w:hAnsiTheme="majorEastAsia" w:eastAsiaTheme="majorEastAsia"/>
          <w:sz w:val="24"/>
          <w:highlight w:val="none"/>
        </w:rPr>
        <w:t>让参观者在了解宏观定位与技术成果的同时，掌握实验室的“软实力”与发展根基，形成全面且立体的认知。</w:t>
      </w:r>
    </w:p>
    <w:p w14:paraId="3075E09B">
      <w:pPr>
        <w:tabs>
          <w:tab w:val="center" w:pos="4410"/>
        </w:tabs>
        <w:spacing w:line="360" w:lineRule="auto"/>
        <w:ind w:firstLine="480" w:firstLineChars="200"/>
        <w:rPr>
          <w:rFonts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sz w:val="24"/>
          <w:highlight w:val="none"/>
        </w:rPr>
        <w:t>（</w:t>
      </w:r>
      <w:r>
        <w:rPr>
          <w:rFonts w:hint="eastAsia" w:asciiTheme="majorEastAsia" w:hAnsiTheme="majorEastAsia" w:eastAsiaTheme="majorEastAsia"/>
          <w:sz w:val="24"/>
          <w:highlight w:val="none"/>
          <w:lang w:val="en-US" w:eastAsia="zh-CN"/>
        </w:rPr>
        <w:t>2</w:t>
      </w:r>
      <w:r>
        <w:rPr>
          <w:rFonts w:hint="eastAsia" w:asciiTheme="majorEastAsia" w:hAnsiTheme="majorEastAsia" w:eastAsiaTheme="majorEastAsia"/>
          <w:sz w:val="24"/>
          <w:highlight w:val="none"/>
        </w:rPr>
        <w:t>）为实现上述展示目标，将通过对墙面、壁灯进行装饰更新，配置信息展板、灯箱等</w:t>
      </w:r>
      <w:r>
        <w:rPr>
          <w:rFonts w:hint="eastAsia" w:asciiTheme="majorEastAsia" w:hAnsiTheme="majorEastAsia" w:eastAsiaTheme="majorEastAsia"/>
          <w:color w:val="000000" w:themeColor="text1"/>
          <w:sz w:val="24"/>
          <w:highlight w:val="none"/>
          <w14:textFill>
            <w14:solidFill>
              <w14:schemeClr w14:val="tx1"/>
            </w14:solidFill>
          </w14:textFill>
        </w:rPr>
        <w:t>展示物料，辅以局部重点照明设计，强化细节展示效果。</w:t>
      </w:r>
    </w:p>
    <w:p w14:paraId="50D8DF6C">
      <w:pPr>
        <w:tabs>
          <w:tab w:val="center" w:pos="4410"/>
        </w:tabs>
        <w:spacing w:line="360" w:lineRule="auto"/>
        <w:ind w:firstLine="480" w:firstLineChars="200"/>
        <w:rPr>
          <w:rFonts w:hint="eastAsia" w:asciiTheme="majorEastAsia" w:hAnsiTheme="majorEastAsia" w:eastAsiaTheme="majorEastAsia"/>
          <w:color w:val="000000" w:themeColor="text1"/>
          <w:sz w:val="24"/>
          <w:highlight w:val="none"/>
          <w14:textFill>
            <w14:solidFill>
              <w14:schemeClr w14:val="tx1"/>
            </w14:solidFill>
          </w14:textFill>
        </w:rPr>
      </w:pPr>
      <w:r>
        <w:rPr>
          <w:rFonts w:hint="eastAsia" w:cs="宋体" w:asciiTheme="majorEastAsia" w:hAnsiTheme="majorEastAsia" w:eastAsiaTheme="majorEastAsia"/>
          <w:color w:val="000000" w:themeColor="text1"/>
          <w:sz w:val="24"/>
          <w:highlight w:val="none"/>
          <w14:textFill>
            <w14:solidFill>
              <w14:schemeClr w14:val="tx1"/>
            </w14:solidFill>
          </w14:textFill>
        </w:rPr>
        <w:t>★</w:t>
      </w:r>
      <w:r>
        <w:rPr>
          <w:rFonts w:hint="eastAsia" w:asciiTheme="majorEastAsia" w:hAnsiTheme="majorEastAsia" w:eastAsiaTheme="majorEastAsia"/>
          <w:sz w:val="24"/>
          <w:highlight w:val="none"/>
        </w:rPr>
        <w:t>（</w:t>
      </w:r>
      <w:r>
        <w:rPr>
          <w:rFonts w:hint="eastAsia" w:asciiTheme="majorEastAsia" w:hAnsiTheme="majorEastAsia" w:eastAsiaTheme="majorEastAsia"/>
          <w:sz w:val="24"/>
          <w:highlight w:val="none"/>
          <w:lang w:val="en-US" w:eastAsia="zh-CN"/>
        </w:rPr>
        <w:t>3</w:t>
      </w:r>
      <w:r>
        <w:rPr>
          <w:rFonts w:hint="eastAsia" w:asciiTheme="majorEastAsia" w:hAnsiTheme="majorEastAsia" w:eastAsiaTheme="majorEastAsia"/>
          <w:sz w:val="24"/>
          <w:highlight w:val="none"/>
        </w:rPr>
        <w:t>）</w:t>
      </w:r>
      <w:r>
        <w:rPr>
          <w:rFonts w:hint="eastAsia" w:asciiTheme="majorEastAsia" w:hAnsiTheme="majorEastAsia" w:eastAsiaTheme="majorEastAsia"/>
          <w:color w:val="000000" w:themeColor="text1"/>
          <w:sz w:val="24"/>
          <w:highlight w:val="none"/>
          <w14:textFill>
            <w14:solidFill>
              <w14:schemeClr w14:val="tx1"/>
            </w14:solidFill>
          </w14:textFill>
        </w:rPr>
        <w:t>其中，东侧西侧墙面应合计配有展示单元至少6套，供应商负责展示信息的平面设计并制作。</w:t>
      </w:r>
    </w:p>
    <w:p w14:paraId="6B2F5377">
      <w:pPr>
        <w:pStyle w:val="112"/>
        <w:tabs>
          <w:tab w:val="center" w:pos="4410"/>
        </w:tabs>
        <w:spacing w:line="360" w:lineRule="auto"/>
        <w:ind w:firstLine="48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2.3大厅北侧展示墙</w:t>
      </w:r>
    </w:p>
    <w:p w14:paraId="5EC331F1">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（1）功能定位：作为展厅的“细节实时补充单元”，与主体形象展示墙的“宏观总览”、两侧展示墙的“静态细节” 形成差异化补充。依托灯箱等物料，聚焦实验室核心细分主体，及时呈现重要信息，承担 “内容实时更新、重点灵活聚焦” 的功能，填补固定展示墙的时效性空白。</w:t>
      </w:r>
    </w:p>
    <w:p w14:paraId="6C762A33">
      <w:pPr>
        <w:pStyle w:val="112"/>
        <w:spacing w:line="360" w:lineRule="auto"/>
        <w:ind w:firstLine="480"/>
        <w:rPr>
          <w:rFonts w:hint="eastAsia" w:asciiTheme="majorEastAsia" w:hAnsiTheme="majorEastAsia" w:eastAsiaTheme="majorEastAsia"/>
          <w:color w:val="000000" w:themeColor="text1"/>
          <w:sz w:val="24"/>
          <w:highlight w:val="none"/>
          <w14:textFill>
            <w14:solidFill>
              <w14:schemeClr w14:val="tx1"/>
            </w14:solidFill>
          </w14:textFill>
        </w:rPr>
      </w:pPr>
      <w:r>
        <w:rPr>
          <w:rFonts w:hint="eastAsia" w:cs="宋体" w:asciiTheme="majorEastAsia" w:hAnsiTheme="majorEastAsia" w:eastAsiaTheme="majorEastAsia"/>
          <w:color w:val="000000" w:themeColor="text1"/>
          <w:sz w:val="24"/>
          <w:highlight w:val="none"/>
          <w14:textFill>
            <w14:solidFill>
              <w14:schemeClr w14:val="tx1"/>
            </w14:solidFill>
          </w14:textFill>
        </w:rPr>
        <w:t>★</w:t>
      </w:r>
      <w:r>
        <w:rPr>
          <w:rFonts w:hint="eastAsia" w:asciiTheme="majorEastAsia" w:hAnsiTheme="majorEastAsia" w:eastAsiaTheme="majorEastAsia"/>
          <w:sz w:val="24"/>
          <w:highlight w:val="none"/>
        </w:rPr>
        <w:t>（</w:t>
      </w:r>
      <w:r>
        <w:rPr>
          <w:rFonts w:hint="eastAsia" w:asciiTheme="majorEastAsia" w:hAnsiTheme="majorEastAsia" w:eastAsiaTheme="majorEastAsia"/>
          <w:sz w:val="24"/>
          <w:highlight w:val="none"/>
          <w:lang w:val="en-US" w:eastAsia="zh-CN"/>
        </w:rPr>
        <w:t>2</w:t>
      </w:r>
      <w:r>
        <w:rPr>
          <w:rFonts w:hint="eastAsia" w:asciiTheme="majorEastAsia" w:hAnsiTheme="majorEastAsia" w:eastAsiaTheme="majorEastAsia"/>
          <w:sz w:val="24"/>
          <w:highlight w:val="none"/>
        </w:rPr>
        <w:t>）</w:t>
      </w:r>
      <w:r>
        <w:rPr>
          <w:rFonts w:hint="eastAsia" w:asciiTheme="majorEastAsia" w:hAnsiTheme="majorEastAsia" w:eastAsiaTheme="majorEastAsia"/>
          <w:color w:val="000000" w:themeColor="text1"/>
          <w:sz w:val="24"/>
          <w:highlight w:val="none"/>
          <w14:textFill>
            <w14:solidFill>
              <w14:schemeClr w14:val="tx1"/>
            </w14:solidFill>
          </w14:textFill>
        </w:rPr>
        <w:t>需配置立式灯箱等同效果物料至少</w:t>
      </w:r>
      <w:r>
        <w:rPr>
          <w:rFonts w:asciiTheme="majorEastAsia" w:hAnsiTheme="majorEastAsia" w:eastAsiaTheme="majorEastAsia"/>
          <w:color w:val="000000" w:themeColor="text1"/>
          <w:sz w:val="24"/>
          <w:highlight w:val="none"/>
          <w14:textFill>
            <w14:solidFill>
              <w14:schemeClr w14:val="tx1"/>
            </w14:solidFill>
          </w14:textFill>
        </w:rPr>
        <w:t>3</w:t>
      </w:r>
      <w:r>
        <w:rPr>
          <w:rFonts w:hint="eastAsia" w:asciiTheme="majorEastAsia" w:hAnsiTheme="majorEastAsia" w:eastAsiaTheme="majorEastAsia"/>
          <w:color w:val="000000" w:themeColor="text1"/>
          <w:sz w:val="24"/>
          <w:highlight w:val="none"/>
          <w14:textFill>
            <w14:solidFill>
              <w14:schemeClr w14:val="tx1"/>
            </w14:solidFill>
          </w14:textFill>
        </w:rPr>
        <w:t>套，供应商负责展示信息的平面设计并制作。</w:t>
      </w:r>
    </w:p>
    <w:p w14:paraId="55B6582C">
      <w:pPr>
        <w:pStyle w:val="112"/>
        <w:tabs>
          <w:tab w:val="center" w:pos="4410"/>
        </w:tabs>
        <w:spacing w:line="360" w:lineRule="auto"/>
        <w:ind w:firstLine="480"/>
        <w:rPr>
          <w:rFonts w:hint="eastAsia"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2.4其他配套</w:t>
      </w:r>
    </w:p>
    <w:p w14:paraId="56073E70">
      <w:pPr>
        <w:tabs>
          <w:tab w:val="center" w:pos="4410"/>
        </w:tabs>
        <w:spacing w:line="360" w:lineRule="auto"/>
        <w:ind w:firstLine="480" w:firstLineChars="200"/>
        <w:rPr>
          <w:rFonts w:hint="eastAsia" w:asciiTheme="majorEastAsia" w:hAnsiTheme="majorEastAsia" w:eastAsiaTheme="majorEastAsia"/>
          <w:color w:val="000000" w:themeColor="text1"/>
          <w:sz w:val="24"/>
          <w:highlight w:val="none"/>
          <w14:textFill>
            <w14:solidFill>
              <w14:schemeClr w14:val="tx1"/>
            </w14:solidFill>
          </w14:textFill>
        </w:rPr>
      </w:pPr>
      <w:r>
        <w:rPr>
          <w:rFonts w:hint="eastAsia" w:asciiTheme="majorEastAsia" w:hAnsiTheme="majorEastAsia" w:eastAsiaTheme="majorEastAsia"/>
          <w:color w:val="000000" w:themeColor="text1"/>
          <w:sz w:val="24"/>
          <w:highlight w:val="none"/>
          <w14:textFill>
            <w14:solidFill>
              <w14:schemeClr w14:val="tx1"/>
            </w14:solidFill>
          </w14:textFill>
        </w:rPr>
        <w:t>供应商应根据展厅整体设计风格进行软装饰，包括但不限于对大门的细节进行装饰、对原有石材地面、墙面等结构进行必要的装饰。</w:t>
      </w:r>
    </w:p>
    <w:p w14:paraId="540AA20A">
      <w:pPr>
        <w:pStyle w:val="112"/>
        <w:spacing w:line="360" w:lineRule="auto"/>
        <w:ind w:left="765" w:hanging="480" w:firstLineChars="0"/>
        <w:rPr>
          <w:rFonts w:hint="eastAsia" w:cs="宋体" w:asciiTheme="majorEastAsia" w:hAnsiTheme="majorEastAsia" w:eastAsiaTheme="majorEastAsia"/>
          <w:b/>
          <w:bCs/>
          <w:color w:val="000000"/>
          <w:sz w:val="24"/>
          <w:highlight w:val="none"/>
        </w:rPr>
      </w:pPr>
      <w:r>
        <w:rPr>
          <w:rFonts w:cs="宋体" w:asciiTheme="majorEastAsia" w:hAnsiTheme="majorEastAsia" w:eastAsiaTheme="majorEastAsia"/>
          <w:b/>
          <w:bCs/>
          <w:color w:val="000000"/>
          <w:sz w:val="24"/>
          <w:szCs w:val="24"/>
          <w:highlight w:val="none"/>
        </w:rPr>
        <w:t>三、</w:t>
      </w:r>
      <w:r>
        <w:rPr>
          <w:rFonts w:hint="eastAsia" w:cs="宋体" w:asciiTheme="majorEastAsia" w:hAnsiTheme="majorEastAsia" w:eastAsiaTheme="majorEastAsia"/>
          <w:b/>
          <w:bCs/>
          <w:color w:val="000000"/>
          <w:sz w:val="24"/>
          <w:highlight w:val="none"/>
        </w:rPr>
        <w:t>设计要求</w:t>
      </w:r>
    </w:p>
    <w:p w14:paraId="1465248D">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以上内容供应商可根据对展厅功能与定位的理解，结合自身在设计、材料及施工方面的专业优势，对装饰内容进行深度设计。磋商响应文件中应包含详细方案并进行文字说明，其中应包含主要设备的选型与配置、所采用材料的规格与特性、详细的制作工艺流程及成本明细等。</w:t>
      </w:r>
    </w:p>
    <w:p w14:paraId="0D821457">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3.1 方案设计（包括但不限于以下内容）</w:t>
      </w:r>
    </w:p>
    <w:p w14:paraId="2C8C5EBD">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（1）设计方案创意说明、总体布局设计说明、各专业设计说明；</w:t>
      </w:r>
    </w:p>
    <w:p w14:paraId="011396CF">
      <w:pPr>
        <w:tabs>
          <w:tab w:val="center" w:pos="4410"/>
        </w:tabs>
        <w:spacing w:line="360" w:lineRule="auto"/>
        <w:ind w:firstLine="480" w:firstLineChars="200"/>
        <w:rPr>
          <w:rFonts w:hint="eastAsia" w:asciiTheme="majorEastAsia" w:hAnsiTheme="majorEastAsia" w:eastAsiaTheme="majorEastAsia"/>
          <w:highlight w:val="none"/>
        </w:rPr>
      </w:pPr>
      <w:r>
        <w:rPr>
          <w:rFonts w:hint="eastAsia" w:asciiTheme="majorEastAsia" w:hAnsiTheme="majorEastAsia" w:eastAsiaTheme="majorEastAsia"/>
          <w:sz w:val="24"/>
          <w:highlight w:val="none"/>
        </w:rPr>
        <w:t>（2）关键技术说明和主要技术参数指标说明；</w:t>
      </w:r>
    </w:p>
    <w:p w14:paraId="217A3DC1">
      <w:pPr>
        <w:tabs>
          <w:tab w:val="center" w:pos="4410"/>
        </w:tabs>
        <w:spacing w:line="360" w:lineRule="auto"/>
        <w:ind w:firstLine="480" w:firstLineChars="200"/>
        <w:rPr>
          <w:rFonts w:hint="eastAsia" w:asciiTheme="majorEastAsia" w:hAnsiTheme="majorEastAsia" w:eastAsiaTheme="majorEastAsia"/>
          <w:highlight w:val="none"/>
        </w:rPr>
      </w:pPr>
      <w:r>
        <w:rPr>
          <w:rFonts w:hint="eastAsia" w:asciiTheme="majorEastAsia" w:hAnsiTheme="majorEastAsia" w:eastAsiaTheme="majorEastAsia"/>
          <w:sz w:val="24"/>
          <w:highlight w:val="none"/>
        </w:rPr>
        <w:t>（3）展览布局总平面图，观众流线图，展览展示的三维彩色效果图；效果图需真实还原材料质感（如展墙饰面、地面材质、灯光效果等）。</w:t>
      </w:r>
    </w:p>
    <w:p w14:paraId="36AE2CAB">
      <w:pPr>
        <w:tabs>
          <w:tab w:val="center" w:pos="4410"/>
        </w:tabs>
        <w:spacing w:line="360" w:lineRule="auto"/>
        <w:ind w:firstLine="480" w:firstLineChars="200"/>
        <w:rPr>
          <w:rFonts w:hint="eastAsia" w:asciiTheme="majorEastAsia" w:hAnsiTheme="majorEastAsia" w:eastAsiaTheme="majorEastAsia"/>
          <w:highlight w:val="none"/>
        </w:rPr>
      </w:pPr>
      <w:r>
        <w:rPr>
          <w:rFonts w:hint="eastAsia" w:asciiTheme="majorEastAsia" w:hAnsiTheme="majorEastAsia" w:eastAsiaTheme="majorEastAsia"/>
          <w:sz w:val="24"/>
          <w:highlight w:val="none"/>
        </w:rPr>
        <w:t>（4）空间轴侧图，展厅全景透视图；</w:t>
      </w:r>
    </w:p>
    <w:p w14:paraId="06E7749A">
      <w:pPr>
        <w:tabs>
          <w:tab w:val="center" w:pos="4410"/>
        </w:tabs>
        <w:spacing w:line="360" w:lineRule="auto"/>
        <w:ind w:firstLine="480" w:firstLineChars="200"/>
        <w:rPr>
          <w:rFonts w:hint="eastAsia" w:asciiTheme="majorEastAsia" w:hAnsiTheme="majorEastAsia" w:eastAsiaTheme="majorEastAsia"/>
          <w:highlight w:val="none"/>
        </w:rPr>
      </w:pPr>
      <w:r>
        <w:rPr>
          <w:rFonts w:hint="eastAsia" w:asciiTheme="majorEastAsia" w:hAnsiTheme="majorEastAsia" w:eastAsiaTheme="majorEastAsia"/>
          <w:sz w:val="24"/>
          <w:highlight w:val="none"/>
        </w:rPr>
        <w:t>（5）展览设备造型图，包括展柜、展台、展墙设计图等；</w:t>
      </w:r>
    </w:p>
    <w:p w14:paraId="230A426B">
      <w:pPr>
        <w:tabs>
          <w:tab w:val="center" w:pos="4410"/>
        </w:tabs>
        <w:spacing w:line="360" w:lineRule="auto"/>
        <w:ind w:firstLine="480" w:firstLineChars="200"/>
        <w:rPr>
          <w:rFonts w:hint="eastAsia" w:asciiTheme="majorEastAsia" w:hAnsiTheme="majorEastAsia" w:eastAsiaTheme="majorEastAsia"/>
          <w:highlight w:val="none"/>
        </w:rPr>
      </w:pPr>
      <w:r>
        <w:rPr>
          <w:rFonts w:hint="eastAsia" w:asciiTheme="majorEastAsia" w:hAnsiTheme="majorEastAsia" w:eastAsiaTheme="majorEastAsia"/>
          <w:sz w:val="24"/>
          <w:highlight w:val="none"/>
        </w:rPr>
        <w:t>（6）设计概算书。</w:t>
      </w:r>
    </w:p>
    <w:p w14:paraId="7029550A">
      <w:pPr>
        <w:tabs>
          <w:tab w:val="center" w:pos="4410"/>
        </w:tabs>
        <w:spacing w:line="360" w:lineRule="auto"/>
        <w:ind w:firstLine="480" w:firstLineChars="200"/>
        <w:rPr>
          <w:rFonts w:hint="eastAsia" w:asciiTheme="majorEastAsia" w:hAnsiTheme="majorEastAsia" w:eastAsiaTheme="majorEastAsia"/>
          <w:highlight w:val="none"/>
        </w:rPr>
      </w:pPr>
      <w:r>
        <w:rPr>
          <w:rFonts w:hint="eastAsia" w:asciiTheme="majorEastAsia" w:hAnsiTheme="majorEastAsia" w:eastAsiaTheme="majorEastAsia"/>
          <w:sz w:val="24"/>
          <w:highlight w:val="none"/>
        </w:rPr>
        <w:t>3.2 深化设计（由供应商进一步深度设计）</w:t>
      </w:r>
    </w:p>
    <w:p w14:paraId="2C149093">
      <w:pPr>
        <w:tabs>
          <w:tab w:val="center" w:pos="4410"/>
        </w:tabs>
        <w:spacing w:line="360" w:lineRule="auto"/>
        <w:ind w:firstLine="480" w:firstLineChars="200"/>
        <w:rPr>
          <w:rFonts w:hint="eastAsia" w:asciiTheme="majorEastAsia" w:hAnsiTheme="majorEastAsia" w:eastAsiaTheme="majorEastAsia"/>
          <w:highlight w:val="none"/>
        </w:rPr>
      </w:pPr>
      <w:r>
        <w:rPr>
          <w:rFonts w:hint="eastAsia" w:asciiTheme="majorEastAsia" w:hAnsiTheme="majorEastAsia" w:eastAsiaTheme="majorEastAsia"/>
          <w:sz w:val="24"/>
          <w:highlight w:val="none"/>
        </w:rPr>
        <w:t>（1）设计应包含展示项目及展区环境所涉及的所有专业的施工设计图，其中包括设计说明、必须的设备、材料表，其他如吸音、隔音、隔热、灯光、音视频、消防、通风、防火、给排水、结构、电气等设计，同时须说明各种设备，材料等的厂家（制造商）、品牌、规格、功能等；</w:t>
      </w:r>
    </w:p>
    <w:p w14:paraId="7CBD10B8">
      <w:pPr>
        <w:tabs>
          <w:tab w:val="center" w:pos="4410"/>
        </w:tabs>
        <w:spacing w:line="360" w:lineRule="auto"/>
        <w:ind w:firstLine="480" w:firstLineChars="200"/>
        <w:rPr>
          <w:rFonts w:hint="eastAsia" w:asciiTheme="majorEastAsia" w:hAnsiTheme="majorEastAsia" w:eastAsiaTheme="majorEastAsia"/>
          <w:highlight w:val="none"/>
        </w:rPr>
      </w:pPr>
      <w:r>
        <w:rPr>
          <w:rFonts w:hint="eastAsia" w:asciiTheme="majorEastAsia" w:hAnsiTheme="majorEastAsia" w:eastAsiaTheme="majorEastAsia"/>
          <w:sz w:val="24"/>
          <w:highlight w:val="none"/>
        </w:rPr>
        <w:t>（2）设计应包括展区及展示项目的平面、立面、剖面、大样、主要节点图纸、效果图、用料及规格、性能、技术标准、详细的材料及其他要求的各项技术参数；</w:t>
      </w:r>
    </w:p>
    <w:p w14:paraId="7D7EE9E5">
      <w:pPr>
        <w:tabs>
          <w:tab w:val="center" w:pos="4410"/>
        </w:tabs>
        <w:spacing w:line="360" w:lineRule="auto"/>
        <w:ind w:firstLine="480" w:firstLineChars="200"/>
        <w:rPr>
          <w:rFonts w:hint="eastAsia" w:asciiTheme="majorEastAsia" w:hAnsiTheme="majorEastAsia" w:eastAsiaTheme="majorEastAsia"/>
          <w:highlight w:val="none"/>
        </w:rPr>
      </w:pPr>
      <w:r>
        <w:rPr>
          <w:rFonts w:hint="eastAsia" w:asciiTheme="majorEastAsia" w:hAnsiTheme="majorEastAsia" w:eastAsiaTheme="majorEastAsia"/>
          <w:sz w:val="24"/>
          <w:highlight w:val="none"/>
        </w:rPr>
        <w:t>（3）设计应包含展示项目的尺寸、形状、材质、结构、色彩、技术、工艺、功能等；</w:t>
      </w:r>
    </w:p>
    <w:p w14:paraId="2FE7FF41">
      <w:pPr>
        <w:tabs>
          <w:tab w:val="center" w:pos="4410"/>
        </w:tabs>
        <w:spacing w:line="360" w:lineRule="auto"/>
        <w:ind w:firstLine="480" w:firstLineChars="200"/>
        <w:rPr>
          <w:rFonts w:hint="eastAsia" w:asciiTheme="majorEastAsia" w:hAnsiTheme="majorEastAsia" w:eastAsiaTheme="majorEastAsia"/>
          <w:highlight w:val="none"/>
        </w:rPr>
      </w:pPr>
      <w:r>
        <w:rPr>
          <w:rFonts w:hint="eastAsia" w:asciiTheme="majorEastAsia" w:hAnsiTheme="majorEastAsia" w:eastAsiaTheme="majorEastAsia"/>
          <w:sz w:val="24"/>
          <w:highlight w:val="none"/>
        </w:rPr>
        <w:t>（4）设计必须满足防火规范、消防设施设计规范及有关规定。</w:t>
      </w:r>
    </w:p>
    <w:p w14:paraId="4D9DA565">
      <w:pPr>
        <w:tabs>
          <w:tab w:val="center" w:pos="4410"/>
        </w:tabs>
        <w:spacing w:line="360" w:lineRule="auto"/>
        <w:ind w:firstLine="480" w:firstLineChars="200"/>
        <w:rPr>
          <w:rFonts w:hint="eastAsia" w:asciiTheme="majorEastAsia" w:hAnsiTheme="majorEastAsia" w:eastAsiaTheme="majorEastAsia"/>
          <w:highlight w:val="none"/>
        </w:rPr>
      </w:pPr>
      <w:r>
        <w:rPr>
          <w:rFonts w:hint="eastAsia" w:asciiTheme="majorEastAsia" w:hAnsiTheme="majorEastAsia" w:eastAsiaTheme="majorEastAsia"/>
          <w:sz w:val="24"/>
          <w:highlight w:val="none"/>
        </w:rPr>
        <w:t>（5）提供设计预算书。</w:t>
      </w:r>
    </w:p>
    <w:p w14:paraId="0F8DFA7E">
      <w:pPr>
        <w:tabs>
          <w:tab w:val="center" w:pos="4410"/>
        </w:tabs>
        <w:spacing w:line="360" w:lineRule="auto"/>
        <w:ind w:firstLine="480" w:firstLineChars="200"/>
        <w:rPr>
          <w:rFonts w:hint="eastAsia" w:asciiTheme="majorEastAsia" w:hAnsiTheme="majorEastAsia" w:eastAsiaTheme="majorEastAsia"/>
          <w:highlight w:val="none"/>
        </w:rPr>
      </w:pPr>
      <w:r>
        <w:rPr>
          <w:rFonts w:hint="eastAsia" w:asciiTheme="majorEastAsia" w:hAnsiTheme="majorEastAsia" w:eastAsiaTheme="majorEastAsia"/>
          <w:sz w:val="24"/>
          <w:highlight w:val="none"/>
        </w:rPr>
        <w:t>3.3 编制施工组织设计的要求</w:t>
      </w:r>
    </w:p>
    <w:p w14:paraId="459F0CCF">
      <w:pPr>
        <w:tabs>
          <w:tab w:val="center" w:pos="4410"/>
        </w:tabs>
        <w:spacing w:line="360" w:lineRule="auto"/>
        <w:ind w:firstLine="480" w:firstLineChars="200"/>
        <w:rPr>
          <w:rFonts w:hint="eastAsia" w:asciiTheme="majorEastAsia" w:hAnsiTheme="majorEastAsia" w:eastAsiaTheme="majorEastAsia"/>
          <w:highlight w:val="none"/>
        </w:rPr>
      </w:pPr>
      <w:r>
        <w:rPr>
          <w:rFonts w:hint="eastAsia" w:asciiTheme="majorEastAsia" w:hAnsiTheme="majorEastAsia" w:eastAsiaTheme="majorEastAsia"/>
          <w:sz w:val="24"/>
          <w:highlight w:val="none"/>
        </w:rPr>
        <w:t>编制时应采用文字并结合图表形式说明施工方法，包括不限于施工方案、施工现场总平面布置图、施工进度保障措施、安全和文明施工保证措施、环保管理措施、突发情况预案、物理隔离及人员管控措施、质量保证体系及措施等内容。</w:t>
      </w:r>
    </w:p>
    <w:p w14:paraId="41BDB2DB">
      <w:pPr>
        <w:tabs>
          <w:tab w:val="center" w:pos="4410"/>
        </w:tabs>
        <w:spacing w:line="360" w:lineRule="auto"/>
        <w:ind w:firstLine="480" w:firstLineChars="200"/>
        <w:rPr>
          <w:rFonts w:hint="eastAsia" w:asciiTheme="majorEastAsia" w:hAnsiTheme="majorEastAsia" w:eastAsiaTheme="majorEastAsia"/>
          <w:highlight w:val="none"/>
        </w:rPr>
      </w:pPr>
      <w:r>
        <w:rPr>
          <w:rFonts w:hint="eastAsia" w:asciiTheme="majorEastAsia" w:hAnsiTheme="majorEastAsia" w:eastAsiaTheme="majorEastAsia"/>
          <w:sz w:val="24"/>
          <w:highlight w:val="none"/>
        </w:rPr>
        <w:t>3.4 文件提交</w:t>
      </w:r>
    </w:p>
    <w:p w14:paraId="0D40DE56">
      <w:pPr>
        <w:tabs>
          <w:tab w:val="center" w:pos="4410"/>
        </w:tabs>
        <w:spacing w:line="360" w:lineRule="auto"/>
        <w:ind w:firstLine="480" w:firstLineChars="200"/>
        <w:rPr>
          <w:rFonts w:hint="eastAsia" w:asciiTheme="majorEastAsia" w:hAnsiTheme="majorEastAsia" w:eastAsiaTheme="majorEastAsia"/>
          <w:highlight w:val="none"/>
        </w:rPr>
      </w:pPr>
      <w:r>
        <w:rPr>
          <w:rFonts w:hint="eastAsia" w:asciiTheme="majorEastAsia" w:hAnsiTheme="majorEastAsia" w:eastAsiaTheme="majorEastAsia"/>
          <w:sz w:val="24"/>
          <w:highlight w:val="none"/>
        </w:rPr>
        <w:t>（1）磋商阶段，按照磋商文件需求提供设计方案图册【规格统一A3装订】，并同时提供电子文档（图片以jpg格式）。除本磋商文件提及的文件外，供应商也应当提供其他本项目磋商阶段必要的文件。</w:t>
      </w:r>
    </w:p>
    <w:p w14:paraId="655ACC32">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（2）方案施工阶段，提供展项的施工设计图纸</w:t>
      </w:r>
      <w:r>
        <w:rPr>
          <w:rFonts w:asciiTheme="majorEastAsia" w:hAnsiTheme="majorEastAsia" w:eastAsiaTheme="majorEastAsia"/>
          <w:sz w:val="24"/>
          <w:highlight w:val="none"/>
        </w:rPr>
        <w:t>6</w:t>
      </w:r>
      <w:r>
        <w:rPr>
          <w:rFonts w:hint="eastAsia" w:asciiTheme="majorEastAsia" w:hAnsiTheme="majorEastAsia" w:eastAsiaTheme="majorEastAsia"/>
          <w:sz w:val="24"/>
          <w:highlight w:val="none"/>
        </w:rPr>
        <w:t>套，并同时提供电子文档。</w:t>
      </w:r>
    </w:p>
    <w:p w14:paraId="1F94ADFB">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3.5 设计文件确认</w:t>
      </w:r>
    </w:p>
    <w:p w14:paraId="3BF94D3A">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展陈设计及施工方案、材料清册、设备清册、展示内容平面设计等由供应商负责，在相关设计文件完成后，需提交采购人审核，采购人同意后方可实施。</w:t>
      </w:r>
    </w:p>
    <w:p w14:paraId="2C20D680">
      <w:pPr>
        <w:tabs>
          <w:tab w:val="center" w:pos="4410"/>
        </w:tabs>
        <w:spacing w:line="360" w:lineRule="auto"/>
        <w:ind w:firstLine="480" w:firstLineChars="200"/>
        <w:rPr>
          <w:rFonts w:hint="eastAsia" w:asciiTheme="majorEastAsia" w:hAnsiTheme="majorEastAsia" w:eastAsiaTheme="majorEastAsia"/>
          <w:bCs/>
          <w:sz w:val="24"/>
          <w:highlight w:val="none"/>
        </w:rPr>
      </w:pPr>
      <w:r>
        <w:rPr>
          <w:rFonts w:hint="eastAsia" w:asciiTheme="majorEastAsia" w:hAnsiTheme="majorEastAsia" w:eastAsiaTheme="majorEastAsia"/>
          <w:sz w:val="24"/>
          <w:highlight w:val="none"/>
        </w:rPr>
        <w:t>展厅设计及施工方案中要求的材料、实物样板、图纸、图片，以及分项工程等，施</w:t>
      </w:r>
      <w:r>
        <w:rPr>
          <w:rFonts w:hint="eastAsia" w:asciiTheme="majorEastAsia" w:hAnsiTheme="majorEastAsia" w:eastAsiaTheme="majorEastAsia"/>
          <w:bCs/>
          <w:sz w:val="24"/>
          <w:highlight w:val="none"/>
        </w:rPr>
        <w:t>工前必须先打样送审，经采购人确认合格后方可大面展开施工。</w:t>
      </w:r>
    </w:p>
    <w:p w14:paraId="6EA0D455">
      <w:pPr>
        <w:pStyle w:val="112"/>
        <w:spacing w:line="360" w:lineRule="auto"/>
        <w:ind w:left="765" w:hanging="480" w:firstLineChars="0"/>
        <w:rPr>
          <w:rFonts w:hint="eastAsia" w:cs="宋体" w:asciiTheme="majorEastAsia" w:hAnsiTheme="majorEastAsia" w:eastAsiaTheme="majorEastAsia"/>
          <w:b/>
          <w:bCs/>
          <w:color w:val="000000"/>
          <w:sz w:val="24"/>
          <w:highlight w:val="none"/>
        </w:rPr>
      </w:pPr>
      <w:r>
        <w:rPr>
          <w:rFonts w:cs="宋体" w:asciiTheme="majorEastAsia" w:hAnsiTheme="majorEastAsia" w:eastAsiaTheme="majorEastAsia"/>
          <w:b/>
          <w:bCs/>
          <w:color w:val="000000"/>
          <w:sz w:val="24"/>
          <w:szCs w:val="24"/>
          <w:highlight w:val="none"/>
        </w:rPr>
        <w:t>四、</w:t>
      </w:r>
      <w:r>
        <w:rPr>
          <w:rFonts w:hint="eastAsia" w:cs="宋体" w:asciiTheme="majorEastAsia" w:hAnsiTheme="majorEastAsia" w:eastAsiaTheme="majorEastAsia"/>
          <w:b/>
          <w:bCs/>
          <w:color w:val="000000"/>
          <w:sz w:val="24"/>
          <w:highlight w:val="none"/>
        </w:rPr>
        <w:t>技术质量要求</w:t>
      </w:r>
    </w:p>
    <w:p w14:paraId="1894514E">
      <w:pPr>
        <w:tabs>
          <w:tab w:val="center" w:pos="4410"/>
        </w:tabs>
        <w:spacing w:line="360" w:lineRule="auto"/>
        <w:ind w:left="285" w:firstLine="240" w:firstLineChars="1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4.1适用技术规范与规范性文件</w:t>
      </w:r>
    </w:p>
    <w:p w14:paraId="2603D0EB">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本项目的设计、施工、安装、调试、验收，除了应符合本技术规范要求及相关引用标准规范的规定外，还应遵照适用的最新版中国国家标准、部颁标准及地区规定和标准。对于国家或行业管理部门颁发的任何相关规范、规程和标准，无论其是否在本磋商文件中列明，供应商应无条件执行。若标准、规范等不一致的，以要求高者为准。</w:t>
      </w:r>
    </w:p>
    <w:p w14:paraId="7BDA0DB6">
      <w:pPr>
        <w:tabs>
          <w:tab w:val="center" w:pos="4410"/>
        </w:tabs>
        <w:spacing w:line="360" w:lineRule="auto"/>
        <w:ind w:firstLine="470" w:firstLineChars="196"/>
        <w:rPr>
          <w:rFonts w:hint="eastAsia" w:asciiTheme="majorEastAsia" w:hAnsiTheme="majorEastAsia" w:eastAsiaTheme="majorEastAsia"/>
          <w:bCs/>
          <w:sz w:val="24"/>
          <w:highlight w:val="none"/>
        </w:rPr>
      </w:pPr>
      <w:r>
        <w:rPr>
          <w:rFonts w:hint="eastAsia" w:asciiTheme="majorEastAsia" w:hAnsiTheme="majorEastAsia" w:eastAsiaTheme="majorEastAsia"/>
          <w:bCs/>
          <w:sz w:val="24"/>
          <w:highlight w:val="none"/>
        </w:rPr>
        <w:t>4.2 项目实施要求</w:t>
      </w:r>
    </w:p>
    <w:p w14:paraId="09244002">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（1）本项目要求一次性验收合格。验收分为展示内容验收与展览展示验收两类，验收通过后均需供应商提供全套验收归档材料，具体要求如下：</w:t>
      </w:r>
    </w:p>
    <w:p w14:paraId="422155D7">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展示内容验收：涵盖展陈内容编辑、平面设计等，排版文件清册经采购人审核确认后，供应商提交验收申请并附相关证明文件，经采购人验收后形成验收意见。</w:t>
      </w:r>
    </w:p>
    <w:p w14:paraId="4EB84DFD">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展览展示验收：供应商依据经采购人图审后的展厅设计及施工方案、材料清册等完成全部建设后，需提交验收申请并附相关证明文件，经采购人实地验收通过后形成验收意见；</w:t>
      </w:r>
    </w:p>
    <w:p w14:paraId="55214EFE">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（2）施工完成的展陈效果必须达到采购文件的要求，如不能达到，在采购人允许的一定时间内进行修改、完善，使其达到对展示效果的承诺，所涉及的费用由中标人承担。</w:t>
      </w:r>
    </w:p>
    <w:p w14:paraId="34192C8D">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（3）涉及隐藏工程经采购人现场确认后方可进入下一道工序施工。</w:t>
      </w:r>
    </w:p>
    <w:p w14:paraId="08B9101C">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（4）运用新材料、新工艺，提高布展中的科技含量；运用节能、环保材料和环保技术，充分考虑材料的安全性、通用性、牢固性、美观性、标准化。</w:t>
      </w:r>
    </w:p>
    <w:p w14:paraId="400EA6BD">
      <w:pPr>
        <w:tabs>
          <w:tab w:val="center" w:pos="4410"/>
        </w:tabs>
        <w:spacing w:line="360" w:lineRule="auto"/>
        <w:ind w:firstLine="470" w:firstLineChars="196"/>
        <w:rPr>
          <w:highlight w:val="none"/>
        </w:rPr>
      </w:pPr>
      <w:r>
        <w:rPr>
          <w:rFonts w:hint="eastAsia" w:asciiTheme="majorEastAsia" w:hAnsiTheme="majorEastAsia" w:eastAsiaTheme="majorEastAsia"/>
          <w:bCs/>
          <w:sz w:val="24"/>
          <w:highlight w:val="none"/>
        </w:rPr>
        <w:t>4.3 施工要求</w:t>
      </w:r>
    </w:p>
    <w:p w14:paraId="08D0D703">
      <w:pPr>
        <w:tabs>
          <w:tab w:val="center" w:pos="4410"/>
        </w:tabs>
        <w:spacing w:line="360" w:lineRule="auto"/>
        <w:ind w:firstLine="480" w:firstLineChars="200"/>
        <w:rPr>
          <w:rFonts w:hint="eastAsia" w:asciiTheme="majorEastAsia" w:hAnsiTheme="majorEastAsia" w:eastAsiaTheme="majorEastAsia"/>
          <w:highlight w:val="none"/>
        </w:rPr>
      </w:pPr>
      <w:r>
        <w:rPr>
          <w:rFonts w:hint="eastAsia" w:asciiTheme="majorEastAsia" w:hAnsiTheme="majorEastAsia" w:eastAsiaTheme="majorEastAsia"/>
          <w:sz w:val="24"/>
          <w:highlight w:val="none"/>
        </w:rPr>
        <w:t>（1）展厅需要制定合理的施工方案，包括施工流程、材料使用和安全措施等内容，保证施工质量，确保展览效果。</w:t>
      </w:r>
    </w:p>
    <w:p w14:paraId="4ED549F5">
      <w:pPr>
        <w:tabs>
          <w:tab w:val="center" w:pos="4410"/>
        </w:tabs>
        <w:spacing w:line="360" w:lineRule="auto"/>
        <w:ind w:firstLine="480" w:firstLineChars="200"/>
        <w:rPr>
          <w:rFonts w:hint="eastAsia" w:asciiTheme="majorEastAsia" w:hAnsiTheme="majorEastAsia" w:eastAsiaTheme="majorEastAsia"/>
          <w:highlight w:val="none"/>
        </w:rPr>
      </w:pPr>
      <w:r>
        <w:rPr>
          <w:rFonts w:hint="eastAsia" w:asciiTheme="majorEastAsia" w:hAnsiTheme="majorEastAsia" w:eastAsiaTheme="majorEastAsia"/>
          <w:sz w:val="24"/>
          <w:highlight w:val="none"/>
        </w:rPr>
        <w:t>（2）施工流程</w:t>
      </w:r>
    </w:p>
    <w:p w14:paraId="67831ADC">
      <w:pPr>
        <w:tabs>
          <w:tab w:val="center" w:pos="4410"/>
        </w:tabs>
        <w:spacing w:line="360" w:lineRule="auto"/>
        <w:ind w:firstLine="480" w:firstLineChars="200"/>
        <w:rPr>
          <w:rFonts w:hint="eastAsia" w:asciiTheme="majorEastAsia" w:hAnsiTheme="majorEastAsia" w:eastAsiaTheme="majorEastAsia"/>
          <w:highlight w:val="none"/>
        </w:rPr>
      </w:pPr>
      <w:r>
        <w:rPr>
          <w:rFonts w:hint="eastAsia" w:asciiTheme="majorEastAsia" w:hAnsiTheme="majorEastAsia" w:eastAsiaTheme="majorEastAsia"/>
          <w:sz w:val="24"/>
          <w:highlight w:val="none"/>
        </w:rPr>
        <w:t>a.确定支撑结构</w:t>
      </w:r>
    </w:p>
    <w:p w14:paraId="2BAA687A">
      <w:pPr>
        <w:tabs>
          <w:tab w:val="center" w:pos="4410"/>
        </w:tabs>
        <w:spacing w:line="360" w:lineRule="auto"/>
        <w:ind w:firstLine="480" w:firstLineChars="200"/>
        <w:rPr>
          <w:rFonts w:hint="eastAsia" w:asciiTheme="majorEastAsia" w:hAnsiTheme="majorEastAsia" w:eastAsiaTheme="majorEastAsia"/>
          <w:highlight w:val="none"/>
        </w:rPr>
      </w:pPr>
      <w:r>
        <w:rPr>
          <w:rFonts w:hint="eastAsia" w:asciiTheme="majorEastAsia" w:hAnsiTheme="majorEastAsia" w:eastAsiaTheme="majorEastAsia"/>
          <w:sz w:val="24"/>
          <w:highlight w:val="none"/>
        </w:rPr>
        <w:t>在施工之前，需要明确支撑结构体系，并制定详细的施工图纸。根据展厅的设计和功能需求，选择合适的支撑结构，包括承重墙、非承重墙、隔墙等，并标明各个墙体之间的连接方式以及装饰等细节，并保证结构的坚固耐用。施工图纸中需精确标注各种支撑结构的材质、厚度、高度和位置坐标。同时，要详细说明墙体之间的连接节点，如采用钢制龙骨连接、粘接或使用专用连接件固定，确保各支撑受力体系的稳定，避免出现裂缝或变形。此外，还需在图纸上标注墙体表面的装饰处理细节，以满足展厅整体的美观设计要求。</w:t>
      </w:r>
    </w:p>
    <w:p w14:paraId="4376E224">
      <w:pPr>
        <w:tabs>
          <w:tab w:val="center" w:pos="4410"/>
        </w:tabs>
        <w:spacing w:line="360" w:lineRule="auto"/>
        <w:ind w:firstLine="480" w:firstLineChars="200"/>
        <w:rPr>
          <w:rFonts w:hint="eastAsia" w:asciiTheme="majorEastAsia" w:hAnsiTheme="majorEastAsia" w:eastAsiaTheme="majorEastAsia"/>
          <w:highlight w:val="none"/>
        </w:rPr>
      </w:pPr>
      <w:r>
        <w:rPr>
          <w:rFonts w:hint="eastAsia" w:asciiTheme="majorEastAsia" w:hAnsiTheme="majorEastAsia" w:eastAsiaTheme="majorEastAsia"/>
          <w:sz w:val="24"/>
          <w:highlight w:val="none"/>
        </w:rPr>
        <w:t>b.施工准备</w:t>
      </w:r>
    </w:p>
    <w:p w14:paraId="42CE6668">
      <w:pPr>
        <w:tabs>
          <w:tab w:val="center" w:pos="4410"/>
        </w:tabs>
        <w:spacing w:line="360" w:lineRule="auto"/>
        <w:ind w:firstLine="480" w:firstLineChars="200"/>
        <w:rPr>
          <w:rFonts w:hint="eastAsia" w:asciiTheme="majorEastAsia" w:hAnsiTheme="majorEastAsia" w:eastAsiaTheme="majorEastAsia"/>
          <w:highlight w:val="none"/>
        </w:rPr>
      </w:pPr>
      <w:r>
        <w:rPr>
          <w:rFonts w:hint="eastAsia" w:asciiTheme="majorEastAsia" w:hAnsiTheme="majorEastAsia" w:eastAsiaTheme="majorEastAsia"/>
          <w:sz w:val="24"/>
          <w:highlight w:val="none"/>
        </w:rPr>
        <w:t>在施工现场进行准备工作，清理施工区域，确保工作区域整洁。如需拆除墙体灯饰、装饰物等，应清除残留物并平整表面。</w:t>
      </w:r>
    </w:p>
    <w:p w14:paraId="033B69C5">
      <w:pPr>
        <w:tabs>
          <w:tab w:val="center" w:pos="4410"/>
        </w:tabs>
        <w:spacing w:line="360" w:lineRule="auto"/>
        <w:ind w:firstLine="480" w:firstLineChars="200"/>
        <w:rPr>
          <w:rFonts w:hint="eastAsia" w:asciiTheme="majorEastAsia" w:hAnsiTheme="majorEastAsia" w:eastAsiaTheme="majorEastAsia"/>
          <w:highlight w:val="none"/>
        </w:rPr>
      </w:pPr>
      <w:r>
        <w:rPr>
          <w:rFonts w:hint="eastAsia" w:asciiTheme="majorEastAsia" w:hAnsiTheme="majorEastAsia" w:eastAsiaTheme="majorEastAsia"/>
          <w:sz w:val="24"/>
          <w:highlight w:val="none"/>
        </w:rPr>
        <w:t>c.墙面装饰</w:t>
      </w:r>
    </w:p>
    <w:p w14:paraId="195550B5">
      <w:pPr>
        <w:tabs>
          <w:tab w:val="center" w:pos="4410"/>
        </w:tabs>
        <w:spacing w:line="360" w:lineRule="auto"/>
        <w:ind w:firstLine="480" w:firstLineChars="200"/>
        <w:rPr>
          <w:rFonts w:hint="eastAsia" w:asciiTheme="majorEastAsia" w:hAnsiTheme="majorEastAsia" w:eastAsiaTheme="majorEastAsia"/>
          <w:highlight w:val="none"/>
        </w:rPr>
      </w:pPr>
      <w:r>
        <w:rPr>
          <w:rFonts w:hint="eastAsia" w:asciiTheme="majorEastAsia" w:hAnsiTheme="majorEastAsia" w:eastAsiaTheme="majorEastAsia"/>
          <w:sz w:val="24"/>
          <w:highlight w:val="none"/>
        </w:rPr>
        <w:t>墙体清理完成后，根据展厅设计需求进行墙面装饰。使墙面满足展览要求，并且注重装饰效果和材料的抗污性、耐久性。</w:t>
      </w:r>
    </w:p>
    <w:p w14:paraId="7905F4B0">
      <w:pPr>
        <w:tabs>
          <w:tab w:val="center" w:pos="4410"/>
        </w:tabs>
        <w:spacing w:line="360" w:lineRule="auto"/>
        <w:ind w:firstLine="480" w:firstLineChars="200"/>
        <w:rPr>
          <w:rFonts w:hint="eastAsia" w:asciiTheme="majorEastAsia" w:hAnsiTheme="majorEastAsia" w:eastAsiaTheme="majorEastAsia"/>
          <w:highlight w:val="none"/>
        </w:rPr>
      </w:pPr>
      <w:r>
        <w:rPr>
          <w:rFonts w:hint="eastAsia" w:asciiTheme="majorEastAsia" w:hAnsiTheme="majorEastAsia" w:eastAsiaTheme="majorEastAsia"/>
          <w:sz w:val="24"/>
          <w:highlight w:val="none"/>
        </w:rPr>
        <w:t>d.清理和整理</w:t>
      </w:r>
    </w:p>
    <w:p w14:paraId="7488F8F9">
      <w:pPr>
        <w:tabs>
          <w:tab w:val="center" w:pos="4410"/>
        </w:tabs>
        <w:spacing w:line="360" w:lineRule="auto"/>
        <w:ind w:firstLine="480" w:firstLineChars="200"/>
        <w:rPr>
          <w:rFonts w:hint="eastAsia" w:asciiTheme="majorEastAsia" w:hAnsiTheme="majorEastAsia" w:eastAsiaTheme="majorEastAsia"/>
          <w:highlight w:val="none"/>
        </w:rPr>
      </w:pPr>
      <w:r>
        <w:rPr>
          <w:rFonts w:hint="eastAsia" w:asciiTheme="majorEastAsia" w:hAnsiTheme="majorEastAsia" w:eastAsiaTheme="majorEastAsia"/>
          <w:sz w:val="24"/>
          <w:highlight w:val="none"/>
        </w:rPr>
        <w:t>施工完成后，进行清理和整理工作。包括清除工地垃圾、清洁墙面和检查施工质量等。确保施工现场的整洁，便于后续装修和展览工作。</w:t>
      </w:r>
    </w:p>
    <w:p w14:paraId="45C45E2B">
      <w:pPr>
        <w:tabs>
          <w:tab w:val="center" w:pos="4410"/>
        </w:tabs>
        <w:spacing w:line="360" w:lineRule="auto"/>
        <w:ind w:firstLine="480" w:firstLineChars="200"/>
        <w:rPr>
          <w:rFonts w:hint="eastAsia" w:asciiTheme="majorEastAsia" w:hAnsiTheme="majorEastAsia" w:eastAsiaTheme="majorEastAsia"/>
          <w:highlight w:val="none"/>
        </w:rPr>
      </w:pPr>
      <w:r>
        <w:rPr>
          <w:rFonts w:hint="eastAsia" w:asciiTheme="majorEastAsia" w:hAnsiTheme="majorEastAsia" w:eastAsiaTheme="majorEastAsia"/>
          <w:sz w:val="24"/>
          <w:highlight w:val="none"/>
        </w:rPr>
        <w:t>（3）施工工具</w:t>
      </w:r>
    </w:p>
    <w:p w14:paraId="195D7F40">
      <w:pPr>
        <w:tabs>
          <w:tab w:val="center" w:pos="4410"/>
        </w:tabs>
        <w:spacing w:line="360" w:lineRule="auto"/>
        <w:ind w:firstLine="480" w:firstLineChars="200"/>
        <w:rPr>
          <w:rFonts w:hint="eastAsia" w:asciiTheme="majorEastAsia" w:hAnsiTheme="majorEastAsia" w:eastAsiaTheme="majorEastAsia"/>
          <w:highlight w:val="none"/>
        </w:rPr>
      </w:pPr>
      <w:r>
        <w:rPr>
          <w:rFonts w:hint="eastAsia" w:asciiTheme="majorEastAsia" w:hAnsiTheme="majorEastAsia" w:eastAsiaTheme="majorEastAsia"/>
          <w:sz w:val="24"/>
          <w:highlight w:val="none"/>
        </w:rPr>
        <w:t>严格按照设计图纸及施工规范要求，准备所需的施工材料和工具。确保材料的质量符合相关标准要求，工具的使用安全可靠。</w:t>
      </w:r>
    </w:p>
    <w:p w14:paraId="553A8EAA">
      <w:pPr>
        <w:tabs>
          <w:tab w:val="center" w:pos="4410"/>
        </w:tabs>
        <w:spacing w:line="360" w:lineRule="auto"/>
        <w:ind w:firstLine="470" w:firstLineChars="196"/>
        <w:rPr>
          <w:rFonts w:hint="eastAsia" w:asciiTheme="majorEastAsia" w:hAnsiTheme="majorEastAsia" w:eastAsiaTheme="majorEastAsia"/>
          <w:bCs/>
          <w:sz w:val="24"/>
          <w:highlight w:val="none"/>
        </w:rPr>
      </w:pPr>
      <w:r>
        <w:rPr>
          <w:rFonts w:hint="eastAsia" w:asciiTheme="majorEastAsia" w:hAnsiTheme="majorEastAsia" w:eastAsiaTheme="majorEastAsia"/>
          <w:bCs/>
          <w:sz w:val="24"/>
          <w:highlight w:val="none"/>
        </w:rPr>
        <w:t>4.4布展材料供应</w:t>
      </w:r>
    </w:p>
    <w:p w14:paraId="16F3672E">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1）采购范围内的布展材料均需根据磋商文件、设计图纸和国家有关规定的具体要求进行采购、运输、检验、保管。所有材料须有产品合格证和质量保证书，符合节能、环保要求和国家规定的技术标准，并且须经具有相应资质的检测机构检测合格后才能使用。</w:t>
      </w:r>
    </w:p>
    <w:p w14:paraId="25D8C255">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（2）本次采购项目的主要布展材料、实物样板，采购及施工前应向采购人送样或经采购人签字确认，未经签字采购人将不予支付。</w:t>
      </w:r>
    </w:p>
    <w:p w14:paraId="046A9285">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（3）当供应商选用的产品质量达不到设计要求（或效果要求）和预期质量目标时，采购人保留更换的权利，费用不增加。</w:t>
      </w:r>
    </w:p>
    <w:p w14:paraId="75D781DF">
      <w:pPr>
        <w:tabs>
          <w:tab w:val="center" w:pos="4410"/>
        </w:tabs>
        <w:spacing w:line="360" w:lineRule="auto"/>
        <w:ind w:firstLine="470" w:firstLineChars="196"/>
        <w:rPr>
          <w:rFonts w:hint="eastAsia" w:asciiTheme="majorEastAsia" w:hAnsiTheme="majorEastAsia" w:eastAsiaTheme="majorEastAsia"/>
          <w:bCs/>
          <w:sz w:val="24"/>
          <w:highlight w:val="none"/>
        </w:rPr>
      </w:pPr>
      <w:r>
        <w:rPr>
          <w:rFonts w:hint="eastAsia" w:asciiTheme="majorEastAsia" w:hAnsiTheme="majorEastAsia" w:eastAsiaTheme="majorEastAsia"/>
          <w:bCs/>
          <w:sz w:val="24"/>
          <w:highlight w:val="none"/>
        </w:rPr>
        <w:t>4.5项目管理的要求</w:t>
      </w:r>
    </w:p>
    <w:p w14:paraId="32F4E0FB">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（1）本项目范围内的设计布展项目，未经采购人同意，不得分包。一经发现立即取消中标资格，作违约处理，并承担由此引起的一切经济损失。</w:t>
      </w:r>
    </w:p>
    <w:p w14:paraId="07EA181D">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（2）中标人应严格按照设计图纸和已确认的施工技术方案组织施工，并无条件地接受采购人委托的监理单位对施工质量的监督和管理。</w:t>
      </w:r>
    </w:p>
    <w:p w14:paraId="558BAD31">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（3）中标人应制定安全管理、环保管理等具体措施，制定突发情况应急预案，并履行物理隔离、人员管理等措施，减少对中标人办公秩序的干扰。</w:t>
      </w:r>
    </w:p>
    <w:p w14:paraId="3A39190E">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4）供应商在磋商响应文件中承诺的设计负责人、设计班子主要成员、项目经理及相应资质的专业技术、管理人员未经采购人书面同意，承包人不得调换和撤离，并按工程进度及时到位。采购人有权要求施工单位撤换工作不负责任、管理不力、贻误工期和造成严重安全事故和工程质量事故、违法乱纪的专业技术、管理人员直至项目经理，至采购人满意为止。如项目经理及相应资质的专业技术人员未按要求到位，视作违约，采购人有权按合同约定进行罚款直至单方面终止合同。</w:t>
      </w:r>
    </w:p>
    <w:p w14:paraId="37579200">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（5）项目经理到位率应在80%以上，其他管理人员到位率应为100%。</w:t>
      </w:r>
    </w:p>
    <w:p w14:paraId="4642A651">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（6）中标人在开工之前和施工期间做好安全文明标化管理，</w:t>
      </w:r>
      <w:r>
        <w:rPr>
          <w:rFonts w:hint="eastAsia" w:asciiTheme="majorEastAsia" w:hAnsiTheme="majorEastAsia" w:eastAsiaTheme="majorEastAsia"/>
          <w:b/>
          <w:bCs/>
          <w:sz w:val="24"/>
          <w:highlight w:val="none"/>
        </w:rPr>
        <w:t>要求在磋商响应文件中阐述有关施工方案和管理措施，并作出相应承诺，遵守研究所的管理要求，确保场内外道路清洁畅通，确保来往人员、施工安全。方案及措施应该满足研究所相关部门的管理要求。</w:t>
      </w:r>
    </w:p>
    <w:p w14:paraId="2D61557E">
      <w:pPr>
        <w:tabs>
          <w:tab w:val="center" w:pos="4410"/>
        </w:tabs>
        <w:spacing w:line="360" w:lineRule="auto"/>
        <w:ind w:firstLine="470" w:firstLineChars="196"/>
        <w:rPr>
          <w:rFonts w:hint="eastAsia" w:asciiTheme="majorEastAsia" w:hAnsiTheme="majorEastAsia" w:eastAsiaTheme="majorEastAsia"/>
          <w:bCs/>
          <w:sz w:val="24"/>
          <w:highlight w:val="none"/>
        </w:rPr>
      </w:pPr>
      <w:r>
        <w:rPr>
          <w:rFonts w:hint="eastAsia" w:asciiTheme="majorEastAsia" w:hAnsiTheme="majorEastAsia" w:eastAsiaTheme="majorEastAsia"/>
          <w:bCs/>
          <w:sz w:val="24"/>
          <w:highlight w:val="none"/>
        </w:rPr>
        <w:t>4.6保修的要求</w:t>
      </w:r>
    </w:p>
    <w:p w14:paraId="66EDF488">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（1）中标人应提供不少于2年的免费保修期（自最终验收合格之日起计）。保修期内，中标人应建立专项服务通道，应在采购人通知1小时内响应，48小时之内到场保修。</w:t>
      </w:r>
    </w:p>
    <w:p w14:paraId="370F9B13">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2）中标人需承诺，在免费保修期结束后提供至少3年质量保证。期间，中标人应确保核心关键备件的持续供应，并明确承诺对关键部件提供合规维修或部件更换服务，同时为整个工程提供良好且及时的维修服务。</w:t>
      </w:r>
    </w:p>
    <w:p w14:paraId="3E4E619F">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（3）供应商必须在磋商响应文件中就保修条款作出承诺。</w:t>
      </w:r>
    </w:p>
    <w:p w14:paraId="29DA4E7B">
      <w:pPr>
        <w:tabs>
          <w:tab w:val="center" w:pos="4410"/>
        </w:tabs>
        <w:spacing w:line="360" w:lineRule="auto"/>
        <w:ind w:firstLine="470" w:firstLineChars="196"/>
        <w:rPr>
          <w:rFonts w:hint="eastAsia" w:asciiTheme="majorEastAsia" w:hAnsiTheme="majorEastAsia" w:eastAsiaTheme="majorEastAsia"/>
          <w:bCs/>
          <w:sz w:val="24"/>
          <w:highlight w:val="none"/>
        </w:rPr>
      </w:pPr>
      <w:r>
        <w:rPr>
          <w:rFonts w:hint="eastAsia" w:asciiTheme="majorEastAsia" w:hAnsiTheme="majorEastAsia" w:eastAsiaTheme="majorEastAsia"/>
          <w:bCs/>
          <w:sz w:val="24"/>
          <w:highlight w:val="none"/>
        </w:rPr>
        <w:t>4.7展项资料的成果文件要求（合同签订后按进度提供）</w:t>
      </w:r>
    </w:p>
    <w:p w14:paraId="2210DAC6">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（1）展项资料包括：</w:t>
      </w:r>
    </w:p>
    <w:p w14:paraId="209D70D7">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设计内容完成后，乙方提交深化设计所有资料供甲方评审，最终设计资料在设计评审通过后提交。</w:t>
      </w:r>
    </w:p>
    <w:p w14:paraId="61695219">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材料和设备的出厂合格证、使用许可证、特种设备的安全检测证明文件等在展项进场前提交。</w:t>
      </w:r>
    </w:p>
    <w:p w14:paraId="3680C7FA">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（2）竣工资料包括：展项制作、施工过程中产生的变更（修改）的文件、图纸、等资料，并同时提供电子文档。竣工资料在向甲方提交验收申请时一起提交。</w:t>
      </w:r>
    </w:p>
    <w:p w14:paraId="2322318E">
      <w:pPr>
        <w:tabs>
          <w:tab w:val="center" w:pos="4410"/>
        </w:tabs>
        <w:spacing w:line="360" w:lineRule="auto"/>
        <w:ind w:firstLine="470" w:firstLineChars="196"/>
        <w:rPr>
          <w:rFonts w:hint="eastAsia" w:asciiTheme="majorEastAsia" w:hAnsiTheme="majorEastAsia" w:eastAsiaTheme="majorEastAsia"/>
          <w:bCs/>
          <w:sz w:val="24"/>
          <w:highlight w:val="none"/>
        </w:rPr>
      </w:pPr>
      <w:r>
        <w:rPr>
          <w:rFonts w:hint="eastAsia" w:asciiTheme="majorEastAsia" w:hAnsiTheme="majorEastAsia" w:eastAsiaTheme="majorEastAsia"/>
          <w:bCs/>
          <w:sz w:val="24"/>
          <w:highlight w:val="none"/>
        </w:rPr>
        <w:t>4.8保密要求</w:t>
      </w:r>
    </w:p>
    <w:p w14:paraId="71D3D2EC">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除法律规定或合同另有约定外，供应商及其工作人员应对获悉的采购人有关文档资料、商业秘密及采购人要求保密的其他信息严格保密，并采取相应的保密措施，在未征得采购人书面同意的情况下，不得向第三方透露。</w:t>
      </w:r>
    </w:p>
    <w:p w14:paraId="2288B85A">
      <w:pPr>
        <w:pStyle w:val="112"/>
        <w:spacing w:line="360" w:lineRule="auto"/>
        <w:ind w:left="765" w:hanging="480" w:firstLineChars="0"/>
        <w:rPr>
          <w:rFonts w:hint="eastAsia" w:cs="宋体" w:asciiTheme="majorEastAsia" w:hAnsiTheme="majorEastAsia" w:eastAsiaTheme="majorEastAsia"/>
          <w:b/>
          <w:bCs/>
          <w:sz w:val="24"/>
          <w:highlight w:val="none"/>
        </w:rPr>
      </w:pPr>
      <w:r>
        <w:rPr>
          <w:rFonts w:hint="eastAsia" w:cs="宋体" w:asciiTheme="majorEastAsia" w:hAnsiTheme="majorEastAsia" w:eastAsiaTheme="majorEastAsia"/>
          <w:b/>
          <w:bCs/>
          <w:color w:val="000000"/>
          <w:sz w:val="24"/>
          <w:highlight w:val="none"/>
        </w:rPr>
        <w:t>★</w:t>
      </w:r>
      <w:r>
        <w:rPr>
          <w:rFonts w:hint="eastAsia" w:cs="宋体" w:asciiTheme="majorEastAsia" w:hAnsiTheme="majorEastAsia" w:eastAsiaTheme="majorEastAsia"/>
          <w:b/>
          <w:bCs/>
          <w:sz w:val="24"/>
          <w:highlight w:val="none"/>
        </w:rPr>
        <w:t>五、报价要求</w:t>
      </w:r>
    </w:p>
    <w:p w14:paraId="30AE6AA1">
      <w:pPr>
        <w:spacing w:line="360" w:lineRule="auto"/>
        <w:ind w:firstLine="480" w:firstLineChars="200"/>
        <w:rPr>
          <w:rFonts w:hint="eastAsia" w:cs="宋体" w:asciiTheme="majorEastAsia" w:hAnsiTheme="majorEastAsia" w:eastAsiaTheme="majorEastAsia"/>
          <w:sz w:val="24"/>
          <w:highlight w:val="none"/>
        </w:rPr>
      </w:pPr>
      <w:r>
        <w:rPr>
          <w:rFonts w:hint="eastAsia" w:cs="宋体" w:asciiTheme="majorEastAsia" w:hAnsiTheme="majorEastAsia" w:eastAsiaTheme="majorEastAsia"/>
          <w:sz w:val="24"/>
          <w:highlight w:val="none"/>
        </w:rPr>
        <w:t>5.1本项目不允许采购进口产品与服务（进口产品是指通过中国海关报关验放进入中国境内且产自关境外的产品。）。</w:t>
      </w:r>
    </w:p>
    <w:p w14:paraId="2E3D73F0">
      <w:pPr>
        <w:spacing w:line="360" w:lineRule="auto"/>
        <w:ind w:firstLine="480" w:firstLineChars="200"/>
        <w:rPr>
          <w:rFonts w:hint="eastAsia" w:cs="宋体" w:asciiTheme="majorEastAsia" w:hAnsiTheme="majorEastAsia" w:eastAsiaTheme="majorEastAsia"/>
          <w:sz w:val="24"/>
          <w:highlight w:val="none"/>
        </w:rPr>
      </w:pPr>
      <w:r>
        <w:rPr>
          <w:rFonts w:hint="eastAsia" w:cs="宋体" w:asciiTheme="majorEastAsia" w:hAnsiTheme="majorEastAsia" w:eastAsiaTheme="majorEastAsia"/>
          <w:sz w:val="24"/>
          <w:highlight w:val="none"/>
        </w:rPr>
        <w:t>5.2国产产品与服务报项目现场交货人民币含税价。报价中需包括本项目服务内容范围内的主、辅材、人工费用、管理费、保险费、税费。采购人不再另行支付其他任何费用。</w:t>
      </w:r>
    </w:p>
    <w:p w14:paraId="42599EAE">
      <w:pPr>
        <w:spacing w:line="360" w:lineRule="auto"/>
        <w:ind w:firstLine="480" w:firstLineChars="200"/>
        <w:rPr>
          <w:rFonts w:hint="eastAsia" w:cs="宋体" w:asciiTheme="majorEastAsia" w:hAnsiTheme="majorEastAsia" w:eastAsiaTheme="majorEastAsia"/>
          <w:sz w:val="24"/>
          <w:highlight w:val="none"/>
        </w:rPr>
      </w:pPr>
      <w:r>
        <w:rPr>
          <w:rFonts w:hint="eastAsia" w:cs="宋体" w:asciiTheme="majorEastAsia" w:hAnsiTheme="majorEastAsia" w:eastAsiaTheme="majorEastAsia"/>
          <w:sz w:val="24"/>
          <w:highlight w:val="none"/>
        </w:rPr>
        <w:t>5.3上述价格的构成须按在分项报价表中格式要求详细列出。</w:t>
      </w:r>
    </w:p>
    <w:p w14:paraId="31A0F5D9">
      <w:pPr>
        <w:pStyle w:val="112"/>
        <w:spacing w:line="360" w:lineRule="auto"/>
        <w:ind w:left="765" w:hanging="480" w:firstLineChars="0"/>
        <w:rPr>
          <w:rFonts w:hint="eastAsia" w:cs="宋体" w:asciiTheme="majorEastAsia" w:hAnsiTheme="majorEastAsia" w:eastAsiaTheme="majorEastAsia"/>
          <w:sz w:val="24"/>
          <w:highlight w:val="none"/>
        </w:rPr>
      </w:pPr>
      <w:r>
        <w:rPr>
          <w:rFonts w:hint="eastAsia" w:cs="宋体" w:asciiTheme="majorEastAsia" w:hAnsiTheme="majorEastAsia" w:eastAsiaTheme="majorEastAsia"/>
          <w:color w:val="000000"/>
          <w:sz w:val="24"/>
          <w:highlight w:val="none"/>
        </w:rPr>
        <w:t>★</w:t>
      </w:r>
      <w:r>
        <w:rPr>
          <w:rFonts w:hint="eastAsia" w:cs="宋体" w:asciiTheme="majorEastAsia" w:hAnsiTheme="majorEastAsia" w:eastAsiaTheme="majorEastAsia"/>
          <w:b/>
          <w:bCs/>
          <w:color w:val="000000"/>
          <w:sz w:val="24"/>
          <w:szCs w:val="24"/>
          <w:highlight w:val="none"/>
        </w:rPr>
        <w:t>六</w:t>
      </w:r>
      <w:r>
        <w:rPr>
          <w:rFonts w:cs="宋体" w:asciiTheme="majorEastAsia" w:hAnsiTheme="majorEastAsia" w:eastAsiaTheme="majorEastAsia"/>
          <w:b/>
          <w:bCs/>
          <w:color w:val="000000"/>
          <w:sz w:val="24"/>
          <w:szCs w:val="24"/>
          <w:highlight w:val="none"/>
        </w:rPr>
        <w:t>、</w:t>
      </w:r>
      <w:r>
        <w:rPr>
          <w:rFonts w:hint="eastAsia" w:cs="宋体" w:asciiTheme="majorEastAsia" w:hAnsiTheme="majorEastAsia" w:eastAsiaTheme="majorEastAsia"/>
          <w:b/>
          <w:bCs/>
          <w:color w:val="000000"/>
          <w:sz w:val="24"/>
          <w:highlight w:val="none"/>
        </w:rPr>
        <w:t>付款方式</w:t>
      </w:r>
    </w:p>
    <w:p w14:paraId="4C8629DE">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6.1 本项目合同金额采用分期付款方式，在采购人和成交供应商合同签订后，按下款要求支付相应的合同款项。</w:t>
      </w:r>
    </w:p>
    <w:p w14:paraId="5200FEFE">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6.2 分期付款的时间进度要求和支付比例具体如下：</w:t>
      </w:r>
    </w:p>
    <w:p w14:paraId="0B432BD8">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（1）合同签订30个工作日内采购人支付合同总金额的30%；</w:t>
      </w:r>
    </w:p>
    <w:p w14:paraId="2AF5C195">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（2）项目全部材料和展厅安装、调试完成，并进入正式运行，且采购人收到成交供应商有效发票后15日内，结合考核(验收)结果、支付剩余款项。</w:t>
      </w:r>
    </w:p>
    <w:p w14:paraId="34F76D4A">
      <w:pPr>
        <w:tabs>
          <w:tab w:val="center" w:pos="4410"/>
        </w:tabs>
        <w:spacing w:line="360" w:lineRule="auto"/>
        <w:ind w:firstLine="480" w:firstLineChars="200"/>
        <w:rPr>
          <w:rFonts w:hint="eastAsia" w:asciiTheme="majorEastAsia" w:hAnsiTheme="majorEastAsia" w:eastAsiaTheme="majorEastAsia"/>
          <w:sz w:val="24"/>
          <w:highlight w:val="none"/>
        </w:rPr>
      </w:pPr>
      <w:r>
        <w:rPr>
          <w:rFonts w:hint="eastAsia" w:asciiTheme="majorEastAsia" w:hAnsiTheme="majorEastAsia" w:eastAsiaTheme="majorEastAsia"/>
          <w:sz w:val="24"/>
          <w:highlight w:val="none"/>
        </w:rPr>
        <w:t>6.3成交供应商因自身原因造成返工的工作量，采购人将不予计量和支付。</w:t>
      </w:r>
    </w:p>
    <w:sectPr>
      <w:pgSz w:w="11906" w:h="16838"/>
      <w:pgMar w:top="1134" w:right="1466" w:bottom="1134" w:left="1260" w:header="737" w:footer="85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_x000B__x000C_">
    <w:altName w:val="Times New Roman"/>
    <w:panose1 w:val="00000000000000000000"/>
    <w:charset w:val="00"/>
    <w:family w:val="roma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Segoe UI Symbol">
    <w:panose1 w:val="020B0502040204020203"/>
    <w:charset w:val="00"/>
    <w:family w:val="swiss"/>
    <w:pitch w:val="default"/>
    <w:sig w:usb0="800001E3" w:usb1="1200FFEF" w:usb2="00040000" w:usb3="04000000" w:csb0="00000001" w:csb1="40000000"/>
  </w:font>
  <w:font w:name="PingFang SC Regular">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527381">
    <w:pPr>
      <w:pStyle w:val="3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B538B3">
    <w:pPr>
      <w:pStyle w:val="32"/>
      <w:framePr w:wrap="around" w:vAnchor="text" w:hAnchor="margin" w:xAlign="center" w:y="1"/>
      <w:rPr>
        <w:rStyle w:val="56"/>
      </w:rPr>
    </w:pPr>
    <w:r>
      <w:fldChar w:fldCharType="begin"/>
    </w:r>
    <w:r>
      <w:rPr>
        <w:rStyle w:val="56"/>
      </w:rPr>
      <w:instrText xml:space="preserve">PAGE  </w:instrText>
    </w:r>
    <w:r>
      <w:fldChar w:fldCharType="separate"/>
    </w:r>
    <w:r>
      <w:fldChar w:fldCharType="end"/>
    </w:r>
  </w:p>
  <w:p w14:paraId="1FAA02AB">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9834EB">
    <w:pPr>
      <w:pStyle w:val="32"/>
      <w:tabs>
        <w:tab w:val="center" w:pos="4422"/>
        <w:tab w:val="clear" w:pos="4153"/>
      </w:tabs>
    </w:pPr>
    <w:r>
      <w:rPr>
        <w:rFonts w:hint="eastAsia"/>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064F7">
    <w:pPr>
      <w:pStyle w:val="32"/>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0CA67">
    <w:pPr>
      <w:pStyle w:val="32"/>
      <w:tabs>
        <w:tab w:val="center" w:pos="4422"/>
        <w:tab w:val="clear" w:pos="4153"/>
      </w:tabs>
    </w:pPr>
    <w:r>
      <w:rPr>
        <w:rFonts w:hint="eastAsia"/>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74EA1">
    <w:pPr>
      <w:pStyle w:val="32"/>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C9010B0">
                          <w:pPr>
                            <w:pStyle w:val="32"/>
                            <w:jc w:val="center"/>
                          </w:pPr>
                          <w:r>
                            <w:fldChar w:fldCharType="begin"/>
                          </w:r>
                          <w:r>
                            <w:instrText xml:space="preserve">PAGE   \* MERGEFORMAT</w:instrText>
                          </w:r>
                          <w:r>
                            <w:fldChar w:fldCharType="separate"/>
                          </w:r>
                          <w:r>
                            <w:rPr>
                              <w:lang w:val="zh-CN"/>
                            </w:rPr>
                            <w:t>16</w:t>
                          </w:r>
                          <w:r>
                            <w:fldChar w:fldCharType="end"/>
                          </w:r>
                        </w:p>
                      </w:txbxContent>
                    </wps:txbx>
                    <wps:bodyPr wrap="none" lIns="0" tIns="0" rIns="0" bIns="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4ZjF8EBAACNAwAADgAAAAAAAAABACAAAAAeAQAAZHJzL2Uyb0RvYy54bWxQSwUG&#10;AAAAAAYABgBZAQAAUQUAAAAA&#10;">
              <v:fill on="f" focussize="0,0"/>
              <v:stroke on="f"/>
              <v:imagedata o:title=""/>
              <o:lock v:ext="edit" aspectratio="f"/>
              <v:textbox inset="0mm,0mm,0mm,0mm" style="mso-fit-shape-to-text:t;">
                <w:txbxContent>
                  <w:p w14:paraId="2C9010B0">
                    <w:pPr>
                      <w:pStyle w:val="32"/>
                      <w:jc w:val="center"/>
                    </w:pPr>
                    <w:r>
                      <w:fldChar w:fldCharType="begin"/>
                    </w:r>
                    <w:r>
                      <w:instrText xml:space="preserve">PAGE   \* MERGEFORMAT</w:instrText>
                    </w:r>
                    <w:r>
                      <w:fldChar w:fldCharType="separate"/>
                    </w:r>
                    <w:r>
                      <w:rPr>
                        <w:lang w:val="zh-CN"/>
                      </w:rPr>
                      <w:t>16</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06D25">
    <w:pPr>
      <w:pStyle w:val="32"/>
      <w:tabs>
        <w:tab w:val="center" w:pos="4422"/>
        <w:tab w:val="clear" w:pos="4153"/>
      </w:tabs>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99C023C">
                          <w:pPr>
                            <w:pStyle w:val="32"/>
                          </w:pPr>
                          <w:r>
                            <w:fldChar w:fldCharType="begin"/>
                          </w:r>
                          <w:r>
                            <w:instrText xml:space="preserve"> PAGE  \* MERGEFORMAT </w:instrText>
                          </w:r>
                          <w:r>
                            <w:fldChar w:fldCharType="separate"/>
                          </w:r>
                          <w:r>
                            <w:t>0</w:t>
                          </w:r>
                          <w:r>
                            <w:fldChar w:fldCharType="end"/>
                          </w:r>
                        </w:p>
                      </w:txbxContent>
                    </wps:txbx>
                    <wps:bodyPr wrap="none" lIns="0" tIns="0" rIns="0" bIns="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9hiaUcEBAACNAwAADgAAAAAAAAABACAAAAAeAQAAZHJzL2Uyb0RvYy54bWxQSwUG&#10;AAAAAAYABgBZAQAAUQUAAAAA&#10;">
              <v:fill on="f" focussize="0,0"/>
              <v:stroke on="f"/>
              <v:imagedata o:title=""/>
              <o:lock v:ext="edit" aspectratio="f"/>
              <v:textbox inset="0mm,0mm,0mm,0mm" style="mso-fit-shape-to-text:t;">
                <w:txbxContent>
                  <w:p w14:paraId="599C023C">
                    <w:pPr>
                      <w:pStyle w:val="32"/>
                    </w:pPr>
                    <w:r>
                      <w:fldChar w:fldCharType="begin"/>
                    </w:r>
                    <w:r>
                      <w:instrText xml:space="preserve"> PAGE  \* MERGEFORMAT </w:instrText>
                    </w:r>
                    <w:r>
                      <w:fldChar w:fldCharType="separate"/>
                    </w:r>
                    <w:r>
                      <w:t>0</w:t>
                    </w:r>
                    <w:r>
                      <w:fldChar w:fldCharType="end"/>
                    </w:r>
                  </w:p>
                </w:txbxContent>
              </v:textbox>
            </v:shape>
          </w:pict>
        </mc:Fallback>
      </mc:AlternateContent>
    </w:r>
    <w:r>
      <w:rPr>
        <w:rFonts w:hint="eastAsia"/>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B206D">
    <w:pPr>
      <w:pStyle w:val="3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7FA9149">
                          <w:pPr>
                            <w:pStyle w:val="32"/>
                            <w:rPr>
                              <w:rStyle w:val="56"/>
                            </w:rPr>
                          </w:pPr>
                          <w:r>
                            <w:fldChar w:fldCharType="begin"/>
                          </w:r>
                          <w:r>
                            <w:rPr>
                              <w:rStyle w:val="56"/>
                            </w:rPr>
                            <w:instrText xml:space="preserve">PAGE  </w:instrText>
                          </w:r>
                          <w:r>
                            <w:fldChar w:fldCharType="separate"/>
                          </w:r>
                          <w:r>
                            <w:rPr>
                              <w:rStyle w:val="56"/>
                            </w:rPr>
                            <w:t>78</w:t>
                          </w:r>
                          <w:r>
                            <w:fldChar w:fldCharType="end"/>
                          </w:r>
                        </w:p>
                      </w:txbxContent>
                    </wps:txbx>
                    <wps:bodyPr wrap="none" lIns="0" tIns="0" rIns="0" bIns="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G/INGfCAQAAjQMAAA4AAAAAAAAAAQAgAAAAHgEAAGRycy9lMm9Eb2MueG1sUEsF&#10;BgAAAAAGAAYAWQEAAFIFAAAAAA==&#10;">
              <v:fill on="f" focussize="0,0"/>
              <v:stroke on="f"/>
              <v:imagedata o:title=""/>
              <o:lock v:ext="edit" aspectratio="f"/>
              <v:textbox inset="0mm,0mm,0mm,0mm" style="mso-fit-shape-to-text:t;">
                <w:txbxContent>
                  <w:p w14:paraId="67FA9149">
                    <w:pPr>
                      <w:pStyle w:val="32"/>
                      <w:rPr>
                        <w:rStyle w:val="56"/>
                      </w:rPr>
                    </w:pPr>
                    <w:r>
                      <w:fldChar w:fldCharType="begin"/>
                    </w:r>
                    <w:r>
                      <w:rPr>
                        <w:rStyle w:val="56"/>
                      </w:rPr>
                      <w:instrText xml:space="preserve">PAGE  </w:instrText>
                    </w:r>
                    <w:r>
                      <w:fldChar w:fldCharType="separate"/>
                    </w:r>
                    <w:r>
                      <w:rPr>
                        <w:rStyle w:val="56"/>
                      </w:rPr>
                      <w:t>78</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E1496">
    <w:pPr>
      <w:pStyle w:val="32"/>
      <w:framePr w:wrap="around" w:vAnchor="text" w:hAnchor="margin" w:xAlign="center" w:y="1"/>
      <w:rPr>
        <w:rStyle w:val="56"/>
      </w:rPr>
    </w:pPr>
    <w:r>
      <w:fldChar w:fldCharType="begin"/>
    </w:r>
    <w:r>
      <w:rPr>
        <w:rStyle w:val="56"/>
      </w:rPr>
      <w:instrText xml:space="preserve">PAGE  </w:instrText>
    </w:r>
    <w:r>
      <w:fldChar w:fldCharType="separate"/>
    </w:r>
    <w:r>
      <w:rPr>
        <w:rStyle w:val="56"/>
      </w:rPr>
      <w:t>72</w:t>
    </w:r>
    <w:r>
      <w:fldChar w:fldCharType="end"/>
    </w:r>
  </w:p>
  <w:p w14:paraId="4525857B">
    <w:pPr>
      <w:pStyle w:val="3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3E1AD">
    <w:pPr>
      <w:pStyle w:val="33"/>
      <w:ind w:right="180" w:firstLine="900" w:firstLineChars="500"/>
      <w:jc w:val="both"/>
      <w:rPr>
        <w:rFonts w:hint="eastAsia" w:ascii="宋体" w:hAnsi="宋体"/>
        <w:color w:val="000000"/>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1"/>
      <w:numFmt w:val="decimal"/>
      <w:lvlText w:val="%1"/>
      <w:lvlJc w:val="left"/>
      <w:pPr>
        <w:tabs>
          <w:tab w:val="left" w:pos="330"/>
        </w:tabs>
        <w:ind w:left="330" w:hanging="330"/>
      </w:pPr>
      <w:rPr>
        <w:rFonts w:hint="eastAsia"/>
      </w:rPr>
    </w:lvl>
    <w:lvl w:ilvl="1" w:tentative="0">
      <w:start w:val="1"/>
      <w:numFmt w:val="decimal"/>
      <w:lvlText w:val="%1.%2"/>
      <w:lvlJc w:val="left"/>
      <w:pPr>
        <w:tabs>
          <w:tab w:val="left" w:pos="330"/>
        </w:tabs>
        <w:ind w:left="330" w:hanging="330"/>
      </w:pPr>
      <w:rPr>
        <w:rFonts w:hint="eastAsia"/>
      </w:rPr>
    </w:lvl>
    <w:lvl w:ilvl="2" w:tentative="0">
      <w:start w:val="1"/>
      <w:numFmt w:val="decimal"/>
      <w:lvlText w:val="%1.%2.%3"/>
      <w:lvlJc w:val="left"/>
      <w:pPr>
        <w:tabs>
          <w:tab w:val="left" w:pos="330"/>
        </w:tabs>
        <w:ind w:left="330" w:hanging="330"/>
      </w:pPr>
      <w:rPr>
        <w:rFonts w:hint="eastAsia"/>
      </w:rPr>
    </w:lvl>
    <w:lvl w:ilvl="3" w:tentative="0">
      <w:start w:val="1"/>
      <w:numFmt w:val="decimal"/>
      <w:lvlText w:val="%1.%2.%3.%4"/>
      <w:lvlJc w:val="left"/>
      <w:pPr>
        <w:tabs>
          <w:tab w:val="left" w:pos="330"/>
        </w:tabs>
        <w:ind w:left="330" w:hanging="330"/>
      </w:pPr>
      <w:rPr>
        <w:rFonts w:hint="eastAsia"/>
      </w:rPr>
    </w:lvl>
    <w:lvl w:ilvl="4" w:tentative="0">
      <w:start w:val="1"/>
      <w:numFmt w:val="decimal"/>
      <w:lvlText w:val="%1.%2.%3.%4.%5"/>
      <w:lvlJc w:val="left"/>
      <w:pPr>
        <w:tabs>
          <w:tab w:val="left" w:pos="330"/>
        </w:tabs>
        <w:ind w:left="330" w:hanging="330"/>
      </w:pPr>
      <w:rPr>
        <w:rFonts w:hint="eastAsia"/>
      </w:rPr>
    </w:lvl>
    <w:lvl w:ilvl="5" w:tentative="0">
      <w:start w:val="1"/>
      <w:numFmt w:val="decimal"/>
      <w:lvlText w:val="%1.%2.%3.%4.%5.%6"/>
      <w:lvlJc w:val="left"/>
      <w:pPr>
        <w:tabs>
          <w:tab w:val="left" w:pos="330"/>
        </w:tabs>
        <w:ind w:left="330" w:hanging="330"/>
      </w:pPr>
      <w:rPr>
        <w:rFonts w:hint="eastAsia"/>
      </w:rPr>
    </w:lvl>
    <w:lvl w:ilvl="6" w:tentative="0">
      <w:start w:val="1"/>
      <w:numFmt w:val="decimal"/>
      <w:lvlText w:val="%1.%2.%3.%4.%5.%6.%7"/>
      <w:lvlJc w:val="left"/>
      <w:pPr>
        <w:tabs>
          <w:tab w:val="left" w:pos="330"/>
        </w:tabs>
        <w:ind w:left="330" w:hanging="330"/>
      </w:pPr>
      <w:rPr>
        <w:rFonts w:hint="eastAsia"/>
      </w:rPr>
    </w:lvl>
    <w:lvl w:ilvl="7" w:tentative="0">
      <w:start w:val="1"/>
      <w:numFmt w:val="decimal"/>
      <w:lvlText w:val="%1.%2.%3.%4.%5.%6.%7.%8"/>
      <w:lvlJc w:val="left"/>
      <w:pPr>
        <w:tabs>
          <w:tab w:val="left" w:pos="330"/>
        </w:tabs>
        <w:ind w:left="330" w:hanging="330"/>
      </w:pPr>
      <w:rPr>
        <w:rFonts w:hint="eastAsia"/>
      </w:rPr>
    </w:lvl>
    <w:lvl w:ilvl="8" w:tentative="0">
      <w:start w:val="1"/>
      <w:numFmt w:val="decimal"/>
      <w:lvlText w:val="%1.%2.%3.%4.%5.%6.%7.%8.%9"/>
      <w:lvlJc w:val="left"/>
      <w:pPr>
        <w:tabs>
          <w:tab w:val="left" w:pos="330"/>
        </w:tabs>
        <w:ind w:left="330" w:hanging="330"/>
      </w:pPr>
      <w:rPr>
        <w:rFonts w:hint="eastAsia"/>
      </w:rPr>
    </w:lvl>
  </w:abstractNum>
  <w:abstractNum w:abstractNumId="1">
    <w:nsid w:val="00000005"/>
    <w:multiLevelType w:val="multilevel"/>
    <w:tmpl w:val="00000005"/>
    <w:lvl w:ilvl="0" w:tentative="0">
      <w:start w:val="1"/>
      <w:numFmt w:val="decimal"/>
      <w:pStyle w:val="84"/>
      <w:lvlText w:val="R%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6"/>
    <w:multiLevelType w:val="multilevel"/>
    <w:tmpl w:val="00000006"/>
    <w:lvl w:ilvl="0" w:tentative="0">
      <w:start w:val="1"/>
      <w:numFmt w:val="none"/>
      <w:pStyle w:val="5"/>
      <w:suff w:val="space"/>
      <w:lvlText w:val=""/>
      <w:lvlJc w:val="left"/>
      <w:pPr>
        <w:ind w:left="425" w:hanging="425"/>
      </w:pPr>
      <w:rPr>
        <w:rFonts w:hint="eastAsia" w:ascii="宋体" w:eastAsia="宋体"/>
        <w:b/>
        <w:i w:val="0"/>
        <w:sz w:val="28"/>
      </w:rPr>
    </w:lvl>
    <w:lvl w:ilvl="1" w:tentative="0">
      <w:start w:val="1"/>
      <w:numFmt w:val="decimal"/>
      <w:pStyle w:val="6"/>
      <w:suff w:val="space"/>
      <w:lvlText w:val="%1"/>
      <w:lvlJc w:val="left"/>
      <w:pPr>
        <w:ind w:left="992" w:hanging="567"/>
      </w:pPr>
      <w:rPr>
        <w:rFonts w:hint="eastAsia" w:ascii="宋体" w:eastAsia="宋体"/>
        <w:b/>
        <w:i w:val="0"/>
        <w:sz w:val="28"/>
      </w:rPr>
    </w:lvl>
    <w:lvl w:ilvl="2" w:tentative="0">
      <w:start w:val="1"/>
      <w:numFmt w:val="decimal"/>
      <w:suff w:val="space"/>
      <w:lvlText w:val="%3  "/>
      <w:lvlJc w:val="left"/>
      <w:pPr>
        <w:ind w:left="1418" w:hanging="567"/>
      </w:pPr>
      <w:rPr>
        <w:rFonts w:hint="eastAsia" w:ascii="宋体" w:eastAsia="宋体"/>
        <w:b/>
        <w:i w:val="0"/>
        <w:sz w:val="28"/>
      </w:rPr>
    </w:lvl>
    <w:lvl w:ilvl="3" w:tentative="0">
      <w:start w:val="1"/>
      <w:numFmt w:val="decimal"/>
      <w:pStyle w:val="9"/>
      <w:lvlText w:val="%1"/>
      <w:lvlJc w:val="left"/>
      <w:pPr>
        <w:tabs>
          <w:tab w:val="left" w:pos="1984"/>
        </w:tabs>
        <w:ind w:left="1984" w:hanging="708"/>
      </w:pPr>
      <w:rPr>
        <w:rFonts w:hint="eastAsia" w:ascii="宋体" w:eastAsia="宋体"/>
        <w:b/>
        <w:i w:val="0"/>
        <w:sz w:val="28"/>
      </w:rPr>
    </w:lvl>
    <w:lvl w:ilvl="4" w:tentative="0">
      <w:start w:val="1"/>
      <w:numFmt w:val="decimal"/>
      <w:pStyle w:val="88"/>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3">
    <w:nsid w:val="00000007"/>
    <w:multiLevelType w:val="multilevel"/>
    <w:tmpl w:val="00000007"/>
    <w:lvl w:ilvl="0" w:tentative="0">
      <w:start w:val="9"/>
      <w:numFmt w:val="decimal"/>
      <w:lvlText w:val="%1"/>
      <w:lvlJc w:val="left"/>
      <w:pPr>
        <w:tabs>
          <w:tab w:val="left" w:pos="390"/>
        </w:tabs>
        <w:ind w:left="390" w:hanging="390"/>
      </w:pPr>
      <w:rPr>
        <w:rFonts w:hint="eastAsia"/>
      </w:rPr>
    </w:lvl>
    <w:lvl w:ilvl="1" w:tentative="0">
      <w:start w:val="1"/>
      <w:numFmt w:val="decimal"/>
      <w:lvlText w:val="8.%2"/>
      <w:lvlJc w:val="left"/>
      <w:pPr>
        <w:tabs>
          <w:tab w:val="left" w:pos="390"/>
        </w:tabs>
        <w:ind w:left="390" w:hanging="390"/>
      </w:pPr>
      <w:rPr>
        <w:rFonts w:hint="eastAsia"/>
      </w:rPr>
    </w:lvl>
    <w:lvl w:ilvl="2" w:tentative="0">
      <w:start w:val="1"/>
      <w:numFmt w:val="decimal"/>
      <w:lvlText w:val="%1.%2.%3"/>
      <w:lvlJc w:val="left"/>
      <w:pPr>
        <w:tabs>
          <w:tab w:val="left" w:pos="390"/>
        </w:tabs>
        <w:ind w:left="390" w:hanging="390"/>
      </w:pPr>
      <w:rPr>
        <w:rFonts w:hint="eastAsia"/>
      </w:rPr>
    </w:lvl>
    <w:lvl w:ilvl="3" w:tentative="0">
      <w:start w:val="1"/>
      <w:numFmt w:val="decimal"/>
      <w:lvlText w:val="%1.%2.%3.%4"/>
      <w:lvlJc w:val="left"/>
      <w:pPr>
        <w:tabs>
          <w:tab w:val="left" w:pos="390"/>
        </w:tabs>
        <w:ind w:left="390" w:hanging="390"/>
      </w:pPr>
      <w:rPr>
        <w:rFonts w:hint="eastAsia"/>
      </w:rPr>
    </w:lvl>
    <w:lvl w:ilvl="4" w:tentative="0">
      <w:start w:val="1"/>
      <w:numFmt w:val="decimal"/>
      <w:lvlText w:val="%1.%2.%3.%4.%5"/>
      <w:lvlJc w:val="left"/>
      <w:pPr>
        <w:tabs>
          <w:tab w:val="left" w:pos="390"/>
        </w:tabs>
        <w:ind w:left="390" w:hanging="390"/>
      </w:pPr>
      <w:rPr>
        <w:rFonts w:hint="eastAsia"/>
      </w:rPr>
    </w:lvl>
    <w:lvl w:ilvl="5" w:tentative="0">
      <w:start w:val="1"/>
      <w:numFmt w:val="decimal"/>
      <w:lvlText w:val="%1.%2.%3.%4.%5.%6"/>
      <w:lvlJc w:val="left"/>
      <w:pPr>
        <w:tabs>
          <w:tab w:val="left" w:pos="390"/>
        </w:tabs>
        <w:ind w:left="390" w:hanging="390"/>
      </w:pPr>
      <w:rPr>
        <w:rFonts w:hint="eastAsia"/>
      </w:rPr>
    </w:lvl>
    <w:lvl w:ilvl="6" w:tentative="0">
      <w:start w:val="1"/>
      <w:numFmt w:val="decimal"/>
      <w:lvlText w:val="%1.%2.%3.%4.%5.%6.%7"/>
      <w:lvlJc w:val="left"/>
      <w:pPr>
        <w:tabs>
          <w:tab w:val="left" w:pos="390"/>
        </w:tabs>
        <w:ind w:left="390" w:hanging="390"/>
      </w:pPr>
      <w:rPr>
        <w:rFonts w:hint="eastAsia"/>
      </w:rPr>
    </w:lvl>
    <w:lvl w:ilvl="7" w:tentative="0">
      <w:start w:val="1"/>
      <w:numFmt w:val="decimal"/>
      <w:lvlText w:val="%1.%2.%3.%4.%5.%6.%7.%8"/>
      <w:lvlJc w:val="left"/>
      <w:pPr>
        <w:tabs>
          <w:tab w:val="left" w:pos="390"/>
        </w:tabs>
        <w:ind w:left="390" w:hanging="390"/>
      </w:pPr>
      <w:rPr>
        <w:rFonts w:hint="eastAsia"/>
      </w:rPr>
    </w:lvl>
    <w:lvl w:ilvl="8" w:tentative="0">
      <w:start w:val="1"/>
      <w:numFmt w:val="decimal"/>
      <w:lvlText w:val="%1.%2.%3.%4.%5.%6.%7.%8.%9"/>
      <w:lvlJc w:val="left"/>
      <w:pPr>
        <w:tabs>
          <w:tab w:val="left" w:pos="390"/>
        </w:tabs>
        <w:ind w:left="390" w:hanging="390"/>
      </w:pPr>
      <w:rPr>
        <w:rFonts w:hint="eastAsia"/>
      </w:rPr>
    </w:lvl>
  </w:abstractNum>
  <w:abstractNum w:abstractNumId="4">
    <w:nsid w:val="00000008"/>
    <w:multiLevelType w:val="singleLevel"/>
    <w:tmpl w:val="00000008"/>
    <w:lvl w:ilvl="0" w:tentative="0">
      <w:start w:val="1"/>
      <w:numFmt w:val="decimal"/>
      <w:lvlText w:val="%1、"/>
      <w:lvlJc w:val="left"/>
      <w:pPr>
        <w:tabs>
          <w:tab w:val="left" w:pos="315"/>
        </w:tabs>
        <w:ind w:left="315" w:hanging="315"/>
      </w:pPr>
      <w:rPr>
        <w:rFonts w:hint="eastAsia"/>
      </w:rPr>
    </w:lvl>
  </w:abstractNum>
  <w:abstractNum w:abstractNumId="5">
    <w:nsid w:val="0000000A"/>
    <w:multiLevelType w:val="multilevel"/>
    <w:tmpl w:val="0000000A"/>
    <w:lvl w:ilvl="0" w:tentative="0">
      <w:start w:val="1"/>
      <w:numFmt w:val="decimal"/>
      <w:lvlText w:val="（%1）"/>
      <w:lvlJc w:val="left"/>
      <w:pPr>
        <w:tabs>
          <w:tab w:val="left" w:pos="1077"/>
        </w:tabs>
        <w:ind w:left="1077" w:hanging="720"/>
      </w:pPr>
      <w:rPr>
        <w:rFonts w:hint="eastAsia"/>
      </w:rPr>
    </w:lvl>
    <w:lvl w:ilvl="1" w:tentative="0">
      <w:start w:val="1"/>
      <w:numFmt w:val="lowerLetter"/>
      <w:lvlText w:val="%2)"/>
      <w:lvlJc w:val="left"/>
      <w:pPr>
        <w:tabs>
          <w:tab w:val="left" w:pos="1197"/>
        </w:tabs>
        <w:ind w:left="1197" w:hanging="420"/>
      </w:pPr>
    </w:lvl>
    <w:lvl w:ilvl="2" w:tentative="0">
      <w:start w:val="1"/>
      <w:numFmt w:val="lowerRoman"/>
      <w:lvlText w:val="%3."/>
      <w:lvlJc w:val="right"/>
      <w:pPr>
        <w:tabs>
          <w:tab w:val="left" w:pos="1617"/>
        </w:tabs>
        <w:ind w:left="1617" w:hanging="420"/>
      </w:pPr>
    </w:lvl>
    <w:lvl w:ilvl="3" w:tentative="0">
      <w:start w:val="1"/>
      <w:numFmt w:val="decimal"/>
      <w:lvlText w:val="%4."/>
      <w:lvlJc w:val="left"/>
      <w:pPr>
        <w:tabs>
          <w:tab w:val="left" w:pos="2037"/>
        </w:tabs>
        <w:ind w:left="2037" w:hanging="420"/>
      </w:pPr>
    </w:lvl>
    <w:lvl w:ilvl="4" w:tentative="0">
      <w:start w:val="1"/>
      <w:numFmt w:val="lowerLetter"/>
      <w:lvlText w:val="%5)"/>
      <w:lvlJc w:val="left"/>
      <w:pPr>
        <w:tabs>
          <w:tab w:val="left" w:pos="2457"/>
        </w:tabs>
        <w:ind w:left="2457" w:hanging="420"/>
      </w:pPr>
    </w:lvl>
    <w:lvl w:ilvl="5" w:tentative="0">
      <w:start w:val="1"/>
      <w:numFmt w:val="lowerRoman"/>
      <w:lvlText w:val="%6."/>
      <w:lvlJc w:val="right"/>
      <w:pPr>
        <w:tabs>
          <w:tab w:val="left" w:pos="2877"/>
        </w:tabs>
        <w:ind w:left="2877" w:hanging="420"/>
      </w:pPr>
    </w:lvl>
    <w:lvl w:ilvl="6" w:tentative="0">
      <w:start w:val="1"/>
      <w:numFmt w:val="decimal"/>
      <w:lvlText w:val="%7."/>
      <w:lvlJc w:val="left"/>
      <w:pPr>
        <w:tabs>
          <w:tab w:val="left" w:pos="3297"/>
        </w:tabs>
        <w:ind w:left="3297" w:hanging="420"/>
      </w:pPr>
    </w:lvl>
    <w:lvl w:ilvl="7" w:tentative="0">
      <w:start w:val="1"/>
      <w:numFmt w:val="lowerLetter"/>
      <w:lvlText w:val="%8)"/>
      <w:lvlJc w:val="left"/>
      <w:pPr>
        <w:tabs>
          <w:tab w:val="left" w:pos="3717"/>
        </w:tabs>
        <w:ind w:left="3717" w:hanging="420"/>
      </w:pPr>
    </w:lvl>
    <w:lvl w:ilvl="8" w:tentative="0">
      <w:start w:val="1"/>
      <w:numFmt w:val="lowerRoman"/>
      <w:lvlText w:val="%9."/>
      <w:lvlJc w:val="right"/>
      <w:pPr>
        <w:tabs>
          <w:tab w:val="left" w:pos="4137"/>
        </w:tabs>
        <w:ind w:left="4137" w:hanging="420"/>
      </w:pPr>
    </w:lvl>
  </w:abstractNum>
  <w:abstractNum w:abstractNumId="6">
    <w:nsid w:val="0000000C"/>
    <w:multiLevelType w:val="multilevel"/>
    <w:tmpl w:val="0000000C"/>
    <w:lvl w:ilvl="0" w:tentative="0">
      <w:start w:val="1"/>
      <w:numFmt w:val="decimal"/>
      <w:lvlText w:val="%1）"/>
      <w:lvlJc w:val="left"/>
      <w:pPr>
        <w:tabs>
          <w:tab w:val="left" w:pos="1134"/>
        </w:tabs>
        <w:ind w:left="1134" w:hanging="567"/>
      </w:pPr>
      <w:rPr>
        <w:rFonts w:hint="eastAsia" w:ascii="宋体" w:hAnsi="宋体" w:eastAsia="宋体"/>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58413F7"/>
    <w:multiLevelType w:val="multilevel"/>
    <w:tmpl w:val="058413F7"/>
    <w:lvl w:ilvl="0" w:tentative="0">
      <w:start w:val="1"/>
      <w:numFmt w:val="decimal"/>
      <w:suff w:val="space"/>
      <w:lvlText w:val="%1、"/>
      <w:lvlJc w:val="left"/>
      <w:pPr>
        <w:ind w:left="0" w:firstLine="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2"/>
  </w:num>
  <w:num w:numId="2">
    <w:abstractNumId w:val="1"/>
  </w:num>
  <w:num w:numId="3">
    <w:abstractNumId w:val="4"/>
  </w:num>
  <w:num w:numId="4">
    <w:abstractNumId w:val="7"/>
  </w:num>
  <w:num w:numId="5">
    <w:abstractNumId w:val="0"/>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doNotShadeFormData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Q5YjY4ZmQ1NWQ0ODJkMmQ0YmVmZjg5MWJiM2I2ZTcifQ=="/>
  </w:docVars>
  <w:rsids>
    <w:rsidRoot w:val="00172A27"/>
    <w:rsid w:val="00000024"/>
    <w:rsid w:val="0000042C"/>
    <w:rsid w:val="000013A6"/>
    <w:rsid w:val="000014EC"/>
    <w:rsid w:val="0000174F"/>
    <w:rsid w:val="000019B9"/>
    <w:rsid w:val="00002659"/>
    <w:rsid w:val="00002B9E"/>
    <w:rsid w:val="00002BFA"/>
    <w:rsid w:val="000037F5"/>
    <w:rsid w:val="000040D7"/>
    <w:rsid w:val="0000426E"/>
    <w:rsid w:val="00004CAF"/>
    <w:rsid w:val="00005062"/>
    <w:rsid w:val="0000666E"/>
    <w:rsid w:val="00007AEC"/>
    <w:rsid w:val="000101DF"/>
    <w:rsid w:val="00010216"/>
    <w:rsid w:val="0001072B"/>
    <w:rsid w:val="0001175B"/>
    <w:rsid w:val="00012798"/>
    <w:rsid w:val="00013C24"/>
    <w:rsid w:val="00013E8E"/>
    <w:rsid w:val="00013FCC"/>
    <w:rsid w:val="000147E1"/>
    <w:rsid w:val="00014B77"/>
    <w:rsid w:val="00015011"/>
    <w:rsid w:val="0001514E"/>
    <w:rsid w:val="00015A54"/>
    <w:rsid w:val="00016D4E"/>
    <w:rsid w:val="00017708"/>
    <w:rsid w:val="00017CDF"/>
    <w:rsid w:val="000214CF"/>
    <w:rsid w:val="00021AE6"/>
    <w:rsid w:val="00021CA5"/>
    <w:rsid w:val="00021CE6"/>
    <w:rsid w:val="00021E21"/>
    <w:rsid w:val="00022E1B"/>
    <w:rsid w:val="0002355D"/>
    <w:rsid w:val="00024383"/>
    <w:rsid w:val="00026320"/>
    <w:rsid w:val="00026435"/>
    <w:rsid w:val="00026687"/>
    <w:rsid w:val="00026B45"/>
    <w:rsid w:val="00031E8A"/>
    <w:rsid w:val="00032553"/>
    <w:rsid w:val="00033B4D"/>
    <w:rsid w:val="00033D0B"/>
    <w:rsid w:val="000369CA"/>
    <w:rsid w:val="000378B8"/>
    <w:rsid w:val="00040B86"/>
    <w:rsid w:val="00042733"/>
    <w:rsid w:val="000433CE"/>
    <w:rsid w:val="0004608A"/>
    <w:rsid w:val="000471A5"/>
    <w:rsid w:val="0004731C"/>
    <w:rsid w:val="00047B1A"/>
    <w:rsid w:val="00047E03"/>
    <w:rsid w:val="00050092"/>
    <w:rsid w:val="00050708"/>
    <w:rsid w:val="000520EA"/>
    <w:rsid w:val="000524F4"/>
    <w:rsid w:val="000526EB"/>
    <w:rsid w:val="00052DF4"/>
    <w:rsid w:val="00054261"/>
    <w:rsid w:val="00055020"/>
    <w:rsid w:val="00055862"/>
    <w:rsid w:val="00056A7C"/>
    <w:rsid w:val="00057FAE"/>
    <w:rsid w:val="000600BF"/>
    <w:rsid w:val="0006460E"/>
    <w:rsid w:val="000651B9"/>
    <w:rsid w:val="00065820"/>
    <w:rsid w:val="00065993"/>
    <w:rsid w:val="00065EEF"/>
    <w:rsid w:val="00066C03"/>
    <w:rsid w:val="000674E5"/>
    <w:rsid w:val="00067B02"/>
    <w:rsid w:val="00067C20"/>
    <w:rsid w:val="00067FB4"/>
    <w:rsid w:val="00070142"/>
    <w:rsid w:val="00072784"/>
    <w:rsid w:val="0007420C"/>
    <w:rsid w:val="00075123"/>
    <w:rsid w:val="00075D04"/>
    <w:rsid w:val="00077CA8"/>
    <w:rsid w:val="000809CC"/>
    <w:rsid w:val="00081F8D"/>
    <w:rsid w:val="00082AAA"/>
    <w:rsid w:val="00082C49"/>
    <w:rsid w:val="00082E12"/>
    <w:rsid w:val="00084140"/>
    <w:rsid w:val="00085A2E"/>
    <w:rsid w:val="00085C29"/>
    <w:rsid w:val="00086785"/>
    <w:rsid w:val="00087682"/>
    <w:rsid w:val="000900C5"/>
    <w:rsid w:val="00090D9E"/>
    <w:rsid w:val="00091908"/>
    <w:rsid w:val="00091E49"/>
    <w:rsid w:val="000925A3"/>
    <w:rsid w:val="00092AFC"/>
    <w:rsid w:val="000937AB"/>
    <w:rsid w:val="00093ACD"/>
    <w:rsid w:val="000941A0"/>
    <w:rsid w:val="00094A16"/>
    <w:rsid w:val="000951E1"/>
    <w:rsid w:val="000960BE"/>
    <w:rsid w:val="00096C4D"/>
    <w:rsid w:val="00096C7D"/>
    <w:rsid w:val="00097BC6"/>
    <w:rsid w:val="000A0C5B"/>
    <w:rsid w:val="000A186E"/>
    <w:rsid w:val="000A26DB"/>
    <w:rsid w:val="000A3B8A"/>
    <w:rsid w:val="000A3FF6"/>
    <w:rsid w:val="000A43E2"/>
    <w:rsid w:val="000A458A"/>
    <w:rsid w:val="000A4C60"/>
    <w:rsid w:val="000A4E78"/>
    <w:rsid w:val="000A61DA"/>
    <w:rsid w:val="000A6907"/>
    <w:rsid w:val="000A6A62"/>
    <w:rsid w:val="000A6AEC"/>
    <w:rsid w:val="000A711A"/>
    <w:rsid w:val="000A739A"/>
    <w:rsid w:val="000A7969"/>
    <w:rsid w:val="000B0B56"/>
    <w:rsid w:val="000B20A3"/>
    <w:rsid w:val="000B23B7"/>
    <w:rsid w:val="000B4A6A"/>
    <w:rsid w:val="000B50D5"/>
    <w:rsid w:val="000C0904"/>
    <w:rsid w:val="000C0A67"/>
    <w:rsid w:val="000C0C00"/>
    <w:rsid w:val="000C53DD"/>
    <w:rsid w:val="000C5A78"/>
    <w:rsid w:val="000C6BFD"/>
    <w:rsid w:val="000D0661"/>
    <w:rsid w:val="000D1CFC"/>
    <w:rsid w:val="000D3060"/>
    <w:rsid w:val="000D3427"/>
    <w:rsid w:val="000D3E88"/>
    <w:rsid w:val="000D4089"/>
    <w:rsid w:val="000D44DE"/>
    <w:rsid w:val="000D4E9F"/>
    <w:rsid w:val="000D587B"/>
    <w:rsid w:val="000D68F1"/>
    <w:rsid w:val="000D6AB4"/>
    <w:rsid w:val="000D7A34"/>
    <w:rsid w:val="000D7A80"/>
    <w:rsid w:val="000D7AA0"/>
    <w:rsid w:val="000E0A98"/>
    <w:rsid w:val="000E2162"/>
    <w:rsid w:val="000E27AD"/>
    <w:rsid w:val="000E307B"/>
    <w:rsid w:val="000E3B33"/>
    <w:rsid w:val="000E430F"/>
    <w:rsid w:val="000E5BA1"/>
    <w:rsid w:val="000E6336"/>
    <w:rsid w:val="000E69A0"/>
    <w:rsid w:val="000E6C84"/>
    <w:rsid w:val="000E7A23"/>
    <w:rsid w:val="000F1523"/>
    <w:rsid w:val="000F1714"/>
    <w:rsid w:val="000F187F"/>
    <w:rsid w:val="000F379A"/>
    <w:rsid w:val="000F3E93"/>
    <w:rsid w:val="000F42D8"/>
    <w:rsid w:val="000F445D"/>
    <w:rsid w:val="000F481E"/>
    <w:rsid w:val="000F5329"/>
    <w:rsid w:val="000F5904"/>
    <w:rsid w:val="000F666B"/>
    <w:rsid w:val="000F78A2"/>
    <w:rsid w:val="00100240"/>
    <w:rsid w:val="00100373"/>
    <w:rsid w:val="00103369"/>
    <w:rsid w:val="001046C9"/>
    <w:rsid w:val="0010492A"/>
    <w:rsid w:val="00104D69"/>
    <w:rsid w:val="00105AE0"/>
    <w:rsid w:val="00105DE7"/>
    <w:rsid w:val="00105E74"/>
    <w:rsid w:val="00106537"/>
    <w:rsid w:val="001068FF"/>
    <w:rsid w:val="00107CE8"/>
    <w:rsid w:val="00110E87"/>
    <w:rsid w:val="001110A0"/>
    <w:rsid w:val="00111740"/>
    <w:rsid w:val="001117A0"/>
    <w:rsid w:val="0011215F"/>
    <w:rsid w:val="0011256B"/>
    <w:rsid w:val="00112E02"/>
    <w:rsid w:val="00112E85"/>
    <w:rsid w:val="00112EB4"/>
    <w:rsid w:val="00116E9C"/>
    <w:rsid w:val="0011702F"/>
    <w:rsid w:val="00117596"/>
    <w:rsid w:val="00121DC4"/>
    <w:rsid w:val="00123306"/>
    <w:rsid w:val="00123A18"/>
    <w:rsid w:val="00123CB8"/>
    <w:rsid w:val="001268E7"/>
    <w:rsid w:val="00126B3B"/>
    <w:rsid w:val="00130329"/>
    <w:rsid w:val="0013103C"/>
    <w:rsid w:val="0013174E"/>
    <w:rsid w:val="001330BA"/>
    <w:rsid w:val="00133813"/>
    <w:rsid w:val="00134197"/>
    <w:rsid w:val="001348E6"/>
    <w:rsid w:val="00135B6D"/>
    <w:rsid w:val="001367C0"/>
    <w:rsid w:val="0014207C"/>
    <w:rsid w:val="00142985"/>
    <w:rsid w:val="00142B6A"/>
    <w:rsid w:val="00142E87"/>
    <w:rsid w:val="001439B4"/>
    <w:rsid w:val="00143D91"/>
    <w:rsid w:val="0014438C"/>
    <w:rsid w:val="0014454F"/>
    <w:rsid w:val="00144B16"/>
    <w:rsid w:val="00145708"/>
    <w:rsid w:val="00146587"/>
    <w:rsid w:val="00147BE7"/>
    <w:rsid w:val="00147F5A"/>
    <w:rsid w:val="00150A54"/>
    <w:rsid w:val="00151299"/>
    <w:rsid w:val="00151E6F"/>
    <w:rsid w:val="001523F7"/>
    <w:rsid w:val="0015287E"/>
    <w:rsid w:val="00154AC6"/>
    <w:rsid w:val="00155124"/>
    <w:rsid w:val="0015740A"/>
    <w:rsid w:val="00157927"/>
    <w:rsid w:val="00160203"/>
    <w:rsid w:val="001603E0"/>
    <w:rsid w:val="001606BE"/>
    <w:rsid w:val="0016134D"/>
    <w:rsid w:val="00162464"/>
    <w:rsid w:val="0016366C"/>
    <w:rsid w:val="00163BDA"/>
    <w:rsid w:val="00165957"/>
    <w:rsid w:val="001668B1"/>
    <w:rsid w:val="00171181"/>
    <w:rsid w:val="00171C48"/>
    <w:rsid w:val="0017235E"/>
    <w:rsid w:val="00172A27"/>
    <w:rsid w:val="00173195"/>
    <w:rsid w:val="00174B33"/>
    <w:rsid w:val="00174BDA"/>
    <w:rsid w:val="00174DEE"/>
    <w:rsid w:val="0017556E"/>
    <w:rsid w:val="00176CD7"/>
    <w:rsid w:val="00176E91"/>
    <w:rsid w:val="00177708"/>
    <w:rsid w:val="00177AD4"/>
    <w:rsid w:val="00177B03"/>
    <w:rsid w:val="00180AD4"/>
    <w:rsid w:val="00180B8B"/>
    <w:rsid w:val="00181FFD"/>
    <w:rsid w:val="00183D38"/>
    <w:rsid w:val="00183EAD"/>
    <w:rsid w:val="00184784"/>
    <w:rsid w:val="00184EFC"/>
    <w:rsid w:val="0018568C"/>
    <w:rsid w:val="00186E99"/>
    <w:rsid w:val="0018735C"/>
    <w:rsid w:val="0018795F"/>
    <w:rsid w:val="00187ADB"/>
    <w:rsid w:val="001912A6"/>
    <w:rsid w:val="00192359"/>
    <w:rsid w:val="001923D5"/>
    <w:rsid w:val="00192ADC"/>
    <w:rsid w:val="00192E59"/>
    <w:rsid w:val="0019462F"/>
    <w:rsid w:val="00195C62"/>
    <w:rsid w:val="0019665B"/>
    <w:rsid w:val="001969A6"/>
    <w:rsid w:val="0019749F"/>
    <w:rsid w:val="00197A82"/>
    <w:rsid w:val="001A1497"/>
    <w:rsid w:val="001A2208"/>
    <w:rsid w:val="001A2886"/>
    <w:rsid w:val="001A2E93"/>
    <w:rsid w:val="001A380A"/>
    <w:rsid w:val="001A4C7A"/>
    <w:rsid w:val="001A581B"/>
    <w:rsid w:val="001A5E93"/>
    <w:rsid w:val="001A6D4E"/>
    <w:rsid w:val="001A7346"/>
    <w:rsid w:val="001A7903"/>
    <w:rsid w:val="001B0D29"/>
    <w:rsid w:val="001B0F64"/>
    <w:rsid w:val="001B12C2"/>
    <w:rsid w:val="001B19AF"/>
    <w:rsid w:val="001B1F41"/>
    <w:rsid w:val="001B28CA"/>
    <w:rsid w:val="001B2AF2"/>
    <w:rsid w:val="001B2B8A"/>
    <w:rsid w:val="001B37FC"/>
    <w:rsid w:val="001B6762"/>
    <w:rsid w:val="001B792B"/>
    <w:rsid w:val="001C0846"/>
    <w:rsid w:val="001C1B4B"/>
    <w:rsid w:val="001C3940"/>
    <w:rsid w:val="001C46A5"/>
    <w:rsid w:val="001C52F6"/>
    <w:rsid w:val="001C6617"/>
    <w:rsid w:val="001C7036"/>
    <w:rsid w:val="001C708E"/>
    <w:rsid w:val="001C73AC"/>
    <w:rsid w:val="001C790C"/>
    <w:rsid w:val="001C7C9F"/>
    <w:rsid w:val="001D207F"/>
    <w:rsid w:val="001D3016"/>
    <w:rsid w:val="001D40AA"/>
    <w:rsid w:val="001D4B9B"/>
    <w:rsid w:val="001D594E"/>
    <w:rsid w:val="001D5FCD"/>
    <w:rsid w:val="001D784D"/>
    <w:rsid w:val="001E04A8"/>
    <w:rsid w:val="001E1729"/>
    <w:rsid w:val="001E1F5E"/>
    <w:rsid w:val="001E2A3D"/>
    <w:rsid w:val="001E3224"/>
    <w:rsid w:val="001E4595"/>
    <w:rsid w:val="001E4B12"/>
    <w:rsid w:val="001E548F"/>
    <w:rsid w:val="001E6138"/>
    <w:rsid w:val="001E6521"/>
    <w:rsid w:val="001E6553"/>
    <w:rsid w:val="001E6993"/>
    <w:rsid w:val="001E7200"/>
    <w:rsid w:val="001E7D71"/>
    <w:rsid w:val="001F07D1"/>
    <w:rsid w:val="001F08A2"/>
    <w:rsid w:val="001F102E"/>
    <w:rsid w:val="001F2172"/>
    <w:rsid w:val="001F2F02"/>
    <w:rsid w:val="001F51E1"/>
    <w:rsid w:val="001F620E"/>
    <w:rsid w:val="001F6C6C"/>
    <w:rsid w:val="00200786"/>
    <w:rsid w:val="00200BC1"/>
    <w:rsid w:val="00201197"/>
    <w:rsid w:val="002019B6"/>
    <w:rsid w:val="00203634"/>
    <w:rsid w:val="002039B1"/>
    <w:rsid w:val="00205650"/>
    <w:rsid w:val="00206892"/>
    <w:rsid w:val="00207780"/>
    <w:rsid w:val="002100CF"/>
    <w:rsid w:val="002104EA"/>
    <w:rsid w:val="00211D20"/>
    <w:rsid w:val="002123CC"/>
    <w:rsid w:val="00214282"/>
    <w:rsid w:val="002147E6"/>
    <w:rsid w:val="00214AAD"/>
    <w:rsid w:val="0021532F"/>
    <w:rsid w:val="0021553E"/>
    <w:rsid w:val="00215ABC"/>
    <w:rsid w:val="002165D4"/>
    <w:rsid w:val="00216DA7"/>
    <w:rsid w:val="00217824"/>
    <w:rsid w:val="00220466"/>
    <w:rsid w:val="002207EC"/>
    <w:rsid w:val="00220E39"/>
    <w:rsid w:val="00221233"/>
    <w:rsid w:val="00221632"/>
    <w:rsid w:val="00221C01"/>
    <w:rsid w:val="002223D7"/>
    <w:rsid w:val="00222F5B"/>
    <w:rsid w:val="00223810"/>
    <w:rsid w:val="00224E78"/>
    <w:rsid w:val="0022515B"/>
    <w:rsid w:val="00225602"/>
    <w:rsid w:val="00225A73"/>
    <w:rsid w:val="00225BDB"/>
    <w:rsid w:val="00226025"/>
    <w:rsid w:val="0022670F"/>
    <w:rsid w:val="00226FBD"/>
    <w:rsid w:val="002301BC"/>
    <w:rsid w:val="00230635"/>
    <w:rsid w:val="002312B1"/>
    <w:rsid w:val="00231991"/>
    <w:rsid w:val="00231B81"/>
    <w:rsid w:val="00231C6D"/>
    <w:rsid w:val="00232441"/>
    <w:rsid w:val="00233DFD"/>
    <w:rsid w:val="00234581"/>
    <w:rsid w:val="00234E01"/>
    <w:rsid w:val="00234E76"/>
    <w:rsid w:val="00236A17"/>
    <w:rsid w:val="00236A3C"/>
    <w:rsid w:val="00241819"/>
    <w:rsid w:val="002426C0"/>
    <w:rsid w:val="00242732"/>
    <w:rsid w:val="00242C45"/>
    <w:rsid w:val="00242E99"/>
    <w:rsid w:val="00242F9C"/>
    <w:rsid w:val="00243DF4"/>
    <w:rsid w:val="00243F3F"/>
    <w:rsid w:val="002441F2"/>
    <w:rsid w:val="00245F3F"/>
    <w:rsid w:val="00246931"/>
    <w:rsid w:val="002477B0"/>
    <w:rsid w:val="002524EF"/>
    <w:rsid w:val="00254457"/>
    <w:rsid w:val="002544EF"/>
    <w:rsid w:val="00254D60"/>
    <w:rsid w:val="002556FC"/>
    <w:rsid w:val="00256599"/>
    <w:rsid w:val="00256D3E"/>
    <w:rsid w:val="00260069"/>
    <w:rsid w:val="002607F6"/>
    <w:rsid w:val="00260C67"/>
    <w:rsid w:val="00261CE6"/>
    <w:rsid w:val="00262A76"/>
    <w:rsid w:val="00263348"/>
    <w:rsid w:val="002639D3"/>
    <w:rsid w:val="00263F3B"/>
    <w:rsid w:val="00264032"/>
    <w:rsid w:val="00264321"/>
    <w:rsid w:val="00265279"/>
    <w:rsid w:val="00270FE5"/>
    <w:rsid w:val="00271FD8"/>
    <w:rsid w:val="0027292B"/>
    <w:rsid w:val="0027315D"/>
    <w:rsid w:val="0027399B"/>
    <w:rsid w:val="00273E35"/>
    <w:rsid w:val="00273EDA"/>
    <w:rsid w:val="0027483F"/>
    <w:rsid w:val="002749AD"/>
    <w:rsid w:val="002754DB"/>
    <w:rsid w:val="0027639D"/>
    <w:rsid w:val="0027762A"/>
    <w:rsid w:val="00277B10"/>
    <w:rsid w:val="00277BCA"/>
    <w:rsid w:val="00277C90"/>
    <w:rsid w:val="00281B7D"/>
    <w:rsid w:val="00283B74"/>
    <w:rsid w:val="0028437A"/>
    <w:rsid w:val="00284669"/>
    <w:rsid w:val="002849AA"/>
    <w:rsid w:val="00285593"/>
    <w:rsid w:val="002867FA"/>
    <w:rsid w:val="00286CA5"/>
    <w:rsid w:val="00287444"/>
    <w:rsid w:val="002875E8"/>
    <w:rsid w:val="002879FB"/>
    <w:rsid w:val="00287D5C"/>
    <w:rsid w:val="002918C3"/>
    <w:rsid w:val="0029198A"/>
    <w:rsid w:val="00291DD5"/>
    <w:rsid w:val="00293707"/>
    <w:rsid w:val="002938AF"/>
    <w:rsid w:val="002944E7"/>
    <w:rsid w:val="002945DD"/>
    <w:rsid w:val="002946BF"/>
    <w:rsid w:val="00294AC9"/>
    <w:rsid w:val="00296B74"/>
    <w:rsid w:val="002970FE"/>
    <w:rsid w:val="002974D2"/>
    <w:rsid w:val="002A0274"/>
    <w:rsid w:val="002A0541"/>
    <w:rsid w:val="002A1874"/>
    <w:rsid w:val="002A1CA3"/>
    <w:rsid w:val="002A2540"/>
    <w:rsid w:val="002A25B2"/>
    <w:rsid w:val="002A2DA3"/>
    <w:rsid w:val="002A356A"/>
    <w:rsid w:val="002A37A6"/>
    <w:rsid w:val="002A38E6"/>
    <w:rsid w:val="002A54E8"/>
    <w:rsid w:val="002A77EF"/>
    <w:rsid w:val="002A79FE"/>
    <w:rsid w:val="002A7FC1"/>
    <w:rsid w:val="002B03D8"/>
    <w:rsid w:val="002B0F41"/>
    <w:rsid w:val="002B15BD"/>
    <w:rsid w:val="002B25E6"/>
    <w:rsid w:val="002B269F"/>
    <w:rsid w:val="002B4837"/>
    <w:rsid w:val="002B587F"/>
    <w:rsid w:val="002B5918"/>
    <w:rsid w:val="002B7735"/>
    <w:rsid w:val="002C043A"/>
    <w:rsid w:val="002C0AD0"/>
    <w:rsid w:val="002C1DBE"/>
    <w:rsid w:val="002C2950"/>
    <w:rsid w:val="002C30B3"/>
    <w:rsid w:val="002C41D8"/>
    <w:rsid w:val="002C4E0B"/>
    <w:rsid w:val="002C53B1"/>
    <w:rsid w:val="002C5B76"/>
    <w:rsid w:val="002C5C44"/>
    <w:rsid w:val="002D0241"/>
    <w:rsid w:val="002D0570"/>
    <w:rsid w:val="002D20B8"/>
    <w:rsid w:val="002D3577"/>
    <w:rsid w:val="002D4B17"/>
    <w:rsid w:val="002D5DB0"/>
    <w:rsid w:val="002D5FCC"/>
    <w:rsid w:val="002D6DE3"/>
    <w:rsid w:val="002D7403"/>
    <w:rsid w:val="002D7473"/>
    <w:rsid w:val="002E1279"/>
    <w:rsid w:val="002E2E33"/>
    <w:rsid w:val="002E2FE8"/>
    <w:rsid w:val="002E3402"/>
    <w:rsid w:val="002E35C6"/>
    <w:rsid w:val="002E3AC8"/>
    <w:rsid w:val="002F03D3"/>
    <w:rsid w:val="002F05C1"/>
    <w:rsid w:val="002F0C4B"/>
    <w:rsid w:val="002F0FB6"/>
    <w:rsid w:val="002F1809"/>
    <w:rsid w:val="002F216A"/>
    <w:rsid w:val="002F217A"/>
    <w:rsid w:val="002F2478"/>
    <w:rsid w:val="002F2669"/>
    <w:rsid w:val="002F2895"/>
    <w:rsid w:val="002F3848"/>
    <w:rsid w:val="002F39D9"/>
    <w:rsid w:val="002F3EC4"/>
    <w:rsid w:val="002F44DF"/>
    <w:rsid w:val="002F6479"/>
    <w:rsid w:val="002F6B81"/>
    <w:rsid w:val="002F77D8"/>
    <w:rsid w:val="00301413"/>
    <w:rsid w:val="00301D77"/>
    <w:rsid w:val="00303173"/>
    <w:rsid w:val="00304717"/>
    <w:rsid w:val="00304815"/>
    <w:rsid w:val="00305159"/>
    <w:rsid w:val="00305B1B"/>
    <w:rsid w:val="00306273"/>
    <w:rsid w:val="00306EAA"/>
    <w:rsid w:val="0031073F"/>
    <w:rsid w:val="00310E34"/>
    <w:rsid w:val="00312979"/>
    <w:rsid w:val="003133A6"/>
    <w:rsid w:val="00313CB3"/>
    <w:rsid w:val="00313D34"/>
    <w:rsid w:val="00314326"/>
    <w:rsid w:val="003147DC"/>
    <w:rsid w:val="00315066"/>
    <w:rsid w:val="00315A20"/>
    <w:rsid w:val="00315C89"/>
    <w:rsid w:val="00317681"/>
    <w:rsid w:val="00317712"/>
    <w:rsid w:val="003203E1"/>
    <w:rsid w:val="003215DA"/>
    <w:rsid w:val="00321BF6"/>
    <w:rsid w:val="00324F83"/>
    <w:rsid w:val="003263DD"/>
    <w:rsid w:val="00326DEF"/>
    <w:rsid w:val="003274F3"/>
    <w:rsid w:val="00327731"/>
    <w:rsid w:val="00327D2A"/>
    <w:rsid w:val="003329A2"/>
    <w:rsid w:val="00332E43"/>
    <w:rsid w:val="0033348F"/>
    <w:rsid w:val="00334CAD"/>
    <w:rsid w:val="00334EBA"/>
    <w:rsid w:val="0033579B"/>
    <w:rsid w:val="00335962"/>
    <w:rsid w:val="00335C34"/>
    <w:rsid w:val="0033756D"/>
    <w:rsid w:val="00337F3B"/>
    <w:rsid w:val="00337FAB"/>
    <w:rsid w:val="00343E86"/>
    <w:rsid w:val="003441D6"/>
    <w:rsid w:val="00347298"/>
    <w:rsid w:val="00347409"/>
    <w:rsid w:val="00350002"/>
    <w:rsid w:val="00350024"/>
    <w:rsid w:val="0035016E"/>
    <w:rsid w:val="00350BA6"/>
    <w:rsid w:val="00350C71"/>
    <w:rsid w:val="00350F97"/>
    <w:rsid w:val="0035160D"/>
    <w:rsid w:val="003519B1"/>
    <w:rsid w:val="00351D7E"/>
    <w:rsid w:val="00352C24"/>
    <w:rsid w:val="00352CBB"/>
    <w:rsid w:val="00353A95"/>
    <w:rsid w:val="003543DA"/>
    <w:rsid w:val="00354A95"/>
    <w:rsid w:val="00354FC7"/>
    <w:rsid w:val="00360316"/>
    <w:rsid w:val="00360805"/>
    <w:rsid w:val="003615F8"/>
    <w:rsid w:val="003625E0"/>
    <w:rsid w:val="00362619"/>
    <w:rsid w:val="00363E39"/>
    <w:rsid w:val="00363FEF"/>
    <w:rsid w:val="003656C1"/>
    <w:rsid w:val="00365C8C"/>
    <w:rsid w:val="00365E32"/>
    <w:rsid w:val="0036668B"/>
    <w:rsid w:val="003670B7"/>
    <w:rsid w:val="003676BA"/>
    <w:rsid w:val="003677B2"/>
    <w:rsid w:val="00367ED3"/>
    <w:rsid w:val="0037224B"/>
    <w:rsid w:val="00372517"/>
    <w:rsid w:val="00372C60"/>
    <w:rsid w:val="00373A2D"/>
    <w:rsid w:val="00373B31"/>
    <w:rsid w:val="00373B35"/>
    <w:rsid w:val="00374583"/>
    <w:rsid w:val="0037560D"/>
    <w:rsid w:val="00376A5F"/>
    <w:rsid w:val="00377230"/>
    <w:rsid w:val="00377E6F"/>
    <w:rsid w:val="00380BD9"/>
    <w:rsid w:val="00381471"/>
    <w:rsid w:val="00381709"/>
    <w:rsid w:val="00381E4C"/>
    <w:rsid w:val="00381EE7"/>
    <w:rsid w:val="00381F35"/>
    <w:rsid w:val="003834BF"/>
    <w:rsid w:val="003853C1"/>
    <w:rsid w:val="003870EC"/>
    <w:rsid w:val="003878CD"/>
    <w:rsid w:val="00387E21"/>
    <w:rsid w:val="00387FB4"/>
    <w:rsid w:val="00390267"/>
    <w:rsid w:val="00391A60"/>
    <w:rsid w:val="003926BC"/>
    <w:rsid w:val="00392A88"/>
    <w:rsid w:val="00393390"/>
    <w:rsid w:val="00393645"/>
    <w:rsid w:val="003939A4"/>
    <w:rsid w:val="003950B0"/>
    <w:rsid w:val="0039759F"/>
    <w:rsid w:val="00397EAC"/>
    <w:rsid w:val="003A0F4F"/>
    <w:rsid w:val="003A3095"/>
    <w:rsid w:val="003A31BC"/>
    <w:rsid w:val="003A404F"/>
    <w:rsid w:val="003A4523"/>
    <w:rsid w:val="003A4661"/>
    <w:rsid w:val="003A5CAD"/>
    <w:rsid w:val="003A6797"/>
    <w:rsid w:val="003A6A0C"/>
    <w:rsid w:val="003A72E7"/>
    <w:rsid w:val="003A7CA7"/>
    <w:rsid w:val="003A7E9C"/>
    <w:rsid w:val="003B120C"/>
    <w:rsid w:val="003B12F0"/>
    <w:rsid w:val="003B156E"/>
    <w:rsid w:val="003B18EF"/>
    <w:rsid w:val="003B2E52"/>
    <w:rsid w:val="003B5027"/>
    <w:rsid w:val="003C03AE"/>
    <w:rsid w:val="003C135A"/>
    <w:rsid w:val="003C1F6E"/>
    <w:rsid w:val="003C27E1"/>
    <w:rsid w:val="003C2D91"/>
    <w:rsid w:val="003C3742"/>
    <w:rsid w:val="003C4CCA"/>
    <w:rsid w:val="003C6062"/>
    <w:rsid w:val="003C684B"/>
    <w:rsid w:val="003C69C6"/>
    <w:rsid w:val="003C6D85"/>
    <w:rsid w:val="003C7401"/>
    <w:rsid w:val="003D0F09"/>
    <w:rsid w:val="003D2C55"/>
    <w:rsid w:val="003D3833"/>
    <w:rsid w:val="003D39E0"/>
    <w:rsid w:val="003D3B87"/>
    <w:rsid w:val="003D3F3B"/>
    <w:rsid w:val="003D56DE"/>
    <w:rsid w:val="003D61D0"/>
    <w:rsid w:val="003D6D47"/>
    <w:rsid w:val="003D7613"/>
    <w:rsid w:val="003D79ED"/>
    <w:rsid w:val="003E001C"/>
    <w:rsid w:val="003E06DE"/>
    <w:rsid w:val="003E0AA2"/>
    <w:rsid w:val="003E11FB"/>
    <w:rsid w:val="003E29BA"/>
    <w:rsid w:val="003E2E49"/>
    <w:rsid w:val="003E2F88"/>
    <w:rsid w:val="003E371C"/>
    <w:rsid w:val="003E4238"/>
    <w:rsid w:val="003E4D30"/>
    <w:rsid w:val="003E6523"/>
    <w:rsid w:val="003E7381"/>
    <w:rsid w:val="003E74B7"/>
    <w:rsid w:val="003E7615"/>
    <w:rsid w:val="003F0190"/>
    <w:rsid w:val="003F1ECD"/>
    <w:rsid w:val="003F2D8F"/>
    <w:rsid w:val="003F33A3"/>
    <w:rsid w:val="003F3698"/>
    <w:rsid w:val="003F3E16"/>
    <w:rsid w:val="003F4333"/>
    <w:rsid w:val="003F4753"/>
    <w:rsid w:val="003F6DAB"/>
    <w:rsid w:val="003F6F15"/>
    <w:rsid w:val="003F78E8"/>
    <w:rsid w:val="00400647"/>
    <w:rsid w:val="00402CB6"/>
    <w:rsid w:val="00403E75"/>
    <w:rsid w:val="00405755"/>
    <w:rsid w:val="0040645F"/>
    <w:rsid w:val="004070C6"/>
    <w:rsid w:val="00407A4D"/>
    <w:rsid w:val="00407B7A"/>
    <w:rsid w:val="00410857"/>
    <w:rsid w:val="00413B95"/>
    <w:rsid w:val="004149FD"/>
    <w:rsid w:val="00415CFE"/>
    <w:rsid w:val="00415DE2"/>
    <w:rsid w:val="004160BB"/>
    <w:rsid w:val="00417679"/>
    <w:rsid w:val="00421555"/>
    <w:rsid w:val="004215BC"/>
    <w:rsid w:val="00421CA9"/>
    <w:rsid w:val="00423505"/>
    <w:rsid w:val="00424025"/>
    <w:rsid w:val="00424793"/>
    <w:rsid w:val="004248CA"/>
    <w:rsid w:val="00424B17"/>
    <w:rsid w:val="00426269"/>
    <w:rsid w:val="00427543"/>
    <w:rsid w:val="004302EE"/>
    <w:rsid w:val="0043064B"/>
    <w:rsid w:val="00430DE1"/>
    <w:rsid w:val="00431690"/>
    <w:rsid w:val="00431997"/>
    <w:rsid w:val="004322C1"/>
    <w:rsid w:val="0043424B"/>
    <w:rsid w:val="00434754"/>
    <w:rsid w:val="004352E5"/>
    <w:rsid w:val="004356B0"/>
    <w:rsid w:val="00435756"/>
    <w:rsid w:val="00435D32"/>
    <w:rsid w:val="00435D97"/>
    <w:rsid w:val="00436B72"/>
    <w:rsid w:val="00436E46"/>
    <w:rsid w:val="00437B71"/>
    <w:rsid w:val="00437E19"/>
    <w:rsid w:val="00440258"/>
    <w:rsid w:val="0044032D"/>
    <w:rsid w:val="0044044F"/>
    <w:rsid w:val="0044127F"/>
    <w:rsid w:val="0044153A"/>
    <w:rsid w:val="00441CA3"/>
    <w:rsid w:val="0044265D"/>
    <w:rsid w:val="0044268E"/>
    <w:rsid w:val="004430C5"/>
    <w:rsid w:val="00443559"/>
    <w:rsid w:val="004435D4"/>
    <w:rsid w:val="00445609"/>
    <w:rsid w:val="0044564B"/>
    <w:rsid w:val="00446663"/>
    <w:rsid w:val="004466DC"/>
    <w:rsid w:val="004467DE"/>
    <w:rsid w:val="00446BDE"/>
    <w:rsid w:val="004470A9"/>
    <w:rsid w:val="00447AE1"/>
    <w:rsid w:val="00447D29"/>
    <w:rsid w:val="0045152E"/>
    <w:rsid w:val="00451BA4"/>
    <w:rsid w:val="00455883"/>
    <w:rsid w:val="00456FB1"/>
    <w:rsid w:val="004576D9"/>
    <w:rsid w:val="00457D60"/>
    <w:rsid w:val="00460164"/>
    <w:rsid w:val="004602B6"/>
    <w:rsid w:val="004610EC"/>
    <w:rsid w:val="00461407"/>
    <w:rsid w:val="0046178E"/>
    <w:rsid w:val="004619D5"/>
    <w:rsid w:val="00461BB9"/>
    <w:rsid w:val="004624F4"/>
    <w:rsid w:val="00462691"/>
    <w:rsid w:val="004629A9"/>
    <w:rsid w:val="00463625"/>
    <w:rsid w:val="004659F2"/>
    <w:rsid w:val="00465AA5"/>
    <w:rsid w:val="00465B72"/>
    <w:rsid w:val="00465C7B"/>
    <w:rsid w:val="004661F3"/>
    <w:rsid w:val="0046648E"/>
    <w:rsid w:val="00466504"/>
    <w:rsid w:val="00466BD0"/>
    <w:rsid w:val="00466E8D"/>
    <w:rsid w:val="00467A15"/>
    <w:rsid w:val="00471041"/>
    <w:rsid w:val="00471402"/>
    <w:rsid w:val="00471D6D"/>
    <w:rsid w:val="004729FA"/>
    <w:rsid w:val="00472CF6"/>
    <w:rsid w:val="004741E4"/>
    <w:rsid w:val="00475577"/>
    <w:rsid w:val="00475C29"/>
    <w:rsid w:val="00475FC6"/>
    <w:rsid w:val="00476453"/>
    <w:rsid w:val="00477207"/>
    <w:rsid w:val="0047799C"/>
    <w:rsid w:val="00477B07"/>
    <w:rsid w:val="00481BE1"/>
    <w:rsid w:val="004824DE"/>
    <w:rsid w:val="00483629"/>
    <w:rsid w:val="00483D20"/>
    <w:rsid w:val="0048417B"/>
    <w:rsid w:val="004852D1"/>
    <w:rsid w:val="004858D3"/>
    <w:rsid w:val="00487BFA"/>
    <w:rsid w:val="00490359"/>
    <w:rsid w:val="00490A19"/>
    <w:rsid w:val="004911FC"/>
    <w:rsid w:val="00491E34"/>
    <w:rsid w:val="00492B9C"/>
    <w:rsid w:val="00492FE8"/>
    <w:rsid w:val="00493516"/>
    <w:rsid w:val="00494028"/>
    <w:rsid w:val="004956E2"/>
    <w:rsid w:val="00495999"/>
    <w:rsid w:val="00495D41"/>
    <w:rsid w:val="00495F59"/>
    <w:rsid w:val="004961BA"/>
    <w:rsid w:val="0049676F"/>
    <w:rsid w:val="00496AA7"/>
    <w:rsid w:val="00496AFC"/>
    <w:rsid w:val="00496D17"/>
    <w:rsid w:val="00497619"/>
    <w:rsid w:val="0049772A"/>
    <w:rsid w:val="004A005D"/>
    <w:rsid w:val="004A015F"/>
    <w:rsid w:val="004A07DA"/>
    <w:rsid w:val="004A13D5"/>
    <w:rsid w:val="004A1C89"/>
    <w:rsid w:val="004A1E81"/>
    <w:rsid w:val="004A298F"/>
    <w:rsid w:val="004A54E9"/>
    <w:rsid w:val="004A5DD9"/>
    <w:rsid w:val="004A6CA9"/>
    <w:rsid w:val="004A6F30"/>
    <w:rsid w:val="004A7284"/>
    <w:rsid w:val="004A73BC"/>
    <w:rsid w:val="004B1D96"/>
    <w:rsid w:val="004B1F7B"/>
    <w:rsid w:val="004B283C"/>
    <w:rsid w:val="004B4413"/>
    <w:rsid w:val="004B4480"/>
    <w:rsid w:val="004B456D"/>
    <w:rsid w:val="004B482E"/>
    <w:rsid w:val="004B483C"/>
    <w:rsid w:val="004B5117"/>
    <w:rsid w:val="004B6826"/>
    <w:rsid w:val="004B73C2"/>
    <w:rsid w:val="004B790A"/>
    <w:rsid w:val="004B7C1E"/>
    <w:rsid w:val="004C029D"/>
    <w:rsid w:val="004C094F"/>
    <w:rsid w:val="004C118B"/>
    <w:rsid w:val="004C17CC"/>
    <w:rsid w:val="004C1B22"/>
    <w:rsid w:val="004C1EED"/>
    <w:rsid w:val="004C24A6"/>
    <w:rsid w:val="004C296D"/>
    <w:rsid w:val="004C2C4E"/>
    <w:rsid w:val="004C3204"/>
    <w:rsid w:val="004C391C"/>
    <w:rsid w:val="004C427D"/>
    <w:rsid w:val="004C4479"/>
    <w:rsid w:val="004C4CC1"/>
    <w:rsid w:val="004C5643"/>
    <w:rsid w:val="004C5968"/>
    <w:rsid w:val="004C5EC4"/>
    <w:rsid w:val="004C6B72"/>
    <w:rsid w:val="004C6D13"/>
    <w:rsid w:val="004C7263"/>
    <w:rsid w:val="004C7AD4"/>
    <w:rsid w:val="004D0187"/>
    <w:rsid w:val="004D02DF"/>
    <w:rsid w:val="004D06B6"/>
    <w:rsid w:val="004D0B44"/>
    <w:rsid w:val="004D1F8D"/>
    <w:rsid w:val="004D2387"/>
    <w:rsid w:val="004D42C6"/>
    <w:rsid w:val="004D4C55"/>
    <w:rsid w:val="004D5617"/>
    <w:rsid w:val="004D6F19"/>
    <w:rsid w:val="004D724D"/>
    <w:rsid w:val="004E0457"/>
    <w:rsid w:val="004E14D3"/>
    <w:rsid w:val="004E249B"/>
    <w:rsid w:val="004E251E"/>
    <w:rsid w:val="004E2F54"/>
    <w:rsid w:val="004E38E3"/>
    <w:rsid w:val="004E3BE0"/>
    <w:rsid w:val="004E5FC5"/>
    <w:rsid w:val="004E67B4"/>
    <w:rsid w:val="004E6A08"/>
    <w:rsid w:val="004E6FC5"/>
    <w:rsid w:val="004E7DFD"/>
    <w:rsid w:val="004F052A"/>
    <w:rsid w:val="004F0ECE"/>
    <w:rsid w:val="004F0FB0"/>
    <w:rsid w:val="004F3BD6"/>
    <w:rsid w:val="004F497C"/>
    <w:rsid w:val="004F4A0D"/>
    <w:rsid w:val="004F4C8B"/>
    <w:rsid w:val="004F5C32"/>
    <w:rsid w:val="005005D5"/>
    <w:rsid w:val="00502A91"/>
    <w:rsid w:val="00502F4F"/>
    <w:rsid w:val="00503817"/>
    <w:rsid w:val="00503CE9"/>
    <w:rsid w:val="00504A69"/>
    <w:rsid w:val="005051FD"/>
    <w:rsid w:val="00505A9B"/>
    <w:rsid w:val="00506C56"/>
    <w:rsid w:val="0051076B"/>
    <w:rsid w:val="00513B70"/>
    <w:rsid w:val="00513E01"/>
    <w:rsid w:val="00513E9D"/>
    <w:rsid w:val="00514772"/>
    <w:rsid w:val="00514A53"/>
    <w:rsid w:val="005151B1"/>
    <w:rsid w:val="00515C61"/>
    <w:rsid w:val="00516BA8"/>
    <w:rsid w:val="00516EAA"/>
    <w:rsid w:val="005177BE"/>
    <w:rsid w:val="00517A45"/>
    <w:rsid w:val="00517D00"/>
    <w:rsid w:val="00517FF7"/>
    <w:rsid w:val="005202B6"/>
    <w:rsid w:val="00520718"/>
    <w:rsid w:val="00520904"/>
    <w:rsid w:val="00520D3D"/>
    <w:rsid w:val="00521361"/>
    <w:rsid w:val="005213C6"/>
    <w:rsid w:val="005241AD"/>
    <w:rsid w:val="005257F6"/>
    <w:rsid w:val="00525A79"/>
    <w:rsid w:val="00526C5D"/>
    <w:rsid w:val="0052732A"/>
    <w:rsid w:val="005273D9"/>
    <w:rsid w:val="00530792"/>
    <w:rsid w:val="00530924"/>
    <w:rsid w:val="00530A0D"/>
    <w:rsid w:val="0053144C"/>
    <w:rsid w:val="00531E1C"/>
    <w:rsid w:val="00532711"/>
    <w:rsid w:val="00537AFA"/>
    <w:rsid w:val="005402C6"/>
    <w:rsid w:val="005405FD"/>
    <w:rsid w:val="005412C7"/>
    <w:rsid w:val="0054233F"/>
    <w:rsid w:val="00542D2D"/>
    <w:rsid w:val="00542FA8"/>
    <w:rsid w:val="00543414"/>
    <w:rsid w:val="00543E57"/>
    <w:rsid w:val="00543E74"/>
    <w:rsid w:val="005445B2"/>
    <w:rsid w:val="00544A88"/>
    <w:rsid w:val="005452FE"/>
    <w:rsid w:val="005457D9"/>
    <w:rsid w:val="00545A06"/>
    <w:rsid w:val="005466F3"/>
    <w:rsid w:val="0054750F"/>
    <w:rsid w:val="00547560"/>
    <w:rsid w:val="00550CA0"/>
    <w:rsid w:val="00551418"/>
    <w:rsid w:val="00552887"/>
    <w:rsid w:val="005537B5"/>
    <w:rsid w:val="005538C0"/>
    <w:rsid w:val="00553BD8"/>
    <w:rsid w:val="00553F81"/>
    <w:rsid w:val="005543C3"/>
    <w:rsid w:val="00554747"/>
    <w:rsid w:val="00554973"/>
    <w:rsid w:val="0055497F"/>
    <w:rsid w:val="00555D9D"/>
    <w:rsid w:val="00557251"/>
    <w:rsid w:val="0055731E"/>
    <w:rsid w:val="0055751C"/>
    <w:rsid w:val="00557575"/>
    <w:rsid w:val="00557903"/>
    <w:rsid w:val="00557EE3"/>
    <w:rsid w:val="00560152"/>
    <w:rsid w:val="0056099D"/>
    <w:rsid w:val="00560B5E"/>
    <w:rsid w:val="00560B70"/>
    <w:rsid w:val="00561D67"/>
    <w:rsid w:val="005628B8"/>
    <w:rsid w:val="00565855"/>
    <w:rsid w:val="00565A21"/>
    <w:rsid w:val="00567837"/>
    <w:rsid w:val="0057030C"/>
    <w:rsid w:val="005707F3"/>
    <w:rsid w:val="005718C4"/>
    <w:rsid w:val="005722AE"/>
    <w:rsid w:val="00572489"/>
    <w:rsid w:val="00573A8C"/>
    <w:rsid w:val="005751A3"/>
    <w:rsid w:val="00575B77"/>
    <w:rsid w:val="00577DAE"/>
    <w:rsid w:val="00580270"/>
    <w:rsid w:val="00580E6F"/>
    <w:rsid w:val="005814E2"/>
    <w:rsid w:val="00581908"/>
    <w:rsid w:val="00581960"/>
    <w:rsid w:val="00584CDB"/>
    <w:rsid w:val="00585527"/>
    <w:rsid w:val="00585787"/>
    <w:rsid w:val="00586DC2"/>
    <w:rsid w:val="00590B43"/>
    <w:rsid w:val="00591AD5"/>
    <w:rsid w:val="005920A0"/>
    <w:rsid w:val="00592CB5"/>
    <w:rsid w:val="00592F85"/>
    <w:rsid w:val="00593D00"/>
    <w:rsid w:val="00594BEC"/>
    <w:rsid w:val="00594DBB"/>
    <w:rsid w:val="00597D9E"/>
    <w:rsid w:val="005A1158"/>
    <w:rsid w:val="005A3086"/>
    <w:rsid w:val="005A3C3A"/>
    <w:rsid w:val="005A4642"/>
    <w:rsid w:val="005A4833"/>
    <w:rsid w:val="005A5748"/>
    <w:rsid w:val="005A5CAA"/>
    <w:rsid w:val="005A6997"/>
    <w:rsid w:val="005A7F06"/>
    <w:rsid w:val="005B0252"/>
    <w:rsid w:val="005B0AA9"/>
    <w:rsid w:val="005B20B1"/>
    <w:rsid w:val="005B243D"/>
    <w:rsid w:val="005B5C6D"/>
    <w:rsid w:val="005B63E9"/>
    <w:rsid w:val="005B6861"/>
    <w:rsid w:val="005C022F"/>
    <w:rsid w:val="005C02F7"/>
    <w:rsid w:val="005C12B2"/>
    <w:rsid w:val="005C1681"/>
    <w:rsid w:val="005C18E5"/>
    <w:rsid w:val="005C1C90"/>
    <w:rsid w:val="005C1E9F"/>
    <w:rsid w:val="005C2701"/>
    <w:rsid w:val="005C3366"/>
    <w:rsid w:val="005C391D"/>
    <w:rsid w:val="005C487F"/>
    <w:rsid w:val="005C685D"/>
    <w:rsid w:val="005C7144"/>
    <w:rsid w:val="005C7332"/>
    <w:rsid w:val="005C73AC"/>
    <w:rsid w:val="005C7A4B"/>
    <w:rsid w:val="005C7B55"/>
    <w:rsid w:val="005D0480"/>
    <w:rsid w:val="005D1588"/>
    <w:rsid w:val="005D15DF"/>
    <w:rsid w:val="005D2509"/>
    <w:rsid w:val="005D3723"/>
    <w:rsid w:val="005D4078"/>
    <w:rsid w:val="005D545C"/>
    <w:rsid w:val="005D548C"/>
    <w:rsid w:val="005D5824"/>
    <w:rsid w:val="005D60EC"/>
    <w:rsid w:val="005D7519"/>
    <w:rsid w:val="005D7AD8"/>
    <w:rsid w:val="005E1464"/>
    <w:rsid w:val="005E1DB5"/>
    <w:rsid w:val="005E2264"/>
    <w:rsid w:val="005E29D0"/>
    <w:rsid w:val="005E3321"/>
    <w:rsid w:val="005E373D"/>
    <w:rsid w:val="005E42DA"/>
    <w:rsid w:val="005E548A"/>
    <w:rsid w:val="005E5CEB"/>
    <w:rsid w:val="005E6820"/>
    <w:rsid w:val="005E6846"/>
    <w:rsid w:val="005E6D4B"/>
    <w:rsid w:val="005F0657"/>
    <w:rsid w:val="005F098B"/>
    <w:rsid w:val="005F0C6C"/>
    <w:rsid w:val="005F2EAF"/>
    <w:rsid w:val="005F33E0"/>
    <w:rsid w:val="005F345E"/>
    <w:rsid w:val="005F384B"/>
    <w:rsid w:val="005F3F0C"/>
    <w:rsid w:val="005F4D31"/>
    <w:rsid w:val="005F5557"/>
    <w:rsid w:val="005F57CC"/>
    <w:rsid w:val="005F720F"/>
    <w:rsid w:val="005F72B4"/>
    <w:rsid w:val="005F76CF"/>
    <w:rsid w:val="005F7EB0"/>
    <w:rsid w:val="00600E7F"/>
    <w:rsid w:val="00601BFC"/>
    <w:rsid w:val="00601CA6"/>
    <w:rsid w:val="0060457C"/>
    <w:rsid w:val="0060504E"/>
    <w:rsid w:val="00607B98"/>
    <w:rsid w:val="00610675"/>
    <w:rsid w:val="00610FA1"/>
    <w:rsid w:val="00611196"/>
    <w:rsid w:val="00611844"/>
    <w:rsid w:val="00612996"/>
    <w:rsid w:val="00612A84"/>
    <w:rsid w:val="00612F7A"/>
    <w:rsid w:val="006137B3"/>
    <w:rsid w:val="00614E50"/>
    <w:rsid w:val="006159FF"/>
    <w:rsid w:val="00615A1B"/>
    <w:rsid w:val="00615CCF"/>
    <w:rsid w:val="0061626B"/>
    <w:rsid w:val="006163C1"/>
    <w:rsid w:val="00617131"/>
    <w:rsid w:val="00617FE1"/>
    <w:rsid w:val="00620019"/>
    <w:rsid w:val="0062182A"/>
    <w:rsid w:val="00621E50"/>
    <w:rsid w:val="0062205C"/>
    <w:rsid w:val="00622068"/>
    <w:rsid w:val="00624479"/>
    <w:rsid w:val="00625771"/>
    <w:rsid w:val="0062577D"/>
    <w:rsid w:val="00625C29"/>
    <w:rsid w:val="00625F7E"/>
    <w:rsid w:val="0062608B"/>
    <w:rsid w:val="006267B4"/>
    <w:rsid w:val="00630AFE"/>
    <w:rsid w:val="00631ACA"/>
    <w:rsid w:val="006340A8"/>
    <w:rsid w:val="0063463E"/>
    <w:rsid w:val="00634861"/>
    <w:rsid w:val="00635DDE"/>
    <w:rsid w:val="00635FC5"/>
    <w:rsid w:val="00640782"/>
    <w:rsid w:val="00640F09"/>
    <w:rsid w:val="00641425"/>
    <w:rsid w:val="00642086"/>
    <w:rsid w:val="0064316C"/>
    <w:rsid w:val="006433A0"/>
    <w:rsid w:val="006445BA"/>
    <w:rsid w:val="00644C17"/>
    <w:rsid w:val="00644D87"/>
    <w:rsid w:val="00645BEB"/>
    <w:rsid w:val="006461BC"/>
    <w:rsid w:val="006500B7"/>
    <w:rsid w:val="00650BCE"/>
    <w:rsid w:val="00651B7E"/>
    <w:rsid w:val="00652EE2"/>
    <w:rsid w:val="00653573"/>
    <w:rsid w:val="00654499"/>
    <w:rsid w:val="0065479E"/>
    <w:rsid w:val="006547E9"/>
    <w:rsid w:val="006565C8"/>
    <w:rsid w:val="006568D1"/>
    <w:rsid w:val="00657649"/>
    <w:rsid w:val="006613C2"/>
    <w:rsid w:val="006616F0"/>
    <w:rsid w:val="006625FB"/>
    <w:rsid w:val="00662613"/>
    <w:rsid w:val="00662BD4"/>
    <w:rsid w:val="00663806"/>
    <w:rsid w:val="00663B24"/>
    <w:rsid w:val="006664AD"/>
    <w:rsid w:val="0066798B"/>
    <w:rsid w:val="00667A28"/>
    <w:rsid w:val="006702DD"/>
    <w:rsid w:val="00672639"/>
    <w:rsid w:val="006726FF"/>
    <w:rsid w:val="00673678"/>
    <w:rsid w:val="00673826"/>
    <w:rsid w:val="00674A82"/>
    <w:rsid w:val="00674C13"/>
    <w:rsid w:val="00676326"/>
    <w:rsid w:val="00676517"/>
    <w:rsid w:val="00676A3C"/>
    <w:rsid w:val="00681D94"/>
    <w:rsid w:val="0068203B"/>
    <w:rsid w:val="0068287E"/>
    <w:rsid w:val="00682EB5"/>
    <w:rsid w:val="00683E9A"/>
    <w:rsid w:val="0068428D"/>
    <w:rsid w:val="00684595"/>
    <w:rsid w:val="00684D38"/>
    <w:rsid w:val="00684D7B"/>
    <w:rsid w:val="00687C4B"/>
    <w:rsid w:val="006904F0"/>
    <w:rsid w:val="00691680"/>
    <w:rsid w:val="006925DD"/>
    <w:rsid w:val="00693392"/>
    <w:rsid w:val="0069344C"/>
    <w:rsid w:val="006935AF"/>
    <w:rsid w:val="00694AB2"/>
    <w:rsid w:val="006951CF"/>
    <w:rsid w:val="0069648C"/>
    <w:rsid w:val="006964E6"/>
    <w:rsid w:val="0069693D"/>
    <w:rsid w:val="006A0112"/>
    <w:rsid w:val="006A0BB2"/>
    <w:rsid w:val="006A0E24"/>
    <w:rsid w:val="006A0F1F"/>
    <w:rsid w:val="006A1B94"/>
    <w:rsid w:val="006A1D81"/>
    <w:rsid w:val="006A2C3C"/>
    <w:rsid w:val="006A2D95"/>
    <w:rsid w:val="006A3CCD"/>
    <w:rsid w:val="006A527C"/>
    <w:rsid w:val="006A5BAE"/>
    <w:rsid w:val="006A752A"/>
    <w:rsid w:val="006A75E6"/>
    <w:rsid w:val="006B02C3"/>
    <w:rsid w:val="006B0613"/>
    <w:rsid w:val="006B06D0"/>
    <w:rsid w:val="006B089D"/>
    <w:rsid w:val="006B104B"/>
    <w:rsid w:val="006B339E"/>
    <w:rsid w:val="006B35C5"/>
    <w:rsid w:val="006B37F3"/>
    <w:rsid w:val="006B41C5"/>
    <w:rsid w:val="006B4B81"/>
    <w:rsid w:val="006B5360"/>
    <w:rsid w:val="006B546B"/>
    <w:rsid w:val="006B5D2E"/>
    <w:rsid w:val="006B65F0"/>
    <w:rsid w:val="006B6C3E"/>
    <w:rsid w:val="006C024F"/>
    <w:rsid w:val="006C25C5"/>
    <w:rsid w:val="006C2C81"/>
    <w:rsid w:val="006C340D"/>
    <w:rsid w:val="006C37CC"/>
    <w:rsid w:val="006C4261"/>
    <w:rsid w:val="006C43B6"/>
    <w:rsid w:val="006C4680"/>
    <w:rsid w:val="006C46A3"/>
    <w:rsid w:val="006C4D4B"/>
    <w:rsid w:val="006C4D62"/>
    <w:rsid w:val="006C6026"/>
    <w:rsid w:val="006C66CF"/>
    <w:rsid w:val="006C7C7A"/>
    <w:rsid w:val="006D1883"/>
    <w:rsid w:val="006D1D9C"/>
    <w:rsid w:val="006D2033"/>
    <w:rsid w:val="006D39C7"/>
    <w:rsid w:val="006D3DEB"/>
    <w:rsid w:val="006D41D5"/>
    <w:rsid w:val="006D425F"/>
    <w:rsid w:val="006D4B8D"/>
    <w:rsid w:val="006D4D68"/>
    <w:rsid w:val="006D509D"/>
    <w:rsid w:val="006D598D"/>
    <w:rsid w:val="006D5DB2"/>
    <w:rsid w:val="006D689D"/>
    <w:rsid w:val="006D716A"/>
    <w:rsid w:val="006D7875"/>
    <w:rsid w:val="006E1D08"/>
    <w:rsid w:val="006E3BFA"/>
    <w:rsid w:val="006E456E"/>
    <w:rsid w:val="006E4E59"/>
    <w:rsid w:val="006E4EA9"/>
    <w:rsid w:val="006E5F28"/>
    <w:rsid w:val="006E6B84"/>
    <w:rsid w:val="006E6D6E"/>
    <w:rsid w:val="006E772D"/>
    <w:rsid w:val="006E7F84"/>
    <w:rsid w:val="006E7FB1"/>
    <w:rsid w:val="006F1D73"/>
    <w:rsid w:val="006F1E91"/>
    <w:rsid w:val="006F2405"/>
    <w:rsid w:val="006F3568"/>
    <w:rsid w:val="006F3B49"/>
    <w:rsid w:val="006F44EE"/>
    <w:rsid w:val="006F4E97"/>
    <w:rsid w:val="006F609C"/>
    <w:rsid w:val="006F61C2"/>
    <w:rsid w:val="006F651F"/>
    <w:rsid w:val="006F6897"/>
    <w:rsid w:val="006F7493"/>
    <w:rsid w:val="006F7C4E"/>
    <w:rsid w:val="0070277F"/>
    <w:rsid w:val="007032E9"/>
    <w:rsid w:val="00703F73"/>
    <w:rsid w:val="00704270"/>
    <w:rsid w:val="0070435D"/>
    <w:rsid w:val="00704647"/>
    <w:rsid w:val="00705148"/>
    <w:rsid w:val="00705DDE"/>
    <w:rsid w:val="007066E6"/>
    <w:rsid w:val="00706B99"/>
    <w:rsid w:val="00706BF0"/>
    <w:rsid w:val="007076F7"/>
    <w:rsid w:val="00707CDB"/>
    <w:rsid w:val="007107FF"/>
    <w:rsid w:val="00711025"/>
    <w:rsid w:val="0071188C"/>
    <w:rsid w:val="00711912"/>
    <w:rsid w:val="00711B43"/>
    <w:rsid w:val="007124CE"/>
    <w:rsid w:val="00712900"/>
    <w:rsid w:val="00712B9C"/>
    <w:rsid w:val="00712CF8"/>
    <w:rsid w:val="00712EA3"/>
    <w:rsid w:val="00713BAF"/>
    <w:rsid w:val="007142F4"/>
    <w:rsid w:val="00714E81"/>
    <w:rsid w:val="00715473"/>
    <w:rsid w:val="007204E4"/>
    <w:rsid w:val="00720AE4"/>
    <w:rsid w:val="0072131C"/>
    <w:rsid w:val="0072350F"/>
    <w:rsid w:val="00723C5B"/>
    <w:rsid w:val="00723FB8"/>
    <w:rsid w:val="0072406B"/>
    <w:rsid w:val="0072414F"/>
    <w:rsid w:val="00724579"/>
    <w:rsid w:val="0072462D"/>
    <w:rsid w:val="00724D47"/>
    <w:rsid w:val="00724F6E"/>
    <w:rsid w:val="007250BB"/>
    <w:rsid w:val="00725F14"/>
    <w:rsid w:val="00726EEB"/>
    <w:rsid w:val="00727031"/>
    <w:rsid w:val="00727AD6"/>
    <w:rsid w:val="007301DD"/>
    <w:rsid w:val="007306E9"/>
    <w:rsid w:val="00731059"/>
    <w:rsid w:val="00731703"/>
    <w:rsid w:val="007323BC"/>
    <w:rsid w:val="00732605"/>
    <w:rsid w:val="00732925"/>
    <w:rsid w:val="007338C2"/>
    <w:rsid w:val="00734E99"/>
    <w:rsid w:val="00734ED5"/>
    <w:rsid w:val="007354C1"/>
    <w:rsid w:val="00737AA3"/>
    <w:rsid w:val="00737E37"/>
    <w:rsid w:val="007410E8"/>
    <w:rsid w:val="007426A3"/>
    <w:rsid w:val="00745CAC"/>
    <w:rsid w:val="00745DA3"/>
    <w:rsid w:val="0074670D"/>
    <w:rsid w:val="00746D97"/>
    <w:rsid w:val="00747F96"/>
    <w:rsid w:val="0074F33E"/>
    <w:rsid w:val="00750229"/>
    <w:rsid w:val="007505F3"/>
    <w:rsid w:val="00750D08"/>
    <w:rsid w:val="00751676"/>
    <w:rsid w:val="00751C95"/>
    <w:rsid w:val="00752850"/>
    <w:rsid w:val="00752BDD"/>
    <w:rsid w:val="007537E0"/>
    <w:rsid w:val="00755AD0"/>
    <w:rsid w:val="00756737"/>
    <w:rsid w:val="00756E96"/>
    <w:rsid w:val="00756FBC"/>
    <w:rsid w:val="0075735F"/>
    <w:rsid w:val="007574C1"/>
    <w:rsid w:val="00757AA2"/>
    <w:rsid w:val="007608B6"/>
    <w:rsid w:val="00760D8D"/>
    <w:rsid w:val="00762651"/>
    <w:rsid w:val="007631DB"/>
    <w:rsid w:val="007632F3"/>
    <w:rsid w:val="007633E6"/>
    <w:rsid w:val="0076370C"/>
    <w:rsid w:val="0076431C"/>
    <w:rsid w:val="00764379"/>
    <w:rsid w:val="00764F24"/>
    <w:rsid w:val="0076575B"/>
    <w:rsid w:val="00765A66"/>
    <w:rsid w:val="007661E5"/>
    <w:rsid w:val="00766ACF"/>
    <w:rsid w:val="007670BC"/>
    <w:rsid w:val="00767128"/>
    <w:rsid w:val="00767BA5"/>
    <w:rsid w:val="00770799"/>
    <w:rsid w:val="007707BC"/>
    <w:rsid w:val="00770A14"/>
    <w:rsid w:val="007710E3"/>
    <w:rsid w:val="00771BCE"/>
    <w:rsid w:val="00772875"/>
    <w:rsid w:val="00772B04"/>
    <w:rsid w:val="0077382E"/>
    <w:rsid w:val="00773EE4"/>
    <w:rsid w:val="007748D4"/>
    <w:rsid w:val="00775B47"/>
    <w:rsid w:val="0077618A"/>
    <w:rsid w:val="00776746"/>
    <w:rsid w:val="00777709"/>
    <w:rsid w:val="00777824"/>
    <w:rsid w:val="007778BB"/>
    <w:rsid w:val="007779E9"/>
    <w:rsid w:val="007802EB"/>
    <w:rsid w:val="007826C4"/>
    <w:rsid w:val="00782A7B"/>
    <w:rsid w:val="007836CB"/>
    <w:rsid w:val="00785926"/>
    <w:rsid w:val="007869C6"/>
    <w:rsid w:val="00787137"/>
    <w:rsid w:val="00787266"/>
    <w:rsid w:val="00787696"/>
    <w:rsid w:val="00792E23"/>
    <w:rsid w:val="00793007"/>
    <w:rsid w:val="0079377C"/>
    <w:rsid w:val="0079440C"/>
    <w:rsid w:val="0079456B"/>
    <w:rsid w:val="007945DE"/>
    <w:rsid w:val="00794949"/>
    <w:rsid w:val="00794988"/>
    <w:rsid w:val="00794CD2"/>
    <w:rsid w:val="007953BB"/>
    <w:rsid w:val="00796232"/>
    <w:rsid w:val="007A01AC"/>
    <w:rsid w:val="007A1C54"/>
    <w:rsid w:val="007A31EC"/>
    <w:rsid w:val="007A3B43"/>
    <w:rsid w:val="007A3DA0"/>
    <w:rsid w:val="007A570F"/>
    <w:rsid w:val="007A5A3F"/>
    <w:rsid w:val="007A6084"/>
    <w:rsid w:val="007A65A4"/>
    <w:rsid w:val="007A6900"/>
    <w:rsid w:val="007A6BD4"/>
    <w:rsid w:val="007A6D40"/>
    <w:rsid w:val="007A71FF"/>
    <w:rsid w:val="007B0767"/>
    <w:rsid w:val="007B2169"/>
    <w:rsid w:val="007B256A"/>
    <w:rsid w:val="007B5156"/>
    <w:rsid w:val="007B518E"/>
    <w:rsid w:val="007B6582"/>
    <w:rsid w:val="007B7397"/>
    <w:rsid w:val="007B750D"/>
    <w:rsid w:val="007B78D2"/>
    <w:rsid w:val="007C0AC6"/>
    <w:rsid w:val="007C1DF3"/>
    <w:rsid w:val="007C2A2F"/>
    <w:rsid w:val="007C3980"/>
    <w:rsid w:val="007C47D1"/>
    <w:rsid w:val="007C5173"/>
    <w:rsid w:val="007C5A14"/>
    <w:rsid w:val="007C61B8"/>
    <w:rsid w:val="007C6797"/>
    <w:rsid w:val="007D05BF"/>
    <w:rsid w:val="007D087D"/>
    <w:rsid w:val="007D13D2"/>
    <w:rsid w:val="007D1B83"/>
    <w:rsid w:val="007D27CB"/>
    <w:rsid w:val="007D357B"/>
    <w:rsid w:val="007D3A88"/>
    <w:rsid w:val="007D3EDB"/>
    <w:rsid w:val="007D419F"/>
    <w:rsid w:val="007D44FC"/>
    <w:rsid w:val="007D5774"/>
    <w:rsid w:val="007D5CA8"/>
    <w:rsid w:val="007D6D93"/>
    <w:rsid w:val="007D71D8"/>
    <w:rsid w:val="007D7528"/>
    <w:rsid w:val="007D7D42"/>
    <w:rsid w:val="007E01B8"/>
    <w:rsid w:val="007E0639"/>
    <w:rsid w:val="007E0EC9"/>
    <w:rsid w:val="007E13FF"/>
    <w:rsid w:val="007E1F89"/>
    <w:rsid w:val="007E244C"/>
    <w:rsid w:val="007E2AD3"/>
    <w:rsid w:val="007E4B16"/>
    <w:rsid w:val="007E4F96"/>
    <w:rsid w:val="007E738C"/>
    <w:rsid w:val="007E7D16"/>
    <w:rsid w:val="007F10B8"/>
    <w:rsid w:val="007F15F7"/>
    <w:rsid w:val="007F3AD7"/>
    <w:rsid w:val="007F4889"/>
    <w:rsid w:val="007F4F81"/>
    <w:rsid w:val="007F5325"/>
    <w:rsid w:val="007F57D4"/>
    <w:rsid w:val="007F6305"/>
    <w:rsid w:val="007F761C"/>
    <w:rsid w:val="008003CB"/>
    <w:rsid w:val="00800C76"/>
    <w:rsid w:val="00801A13"/>
    <w:rsid w:val="00801CFB"/>
    <w:rsid w:val="00801F8B"/>
    <w:rsid w:val="00801FC6"/>
    <w:rsid w:val="00802D14"/>
    <w:rsid w:val="00802E7C"/>
    <w:rsid w:val="00803B20"/>
    <w:rsid w:val="00803F15"/>
    <w:rsid w:val="0080471A"/>
    <w:rsid w:val="00804DB9"/>
    <w:rsid w:val="008056B5"/>
    <w:rsid w:val="00807361"/>
    <w:rsid w:val="00810665"/>
    <w:rsid w:val="00810768"/>
    <w:rsid w:val="00810FE9"/>
    <w:rsid w:val="00811E29"/>
    <w:rsid w:val="00812A41"/>
    <w:rsid w:val="00812B79"/>
    <w:rsid w:val="00812DB4"/>
    <w:rsid w:val="00814B4C"/>
    <w:rsid w:val="0081513E"/>
    <w:rsid w:val="0081576B"/>
    <w:rsid w:val="00815E86"/>
    <w:rsid w:val="0081616A"/>
    <w:rsid w:val="00816E8F"/>
    <w:rsid w:val="00816F06"/>
    <w:rsid w:val="00817737"/>
    <w:rsid w:val="00817B21"/>
    <w:rsid w:val="00821218"/>
    <w:rsid w:val="008214C0"/>
    <w:rsid w:val="00821FAF"/>
    <w:rsid w:val="0082342F"/>
    <w:rsid w:val="00823508"/>
    <w:rsid w:val="00824AF4"/>
    <w:rsid w:val="00824B0F"/>
    <w:rsid w:val="00825840"/>
    <w:rsid w:val="00826834"/>
    <w:rsid w:val="008270A0"/>
    <w:rsid w:val="0082757C"/>
    <w:rsid w:val="0083025D"/>
    <w:rsid w:val="00830868"/>
    <w:rsid w:val="0083095D"/>
    <w:rsid w:val="0083202E"/>
    <w:rsid w:val="00832B09"/>
    <w:rsid w:val="00833251"/>
    <w:rsid w:val="00833352"/>
    <w:rsid w:val="008343A7"/>
    <w:rsid w:val="00835E60"/>
    <w:rsid w:val="008363D6"/>
    <w:rsid w:val="008364CC"/>
    <w:rsid w:val="008371B4"/>
    <w:rsid w:val="00840885"/>
    <w:rsid w:val="008413DD"/>
    <w:rsid w:val="0084141D"/>
    <w:rsid w:val="00841948"/>
    <w:rsid w:val="008419EE"/>
    <w:rsid w:val="0084213D"/>
    <w:rsid w:val="00842424"/>
    <w:rsid w:val="0084260B"/>
    <w:rsid w:val="0084288A"/>
    <w:rsid w:val="00843082"/>
    <w:rsid w:val="008436EA"/>
    <w:rsid w:val="00844597"/>
    <w:rsid w:val="0084505C"/>
    <w:rsid w:val="00845175"/>
    <w:rsid w:val="008473C6"/>
    <w:rsid w:val="008507C9"/>
    <w:rsid w:val="00852482"/>
    <w:rsid w:val="00853167"/>
    <w:rsid w:val="00853C74"/>
    <w:rsid w:val="0085413B"/>
    <w:rsid w:val="008542E9"/>
    <w:rsid w:val="008553FC"/>
    <w:rsid w:val="008560B3"/>
    <w:rsid w:val="008563CE"/>
    <w:rsid w:val="0085733F"/>
    <w:rsid w:val="0085738D"/>
    <w:rsid w:val="00857548"/>
    <w:rsid w:val="0086060C"/>
    <w:rsid w:val="008608A9"/>
    <w:rsid w:val="008612B6"/>
    <w:rsid w:val="008616FE"/>
    <w:rsid w:val="00861ACB"/>
    <w:rsid w:val="00861B0C"/>
    <w:rsid w:val="00861D7A"/>
    <w:rsid w:val="00861FBC"/>
    <w:rsid w:val="0086232C"/>
    <w:rsid w:val="008624E8"/>
    <w:rsid w:val="00862957"/>
    <w:rsid w:val="00863AF9"/>
    <w:rsid w:val="00863E53"/>
    <w:rsid w:val="00864E0C"/>
    <w:rsid w:val="00865496"/>
    <w:rsid w:val="00865896"/>
    <w:rsid w:val="008659B0"/>
    <w:rsid w:val="00865DC3"/>
    <w:rsid w:val="00867962"/>
    <w:rsid w:val="00870C26"/>
    <w:rsid w:val="00871708"/>
    <w:rsid w:val="00871A33"/>
    <w:rsid w:val="008725D3"/>
    <w:rsid w:val="008735B6"/>
    <w:rsid w:val="00873C4C"/>
    <w:rsid w:val="00874022"/>
    <w:rsid w:val="00874AC1"/>
    <w:rsid w:val="0087512D"/>
    <w:rsid w:val="0087571D"/>
    <w:rsid w:val="00875E65"/>
    <w:rsid w:val="00875F0C"/>
    <w:rsid w:val="00876524"/>
    <w:rsid w:val="00876C6A"/>
    <w:rsid w:val="00877388"/>
    <w:rsid w:val="0088002A"/>
    <w:rsid w:val="00880375"/>
    <w:rsid w:val="008811B4"/>
    <w:rsid w:val="00884267"/>
    <w:rsid w:val="00885ACB"/>
    <w:rsid w:val="008874DE"/>
    <w:rsid w:val="008878D2"/>
    <w:rsid w:val="00890924"/>
    <w:rsid w:val="00891CF5"/>
    <w:rsid w:val="00892159"/>
    <w:rsid w:val="008925D8"/>
    <w:rsid w:val="00892FB3"/>
    <w:rsid w:val="008930D9"/>
    <w:rsid w:val="008939FF"/>
    <w:rsid w:val="00893E3B"/>
    <w:rsid w:val="0089431F"/>
    <w:rsid w:val="00895CD6"/>
    <w:rsid w:val="008A0705"/>
    <w:rsid w:val="008A23B7"/>
    <w:rsid w:val="008A3632"/>
    <w:rsid w:val="008A3B34"/>
    <w:rsid w:val="008A3C23"/>
    <w:rsid w:val="008A3DCC"/>
    <w:rsid w:val="008A3F8B"/>
    <w:rsid w:val="008A48F1"/>
    <w:rsid w:val="008A5802"/>
    <w:rsid w:val="008A6331"/>
    <w:rsid w:val="008A68C2"/>
    <w:rsid w:val="008A791F"/>
    <w:rsid w:val="008B06B8"/>
    <w:rsid w:val="008B06C6"/>
    <w:rsid w:val="008B120C"/>
    <w:rsid w:val="008B1340"/>
    <w:rsid w:val="008B1857"/>
    <w:rsid w:val="008B1EF3"/>
    <w:rsid w:val="008B2E3E"/>
    <w:rsid w:val="008B3085"/>
    <w:rsid w:val="008B3E84"/>
    <w:rsid w:val="008B4B47"/>
    <w:rsid w:val="008B4BA6"/>
    <w:rsid w:val="008B4FEF"/>
    <w:rsid w:val="008B5F0C"/>
    <w:rsid w:val="008B79C3"/>
    <w:rsid w:val="008B7D9C"/>
    <w:rsid w:val="008C075E"/>
    <w:rsid w:val="008C08DC"/>
    <w:rsid w:val="008C0A27"/>
    <w:rsid w:val="008C1E36"/>
    <w:rsid w:val="008C20A4"/>
    <w:rsid w:val="008C2338"/>
    <w:rsid w:val="008C5079"/>
    <w:rsid w:val="008C5088"/>
    <w:rsid w:val="008C5ED2"/>
    <w:rsid w:val="008C63FF"/>
    <w:rsid w:val="008C641E"/>
    <w:rsid w:val="008C64D2"/>
    <w:rsid w:val="008C79C7"/>
    <w:rsid w:val="008C7E68"/>
    <w:rsid w:val="008D0476"/>
    <w:rsid w:val="008D06D3"/>
    <w:rsid w:val="008D080C"/>
    <w:rsid w:val="008D3535"/>
    <w:rsid w:val="008D3A7C"/>
    <w:rsid w:val="008D4376"/>
    <w:rsid w:val="008D574D"/>
    <w:rsid w:val="008D58DF"/>
    <w:rsid w:val="008D5C85"/>
    <w:rsid w:val="008D686A"/>
    <w:rsid w:val="008D7E6B"/>
    <w:rsid w:val="008E0F29"/>
    <w:rsid w:val="008E1739"/>
    <w:rsid w:val="008E20DF"/>
    <w:rsid w:val="008E2CB1"/>
    <w:rsid w:val="008E4339"/>
    <w:rsid w:val="008E53D5"/>
    <w:rsid w:val="008E69BE"/>
    <w:rsid w:val="008F3A70"/>
    <w:rsid w:val="008F4264"/>
    <w:rsid w:val="008F50F6"/>
    <w:rsid w:val="008F534D"/>
    <w:rsid w:val="008F6100"/>
    <w:rsid w:val="008F6A01"/>
    <w:rsid w:val="00900BB1"/>
    <w:rsid w:val="00901A46"/>
    <w:rsid w:val="00903146"/>
    <w:rsid w:val="009039AF"/>
    <w:rsid w:val="00903E6A"/>
    <w:rsid w:val="00904A15"/>
    <w:rsid w:val="00905700"/>
    <w:rsid w:val="00910704"/>
    <w:rsid w:val="0091082D"/>
    <w:rsid w:val="009115DA"/>
    <w:rsid w:val="00912496"/>
    <w:rsid w:val="009129DD"/>
    <w:rsid w:val="00912CAC"/>
    <w:rsid w:val="0091340A"/>
    <w:rsid w:val="00913927"/>
    <w:rsid w:val="009139B2"/>
    <w:rsid w:val="00914533"/>
    <w:rsid w:val="00914542"/>
    <w:rsid w:val="00914EB1"/>
    <w:rsid w:val="0091511B"/>
    <w:rsid w:val="00915CDD"/>
    <w:rsid w:val="00916413"/>
    <w:rsid w:val="00916CA0"/>
    <w:rsid w:val="009170AB"/>
    <w:rsid w:val="009173CB"/>
    <w:rsid w:val="00917BD1"/>
    <w:rsid w:val="00917CF0"/>
    <w:rsid w:val="00920549"/>
    <w:rsid w:val="009206EF"/>
    <w:rsid w:val="00921297"/>
    <w:rsid w:val="00921F4E"/>
    <w:rsid w:val="0092228F"/>
    <w:rsid w:val="009229E7"/>
    <w:rsid w:val="00923D8A"/>
    <w:rsid w:val="00923E17"/>
    <w:rsid w:val="00924919"/>
    <w:rsid w:val="00924E27"/>
    <w:rsid w:val="00926B80"/>
    <w:rsid w:val="00926D5F"/>
    <w:rsid w:val="00926E1B"/>
    <w:rsid w:val="00927064"/>
    <w:rsid w:val="0092726E"/>
    <w:rsid w:val="00927455"/>
    <w:rsid w:val="009274B7"/>
    <w:rsid w:val="00927B30"/>
    <w:rsid w:val="00930668"/>
    <w:rsid w:val="009307E2"/>
    <w:rsid w:val="00930856"/>
    <w:rsid w:val="00930EAB"/>
    <w:rsid w:val="00931F64"/>
    <w:rsid w:val="0093250C"/>
    <w:rsid w:val="00933066"/>
    <w:rsid w:val="0093630B"/>
    <w:rsid w:val="0093738A"/>
    <w:rsid w:val="0094117D"/>
    <w:rsid w:val="00941D80"/>
    <w:rsid w:val="00943355"/>
    <w:rsid w:val="009434AE"/>
    <w:rsid w:val="00943EC0"/>
    <w:rsid w:val="00944A14"/>
    <w:rsid w:val="00944CF9"/>
    <w:rsid w:val="00944D8B"/>
    <w:rsid w:val="0094539F"/>
    <w:rsid w:val="00945551"/>
    <w:rsid w:val="00947EB1"/>
    <w:rsid w:val="009502BE"/>
    <w:rsid w:val="009522AF"/>
    <w:rsid w:val="00954B0D"/>
    <w:rsid w:val="009550F6"/>
    <w:rsid w:val="00955529"/>
    <w:rsid w:val="00957AD6"/>
    <w:rsid w:val="00960520"/>
    <w:rsid w:val="009615E8"/>
    <w:rsid w:val="00962596"/>
    <w:rsid w:val="00962BDE"/>
    <w:rsid w:val="00963170"/>
    <w:rsid w:val="00963921"/>
    <w:rsid w:val="00964DA8"/>
    <w:rsid w:val="00964E46"/>
    <w:rsid w:val="0096651A"/>
    <w:rsid w:val="00966742"/>
    <w:rsid w:val="00966CDA"/>
    <w:rsid w:val="00966E21"/>
    <w:rsid w:val="009675BA"/>
    <w:rsid w:val="00967C23"/>
    <w:rsid w:val="00970206"/>
    <w:rsid w:val="009702D4"/>
    <w:rsid w:val="00970821"/>
    <w:rsid w:val="00970DEB"/>
    <w:rsid w:val="00971030"/>
    <w:rsid w:val="00971297"/>
    <w:rsid w:val="0097140B"/>
    <w:rsid w:val="00973F51"/>
    <w:rsid w:val="00974214"/>
    <w:rsid w:val="00975144"/>
    <w:rsid w:val="009762DC"/>
    <w:rsid w:val="00976889"/>
    <w:rsid w:val="0097689A"/>
    <w:rsid w:val="00976BE1"/>
    <w:rsid w:val="009770A2"/>
    <w:rsid w:val="00977A10"/>
    <w:rsid w:val="00981924"/>
    <w:rsid w:val="00982245"/>
    <w:rsid w:val="009823C3"/>
    <w:rsid w:val="009825F5"/>
    <w:rsid w:val="00984248"/>
    <w:rsid w:val="00984797"/>
    <w:rsid w:val="00984E90"/>
    <w:rsid w:val="009853F5"/>
    <w:rsid w:val="00985C16"/>
    <w:rsid w:val="009863C8"/>
    <w:rsid w:val="00986758"/>
    <w:rsid w:val="00986E40"/>
    <w:rsid w:val="0098736F"/>
    <w:rsid w:val="00987848"/>
    <w:rsid w:val="00987C51"/>
    <w:rsid w:val="00990E1A"/>
    <w:rsid w:val="00991292"/>
    <w:rsid w:val="009915CD"/>
    <w:rsid w:val="009916DB"/>
    <w:rsid w:val="00992C47"/>
    <w:rsid w:val="009932D0"/>
    <w:rsid w:val="00993379"/>
    <w:rsid w:val="009968A6"/>
    <w:rsid w:val="009968BB"/>
    <w:rsid w:val="0099753D"/>
    <w:rsid w:val="00997755"/>
    <w:rsid w:val="009979BE"/>
    <w:rsid w:val="00997B15"/>
    <w:rsid w:val="00997FE9"/>
    <w:rsid w:val="009A006B"/>
    <w:rsid w:val="009A0F45"/>
    <w:rsid w:val="009A1BF4"/>
    <w:rsid w:val="009A2A6D"/>
    <w:rsid w:val="009A3203"/>
    <w:rsid w:val="009A39C0"/>
    <w:rsid w:val="009A3BBE"/>
    <w:rsid w:val="009A5199"/>
    <w:rsid w:val="009A52E6"/>
    <w:rsid w:val="009A5E98"/>
    <w:rsid w:val="009A6360"/>
    <w:rsid w:val="009B0B7E"/>
    <w:rsid w:val="009B2B3C"/>
    <w:rsid w:val="009B377A"/>
    <w:rsid w:val="009B380E"/>
    <w:rsid w:val="009B5112"/>
    <w:rsid w:val="009B5642"/>
    <w:rsid w:val="009B5EF4"/>
    <w:rsid w:val="009B6A9F"/>
    <w:rsid w:val="009B6DAB"/>
    <w:rsid w:val="009C08F7"/>
    <w:rsid w:val="009C1182"/>
    <w:rsid w:val="009C2FA8"/>
    <w:rsid w:val="009C47B8"/>
    <w:rsid w:val="009C53FA"/>
    <w:rsid w:val="009C5A6A"/>
    <w:rsid w:val="009C65EA"/>
    <w:rsid w:val="009C6DDC"/>
    <w:rsid w:val="009D046B"/>
    <w:rsid w:val="009D0D0D"/>
    <w:rsid w:val="009D0F54"/>
    <w:rsid w:val="009D1409"/>
    <w:rsid w:val="009D4D8D"/>
    <w:rsid w:val="009D63AD"/>
    <w:rsid w:val="009D66F7"/>
    <w:rsid w:val="009D6E07"/>
    <w:rsid w:val="009D73D8"/>
    <w:rsid w:val="009E05A2"/>
    <w:rsid w:val="009E0748"/>
    <w:rsid w:val="009E1119"/>
    <w:rsid w:val="009E200E"/>
    <w:rsid w:val="009E20C0"/>
    <w:rsid w:val="009E2538"/>
    <w:rsid w:val="009E3AFC"/>
    <w:rsid w:val="009E5675"/>
    <w:rsid w:val="009F042E"/>
    <w:rsid w:val="009F04F3"/>
    <w:rsid w:val="009F0879"/>
    <w:rsid w:val="009F0E1F"/>
    <w:rsid w:val="009F1E29"/>
    <w:rsid w:val="009F2778"/>
    <w:rsid w:val="009F330C"/>
    <w:rsid w:val="009F3817"/>
    <w:rsid w:val="009F3FAF"/>
    <w:rsid w:val="009F4287"/>
    <w:rsid w:val="009F58C6"/>
    <w:rsid w:val="009F5AE4"/>
    <w:rsid w:val="009F6747"/>
    <w:rsid w:val="009F7948"/>
    <w:rsid w:val="00A00181"/>
    <w:rsid w:val="00A00BC1"/>
    <w:rsid w:val="00A00FAE"/>
    <w:rsid w:val="00A02C43"/>
    <w:rsid w:val="00A03885"/>
    <w:rsid w:val="00A038F4"/>
    <w:rsid w:val="00A04DA8"/>
    <w:rsid w:val="00A053A7"/>
    <w:rsid w:val="00A05B1E"/>
    <w:rsid w:val="00A1238E"/>
    <w:rsid w:val="00A125E5"/>
    <w:rsid w:val="00A12E28"/>
    <w:rsid w:val="00A13F87"/>
    <w:rsid w:val="00A150BF"/>
    <w:rsid w:val="00A154D1"/>
    <w:rsid w:val="00A15669"/>
    <w:rsid w:val="00A16522"/>
    <w:rsid w:val="00A174C1"/>
    <w:rsid w:val="00A17F70"/>
    <w:rsid w:val="00A17FA0"/>
    <w:rsid w:val="00A20127"/>
    <w:rsid w:val="00A22D25"/>
    <w:rsid w:val="00A2326C"/>
    <w:rsid w:val="00A23FC3"/>
    <w:rsid w:val="00A2414A"/>
    <w:rsid w:val="00A24487"/>
    <w:rsid w:val="00A24BFF"/>
    <w:rsid w:val="00A25B80"/>
    <w:rsid w:val="00A26268"/>
    <w:rsid w:val="00A26F4C"/>
    <w:rsid w:val="00A26F9B"/>
    <w:rsid w:val="00A300B1"/>
    <w:rsid w:val="00A3059B"/>
    <w:rsid w:val="00A30EAD"/>
    <w:rsid w:val="00A3356B"/>
    <w:rsid w:val="00A3380A"/>
    <w:rsid w:val="00A341DE"/>
    <w:rsid w:val="00A345A0"/>
    <w:rsid w:val="00A34890"/>
    <w:rsid w:val="00A35337"/>
    <w:rsid w:val="00A355B6"/>
    <w:rsid w:val="00A364AE"/>
    <w:rsid w:val="00A36AA9"/>
    <w:rsid w:val="00A37B83"/>
    <w:rsid w:val="00A4096C"/>
    <w:rsid w:val="00A41A16"/>
    <w:rsid w:val="00A41F63"/>
    <w:rsid w:val="00A43152"/>
    <w:rsid w:val="00A4422A"/>
    <w:rsid w:val="00A45037"/>
    <w:rsid w:val="00A45766"/>
    <w:rsid w:val="00A45ABB"/>
    <w:rsid w:val="00A45F45"/>
    <w:rsid w:val="00A47215"/>
    <w:rsid w:val="00A5052B"/>
    <w:rsid w:val="00A50838"/>
    <w:rsid w:val="00A5086E"/>
    <w:rsid w:val="00A50FCE"/>
    <w:rsid w:val="00A514FC"/>
    <w:rsid w:val="00A51A0F"/>
    <w:rsid w:val="00A51C51"/>
    <w:rsid w:val="00A529D9"/>
    <w:rsid w:val="00A530D4"/>
    <w:rsid w:val="00A540F5"/>
    <w:rsid w:val="00A547CD"/>
    <w:rsid w:val="00A54911"/>
    <w:rsid w:val="00A55440"/>
    <w:rsid w:val="00A55F3F"/>
    <w:rsid w:val="00A57F98"/>
    <w:rsid w:val="00A61FA8"/>
    <w:rsid w:val="00A61FB8"/>
    <w:rsid w:val="00A6326D"/>
    <w:rsid w:val="00A63754"/>
    <w:rsid w:val="00A63ACD"/>
    <w:rsid w:val="00A65733"/>
    <w:rsid w:val="00A65861"/>
    <w:rsid w:val="00A65F82"/>
    <w:rsid w:val="00A660CD"/>
    <w:rsid w:val="00A70689"/>
    <w:rsid w:val="00A708A1"/>
    <w:rsid w:val="00A70AB5"/>
    <w:rsid w:val="00A70CEC"/>
    <w:rsid w:val="00A73A02"/>
    <w:rsid w:val="00A75B56"/>
    <w:rsid w:val="00A76482"/>
    <w:rsid w:val="00A77136"/>
    <w:rsid w:val="00A77704"/>
    <w:rsid w:val="00A804A9"/>
    <w:rsid w:val="00A80620"/>
    <w:rsid w:val="00A80B20"/>
    <w:rsid w:val="00A82906"/>
    <w:rsid w:val="00A82CA0"/>
    <w:rsid w:val="00A83328"/>
    <w:rsid w:val="00A83BF2"/>
    <w:rsid w:val="00A83ECC"/>
    <w:rsid w:val="00A84D61"/>
    <w:rsid w:val="00A85322"/>
    <w:rsid w:val="00A85F1F"/>
    <w:rsid w:val="00A8646F"/>
    <w:rsid w:val="00A86B7F"/>
    <w:rsid w:val="00A8781E"/>
    <w:rsid w:val="00A87F1A"/>
    <w:rsid w:val="00A92C31"/>
    <w:rsid w:val="00A941C1"/>
    <w:rsid w:val="00A94212"/>
    <w:rsid w:val="00A94649"/>
    <w:rsid w:val="00A94762"/>
    <w:rsid w:val="00A947C6"/>
    <w:rsid w:val="00A953F9"/>
    <w:rsid w:val="00A963D2"/>
    <w:rsid w:val="00A971DA"/>
    <w:rsid w:val="00AA012A"/>
    <w:rsid w:val="00AA123E"/>
    <w:rsid w:val="00AA1858"/>
    <w:rsid w:val="00AA23C6"/>
    <w:rsid w:val="00AA4084"/>
    <w:rsid w:val="00AA4EA6"/>
    <w:rsid w:val="00AA7295"/>
    <w:rsid w:val="00AA794B"/>
    <w:rsid w:val="00AB01B1"/>
    <w:rsid w:val="00AB0A63"/>
    <w:rsid w:val="00AB0B21"/>
    <w:rsid w:val="00AB1E17"/>
    <w:rsid w:val="00AB3285"/>
    <w:rsid w:val="00AB509A"/>
    <w:rsid w:val="00AB5CDD"/>
    <w:rsid w:val="00AB5D91"/>
    <w:rsid w:val="00AB68B5"/>
    <w:rsid w:val="00AB777F"/>
    <w:rsid w:val="00AB7DB5"/>
    <w:rsid w:val="00AC0704"/>
    <w:rsid w:val="00AC2851"/>
    <w:rsid w:val="00AC40A6"/>
    <w:rsid w:val="00AC4893"/>
    <w:rsid w:val="00AC52A3"/>
    <w:rsid w:val="00AC57F2"/>
    <w:rsid w:val="00AC5AB6"/>
    <w:rsid w:val="00AD0496"/>
    <w:rsid w:val="00AD0A52"/>
    <w:rsid w:val="00AD12A0"/>
    <w:rsid w:val="00AD25AB"/>
    <w:rsid w:val="00AD471A"/>
    <w:rsid w:val="00AD4F43"/>
    <w:rsid w:val="00AE0044"/>
    <w:rsid w:val="00AE0AB9"/>
    <w:rsid w:val="00AE0B83"/>
    <w:rsid w:val="00AE0E46"/>
    <w:rsid w:val="00AE1B26"/>
    <w:rsid w:val="00AE2781"/>
    <w:rsid w:val="00AE2C46"/>
    <w:rsid w:val="00AE330C"/>
    <w:rsid w:val="00AE503F"/>
    <w:rsid w:val="00AE65CA"/>
    <w:rsid w:val="00AE69CF"/>
    <w:rsid w:val="00AF0FBB"/>
    <w:rsid w:val="00AF2510"/>
    <w:rsid w:val="00AF32CD"/>
    <w:rsid w:val="00AF3B3F"/>
    <w:rsid w:val="00AF3CCC"/>
    <w:rsid w:val="00AF4A81"/>
    <w:rsid w:val="00AF5806"/>
    <w:rsid w:val="00AF6F48"/>
    <w:rsid w:val="00AF716C"/>
    <w:rsid w:val="00B00363"/>
    <w:rsid w:val="00B011F1"/>
    <w:rsid w:val="00B01462"/>
    <w:rsid w:val="00B0150F"/>
    <w:rsid w:val="00B0196B"/>
    <w:rsid w:val="00B02C33"/>
    <w:rsid w:val="00B03BA6"/>
    <w:rsid w:val="00B043B7"/>
    <w:rsid w:val="00B04464"/>
    <w:rsid w:val="00B0456F"/>
    <w:rsid w:val="00B04E64"/>
    <w:rsid w:val="00B05D69"/>
    <w:rsid w:val="00B062A1"/>
    <w:rsid w:val="00B06357"/>
    <w:rsid w:val="00B06839"/>
    <w:rsid w:val="00B106AE"/>
    <w:rsid w:val="00B10998"/>
    <w:rsid w:val="00B11AD5"/>
    <w:rsid w:val="00B12FC1"/>
    <w:rsid w:val="00B145B5"/>
    <w:rsid w:val="00B15163"/>
    <w:rsid w:val="00B152E9"/>
    <w:rsid w:val="00B15C00"/>
    <w:rsid w:val="00B15FFF"/>
    <w:rsid w:val="00B17970"/>
    <w:rsid w:val="00B2026F"/>
    <w:rsid w:val="00B21232"/>
    <w:rsid w:val="00B24084"/>
    <w:rsid w:val="00B258F6"/>
    <w:rsid w:val="00B26DEC"/>
    <w:rsid w:val="00B27699"/>
    <w:rsid w:val="00B30945"/>
    <w:rsid w:val="00B32D3A"/>
    <w:rsid w:val="00B33265"/>
    <w:rsid w:val="00B339CA"/>
    <w:rsid w:val="00B34150"/>
    <w:rsid w:val="00B34836"/>
    <w:rsid w:val="00B35BE3"/>
    <w:rsid w:val="00B36305"/>
    <w:rsid w:val="00B36DCC"/>
    <w:rsid w:val="00B40221"/>
    <w:rsid w:val="00B405AF"/>
    <w:rsid w:val="00B408FE"/>
    <w:rsid w:val="00B40B46"/>
    <w:rsid w:val="00B416E7"/>
    <w:rsid w:val="00B417C2"/>
    <w:rsid w:val="00B43D14"/>
    <w:rsid w:val="00B44C2F"/>
    <w:rsid w:val="00B44CA4"/>
    <w:rsid w:val="00B45196"/>
    <w:rsid w:val="00B451DA"/>
    <w:rsid w:val="00B46A7F"/>
    <w:rsid w:val="00B50A7F"/>
    <w:rsid w:val="00B50BBB"/>
    <w:rsid w:val="00B50C85"/>
    <w:rsid w:val="00B5172C"/>
    <w:rsid w:val="00B51D83"/>
    <w:rsid w:val="00B52B26"/>
    <w:rsid w:val="00B53EFE"/>
    <w:rsid w:val="00B53F55"/>
    <w:rsid w:val="00B54099"/>
    <w:rsid w:val="00B5498E"/>
    <w:rsid w:val="00B54AAC"/>
    <w:rsid w:val="00B552DC"/>
    <w:rsid w:val="00B5549B"/>
    <w:rsid w:val="00B55ADB"/>
    <w:rsid w:val="00B6025F"/>
    <w:rsid w:val="00B60DB0"/>
    <w:rsid w:val="00B61983"/>
    <w:rsid w:val="00B62B2F"/>
    <w:rsid w:val="00B62EF8"/>
    <w:rsid w:val="00B63383"/>
    <w:rsid w:val="00B638F5"/>
    <w:rsid w:val="00B63EB6"/>
    <w:rsid w:val="00B642B9"/>
    <w:rsid w:val="00B65696"/>
    <w:rsid w:val="00B66332"/>
    <w:rsid w:val="00B66362"/>
    <w:rsid w:val="00B66395"/>
    <w:rsid w:val="00B672A2"/>
    <w:rsid w:val="00B679E4"/>
    <w:rsid w:val="00B709C8"/>
    <w:rsid w:val="00B70D9B"/>
    <w:rsid w:val="00B71668"/>
    <w:rsid w:val="00B7192E"/>
    <w:rsid w:val="00B73BB4"/>
    <w:rsid w:val="00B74BF6"/>
    <w:rsid w:val="00B75941"/>
    <w:rsid w:val="00B75D4F"/>
    <w:rsid w:val="00B772AC"/>
    <w:rsid w:val="00B77334"/>
    <w:rsid w:val="00B774E3"/>
    <w:rsid w:val="00B802CA"/>
    <w:rsid w:val="00B80C2E"/>
    <w:rsid w:val="00B80D65"/>
    <w:rsid w:val="00B82A72"/>
    <w:rsid w:val="00B832EF"/>
    <w:rsid w:val="00B841C4"/>
    <w:rsid w:val="00B8674B"/>
    <w:rsid w:val="00B8716A"/>
    <w:rsid w:val="00B8743D"/>
    <w:rsid w:val="00B87FE9"/>
    <w:rsid w:val="00B9019B"/>
    <w:rsid w:val="00B90392"/>
    <w:rsid w:val="00B903BA"/>
    <w:rsid w:val="00B906D9"/>
    <w:rsid w:val="00B92FD2"/>
    <w:rsid w:val="00B94313"/>
    <w:rsid w:val="00B95799"/>
    <w:rsid w:val="00B9599B"/>
    <w:rsid w:val="00B96F3A"/>
    <w:rsid w:val="00B97219"/>
    <w:rsid w:val="00BA032E"/>
    <w:rsid w:val="00BA07E7"/>
    <w:rsid w:val="00BA1D2C"/>
    <w:rsid w:val="00BA20AA"/>
    <w:rsid w:val="00BA2C30"/>
    <w:rsid w:val="00BA4C95"/>
    <w:rsid w:val="00BA5193"/>
    <w:rsid w:val="00BA57CE"/>
    <w:rsid w:val="00BA6B87"/>
    <w:rsid w:val="00BA726E"/>
    <w:rsid w:val="00BA7A22"/>
    <w:rsid w:val="00BB0C5F"/>
    <w:rsid w:val="00BB25D7"/>
    <w:rsid w:val="00BB2F02"/>
    <w:rsid w:val="00BB4BF9"/>
    <w:rsid w:val="00BB5D5F"/>
    <w:rsid w:val="00BB7102"/>
    <w:rsid w:val="00BB7D12"/>
    <w:rsid w:val="00BC0081"/>
    <w:rsid w:val="00BC2032"/>
    <w:rsid w:val="00BC3A7C"/>
    <w:rsid w:val="00BC40D6"/>
    <w:rsid w:val="00BC5F2E"/>
    <w:rsid w:val="00BC63F9"/>
    <w:rsid w:val="00BD015B"/>
    <w:rsid w:val="00BD1619"/>
    <w:rsid w:val="00BD1926"/>
    <w:rsid w:val="00BD222F"/>
    <w:rsid w:val="00BD264B"/>
    <w:rsid w:val="00BD2BEE"/>
    <w:rsid w:val="00BD33BC"/>
    <w:rsid w:val="00BD3D0C"/>
    <w:rsid w:val="00BD4D7D"/>
    <w:rsid w:val="00BD4F45"/>
    <w:rsid w:val="00BE0B61"/>
    <w:rsid w:val="00BE1340"/>
    <w:rsid w:val="00BE23F6"/>
    <w:rsid w:val="00BE2A48"/>
    <w:rsid w:val="00BE4088"/>
    <w:rsid w:val="00BE42AB"/>
    <w:rsid w:val="00BE470D"/>
    <w:rsid w:val="00BE4AF7"/>
    <w:rsid w:val="00BE5169"/>
    <w:rsid w:val="00BE536B"/>
    <w:rsid w:val="00BE57F2"/>
    <w:rsid w:val="00BE7202"/>
    <w:rsid w:val="00BE7E4E"/>
    <w:rsid w:val="00BE7EC6"/>
    <w:rsid w:val="00BE7F7A"/>
    <w:rsid w:val="00BF0F04"/>
    <w:rsid w:val="00BF23A7"/>
    <w:rsid w:val="00BF26BB"/>
    <w:rsid w:val="00BF2728"/>
    <w:rsid w:val="00BF3611"/>
    <w:rsid w:val="00BF3619"/>
    <w:rsid w:val="00BF418F"/>
    <w:rsid w:val="00BF47BD"/>
    <w:rsid w:val="00BF4B41"/>
    <w:rsid w:val="00BF4DEC"/>
    <w:rsid w:val="00BF4E66"/>
    <w:rsid w:val="00BF580E"/>
    <w:rsid w:val="00BF6EEF"/>
    <w:rsid w:val="00BF76E7"/>
    <w:rsid w:val="00C00847"/>
    <w:rsid w:val="00C00B61"/>
    <w:rsid w:val="00C00E14"/>
    <w:rsid w:val="00C02867"/>
    <w:rsid w:val="00C02D49"/>
    <w:rsid w:val="00C03993"/>
    <w:rsid w:val="00C03A18"/>
    <w:rsid w:val="00C03B30"/>
    <w:rsid w:val="00C03E4F"/>
    <w:rsid w:val="00C0501C"/>
    <w:rsid w:val="00C0524E"/>
    <w:rsid w:val="00C06067"/>
    <w:rsid w:val="00C060D6"/>
    <w:rsid w:val="00C07D11"/>
    <w:rsid w:val="00C10CAC"/>
    <w:rsid w:val="00C113BD"/>
    <w:rsid w:val="00C12369"/>
    <w:rsid w:val="00C1270B"/>
    <w:rsid w:val="00C13C31"/>
    <w:rsid w:val="00C14DBA"/>
    <w:rsid w:val="00C14F9E"/>
    <w:rsid w:val="00C15C4F"/>
    <w:rsid w:val="00C16498"/>
    <w:rsid w:val="00C167B6"/>
    <w:rsid w:val="00C16896"/>
    <w:rsid w:val="00C16EE5"/>
    <w:rsid w:val="00C176BA"/>
    <w:rsid w:val="00C1785E"/>
    <w:rsid w:val="00C2134A"/>
    <w:rsid w:val="00C21CF7"/>
    <w:rsid w:val="00C21DC0"/>
    <w:rsid w:val="00C22FBC"/>
    <w:rsid w:val="00C23210"/>
    <w:rsid w:val="00C234C7"/>
    <w:rsid w:val="00C23DC4"/>
    <w:rsid w:val="00C248B7"/>
    <w:rsid w:val="00C261F8"/>
    <w:rsid w:val="00C26598"/>
    <w:rsid w:val="00C26BA5"/>
    <w:rsid w:val="00C3006B"/>
    <w:rsid w:val="00C30600"/>
    <w:rsid w:val="00C307E4"/>
    <w:rsid w:val="00C3167A"/>
    <w:rsid w:val="00C32C37"/>
    <w:rsid w:val="00C33286"/>
    <w:rsid w:val="00C33935"/>
    <w:rsid w:val="00C33F2C"/>
    <w:rsid w:val="00C33FA2"/>
    <w:rsid w:val="00C3442F"/>
    <w:rsid w:val="00C35C72"/>
    <w:rsid w:val="00C35DCF"/>
    <w:rsid w:val="00C369C4"/>
    <w:rsid w:val="00C37908"/>
    <w:rsid w:val="00C400A2"/>
    <w:rsid w:val="00C41110"/>
    <w:rsid w:val="00C4267A"/>
    <w:rsid w:val="00C42E08"/>
    <w:rsid w:val="00C44659"/>
    <w:rsid w:val="00C460C6"/>
    <w:rsid w:val="00C4649B"/>
    <w:rsid w:val="00C46AFC"/>
    <w:rsid w:val="00C4791E"/>
    <w:rsid w:val="00C516EC"/>
    <w:rsid w:val="00C518F5"/>
    <w:rsid w:val="00C51DD6"/>
    <w:rsid w:val="00C5241C"/>
    <w:rsid w:val="00C52A36"/>
    <w:rsid w:val="00C53A5C"/>
    <w:rsid w:val="00C54353"/>
    <w:rsid w:val="00C54B80"/>
    <w:rsid w:val="00C5510E"/>
    <w:rsid w:val="00C5551B"/>
    <w:rsid w:val="00C567B0"/>
    <w:rsid w:val="00C57012"/>
    <w:rsid w:val="00C577ED"/>
    <w:rsid w:val="00C577F6"/>
    <w:rsid w:val="00C57D1C"/>
    <w:rsid w:val="00C57DB3"/>
    <w:rsid w:val="00C602E0"/>
    <w:rsid w:val="00C60773"/>
    <w:rsid w:val="00C60A9B"/>
    <w:rsid w:val="00C62596"/>
    <w:rsid w:val="00C62B50"/>
    <w:rsid w:val="00C62F0E"/>
    <w:rsid w:val="00C65AF4"/>
    <w:rsid w:val="00C66D78"/>
    <w:rsid w:val="00C67200"/>
    <w:rsid w:val="00C67746"/>
    <w:rsid w:val="00C70AC3"/>
    <w:rsid w:val="00C718E4"/>
    <w:rsid w:val="00C72060"/>
    <w:rsid w:val="00C740D6"/>
    <w:rsid w:val="00C74D11"/>
    <w:rsid w:val="00C74F31"/>
    <w:rsid w:val="00C7509C"/>
    <w:rsid w:val="00C753C1"/>
    <w:rsid w:val="00C76812"/>
    <w:rsid w:val="00C76EA2"/>
    <w:rsid w:val="00C810CE"/>
    <w:rsid w:val="00C82C13"/>
    <w:rsid w:val="00C836DA"/>
    <w:rsid w:val="00C83BA5"/>
    <w:rsid w:val="00C8445B"/>
    <w:rsid w:val="00C854AA"/>
    <w:rsid w:val="00C873F0"/>
    <w:rsid w:val="00C87AD1"/>
    <w:rsid w:val="00C9142E"/>
    <w:rsid w:val="00C91E24"/>
    <w:rsid w:val="00C92741"/>
    <w:rsid w:val="00C93084"/>
    <w:rsid w:val="00C935DB"/>
    <w:rsid w:val="00C937D6"/>
    <w:rsid w:val="00C9719D"/>
    <w:rsid w:val="00CA0A52"/>
    <w:rsid w:val="00CA3A94"/>
    <w:rsid w:val="00CA3AFC"/>
    <w:rsid w:val="00CA5326"/>
    <w:rsid w:val="00CA5899"/>
    <w:rsid w:val="00CA5FF9"/>
    <w:rsid w:val="00CA73A9"/>
    <w:rsid w:val="00CA757A"/>
    <w:rsid w:val="00CB007B"/>
    <w:rsid w:val="00CB0334"/>
    <w:rsid w:val="00CB03B4"/>
    <w:rsid w:val="00CB0404"/>
    <w:rsid w:val="00CB0947"/>
    <w:rsid w:val="00CB10DB"/>
    <w:rsid w:val="00CB16D4"/>
    <w:rsid w:val="00CB2E55"/>
    <w:rsid w:val="00CB32D6"/>
    <w:rsid w:val="00CB391A"/>
    <w:rsid w:val="00CB467B"/>
    <w:rsid w:val="00CB4703"/>
    <w:rsid w:val="00CB4F19"/>
    <w:rsid w:val="00CB5442"/>
    <w:rsid w:val="00CB593C"/>
    <w:rsid w:val="00CB5AE6"/>
    <w:rsid w:val="00CB5DDC"/>
    <w:rsid w:val="00CB6194"/>
    <w:rsid w:val="00CB7190"/>
    <w:rsid w:val="00CB74E0"/>
    <w:rsid w:val="00CB77A8"/>
    <w:rsid w:val="00CB790D"/>
    <w:rsid w:val="00CC0322"/>
    <w:rsid w:val="00CC048B"/>
    <w:rsid w:val="00CC0A63"/>
    <w:rsid w:val="00CC238D"/>
    <w:rsid w:val="00CC3594"/>
    <w:rsid w:val="00CC35A4"/>
    <w:rsid w:val="00CC3DFA"/>
    <w:rsid w:val="00CC47B0"/>
    <w:rsid w:val="00CC630A"/>
    <w:rsid w:val="00CC7630"/>
    <w:rsid w:val="00CC7EEC"/>
    <w:rsid w:val="00CD0258"/>
    <w:rsid w:val="00CD1076"/>
    <w:rsid w:val="00CD3B5E"/>
    <w:rsid w:val="00CD4759"/>
    <w:rsid w:val="00CD52CA"/>
    <w:rsid w:val="00CD5B5B"/>
    <w:rsid w:val="00CD6AA9"/>
    <w:rsid w:val="00CD7145"/>
    <w:rsid w:val="00CD7152"/>
    <w:rsid w:val="00CD7294"/>
    <w:rsid w:val="00CE075F"/>
    <w:rsid w:val="00CE14FF"/>
    <w:rsid w:val="00CE15B8"/>
    <w:rsid w:val="00CE1F2C"/>
    <w:rsid w:val="00CE2206"/>
    <w:rsid w:val="00CE2F5A"/>
    <w:rsid w:val="00CE4277"/>
    <w:rsid w:val="00CE4445"/>
    <w:rsid w:val="00CE7604"/>
    <w:rsid w:val="00CF0BCA"/>
    <w:rsid w:val="00CF0D50"/>
    <w:rsid w:val="00CF0F6D"/>
    <w:rsid w:val="00CF0FEA"/>
    <w:rsid w:val="00CF1D96"/>
    <w:rsid w:val="00CF2286"/>
    <w:rsid w:val="00CF2433"/>
    <w:rsid w:val="00CF2B0D"/>
    <w:rsid w:val="00CF2E3C"/>
    <w:rsid w:val="00CF3347"/>
    <w:rsid w:val="00CF3BCF"/>
    <w:rsid w:val="00CF4053"/>
    <w:rsid w:val="00CF44D4"/>
    <w:rsid w:val="00CF61E7"/>
    <w:rsid w:val="00CF6B41"/>
    <w:rsid w:val="00CF7758"/>
    <w:rsid w:val="00CF7924"/>
    <w:rsid w:val="00CF797E"/>
    <w:rsid w:val="00CF7C5D"/>
    <w:rsid w:val="00D01642"/>
    <w:rsid w:val="00D021CB"/>
    <w:rsid w:val="00D02415"/>
    <w:rsid w:val="00D025CC"/>
    <w:rsid w:val="00D02C51"/>
    <w:rsid w:val="00D0301C"/>
    <w:rsid w:val="00D05A29"/>
    <w:rsid w:val="00D05E67"/>
    <w:rsid w:val="00D06784"/>
    <w:rsid w:val="00D0742C"/>
    <w:rsid w:val="00D07B83"/>
    <w:rsid w:val="00D10183"/>
    <w:rsid w:val="00D10330"/>
    <w:rsid w:val="00D10A9A"/>
    <w:rsid w:val="00D11449"/>
    <w:rsid w:val="00D11B20"/>
    <w:rsid w:val="00D122D5"/>
    <w:rsid w:val="00D1357D"/>
    <w:rsid w:val="00D13D90"/>
    <w:rsid w:val="00D1477F"/>
    <w:rsid w:val="00D14B68"/>
    <w:rsid w:val="00D153BE"/>
    <w:rsid w:val="00D15EF0"/>
    <w:rsid w:val="00D1607B"/>
    <w:rsid w:val="00D1613F"/>
    <w:rsid w:val="00D161E8"/>
    <w:rsid w:val="00D17B22"/>
    <w:rsid w:val="00D217AE"/>
    <w:rsid w:val="00D21878"/>
    <w:rsid w:val="00D21912"/>
    <w:rsid w:val="00D21CDE"/>
    <w:rsid w:val="00D22315"/>
    <w:rsid w:val="00D228D3"/>
    <w:rsid w:val="00D23164"/>
    <w:rsid w:val="00D2488F"/>
    <w:rsid w:val="00D24B8D"/>
    <w:rsid w:val="00D2520D"/>
    <w:rsid w:val="00D260F7"/>
    <w:rsid w:val="00D262AF"/>
    <w:rsid w:val="00D2648E"/>
    <w:rsid w:val="00D27975"/>
    <w:rsid w:val="00D33B27"/>
    <w:rsid w:val="00D35078"/>
    <w:rsid w:val="00D40316"/>
    <w:rsid w:val="00D414D6"/>
    <w:rsid w:val="00D41DCE"/>
    <w:rsid w:val="00D434E1"/>
    <w:rsid w:val="00D44FED"/>
    <w:rsid w:val="00D46370"/>
    <w:rsid w:val="00D4680C"/>
    <w:rsid w:val="00D46F7F"/>
    <w:rsid w:val="00D47635"/>
    <w:rsid w:val="00D476B5"/>
    <w:rsid w:val="00D477CF"/>
    <w:rsid w:val="00D47B7D"/>
    <w:rsid w:val="00D5047F"/>
    <w:rsid w:val="00D50C60"/>
    <w:rsid w:val="00D52228"/>
    <w:rsid w:val="00D5452A"/>
    <w:rsid w:val="00D549E9"/>
    <w:rsid w:val="00D54F3A"/>
    <w:rsid w:val="00D55CD7"/>
    <w:rsid w:val="00D56139"/>
    <w:rsid w:val="00D5662C"/>
    <w:rsid w:val="00D57527"/>
    <w:rsid w:val="00D60B35"/>
    <w:rsid w:val="00D61E96"/>
    <w:rsid w:val="00D61EA9"/>
    <w:rsid w:val="00D62331"/>
    <w:rsid w:val="00D626DD"/>
    <w:rsid w:val="00D62F8D"/>
    <w:rsid w:val="00D65511"/>
    <w:rsid w:val="00D6581E"/>
    <w:rsid w:val="00D658F3"/>
    <w:rsid w:val="00D65C83"/>
    <w:rsid w:val="00D66BB3"/>
    <w:rsid w:val="00D67D67"/>
    <w:rsid w:val="00D67F44"/>
    <w:rsid w:val="00D67F58"/>
    <w:rsid w:val="00D67F65"/>
    <w:rsid w:val="00D72EAF"/>
    <w:rsid w:val="00D7394F"/>
    <w:rsid w:val="00D739C6"/>
    <w:rsid w:val="00D746A8"/>
    <w:rsid w:val="00D7589E"/>
    <w:rsid w:val="00D76031"/>
    <w:rsid w:val="00D76B71"/>
    <w:rsid w:val="00D811CC"/>
    <w:rsid w:val="00D81501"/>
    <w:rsid w:val="00D8166A"/>
    <w:rsid w:val="00D85F05"/>
    <w:rsid w:val="00D85FEE"/>
    <w:rsid w:val="00D86052"/>
    <w:rsid w:val="00D9029A"/>
    <w:rsid w:val="00D93A2E"/>
    <w:rsid w:val="00D93A64"/>
    <w:rsid w:val="00D94968"/>
    <w:rsid w:val="00D95DAD"/>
    <w:rsid w:val="00D95DB9"/>
    <w:rsid w:val="00DA0DDD"/>
    <w:rsid w:val="00DA10D3"/>
    <w:rsid w:val="00DA2023"/>
    <w:rsid w:val="00DA3046"/>
    <w:rsid w:val="00DA3C6B"/>
    <w:rsid w:val="00DA3EE9"/>
    <w:rsid w:val="00DA47EC"/>
    <w:rsid w:val="00DA4BB7"/>
    <w:rsid w:val="00DA4FCA"/>
    <w:rsid w:val="00DA5075"/>
    <w:rsid w:val="00DA53FF"/>
    <w:rsid w:val="00DA65DB"/>
    <w:rsid w:val="00DA6BEC"/>
    <w:rsid w:val="00DA7DBD"/>
    <w:rsid w:val="00DB225C"/>
    <w:rsid w:val="00DB2A71"/>
    <w:rsid w:val="00DB3567"/>
    <w:rsid w:val="00DB3FC3"/>
    <w:rsid w:val="00DB5686"/>
    <w:rsid w:val="00DB5F97"/>
    <w:rsid w:val="00DB627C"/>
    <w:rsid w:val="00DB63CB"/>
    <w:rsid w:val="00DB66CD"/>
    <w:rsid w:val="00DB6BF4"/>
    <w:rsid w:val="00DB7E7A"/>
    <w:rsid w:val="00DC0054"/>
    <w:rsid w:val="00DC090E"/>
    <w:rsid w:val="00DC0DF2"/>
    <w:rsid w:val="00DC3F2F"/>
    <w:rsid w:val="00DC4089"/>
    <w:rsid w:val="00DC44E1"/>
    <w:rsid w:val="00DC5B06"/>
    <w:rsid w:val="00DC6288"/>
    <w:rsid w:val="00DC69C5"/>
    <w:rsid w:val="00DC747A"/>
    <w:rsid w:val="00DD04B9"/>
    <w:rsid w:val="00DD0AD8"/>
    <w:rsid w:val="00DD1AB5"/>
    <w:rsid w:val="00DD1DCB"/>
    <w:rsid w:val="00DD1F89"/>
    <w:rsid w:val="00DD27BF"/>
    <w:rsid w:val="00DD2B81"/>
    <w:rsid w:val="00DD364B"/>
    <w:rsid w:val="00DD4765"/>
    <w:rsid w:val="00DD4C69"/>
    <w:rsid w:val="00DD4E5C"/>
    <w:rsid w:val="00DD58AD"/>
    <w:rsid w:val="00DD63F5"/>
    <w:rsid w:val="00DD6939"/>
    <w:rsid w:val="00DE194C"/>
    <w:rsid w:val="00DE1A25"/>
    <w:rsid w:val="00DE1CB8"/>
    <w:rsid w:val="00DE225F"/>
    <w:rsid w:val="00DE3A77"/>
    <w:rsid w:val="00DE4BC0"/>
    <w:rsid w:val="00DE4D06"/>
    <w:rsid w:val="00DE4D99"/>
    <w:rsid w:val="00DE5BAE"/>
    <w:rsid w:val="00DE5F0F"/>
    <w:rsid w:val="00DE6391"/>
    <w:rsid w:val="00DE6D49"/>
    <w:rsid w:val="00DE7A8C"/>
    <w:rsid w:val="00DF09F5"/>
    <w:rsid w:val="00DF1215"/>
    <w:rsid w:val="00DF201D"/>
    <w:rsid w:val="00DF239C"/>
    <w:rsid w:val="00DF2460"/>
    <w:rsid w:val="00DF3605"/>
    <w:rsid w:val="00DF3D5D"/>
    <w:rsid w:val="00DF4F89"/>
    <w:rsid w:val="00DF550E"/>
    <w:rsid w:val="00DF7236"/>
    <w:rsid w:val="00DF758A"/>
    <w:rsid w:val="00E01AAE"/>
    <w:rsid w:val="00E024F0"/>
    <w:rsid w:val="00E0372F"/>
    <w:rsid w:val="00E042E0"/>
    <w:rsid w:val="00E0476E"/>
    <w:rsid w:val="00E047A1"/>
    <w:rsid w:val="00E05762"/>
    <w:rsid w:val="00E062DA"/>
    <w:rsid w:val="00E0674A"/>
    <w:rsid w:val="00E0751F"/>
    <w:rsid w:val="00E11707"/>
    <w:rsid w:val="00E13996"/>
    <w:rsid w:val="00E13CED"/>
    <w:rsid w:val="00E13F7A"/>
    <w:rsid w:val="00E14547"/>
    <w:rsid w:val="00E14768"/>
    <w:rsid w:val="00E148EF"/>
    <w:rsid w:val="00E14AEA"/>
    <w:rsid w:val="00E14B1D"/>
    <w:rsid w:val="00E14D99"/>
    <w:rsid w:val="00E1677E"/>
    <w:rsid w:val="00E205A2"/>
    <w:rsid w:val="00E20CEF"/>
    <w:rsid w:val="00E21084"/>
    <w:rsid w:val="00E224E2"/>
    <w:rsid w:val="00E2272F"/>
    <w:rsid w:val="00E229C7"/>
    <w:rsid w:val="00E232F2"/>
    <w:rsid w:val="00E2361F"/>
    <w:rsid w:val="00E24071"/>
    <w:rsid w:val="00E247AB"/>
    <w:rsid w:val="00E24C76"/>
    <w:rsid w:val="00E2517E"/>
    <w:rsid w:val="00E268C0"/>
    <w:rsid w:val="00E26FF4"/>
    <w:rsid w:val="00E277BC"/>
    <w:rsid w:val="00E27A94"/>
    <w:rsid w:val="00E31504"/>
    <w:rsid w:val="00E31ACE"/>
    <w:rsid w:val="00E332EC"/>
    <w:rsid w:val="00E33D2C"/>
    <w:rsid w:val="00E33E4D"/>
    <w:rsid w:val="00E342F7"/>
    <w:rsid w:val="00E342FD"/>
    <w:rsid w:val="00E34C1A"/>
    <w:rsid w:val="00E35248"/>
    <w:rsid w:val="00E37BEB"/>
    <w:rsid w:val="00E37FB3"/>
    <w:rsid w:val="00E4039C"/>
    <w:rsid w:val="00E42343"/>
    <w:rsid w:val="00E42BD5"/>
    <w:rsid w:val="00E44808"/>
    <w:rsid w:val="00E44E0A"/>
    <w:rsid w:val="00E46A34"/>
    <w:rsid w:val="00E47DB2"/>
    <w:rsid w:val="00E50AE1"/>
    <w:rsid w:val="00E50C4E"/>
    <w:rsid w:val="00E52071"/>
    <w:rsid w:val="00E530A1"/>
    <w:rsid w:val="00E5362B"/>
    <w:rsid w:val="00E53CE5"/>
    <w:rsid w:val="00E544BD"/>
    <w:rsid w:val="00E546C0"/>
    <w:rsid w:val="00E54A6A"/>
    <w:rsid w:val="00E54EEB"/>
    <w:rsid w:val="00E55947"/>
    <w:rsid w:val="00E55AF9"/>
    <w:rsid w:val="00E56464"/>
    <w:rsid w:val="00E568D8"/>
    <w:rsid w:val="00E569E1"/>
    <w:rsid w:val="00E6119A"/>
    <w:rsid w:val="00E61879"/>
    <w:rsid w:val="00E62C7B"/>
    <w:rsid w:val="00E6333A"/>
    <w:rsid w:val="00E6387C"/>
    <w:rsid w:val="00E63AC7"/>
    <w:rsid w:val="00E6488F"/>
    <w:rsid w:val="00E65416"/>
    <w:rsid w:val="00E6581E"/>
    <w:rsid w:val="00E65CB9"/>
    <w:rsid w:val="00E67363"/>
    <w:rsid w:val="00E70FE3"/>
    <w:rsid w:val="00E712A1"/>
    <w:rsid w:val="00E712AC"/>
    <w:rsid w:val="00E71695"/>
    <w:rsid w:val="00E71DF5"/>
    <w:rsid w:val="00E7210C"/>
    <w:rsid w:val="00E723AE"/>
    <w:rsid w:val="00E72E2B"/>
    <w:rsid w:val="00E7351D"/>
    <w:rsid w:val="00E74DFB"/>
    <w:rsid w:val="00E75998"/>
    <w:rsid w:val="00E77A58"/>
    <w:rsid w:val="00E77B1C"/>
    <w:rsid w:val="00E77BBF"/>
    <w:rsid w:val="00E80027"/>
    <w:rsid w:val="00E8260A"/>
    <w:rsid w:val="00E83F0C"/>
    <w:rsid w:val="00E84139"/>
    <w:rsid w:val="00E8447B"/>
    <w:rsid w:val="00E85BDC"/>
    <w:rsid w:val="00E904D5"/>
    <w:rsid w:val="00E90EE1"/>
    <w:rsid w:val="00E91D6A"/>
    <w:rsid w:val="00E91F04"/>
    <w:rsid w:val="00E9315A"/>
    <w:rsid w:val="00E9330E"/>
    <w:rsid w:val="00E9507C"/>
    <w:rsid w:val="00E955B2"/>
    <w:rsid w:val="00E97A1F"/>
    <w:rsid w:val="00EA0D2B"/>
    <w:rsid w:val="00EA38F0"/>
    <w:rsid w:val="00EA46B1"/>
    <w:rsid w:val="00EA4CF1"/>
    <w:rsid w:val="00EA7F77"/>
    <w:rsid w:val="00EB0D2D"/>
    <w:rsid w:val="00EB4043"/>
    <w:rsid w:val="00EB4B3A"/>
    <w:rsid w:val="00EB4C38"/>
    <w:rsid w:val="00EB50B2"/>
    <w:rsid w:val="00EB5AE8"/>
    <w:rsid w:val="00EB5F15"/>
    <w:rsid w:val="00EB6236"/>
    <w:rsid w:val="00EB64F2"/>
    <w:rsid w:val="00EB6B1A"/>
    <w:rsid w:val="00EB776A"/>
    <w:rsid w:val="00EC1972"/>
    <w:rsid w:val="00EC4122"/>
    <w:rsid w:val="00EC4365"/>
    <w:rsid w:val="00EC4EE6"/>
    <w:rsid w:val="00EC718F"/>
    <w:rsid w:val="00EC7EE7"/>
    <w:rsid w:val="00ED13E8"/>
    <w:rsid w:val="00ED15C6"/>
    <w:rsid w:val="00ED36CE"/>
    <w:rsid w:val="00ED4C3A"/>
    <w:rsid w:val="00ED6BE9"/>
    <w:rsid w:val="00ED71A9"/>
    <w:rsid w:val="00ED7C7B"/>
    <w:rsid w:val="00ED7E98"/>
    <w:rsid w:val="00EE01E9"/>
    <w:rsid w:val="00EE0886"/>
    <w:rsid w:val="00EE0E5F"/>
    <w:rsid w:val="00EE1533"/>
    <w:rsid w:val="00EE2D83"/>
    <w:rsid w:val="00EE3580"/>
    <w:rsid w:val="00EE6207"/>
    <w:rsid w:val="00EE748F"/>
    <w:rsid w:val="00EE77A8"/>
    <w:rsid w:val="00EE790C"/>
    <w:rsid w:val="00EE7FBC"/>
    <w:rsid w:val="00EF053E"/>
    <w:rsid w:val="00EF092C"/>
    <w:rsid w:val="00EF0DDB"/>
    <w:rsid w:val="00EF1721"/>
    <w:rsid w:val="00EF1E2E"/>
    <w:rsid w:val="00EF2685"/>
    <w:rsid w:val="00EF42F9"/>
    <w:rsid w:val="00EF480D"/>
    <w:rsid w:val="00EF5244"/>
    <w:rsid w:val="00EF52B7"/>
    <w:rsid w:val="00EF58CF"/>
    <w:rsid w:val="00EF5EB5"/>
    <w:rsid w:val="00EF612B"/>
    <w:rsid w:val="00EF729E"/>
    <w:rsid w:val="00F00065"/>
    <w:rsid w:val="00F002D9"/>
    <w:rsid w:val="00F01551"/>
    <w:rsid w:val="00F01CCC"/>
    <w:rsid w:val="00F024A6"/>
    <w:rsid w:val="00F02554"/>
    <w:rsid w:val="00F02A4B"/>
    <w:rsid w:val="00F03528"/>
    <w:rsid w:val="00F03579"/>
    <w:rsid w:val="00F04431"/>
    <w:rsid w:val="00F05BFB"/>
    <w:rsid w:val="00F070BE"/>
    <w:rsid w:val="00F119B3"/>
    <w:rsid w:val="00F13621"/>
    <w:rsid w:val="00F1414F"/>
    <w:rsid w:val="00F142C4"/>
    <w:rsid w:val="00F14C75"/>
    <w:rsid w:val="00F15270"/>
    <w:rsid w:val="00F16AB6"/>
    <w:rsid w:val="00F17480"/>
    <w:rsid w:val="00F177E6"/>
    <w:rsid w:val="00F20420"/>
    <w:rsid w:val="00F20DF4"/>
    <w:rsid w:val="00F22248"/>
    <w:rsid w:val="00F24641"/>
    <w:rsid w:val="00F24B70"/>
    <w:rsid w:val="00F25331"/>
    <w:rsid w:val="00F26F1E"/>
    <w:rsid w:val="00F2721D"/>
    <w:rsid w:val="00F2725D"/>
    <w:rsid w:val="00F279D3"/>
    <w:rsid w:val="00F3081B"/>
    <w:rsid w:val="00F30938"/>
    <w:rsid w:val="00F30B0A"/>
    <w:rsid w:val="00F30D33"/>
    <w:rsid w:val="00F326F9"/>
    <w:rsid w:val="00F332B8"/>
    <w:rsid w:val="00F3475D"/>
    <w:rsid w:val="00F347FE"/>
    <w:rsid w:val="00F34AF9"/>
    <w:rsid w:val="00F35139"/>
    <w:rsid w:val="00F362F4"/>
    <w:rsid w:val="00F37B1D"/>
    <w:rsid w:val="00F37F93"/>
    <w:rsid w:val="00F40330"/>
    <w:rsid w:val="00F408A4"/>
    <w:rsid w:val="00F40D3A"/>
    <w:rsid w:val="00F412A3"/>
    <w:rsid w:val="00F4163F"/>
    <w:rsid w:val="00F41A17"/>
    <w:rsid w:val="00F41AC4"/>
    <w:rsid w:val="00F42959"/>
    <w:rsid w:val="00F42E6F"/>
    <w:rsid w:val="00F44821"/>
    <w:rsid w:val="00F450E6"/>
    <w:rsid w:val="00F45489"/>
    <w:rsid w:val="00F45542"/>
    <w:rsid w:val="00F46EAE"/>
    <w:rsid w:val="00F47516"/>
    <w:rsid w:val="00F47569"/>
    <w:rsid w:val="00F47CD7"/>
    <w:rsid w:val="00F51BA9"/>
    <w:rsid w:val="00F5248B"/>
    <w:rsid w:val="00F52C72"/>
    <w:rsid w:val="00F551AF"/>
    <w:rsid w:val="00F55BE8"/>
    <w:rsid w:val="00F57481"/>
    <w:rsid w:val="00F57E94"/>
    <w:rsid w:val="00F62AF6"/>
    <w:rsid w:val="00F6322B"/>
    <w:rsid w:val="00F640A0"/>
    <w:rsid w:val="00F646C1"/>
    <w:rsid w:val="00F652FF"/>
    <w:rsid w:val="00F66B2C"/>
    <w:rsid w:val="00F67363"/>
    <w:rsid w:val="00F6765E"/>
    <w:rsid w:val="00F70078"/>
    <w:rsid w:val="00F70A3A"/>
    <w:rsid w:val="00F70B70"/>
    <w:rsid w:val="00F7184A"/>
    <w:rsid w:val="00F72514"/>
    <w:rsid w:val="00F72F56"/>
    <w:rsid w:val="00F73D92"/>
    <w:rsid w:val="00F7414A"/>
    <w:rsid w:val="00F754B0"/>
    <w:rsid w:val="00F756CA"/>
    <w:rsid w:val="00F75779"/>
    <w:rsid w:val="00F75830"/>
    <w:rsid w:val="00F765DC"/>
    <w:rsid w:val="00F76E74"/>
    <w:rsid w:val="00F76FDB"/>
    <w:rsid w:val="00F77890"/>
    <w:rsid w:val="00F77D53"/>
    <w:rsid w:val="00F806C1"/>
    <w:rsid w:val="00F812F4"/>
    <w:rsid w:val="00F81959"/>
    <w:rsid w:val="00F82014"/>
    <w:rsid w:val="00F82AE7"/>
    <w:rsid w:val="00F82D72"/>
    <w:rsid w:val="00F83BE6"/>
    <w:rsid w:val="00F83BFC"/>
    <w:rsid w:val="00F83D64"/>
    <w:rsid w:val="00F83FCA"/>
    <w:rsid w:val="00F8581E"/>
    <w:rsid w:val="00F85A56"/>
    <w:rsid w:val="00F861D4"/>
    <w:rsid w:val="00F86B4A"/>
    <w:rsid w:val="00F86E95"/>
    <w:rsid w:val="00F874A1"/>
    <w:rsid w:val="00F8783F"/>
    <w:rsid w:val="00F87B9C"/>
    <w:rsid w:val="00F87D4D"/>
    <w:rsid w:val="00F904E3"/>
    <w:rsid w:val="00F9050F"/>
    <w:rsid w:val="00F90BCF"/>
    <w:rsid w:val="00F91874"/>
    <w:rsid w:val="00F919DD"/>
    <w:rsid w:val="00F91CC5"/>
    <w:rsid w:val="00F92CCD"/>
    <w:rsid w:val="00F92EDE"/>
    <w:rsid w:val="00F930EE"/>
    <w:rsid w:val="00F94859"/>
    <w:rsid w:val="00F95B2A"/>
    <w:rsid w:val="00F96380"/>
    <w:rsid w:val="00F971E9"/>
    <w:rsid w:val="00F97C1F"/>
    <w:rsid w:val="00FA12CE"/>
    <w:rsid w:val="00FA13E1"/>
    <w:rsid w:val="00FA163E"/>
    <w:rsid w:val="00FA1826"/>
    <w:rsid w:val="00FA208D"/>
    <w:rsid w:val="00FA23E9"/>
    <w:rsid w:val="00FA3BB3"/>
    <w:rsid w:val="00FA4D0F"/>
    <w:rsid w:val="00FA647C"/>
    <w:rsid w:val="00FB06CC"/>
    <w:rsid w:val="00FB1604"/>
    <w:rsid w:val="00FB3B54"/>
    <w:rsid w:val="00FB4689"/>
    <w:rsid w:val="00FB5282"/>
    <w:rsid w:val="00FB5373"/>
    <w:rsid w:val="00FB68B2"/>
    <w:rsid w:val="00FB68CF"/>
    <w:rsid w:val="00FB6F39"/>
    <w:rsid w:val="00FB7319"/>
    <w:rsid w:val="00FB7598"/>
    <w:rsid w:val="00FB7683"/>
    <w:rsid w:val="00FB77BA"/>
    <w:rsid w:val="00FC03CE"/>
    <w:rsid w:val="00FC0BA5"/>
    <w:rsid w:val="00FC3361"/>
    <w:rsid w:val="00FC39DB"/>
    <w:rsid w:val="00FC3BAC"/>
    <w:rsid w:val="00FC44CB"/>
    <w:rsid w:val="00FC4A9D"/>
    <w:rsid w:val="00FC53F4"/>
    <w:rsid w:val="00FC58FB"/>
    <w:rsid w:val="00FC5F9D"/>
    <w:rsid w:val="00FC60E2"/>
    <w:rsid w:val="00FC6151"/>
    <w:rsid w:val="00FC797F"/>
    <w:rsid w:val="00FC7DCC"/>
    <w:rsid w:val="00FC7E26"/>
    <w:rsid w:val="00FD0188"/>
    <w:rsid w:val="00FD03B4"/>
    <w:rsid w:val="00FD5642"/>
    <w:rsid w:val="00FD5C03"/>
    <w:rsid w:val="00FD5FE4"/>
    <w:rsid w:val="00FD7B88"/>
    <w:rsid w:val="00FE1F8C"/>
    <w:rsid w:val="00FE29FF"/>
    <w:rsid w:val="00FE3B3B"/>
    <w:rsid w:val="00FE42F6"/>
    <w:rsid w:val="00FE4804"/>
    <w:rsid w:val="00FE519C"/>
    <w:rsid w:val="00FE54B5"/>
    <w:rsid w:val="00FE5C84"/>
    <w:rsid w:val="00FE7572"/>
    <w:rsid w:val="00FE7F73"/>
    <w:rsid w:val="00FF0988"/>
    <w:rsid w:val="00FF1938"/>
    <w:rsid w:val="00FF1B2C"/>
    <w:rsid w:val="00FF221D"/>
    <w:rsid w:val="00FF34A3"/>
    <w:rsid w:val="00FF4225"/>
    <w:rsid w:val="00FF61EB"/>
    <w:rsid w:val="010D520F"/>
    <w:rsid w:val="011B1B46"/>
    <w:rsid w:val="012DF772"/>
    <w:rsid w:val="01347A59"/>
    <w:rsid w:val="01376598"/>
    <w:rsid w:val="014632E9"/>
    <w:rsid w:val="014758B8"/>
    <w:rsid w:val="01560914"/>
    <w:rsid w:val="015D08E4"/>
    <w:rsid w:val="01686401"/>
    <w:rsid w:val="01694F76"/>
    <w:rsid w:val="016F38AD"/>
    <w:rsid w:val="016F762A"/>
    <w:rsid w:val="01722747"/>
    <w:rsid w:val="01741C17"/>
    <w:rsid w:val="017D75CE"/>
    <w:rsid w:val="017F78A5"/>
    <w:rsid w:val="018448EA"/>
    <w:rsid w:val="01868625"/>
    <w:rsid w:val="01875B7B"/>
    <w:rsid w:val="019537D5"/>
    <w:rsid w:val="01980494"/>
    <w:rsid w:val="019E10EE"/>
    <w:rsid w:val="019E1952"/>
    <w:rsid w:val="01AA08F3"/>
    <w:rsid w:val="01ABD057"/>
    <w:rsid w:val="01B400E7"/>
    <w:rsid w:val="01C06363"/>
    <w:rsid w:val="01DB1C83"/>
    <w:rsid w:val="01E05C40"/>
    <w:rsid w:val="01E3099B"/>
    <w:rsid w:val="020B6A0C"/>
    <w:rsid w:val="021029C1"/>
    <w:rsid w:val="021952FA"/>
    <w:rsid w:val="021B6DC5"/>
    <w:rsid w:val="02280B08"/>
    <w:rsid w:val="023C2DF9"/>
    <w:rsid w:val="02403C9B"/>
    <w:rsid w:val="024061A6"/>
    <w:rsid w:val="02460066"/>
    <w:rsid w:val="02553897"/>
    <w:rsid w:val="0258596B"/>
    <w:rsid w:val="02647F5D"/>
    <w:rsid w:val="026604F1"/>
    <w:rsid w:val="0269535D"/>
    <w:rsid w:val="02846BE8"/>
    <w:rsid w:val="02877F44"/>
    <w:rsid w:val="02881E0B"/>
    <w:rsid w:val="028B33A9"/>
    <w:rsid w:val="02B32C5E"/>
    <w:rsid w:val="02C07F74"/>
    <w:rsid w:val="02C20D26"/>
    <w:rsid w:val="02C72BAF"/>
    <w:rsid w:val="02D32618"/>
    <w:rsid w:val="02D41CFD"/>
    <w:rsid w:val="02D6589D"/>
    <w:rsid w:val="02E300F2"/>
    <w:rsid w:val="02E8ED62"/>
    <w:rsid w:val="02F03AB6"/>
    <w:rsid w:val="02F62B27"/>
    <w:rsid w:val="02F81323"/>
    <w:rsid w:val="02F84586"/>
    <w:rsid w:val="03060F81"/>
    <w:rsid w:val="03074DD5"/>
    <w:rsid w:val="032646ED"/>
    <w:rsid w:val="0331302B"/>
    <w:rsid w:val="033165DB"/>
    <w:rsid w:val="03341D90"/>
    <w:rsid w:val="033E53A5"/>
    <w:rsid w:val="034A04CD"/>
    <w:rsid w:val="034B090B"/>
    <w:rsid w:val="034C6969"/>
    <w:rsid w:val="034C6FA8"/>
    <w:rsid w:val="035B2584"/>
    <w:rsid w:val="035B7A85"/>
    <w:rsid w:val="035E79E0"/>
    <w:rsid w:val="0361491D"/>
    <w:rsid w:val="036E3A5C"/>
    <w:rsid w:val="0372321A"/>
    <w:rsid w:val="037362FC"/>
    <w:rsid w:val="03743178"/>
    <w:rsid w:val="038A0ACF"/>
    <w:rsid w:val="03913766"/>
    <w:rsid w:val="03970FB9"/>
    <w:rsid w:val="03A35C42"/>
    <w:rsid w:val="03A478F8"/>
    <w:rsid w:val="03B55E36"/>
    <w:rsid w:val="03D57196"/>
    <w:rsid w:val="03E17B02"/>
    <w:rsid w:val="03E673B9"/>
    <w:rsid w:val="03E6E287"/>
    <w:rsid w:val="03F257AB"/>
    <w:rsid w:val="03F661F7"/>
    <w:rsid w:val="03F8DC17"/>
    <w:rsid w:val="03FA3AEF"/>
    <w:rsid w:val="03FB4A35"/>
    <w:rsid w:val="0404318C"/>
    <w:rsid w:val="04125C2D"/>
    <w:rsid w:val="041A1804"/>
    <w:rsid w:val="041E285F"/>
    <w:rsid w:val="04270833"/>
    <w:rsid w:val="042E273C"/>
    <w:rsid w:val="042F36C8"/>
    <w:rsid w:val="0433E17D"/>
    <w:rsid w:val="043F474B"/>
    <w:rsid w:val="044A505E"/>
    <w:rsid w:val="045348F0"/>
    <w:rsid w:val="04672CC4"/>
    <w:rsid w:val="046E2505"/>
    <w:rsid w:val="047BC8C9"/>
    <w:rsid w:val="04880CFC"/>
    <w:rsid w:val="048A4D79"/>
    <w:rsid w:val="048C4875"/>
    <w:rsid w:val="048D6581"/>
    <w:rsid w:val="049E7D1D"/>
    <w:rsid w:val="04B1187F"/>
    <w:rsid w:val="04B157FD"/>
    <w:rsid w:val="04BF5073"/>
    <w:rsid w:val="04C5639B"/>
    <w:rsid w:val="04D390C0"/>
    <w:rsid w:val="04DE39F2"/>
    <w:rsid w:val="04E71700"/>
    <w:rsid w:val="04F259A4"/>
    <w:rsid w:val="04F66AAE"/>
    <w:rsid w:val="04F92518"/>
    <w:rsid w:val="04FF7E12"/>
    <w:rsid w:val="0500614A"/>
    <w:rsid w:val="050753E9"/>
    <w:rsid w:val="05204798"/>
    <w:rsid w:val="052236D7"/>
    <w:rsid w:val="052445D1"/>
    <w:rsid w:val="053037FA"/>
    <w:rsid w:val="0535063B"/>
    <w:rsid w:val="053815C8"/>
    <w:rsid w:val="053C33DE"/>
    <w:rsid w:val="053D3EC0"/>
    <w:rsid w:val="05434264"/>
    <w:rsid w:val="05480957"/>
    <w:rsid w:val="054917A9"/>
    <w:rsid w:val="05496682"/>
    <w:rsid w:val="055555EF"/>
    <w:rsid w:val="05583353"/>
    <w:rsid w:val="05667D97"/>
    <w:rsid w:val="057B3028"/>
    <w:rsid w:val="058F5FA4"/>
    <w:rsid w:val="059003DE"/>
    <w:rsid w:val="059F0AA4"/>
    <w:rsid w:val="05B02F17"/>
    <w:rsid w:val="05C475D4"/>
    <w:rsid w:val="05D84EBA"/>
    <w:rsid w:val="05DE238E"/>
    <w:rsid w:val="05E1488C"/>
    <w:rsid w:val="05E534E2"/>
    <w:rsid w:val="05EA4B8A"/>
    <w:rsid w:val="060EDC47"/>
    <w:rsid w:val="06166B41"/>
    <w:rsid w:val="061FF8EC"/>
    <w:rsid w:val="06224460"/>
    <w:rsid w:val="062255C0"/>
    <w:rsid w:val="06317BA2"/>
    <w:rsid w:val="06351C40"/>
    <w:rsid w:val="06385CDC"/>
    <w:rsid w:val="06493D79"/>
    <w:rsid w:val="064E1B6D"/>
    <w:rsid w:val="06699296"/>
    <w:rsid w:val="06794CF8"/>
    <w:rsid w:val="0693272B"/>
    <w:rsid w:val="069665FF"/>
    <w:rsid w:val="069EEA45"/>
    <w:rsid w:val="06A017BB"/>
    <w:rsid w:val="06A77F78"/>
    <w:rsid w:val="06B007E9"/>
    <w:rsid w:val="06B53646"/>
    <w:rsid w:val="06B55198"/>
    <w:rsid w:val="06BECE75"/>
    <w:rsid w:val="06C38A6C"/>
    <w:rsid w:val="06C5E369"/>
    <w:rsid w:val="06C7550E"/>
    <w:rsid w:val="06C7F709"/>
    <w:rsid w:val="06CB6EE4"/>
    <w:rsid w:val="06D4645F"/>
    <w:rsid w:val="06D575E9"/>
    <w:rsid w:val="06D75D5F"/>
    <w:rsid w:val="06D855B9"/>
    <w:rsid w:val="06DD134D"/>
    <w:rsid w:val="06E22A86"/>
    <w:rsid w:val="06E415DA"/>
    <w:rsid w:val="06FA455A"/>
    <w:rsid w:val="070239CE"/>
    <w:rsid w:val="0706C425"/>
    <w:rsid w:val="071B1A11"/>
    <w:rsid w:val="071F1A61"/>
    <w:rsid w:val="07203FA6"/>
    <w:rsid w:val="072A7451"/>
    <w:rsid w:val="072B0FB7"/>
    <w:rsid w:val="073217D1"/>
    <w:rsid w:val="07381C55"/>
    <w:rsid w:val="073D7575"/>
    <w:rsid w:val="074F10A9"/>
    <w:rsid w:val="075F5189"/>
    <w:rsid w:val="0761291A"/>
    <w:rsid w:val="076A3EC1"/>
    <w:rsid w:val="076B5B26"/>
    <w:rsid w:val="077F47B4"/>
    <w:rsid w:val="0788465B"/>
    <w:rsid w:val="078E1656"/>
    <w:rsid w:val="07A020BB"/>
    <w:rsid w:val="07A57089"/>
    <w:rsid w:val="07AE49EE"/>
    <w:rsid w:val="07C431D3"/>
    <w:rsid w:val="07CB7063"/>
    <w:rsid w:val="07CC09EB"/>
    <w:rsid w:val="07D35E71"/>
    <w:rsid w:val="07D478A0"/>
    <w:rsid w:val="07F452AE"/>
    <w:rsid w:val="080A0746"/>
    <w:rsid w:val="080F7A86"/>
    <w:rsid w:val="081B5E07"/>
    <w:rsid w:val="08222690"/>
    <w:rsid w:val="083343FC"/>
    <w:rsid w:val="0833614B"/>
    <w:rsid w:val="08343E82"/>
    <w:rsid w:val="0841D929"/>
    <w:rsid w:val="08511E22"/>
    <w:rsid w:val="085207C5"/>
    <w:rsid w:val="085D7896"/>
    <w:rsid w:val="086141DA"/>
    <w:rsid w:val="08645A54"/>
    <w:rsid w:val="08776D3D"/>
    <w:rsid w:val="0878C4CA"/>
    <w:rsid w:val="087C0F93"/>
    <w:rsid w:val="087C72CE"/>
    <w:rsid w:val="087D3ED3"/>
    <w:rsid w:val="08864A6A"/>
    <w:rsid w:val="08A26B86"/>
    <w:rsid w:val="08AA3A1F"/>
    <w:rsid w:val="08B89AB9"/>
    <w:rsid w:val="08BF5AE7"/>
    <w:rsid w:val="08C666A6"/>
    <w:rsid w:val="08E3E06C"/>
    <w:rsid w:val="08E712A1"/>
    <w:rsid w:val="08ED2FC1"/>
    <w:rsid w:val="08ED6E6B"/>
    <w:rsid w:val="08EF40D8"/>
    <w:rsid w:val="08FD1B2B"/>
    <w:rsid w:val="08FE2916"/>
    <w:rsid w:val="08FE3DBC"/>
    <w:rsid w:val="09023FF4"/>
    <w:rsid w:val="090A7B51"/>
    <w:rsid w:val="090C5960"/>
    <w:rsid w:val="091709E9"/>
    <w:rsid w:val="091A54F1"/>
    <w:rsid w:val="09216557"/>
    <w:rsid w:val="092339D0"/>
    <w:rsid w:val="09276DFC"/>
    <w:rsid w:val="09307EE8"/>
    <w:rsid w:val="09340FE7"/>
    <w:rsid w:val="09355E97"/>
    <w:rsid w:val="093A1F8B"/>
    <w:rsid w:val="094E7B48"/>
    <w:rsid w:val="09513658"/>
    <w:rsid w:val="09552ED3"/>
    <w:rsid w:val="095F763D"/>
    <w:rsid w:val="09659CC4"/>
    <w:rsid w:val="096B4234"/>
    <w:rsid w:val="09777CB4"/>
    <w:rsid w:val="097C1501"/>
    <w:rsid w:val="0983568E"/>
    <w:rsid w:val="09842E65"/>
    <w:rsid w:val="098B4818"/>
    <w:rsid w:val="098D5961"/>
    <w:rsid w:val="098E51CD"/>
    <w:rsid w:val="09945CC8"/>
    <w:rsid w:val="09A15EE5"/>
    <w:rsid w:val="09A62A20"/>
    <w:rsid w:val="09A81137"/>
    <w:rsid w:val="09B315CC"/>
    <w:rsid w:val="09C270A5"/>
    <w:rsid w:val="09CC4DDC"/>
    <w:rsid w:val="09CD2261"/>
    <w:rsid w:val="09D23FE1"/>
    <w:rsid w:val="09E85038"/>
    <w:rsid w:val="09EA13BF"/>
    <w:rsid w:val="09F35B5D"/>
    <w:rsid w:val="0A0D7313"/>
    <w:rsid w:val="0A0E45EE"/>
    <w:rsid w:val="0A234501"/>
    <w:rsid w:val="0A2A2B7C"/>
    <w:rsid w:val="0A2E2AD6"/>
    <w:rsid w:val="0A2F0DBE"/>
    <w:rsid w:val="0A305255"/>
    <w:rsid w:val="0A3D12BD"/>
    <w:rsid w:val="0A42241F"/>
    <w:rsid w:val="0A450A16"/>
    <w:rsid w:val="0A564836"/>
    <w:rsid w:val="0A60637D"/>
    <w:rsid w:val="0A623DFD"/>
    <w:rsid w:val="0A656935"/>
    <w:rsid w:val="0A6905B3"/>
    <w:rsid w:val="0A6A3C5D"/>
    <w:rsid w:val="0A748C89"/>
    <w:rsid w:val="0A78087D"/>
    <w:rsid w:val="0A7D3E4B"/>
    <w:rsid w:val="0A9D8B32"/>
    <w:rsid w:val="0AAA5903"/>
    <w:rsid w:val="0AAB432C"/>
    <w:rsid w:val="0AAF5FAD"/>
    <w:rsid w:val="0ABE4431"/>
    <w:rsid w:val="0AC41E4E"/>
    <w:rsid w:val="0AC534D0"/>
    <w:rsid w:val="0ACC4950"/>
    <w:rsid w:val="0AD74F31"/>
    <w:rsid w:val="0AE569A2"/>
    <w:rsid w:val="0AE63F64"/>
    <w:rsid w:val="0AF15379"/>
    <w:rsid w:val="0AF888EB"/>
    <w:rsid w:val="0B0525B6"/>
    <w:rsid w:val="0B161AE5"/>
    <w:rsid w:val="0B1A39EE"/>
    <w:rsid w:val="0B1B3A7E"/>
    <w:rsid w:val="0B2D0A69"/>
    <w:rsid w:val="0B2E8F55"/>
    <w:rsid w:val="0B3014FD"/>
    <w:rsid w:val="0B496975"/>
    <w:rsid w:val="0B4E3ADC"/>
    <w:rsid w:val="0B61769D"/>
    <w:rsid w:val="0B6A00E2"/>
    <w:rsid w:val="0B745EC8"/>
    <w:rsid w:val="0B74681D"/>
    <w:rsid w:val="0B81521C"/>
    <w:rsid w:val="0B822592"/>
    <w:rsid w:val="0B93537C"/>
    <w:rsid w:val="0B9A670B"/>
    <w:rsid w:val="0BA5364C"/>
    <w:rsid w:val="0BA650B0"/>
    <w:rsid w:val="0BA8181B"/>
    <w:rsid w:val="0BB34F73"/>
    <w:rsid w:val="0BB4588B"/>
    <w:rsid w:val="0BB943B1"/>
    <w:rsid w:val="0BC02128"/>
    <w:rsid w:val="0BC4386C"/>
    <w:rsid w:val="0BC74A89"/>
    <w:rsid w:val="0BC76105"/>
    <w:rsid w:val="0BCF1FC7"/>
    <w:rsid w:val="0BD018B1"/>
    <w:rsid w:val="0BD8103F"/>
    <w:rsid w:val="0BDA7B1A"/>
    <w:rsid w:val="0BE53FC8"/>
    <w:rsid w:val="0BE752C5"/>
    <w:rsid w:val="0C085090"/>
    <w:rsid w:val="0C18521E"/>
    <w:rsid w:val="0C234587"/>
    <w:rsid w:val="0C2C5CD2"/>
    <w:rsid w:val="0C361DB8"/>
    <w:rsid w:val="0C4B7EEC"/>
    <w:rsid w:val="0C4D5DD8"/>
    <w:rsid w:val="0C5378B9"/>
    <w:rsid w:val="0C543C45"/>
    <w:rsid w:val="0C545EE9"/>
    <w:rsid w:val="0C5E5D92"/>
    <w:rsid w:val="0C665288"/>
    <w:rsid w:val="0C7272F7"/>
    <w:rsid w:val="0C7379CF"/>
    <w:rsid w:val="0C8136DC"/>
    <w:rsid w:val="0C871385"/>
    <w:rsid w:val="0C8F2CA4"/>
    <w:rsid w:val="0C9D36C5"/>
    <w:rsid w:val="0CA7C533"/>
    <w:rsid w:val="0CAC3346"/>
    <w:rsid w:val="0CB85A06"/>
    <w:rsid w:val="0CB93EF9"/>
    <w:rsid w:val="0CBA522C"/>
    <w:rsid w:val="0CBC94A9"/>
    <w:rsid w:val="0CC2451F"/>
    <w:rsid w:val="0CCD39E2"/>
    <w:rsid w:val="0CD9750A"/>
    <w:rsid w:val="0CDD4D19"/>
    <w:rsid w:val="0CE15D0E"/>
    <w:rsid w:val="0CE20387"/>
    <w:rsid w:val="0CE30628"/>
    <w:rsid w:val="0CE3092F"/>
    <w:rsid w:val="0CE936D3"/>
    <w:rsid w:val="0CF167FE"/>
    <w:rsid w:val="0CF37317"/>
    <w:rsid w:val="0CF63F2E"/>
    <w:rsid w:val="0D003D97"/>
    <w:rsid w:val="0D021033"/>
    <w:rsid w:val="0D12302F"/>
    <w:rsid w:val="0D125110"/>
    <w:rsid w:val="0D145E34"/>
    <w:rsid w:val="0D1866FD"/>
    <w:rsid w:val="0D1F39D9"/>
    <w:rsid w:val="0D2B34C3"/>
    <w:rsid w:val="0D31E8E3"/>
    <w:rsid w:val="0D3771F9"/>
    <w:rsid w:val="0D3CB14D"/>
    <w:rsid w:val="0D400EA9"/>
    <w:rsid w:val="0D494B0B"/>
    <w:rsid w:val="0D512433"/>
    <w:rsid w:val="0D525E0B"/>
    <w:rsid w:val="0D5D2CA9"/>
    <w:rsid w:val="0D621EB7"/>
    <w:rsid w:val="0D6A6AC0"/>
    <w:rsid w:val="0D774BCB"/>
    <w:rsid w:val="0D7B11D5"/>
    <w:rsid w:val="0D844F31"/>
    <w:rsid w:val="0D936FF9"/>
    <w:rsid w:val="0D9858D8"/>
    <w:rsid w:val="0D987713"/>
    <w:rsid w:val="0D996213"/>
    <w:rsid w:val="0DA52A46"/>
    <w:rsid w:val="0DA72142"/>
    <w:rsid w:val="0DAB264E"/>
    <w:rsid w:val="0DB0F304"/>
    <w:rsid w:val="0DBC235B"/>
    <w:rsid w:val="0DBC4A20"/>
    <w:rsid w:val="0DBF10E6"/>
    <w:rsid w:val="0DC27314"/>
    <w:rsid w:val="0DC45B5F"/>
    <w:rsid w:val="0DC95440"/>
    <w:rsid w:val="0DCB7CBC"/>
    <w:rsid w:val="0DD5201C"/>
    <w:rsid w:val="0DD8176C"/>
    <w:rsid w:val="0DD85571"/>
    <w:rsid w:val="0DEE0F90"/>
    <w:rsid w:val="0DFA2E85"/>
    <w:rsid w:val="0DFA3F0C"/>
    <w:rsid w:val="0E0300F4"/>
    <w:rsid w:val="0E080885"/>
    <w:rsid w:val="0E082052"/>
    <w:rsid w:val="0E0F456E"/>
    <w:rsid w:val="0E123506"/>
    <w:rsid w:val="0E193923"/>
    <w:rsid w:val="0E2624D8"/>
    <w:rsid w:val="0E2864C6"/>
    <w:rsid w:val="0E3327A4"/>
    <w:rsid w:val="0E373BFC"/>
    <w:rsid w:val="0E3769E6"/>
    <w:rsid w:val="0E3A70B4"/>
    <w:rsid w:val="0E574E9F"/>
    <w:rsid w:val="0E593912"/>
    <w:rsid w:val="0E6D616A"/>
    <w:rsid w:val="0E7ECC6C"/>
    <w:rsid w:val="0E883278"/>
    <w:rsid w:val="0E887B4C"/>
    <w:rsid w:val="0E8C7FC4"/>
    <w:rsid w:val="0E910299"/>
    <w:rsid w:val="0E93DFEC"/>
    <w:rsid w:val="0EA17B5C"/>
    <w:rsid w:val="0EB601F9"/>
    <w:rsid w:val="0EC13A98"/>
    <w:rsid w:val="0EC46DED"/>
    <w:rsid w:val="0EC92BEE"/>
    <w:rsid w:val="0ECA5B77"/>
    <w:rsid w:val="0EDD6AE2"/>
    <w:rsid w:val="0EE1077C"/>
    <w:rsid w:val="0EE8544A"/>
    <w:rsid w:val="0EFF1466"/>
    <w:rsid w:val="0F0341BE"/>
    <w:rsid w:val="0F0D2944"/>
    <w:rsid w:val="0F3B5885"/>
    <w:rsid w:val="0F4418C4"/>
    <w:rsid w:val="0F451F1C"/>
    <w:rsid w:val="0F5F737E"/>
    <w:rsid w:val="0F661AA9"/>
    <w:rsid w:val="0F765660"/>
    <w:rsid w:val="0F79711A"/>
    <w:rsid w:val="0F8B4610"/>
    <w:rsid w:val="0F91473D"/>
    <w:rsid w:val="0F9976C5"/>
    <w:rsid w:val="0F9C170F"/>
    <w:rsid w:val="0F9D1CA7"/>
    <w:rsid w:val="0FB029A1"/>
    <w:rsid w:val="0FD1B3BB"/>
    <w:rsid w:val="0FD73FC3"/>
    <w:rsid w:val="0FE70FEC"/>
    <w:rsid w:val="0FE96845"/>
    <w:rsid w:val="0FEB4A4C"/>
    <w:rsid w:val="0FF4016F"/>
    <w:rsid w:val="100D396E"/>
    <w:rsid w:val="10150F18"/>
    <w:rsid w:val="10234F21"/>
    <w:rsid w:val="104B6F41"/>
    <w:rsid w:val="10576A64"/>
    <w:rsid w:val="1062C339"/>
    <w:rsid w:val="10646908"/>
    <w:rsid w:val="106E49D8"/>
    <w:rsid w:val="106E5090"/>
    <w:rsid w:val="107450CD"/>
    <w:rsid w:val="108A6DBD"/>
    <w:rsid w:val="108B1205"/>
    <w:rsid w:val="108B4FC5"/>
    <w:rsid w:val="108C6D94"/>
    <w:rsid w:val="109C0612"/>
    <w:rsid w:val="10A07E81"/>
    <w:rsid w:val="10A3262F"/>
    <w:rsid w:val="10A62666"/>
    <w:rsid w:val="10A740C6"/>
    <w:rsid w:val="10A90EE1"/>
    <w:rsid w:val="10B01644"/>
    <w:rsid w:val="10B21203"/>
    <w:rsid w:val="10B56535"/>
    <w:rsid w:val="10B83F5F"/>
    <w:rsid w:val="10BE2E7A"/>
    <w:rsid w:val="10C2298C"/>
    <w:rsid w:val="10C71F4F"/>
    <w:rsid w:val="10CF2F0C"/>
    <w:rsid w:val="10DA2E3D"/>
    <w:rsid w:val="10E31747"/>
    <w:rsid w:val="10E849F4"/>
    <w:rsid w:val="10EC4B65"/>
    <w:rsid w:val="10F05B08"/>
    <w:rsid w:val="10F08504"/>
    <w:rsid w:val="10F6C11A"/>
    <w:rsid w:val="10FB3C68"/>
    <w:rsid w:val="11061CA3"/>
    <w:rsid w:val="11103304"/>
    <w:rsid w:val="11191B5E"/>
    <w:rsid w:val="1125116C"/>
    <w:rsid w:val="11261387"/>
    <w:rsid w:val="112D65DC"/>
    <w:rsid w:val="112F4333"/>
    <w:rsid w:val="11423A52"/>
    <w:rsid w:val="114A31B5"/>
    <w:rsid w:val="114B4140"/>
    <w:rsid w:val="114C606C"/>
    <w:rsid w:val="11525ECF"/>
    <w:rsid w:val="1159307F"/>
    <w:rsid w:val="116D11DA"/>
    <w:rsid w:val="116D7044"/>
    <w:rsid w:val="11781BC3"/>
    <w:rsid w:val="11846C32"/>
    <w:rsid w:val="11881F41"/>
    <w:rsid w:val="118D3052"/>
    <w:rsid w:val="118F7EA6"/>
    <w:rsid w:val="119D6A07"/>
    <w:rsid w:val="11A1F36B"/>
    <w:rsid w:val="11A9744E"/>
    <w:rsid w:val="11B03F22"/>
    <w:rsid w:val="11B322D4"/>
    <w:rsid w:val="11CA7F16"/>
    <w:rsid w:val="11CC1D01"/>
    <w:rsid w:val="11D33A12"/>
    <w:rsid w:val="11E05BCB"/>
    <w:rsid w:val="11E96127"/>
    <w:rsid w:val="11EDFA1C"/>
    <w:rsid w:val="11FE322E"/>
    <w:rsid w:val="12051158"/>
    <w:rsid w:val="12060C68"/>
    <w:rsid w:val="1209283C"/>
    <w:rsid w:val="121D4174"/>
    <w:rsid w:val="12293A51"/>
    <w:rsid w:val="123A034A"/>
    <w:rsid w:val="12407E90"/>
    <w:rsid w:val="1242382F"/>
    <w:rsid w:val="124A11E8"/>
    <w:rsid w:val="125710EC"/>
    <w:rsid w:val="12600FE7"/>
    <w:rsid w:val="126039AD"/>
    <w:rsid w:val="126B6EEB"/>
    <w:rsid w:val="12784D39"/>
    <w:rsid w:val="127952CC"/>
    <w:rsid w:val="127B5651"/>
    <w:rsid w:val="127F55BA"/>
    <w:rsid w:val="1282076B"/>
    <w:rsid w:val="12825ECF"/>
    <w:rsid w:val="12896B68"/>
    <w:rsid w:val="12900D78"/>
    <w:rsid w:val="129C7270"/>
    <w:rsid w:val="12A73085"/>
    <w:rsid w:val="12AA0E0B"/>
    <w:rsid w:val="12D957C2"/>
    <w:rsid w:val="12DC5E84"/>
    <w:rsid w:val="12ED0FD3"/>
    <w:rsid w:val="12F96449"/>
    <w:rsid w:val="13051E25"/>
    <w:rsid w:val="13194362"/>
    <w:rsid w:val="133F1454"/>
    <w:rsid w:val="1354356F"/>
    <w:rsid w:val="135B0513"/>
    <w:rsid w:val="135F150A"/>
    <w:rsid w:val="136521DB"/>
    <w:rsid w:val="136C7089"/>
    <w:rsid w:val="13735F1E"/>
    <w:rsid w:val="13794034"/>
    <w:rsid w:val="137ABA24"/>
    <w:rsid w:val="137FC554"/>
    <w:rsid w:val="138E7986"/>
    <w:rsid w:val="13B2A504"/>
    <w:rsid w:val="13BB487B"/>
    <w:rsid w:val="13BC7F1E"/>
    <w:rsid w:val="13BD2DB6"/>
    <w:rsid w:val="13D319FF"/>
    <w:rsid w:val="13D600CE"/>
    <w:rsid w:val="13D82FBE"/>
    <w:rsid w:val="13DE786B"/>
    <w:rsid w:val="13DF70C1"/>
    <w:rsid w:val="13EC5071"/>
    <w:rsid w:val="13F97A34"/>
    <w:rsid w:val="13FA57BF"/>
    <w:rsid w:val="140107D4"/>
    <w:rsid w:val="140723E5"/>
    <w:rsid w:val="141B2ADE"/>
    <w:rsid w:val="141E5C9D"/>
    <w:rsid w:val="14207B87"/>
    <w:rsid w:val="1424570B"/>
    <w:rsid w:val="142F6EF2"/>
    <w:rsid w:val="14310C6B"/>
    <w:rsid w:val="143716B3"/>
    <w:rsid w:val="143C1EDE"/>
    <w:rsid w:val="14420A4D"/>
    <w:rsid w:val="144731A8"/>
    <w:rsid w:val="14495FBE"/>
    <w:rsid w:val="144C48F2"/>
    <w:rsid w:val="144E5441"/>
    <w:rsid w:val="145C5B31"/>
    <w:rsid w:val="14604750"/>
    <w:rsid w:val="147A4BAB"/>
    <w:rsid w:val="147B3DB5"/>
    <w:rsid w:val="148F527B"/>
    <w:rsid w:val="14B91546"/>
    <w:rsid w:val="14DB61C7"/>
    <w:rsid w:val="14E84E8E"/>
    <w:rsid w:val="14F052A5"/>
    <w:rsid w:val="14F70366"/>
    <w:rsid w:val="14FB7424"/>
    <w:rsid w:val="14FD49FC"/>
    <w:rsid w:val="151536CC"/>
    <w:rsid w:val="1528F0D9"/>
    <w:rsid w:val="152F25F4"/>
    <w:rsid w:val="152F5A76"/>
    <w:rsid w:val="153C21F3"/>
    <w:rsid w:val="154432C7"/>
    <w:rsid w:val="154C90BD"/>
    <w:rsid w:val="15670DE0"/>
    <w:rsid w:val="156AF792"/>
    <w:rsid w:val="156C2142"/>
    <w:rsid w:val="156D4D48"/>
    <w:rsid w:val="156D5A78"/>
    <w:rsid w:val="15805826"/>
    <w:rsid w:val="15825949"/>
    <w:rsid w:val="1583761D"/>
    <w:rsid w:val="158D3FA5"/>
    <w:rsid w:val="159135CF"/>
    <w:rsid w:val="15945268"/>
    <w:rsid w:val="15B1706A"/>
    <w:rsid w:val="15B30500"/>
    <w:rsid w:val="15B77127"/>
    <w:rsid w:val="15BB6A00"/>
    <w:rsid w:val="15BBFB75"/>
    <w:rsid w:val="15D943C5"/>
    <w:rsid w:val="15E06C41"/>
    <w:rsid w:val="15E12BA0"/>
    <w:rsid w:val="15E73450"/>
    <w:rsid w:val="15EA028F"/>
    <w:rsid w:val="15EA2CB1"/>
    <w:rsid w:val="1609506C"/>
    <w:rsid w:val="160B5450"/>
    <w:rsid w:val="160D4891"/>
    <w:rsid w:val="161758C0"/>
    <w:rsid w:val="16193892"/>
    <w:rsid w:val="161967AC"/>
    <w:rsid w:val="161C0D90"/>
    <w:rsid w:val="16250FCC"/>
    <w:rsid w:val="16303D36"/>
    <w:rsid w:val="164610EA"/>
    <w:rsid w:val="164D6CFB"/>
    <w:rsid w:val="16504596"/>
    <w:rsid w:val="1657773E"/>
    <w:rsid w:val="16631D4B"/>
    <w:rsid w:val="1670530D"/>
    <w:rsid w:val="167142D4"/>
    <w:rsid w:val="167E5D8E"/>
    <w:rsid w:val="16897C13"/>
    <w:rsid w:val="168A019A"/>
    <w:rsid w:val="168EDA02"/>
    <w:rsid w:val="169F4796"/>
    <w:rsid w:val="169F47F2"/>
    <w:rsid w:val="16A6F827"/>
    <w:rsid w:val="16AA0019"/>
    <w:rsid w:val="16B84ACD"/>
    <w:rsid w:val="16C36F61"/>
    <w:rsid w:val="16C877A7"/>
    <w:rsid w:val="16CEF9D3"/>
    <w:rsid w:val="16D01CBA"/>
    <w:rsid w:val="16D17434"/>
    <w:rsid w:val="16E10384"/>
    <w:rsid w:val="16F0CB73"/>
    <w:rsid w:val="16FE3430"/>
    <w:rsid w:val="171D1A12"/>
    <w:rsid w:val="171F31C5"/>
    <w:rsid w:val="17234553"/>
    <w:rsid w:val="172D7FDF"/>
    <w:rsid w:val="173ABC73"/>
    <w:rsid w:val="1743EF6A"/>
    <w:rsid w:val="17552AED"/>
    <w:rsid w:val="17582CDA"/>
    <w:rsid w:val="175B66AE"/>
    <w:rsid w:val="175E0F34"/>
    <w:rsid w:val="17622CCA"/>
    <w:rsid w:val="17625DB5"/>
    <w:rsid w:val="176624DB"/>
    <w:rsid w:val="1767198F"/>
    <w:rsid w:val="176A57F1"/>
    <w:rsid w:val="176D08D4"/>
    <w:rsid w:val="1772513C"/>
    <w:rsid w:val="177F6999"/>
    <w:rsid w:val="178E5790"/>
    <w:rsid w:val="17A12535"/>
    <w:rsid w:val="17A74689"/>
    <w:rsid w:val="17A770E7"/>
    <w:rsid w:val="17A7CC18"/>
    <w:rsid w:val="17C508A3"/>
    <w:rsid w:val="17CA54DD"/>
    <w:rsid w:val="17D13F07"/>
    <w:rsid w:val="17DE3435"/>
    <w:rsid w:val="17E52A81"/>
    <w:rsid w:val="17E82350"/>
    <w:rsid w:val="17F659DE"/>
    <w:rsid w:val="181051DC"/>
    <w:rsid w:val="18124B0D"/>
    <w:rsid w:val="181E0CF5"/>
    <w:rsid w:val="18245F6B"/>
    <w:rsid w:val="182EF42F"/>
    <w:rsid w:val="18357820"/>
    <w:rsid w:val="183C2369"/>
    <w:rsid w:val="183E3689"/>
    <w:rsid w:val="183F3AB4"/>
    <w:rsid w:val="184818ED"/>
    <w:rsid w:val="184D57F5"/>
    <w:rsid w:val="185250C5"/>
    <w:rsid w:val="18552FA5"/>
    <w:rsid w:val="185A2657"/>
    <w:rsid w:val="18655129"/>
    <w:rsid w:val="186D7322"/>
    <w:rsid w:val="1878588D"/>
    <w:rsid w:val="187E4CA0"/>
    <w:rsid w:val="188B46D1"/>
    <w:rsid w:val="18A55ECD"/>
    <w:rsid w:val="18AC7ECE"/>
    <w:rsid w:val="18AF4967"/>
    <w:rsid w:val="18B18483"/>
    <w:rsid w:val="18B32125"/>
    <w:rsid w:val="18B41A9C"/>
    <w:rsid w:val="18BB6385"/>
    <w:rsid w:val="18BD7B9C"/>
    <w:rsid w:val="18C5178C"/>
    <w:rsid w:val="18CF4890"/>
    <w:rsid w:val="18DC65B5"/>
    <w:rsid w:val="18E4783F"/>
    <w:rsid w:val="18F11309"/>
    <w:rsid w:val="18F7195E"/>
    <w:rsid w:val="1901226B"/>
    <w:rsid w:val="19156ED1"/>
    <w:rsid w:val="19201479"/>
    <w:rsid w:val="192729C7"/>
    <w:rsid w:val="192F6B25"/>
    <w:rsid w:val="19341565"/>
    <w:rsid w:val="19414A27"/>
    <w:rsid w:val="19435AB1"/>
    <w:rsid w:val="194367D7"/>
    <w:rsid w:val="19452B4F"/>
    <w:rsid w:val="1946533A"/>
    <w:rsid w:val="1947C3DB"/>
    <w:rsid w:val="194903BE"/>
    <w:rsid w:val="194929D4"/>
    <w:rsid w:val="194C33D8"/>
    <w:rsid w:val="19534B0E"/>
    <w:rsid w:val="195B7567"/>
    <w:rsid w:val="19627EF6"/>
    <w:rsid w:val="1964462E"/>
    <w:rsid w:val="198A0C97"/>
    <w:rsid w:val="198F5568"/>
    <w:rsid w:val="199450E1"/>
    <w:rsid w:val="19953D83"/>
    <w:rsid w:val="199BB64C"/>
    <w:rsid w:val="199E2DA4"/>
    <w:rsid w:val="19A90459"/>
    <w:rsid w:val="19B36C9B"/>
    <w:rsid w:val="19C43AD8"/>
    <w:rsid w:val="19C707ED"/>
    <w:rsid w:val="19C7234F"/>
    <w:rsid w:val="19D22032"/>
    <w:rsid w:val="19D77747"/>
    <w:rsid w:val="19D9DC0D"/>
    <w:rsid w:val="19DD0F28"/>
    <w:rsid w:val="19DE0D7F"/>
    <w:rsid w:val="19E404BB"/>
    <w:rsid w:val="19EB37D1"/>
    <w:rsid w:val="19EE388E"/>
    <w:rsid w:val="19FD51B7"/>
    <w:rsid w:val="1A06E70F"/>
    <w:rsid w:val="1A077F39"/>
    <w:rsid w:val="1A0A010A"/>
    <w:rsid w:val="1A0F2DB0"/>
    <w:rsid w:val="1A194A21"/>
    <w:rsid w:val="1A1B2808"/>
    <w:rsid w:val="1A1B4337"/>
    <w:rsid w:val="1A2E3F7C"/>
    <w:rsid w:val="1A3441CE"/>
    <w:rsid w:val="1A3B042E"/>
    <w:rsid w:val="1A3F7449"/>
    <w:rsid w:val="1A450785"/>
    <w:rsid w:val="1A494FD6"/>
    <w:rsid w:val="1A547D4C"/>
    <w:rsid w:val="1A55331A"/>
    <w:rsid w:val="1A5B7157"/>
    <w:rsid w:val="1A803049"/>
    <w:rsid w:val="1A9F6062"/>
    <w:rsid w:val="1AA07F19"/>
    <w:rsid w:val="1AA5295F"/>
    <w:rsid w:val="1AA665D9"/>
    <w:rsid w:val="1AAC7B3C"/>
    <w:rsid w:val="1AAF4835"/>
    <w:rsid w:val="1ABA32C0"/>
    <w:rsid w:val="1ABE3DF9"/>
    <w:rsid w:val="1AC30982"/>
    <w:rsid w:val="1ACA1AE3"/>
    <w:rsid w:val="1AD13334"/>
    <w:rsid w:val="1AD53065"/>
    <w:rsid w:val="1AED07AA"/>
    <w:rsid w:val="1AF161F9"/>
    <w:rsid w:val="1AF20D7C"/>
    <w:rsid w:val="1AF97A0E"/>
    <w:rsid w:val="1B00529D"/>
    <w:rsid w:val="1B066C03"/>
    <w:rsid w:val="1B07354D"/>
    <w:rsid w:val="1B0F704C"/>
    <w:rsid w:val="1B1B0204"/>
    <w:rsid w:val="1B1E72A1"/>
    <w:rsid w:val="1B254966"/>
    <w:rsid w:val="1B2A7F85"/>
    <w:rsid w:val="1B301CF0"/>
    <w:rsid w:val="1B313B59"/>
    <w:rsid w:val="1B4137D1"/>
    <w:rsid w:val="1B4583F5"/>
    <w:rsid w:val="1B493EFD"/>
    <w:rsid w:val="1B4F24C6"/>
    <w:rsid w:val="1B696EE0"/>
    <w:rsid w:val="1B6B1E72"/>
    <w:rsid w:val="1B6E6F4A"/>
    <w:rsid w:val="1B767614"/>
    <w:rsid w:val="1B7900F9"/>
    <w:rsid w:val="1B861574"/>
    <w:rsid w:val="1B944454"/>
    <w:rsid w:val="1BAC4325"/>
    <w:rsid w:val="1BAC6930"/>
    <w:rsid w:val="1BBE6EE5"/>
    <w:rsid w:val="1BC072F8"/>
    <w:rsid w:val="1BCF1C49"/>
    <w:rsid w:val="1BD12812"/>
    <w:rsid w:val="1BD63057"/>
    <w:rsid w:val="1BE28D7F"/>
    <w:rsid w:val="1BEA4B08"/>
    <w:rsid w:val="1BFE47E8"/>
    <w:rsid w:val="1C0654E2"/>
    <w:rsid w:val="1C0D63BE"/>
    <w:rsid w:val="1C0EA944"/>
    <w:rsid w:val="1C138761"/>
    <w:rsid w:val="1C1A54E2"/>
    <w:rsid w:val="1C23503E"/>
    <w:rsid w:val="1C281B11"/>
    <w:rsid w:val="1C2C1B22"/>
    <w:rsid w:val="1C2C3FC2"/>
    <w:rsid w:val="1C2F4999"/>
    <w:rsid w:val="1C3311B2"/>
    <w:rsid w:val="1C3E3695"/>
    <w:rsid w:val="1C4F3541"/>
    <w:rsid w:val="1C52647E"/>
    <w:rsid w:val="1C5503E7"/>
    <w:rsid w:val="1C5C2FB9"/>
    <w:rsid w:val="1C61567B"/>
    <w:rsid w:val="1C68422B"/>
    <w:rsid w:val="1C7D0750"/>
    <w:rsid w:val="1C8276CF"/>
    <w:rsid w:val="1C8C7573"/>
    <w:rsid w:val="1C91731A"/>
    <w:rsid w:val="1C9F5EE0"/>
    <w:rsid w:val="1CAC6337"/>
    <w:rsid w:val="1CAE1825"/>
    <w:rsid w:val="1CB87718"/>
    <w:rsid w:val="1CBB6974"/>
    <w:rsid w:val="1CCF26E1"/>
    <w:rsid w:val="1CD22029"/>
    <w:rsid w:val="1CD25E84"/>
    <w:rsid w:val="1CD301A5"/>
    <w:rsid w:val="1CEF6E12"/>
    <w:rsid w:val="1CF0B20B"/>
    <w:rsid w:val="1D012A7A"/>
    <w:rsid w:val="1D18EF74"/>
    <w:rsid w:val="1D1F5385"/>
    <w:rsid w:val="1D3A698B"/>
    <w:rsid w:val="1D475F1D"/>
    <w:rsid w:val="1D4965BF"/>
    <w:rsid w:val="1D4F5F78"/>
    <w:rsid w:val="1D502FD6"/>
    <w:rsid w:val="1D54D97E"/>
    <w:rsid w:val="1D636924"/>
    <w:rsid w:val="1D6D441C"/>
    <w:rsid w:val="1D741AC7"/>
    <w:rsid w:val="1D7B4A13"/>
    <w:rsid w:val="1D8965DF"/>
    <w:rsid w:val="1D985207"/>
    <w:rsid w:val="1D9966CB"/>
    <w:rsid w:val="1D9C05C5"/>
    <w:rsid w:val="1D9D1367"/>
    <w:rsid w:val="1DA04861"/>
    <w:rsid w:val="1DAB1723"/>
    <w:rsid w:val="1DAC66A5"/>
    <w:rsid w:val="1DB15C44"/>
    <w:rsid w:val="1DBA4434"/>
    <w:rsid w:val="1DBD5394"/>
    <w:rsid w:val="1DC57BFE"/>
    <w:rsid w:val="1DC82F0B"/>
    <w:rsid w:val="1DC92BAB"/>
    <w:rsid w:val="1DE40422"/>
    <w:rsid w:val="1DE72A0C"/>
    <w:rsid w:val="1DE7401C"/>
    <w:rsid w:val="1DF6FC99"/>
    <w:rsid w:val="1E082A78"/>
    <w:rsid w:val="1E1786A3"/>
    <w:rsid w:val="1E205195"/>
    <w:rsid w:val="1E232D99"/>
    <w:rsid w:val="1E254177"/>
    <w:rsid w:val="1E2C164C"/>
    <w:rsid w:val="1E2C49BC"/>
    <w:rsid w:val="1E2F2BE9"/>
    <w:rsid w:val="1E3061DA"/>
    <w:rsid w:val="1E4E2B6B"/>
    <w:rsid w:val="1E5866DD"/>
    <w:rsid w:val="1E6A1F16"/>
    <w:rsid w:val="1E70460E"/>
    <w:rsid w:val="1E711CE5"/>
    <w:rsid w:val="1E713A67"/>
    <w:rsid w:val="1E754F73"/>
    <w:rsid w:val="1E8D164C"/>
    <w:rsid w:val="1E937A22"/>
    <w:rsid w:val="1EB407FF"/>
    <w:rsid w:val="1EB460CF"/>
    <w:rsid w:val="1EB83D78"/>
    <w:rsid w:val="1EB91CF3"/>
    <w:rsid w:val="1EBD3750"/>
    <w:rsid w:val="1EBF18B0"/>
    <w:rsid w:val="1ECA3EF0"/>
    <w:rsid w:val="1ECC6F7F"/>
    <w:rsid w:val="1ED24800"/>
    <w:rsid w:val="1ED3077E"/>
    <w:rsid w:val="1EE2244B"/>
    <w:rsid w:val="1EE47347"/>
    <w:rsid w:val="1EF47BDA"/>
    <w:rsid w:val="1EF503D0"/>
    <w:rsid w:val="1F01B25A"/>
    <w:rsid w:val="1F033BAE"/>
    <w:rsid w:val="1F040613"/>
    <w:rsid w:val="1F0A0257"/>
    <w:rsid w:val="1F2162D9"/>
    <w:rsid w:val="1F2577D7"/>
    <w:rsid w:val="1F2B217F"/>
    <w:rsid w:val="1F2E743E"/>
    <w:rsid w:val="1F52137F"/>
    <w:rsid w:val="1F592821"/>
    <w:rsid w:val="1F5C0955"/>
    <w:rsid w:val="1F627655"/>
    <w:rsid w:val="1F6E2B80"/>
    <w:rsid w:val="1F7237CF"/>
    <w:rsid w:val="1F7D3EF4"/>
    <w:rsid w:val="1F90164A"/>
    <w:rsid w:val="1F97EBF7"/>
    <w:rsid w:val="1FA0E7F0"/>
    <w:rsid w:val="1FAC2F76"/>
    <w:rsid w:val="1FB11F89"/>
    <w:rsid w:val="1FBF3258"/>
    <w:rsid w:val="1FC760EF"/>
    <w:rsid w:val="1FCB1F16"/>
    <w:rsid w:val="1FDD5020"/>
    <w:rsid w:val="1FE1325C"/>
    <w:rsid w:val="1FE20CB1"/>
    <w:rsid w:val="1FF1371C"/>
    <w:rsid w:val="20100071"/>
    <w:rsid w:val="20125795"/>
    <w:rsid w:val="20312AAD"/>
    <w:rsid w:val="203E49EC"/>
    <w:rsid w:val="2040CB96"/>
    <w:rsid w:val="20427645"/>
    <w:rsid w:val="20430E8F"/>
    <w:rsid w:val="20491EDB"/>
    <w:rsid w:val="204E635D"/>
    <w:rsid w:val="20572131"/>
    <w:rsid w:val="2060709F"/>
    <w:rsid w:val="20687648"/>
    <w:rsid w:val="206E043A"/>
    <w:rsid w:val="2072BD93"/>
    <w:rsid w:val="2075210A"/>
    <w:rsid w:val="20791BA2"/>
    <w:rsid w:val="20791D3F"/>
    <w:rsid w:val="207D2545"/>
    <w:rsid w:val="208F220A"/>
    <w:rsid w:val="20905028"/>
    <w:rsid w:val="209238C6"/>
    <w:rsid w:val="20947450"/>
    <w:rsid w:val="209A2B7F"/>
    <w:rsid w:val="209D4DCE"/>
    <w:rsid w:val="209E65E7"/>
    <w:rsid w:val="20A0081D"/>
    <w:rsid w:val="20B3C55F"/>
    <w:rsid w:val="20B875EE"/>
    <w:rsid w:val="20BA1061"/>
    <w:rsid w:val="20BC7EDF"/>
    <w:rsid w:val="20CF0926"/>
    <w:rsid w:val="20D14525"/>
    <w:rsid w:val="20D7371E"/>
    <w:rsid w:val="20D73D21"/>
    <w:rsid w:val="20D8B486"/>
    <w:rsid w:val="20DE0894"/>
    <w:rsid w:val="20E712D0"/>
    <w:rsid w:val="20FF41A3"/>
    <w:rsid w:val="2100140F"/>
    <w:rsid w:val="21024A1E"/>
    <w:rsid w:val="211A7FFC"/>
    <w:rsid w:val="211D0623"/>
    <w:rsid w:val="211D59BC"/>
    <w:rsid w:val="211DA19E"/>
    <w:rsid w:val="21256AB9"/>
    <w:rsid w:val="2133006B"/>
    <w:rsid w:val="214A915D"/>
    <w:rsid w:val="214E4F5C"/>
    <w:rsid w:val="2173231E"/>
    <w:rsid w:val="217E4B69"/>
    <w:rsid w:val="2187650E"/>
    <w:rsid w:val="218A4DC7"/>
    <w:rsid w:val="219D64E2"/>
    <w:rsid w:val="21AA49CC"/>
    <w:rsid w:val="21B05151"/>
    <w:rsid w:val="21B16191"/>
    <w:rsid w:val="21BD4FB9"/>
    <w:rsid w:val="21BD5070"/>
    <w:rsid w:val="21C069C8"/>
    <w:rsid w:val="21D54ED0"/>
    <w:rsid w:val="21D8E710"/>
    <w:rsid w:val="21DA1B4A"/>
    <w:rsid w:val="21DA3815"/>
    <w:rsid w:val="21E5169A"/>
    <w:rsid w:val="220E0DF5"/>
    <w:rsid w:val="2211453F"/>
    <w:rsid w:val="22115AFE"/>
    <w:rsid w:val="221C77AA"/>
    <w:rsid w:val="22293A76"/>
    <w:rsid w:val="222F39B8"/>
    <w:rsid w:val="223675E0"/>
    <w:rsid w:val="22381523"/>
    <w:rsid w:val="223D1E66"/>
    <w:rsid w:val="224139FE"/>
    <w:rsid w:val="224DECF0"/>
    <w:rsid w:val="22521696"/>
    <w:rsid w:val="22550CE7"/>
    <w:rsid w:val="22584D43"/>
    <w:rsid w:val="2264E72F"/>
    <w:rsid w:val="226565A4"/>
    <w:rsid w:val="2294466A"/>
    <w:rsid w:val="229513C2"/>
    <w:rsid w:val="22A107EF"/>
    <w:rsid w:val="22B500EE"/>
    <w:rsid w:val="22B53FCD"/>
    <w:rsid w:val="22C0350F"/>
    <w:rsid w:val="22E06CA1"/>
    <w:rsid w:val="230170C3"/>
    <w:rsid w:val="231150AD"/>
    <w:rsid w:val="231608E2"/>
    <w:rsid w:val="23167117"/>
    <w:rsid w:val="231A7966"/>
    <w:rsid w:val="231AED81"/>
    <w:rsid w:val="231B575B"/>
    <w:rsid w:val="23271715"/>
    <w:rsid w:val="232C30BE"/>
    <w:rsid w:val="23311DD4"/>
    <w:rsid w:val="23330486"/>
    <w:rsid w:val="233728EA"/>
    <w:rsid w:val="233A33DB"/>
    <w:rsid w:val="23423992"/>
    <w:rsid w:val="23456CE9"/>
    <w:rsid w:val="23474F50"/>
    <w:rsid w:val="2348B4EB"/>
    <w:rsid w:val="235376A1"/>
    <w:rsid w:val="23571C74"/>
    <w:rsid w:val="235810D5"/>
    <w:rsid w:val="23581C8D"/>
    <w:rsid w:val="235A69A2"/>
    <w:rsid w:val="235C115B"/>
    <w:rsid w:val="235C5FEF"/>
    <w:rsid w:val="23631BFE"/>
    <w:rsid w:val="23657451"/>
    <w:rsid w:val="23785829"/>
    <w:rsid w:val="237D4125"/>
    <w:rsid w:val="238625E5"/>
    <w:rsid w:val="238F6D26"/>
    <w:rsid w:val="23936538"/>
    <w:rsid w:val="239D5DFD"/>
    <w:rsid w:val="23AC00C3"/>
    <w:rsid w:val="23B545AA"/>
    <w:rsid w:val="23BB4232"/>
    <w:rsid w:val="23C35A1F"/>
    <w:rsid w:val="23C82C41"/>
    <w:rsid w:val="23C9216A"/>
    <w:rsid w:val="23CA0ED1"/>
    <w:rsid w:val="23D60358"/>
    <w:rsid w:val="23D7DFFB"/>
    <w:rsid w:val="23DF2203"/>
    <w:rsid w:val="23F26841"/>
    <w:rsid w:val="23FF1A93"/>
    <w:rsid w:val="24080A12"/>
    <w:rsid w:val="240C5118"/>
    <w:rsid w:val="241430A6"/>
    <w:rsid w:val="241519DC"/>
    <w:rsid w:val="242111DF"/>
    <w:rsid w:val="2421555B"/>
    <w:rsid w:val="24235B1F"/>
    <w:rsid w:val="2426E2A2"/>
    <w:rsid w:val="242EC7BA"/>
    <w:rsid w:val="24502F38"/>
    <w:rsid w:val="24547D41"/>
    <w:rsid w:val="246579F5"/>
    <w:rsid w:val="246E1CFD"/>
    <w:rsid w:val="24772E94"/>
    <w:rsid w:val="248310B6"/>
    <w:rsid w:val="24843B47"/>
    <w:rsid w:val="24887920"/>
    <w:rsid w:val="249A3341"/>
    <w:rsid w:val="24B51FC4"/>
    <w:rsid w:val="24C178C3"/>
    <w:rsid w:val="24C2381D"/>
    <w:rsid w:val="24E05F6D"/>
    <w:rsid w:val="24E5183D"/>
    <w:rsid w:val="24E73848"/>
    <w:rsid w:val="24E85B0E"/>
    <w:rsid w:val="24EA0586"/>
    <w:rsid w:val="24EB4FB3"/>
    <w:rsid w:val="24EE26E8"/>
    <w:rsid w:val="24F00F95"/>
    <w:rsid w:val="24FB30A9"/>
    <w:rsid w:val="24FF6C96"/>
    <w:rsid w:val="2508258F"/>
    <w:rsid w:val="250A51B7"/>
    <w:rsid w:val="250D111E"/>
    <w:rsid w:val="2513330B"/>
    <w:rsid w:val="25174750"/>
    <w:rsid w:val="251B27DE"/>
    <w:rsid w:val="25251657"/>
    <w:rsid w:val="25267440"/>
    <w:rsid w:val="254148D2"/>
    <w:rsid w:val="25535E50"/>
    <w:rsid w:val="25546A54"/>
    <w:rsid w:val="25552295"/>
    <w:rsid w:val="255C36C7"/>
    <w:rsid w:val="25691710"/>
    <w:rsid w:val="25692A5B"/>
    <w:rsid w:val="256D0A24"/>
    <w:rsid w:val="257C3F97"/>
    <w:rsid w:val="25827F5B"/>
    <w:rsid w:val="25893936"/>
    <w:rsid w:val="258B105B"/>
    <w:rsid w:val="258D229D"/>
    <w:rsid w:val="25916BC3"/>
    <w:rsid w:val="259D1C4A"/>
    <w:rsid w:val="259D33EC"/>
    <w:rsid w:val="25A5F7D6"/>
    <w:rsid w:val="25B154E2"/>
    <w:rsid w:val="25B60690"/>
    <w:rsid w:val="25C01516"/>
    <w:rsid w:val="25C85C3A"/>
    <w:rsid w:val="25CB3F1C"/>
    <w:rsid w:val="25CC56DE"/>
    <w:rsid w:val="25D83227"/>
    <w:rsid w:val="25E63098"/>
    <w:rsid w:val="25EC2F81"/>
    <w:rsid w:val="25EC687E"/>
    <w:rsid w:val="260721E2"/>
    <w:rsid w:val="2609CF45"/>
    <w:rsid w:val="260D4251"/>
    <w:rsid w:val="26117F51"/>
    <w:rsid w:val="263C4114"/>
    <w:rsid w:val="265170E6"/>
    <w:rsid w:val="26583B7A"/>
    <w:rsid w:val="265B3F3C"/>
    <w:rsid w:val="26651E40"/>
    <w:rsid w:val="266E1CE7"/>
    <w:rsid w:val="26717001"/>
    <w:rsid w:val="2672FD8F"/>
    <w:rsid w:val="267A0F41"/>
    <w:rsid w:val="268A24E1"/>
    <w:rsid w:val="268E7BE9"/>
    <w:rsid w:val="269A52F8"/>
    <w:rsid w:val="269B11A3"/>
    <w:rsid w:val="269B5D6C"/>
    <w:rsid w:val="269B6CE7"/>
    <w:rsid w:val="26B087F8"/>
    <w:rsid w:val="26BE2523"/>
    <w:rsid w:val="26CA4AFF"/>
    <w:rsid w:val="26CE3B9A"/>
    <w:rsid w:val="26DF1121"/>
    <w:rsid w:val="26E02389"/>
    <w:rsid w:val="270574A7"/>
    <w:rsid w:val="27073E72"/>
    <w:rsid w:val="27084A19"/>
    <w:rsid w:val="270C44DF"/>
    <w:rsid w:val="270F075B"/>
    <w:rsid w:val="2735511D"/>
    <w:rsid w:val="274719E5"/>
    <w:rsid w:val="275663D0"/>
    <w:rsid w:val="275966F4"/>
    <w:rsid w:val="275A041F"/>
    <w:rsid w:val="27604855"/>
    <w:rsid w:val="2767FB4B"/>
    <w:rsid w:val="27695C7C"/>
    <w:rsid w:val="276BCB0B"/>
    <w:rsid w:val="2793322C"/>
    <w:rsid w:val="279F1635"/>
    <w:rsid w:val="27A61A2A"/>
    <w:rsid w:val="27A853E8"/>
    <w:rsid w:val="27AB46CB"/>
    <w:rsid w:val="27AFD295"/>
    <w:rsid w:val="27B810E4"/>
    <w:rsid w:val="27C1390F"/>
    <w:rsid w:val="27EA7602"/>
    <w:rsid w:val="27F37A50"/>
    <w:rsid w:val="27FBA2D3"/>
    <w:rsid w:val="280B21CA"/>
    <w:rsid w:val="280C620C"/>
    <w:rsid w:val="28132284"/>
    <w:rsid w:val="2816225A"/>
    <w:rsid w:val="28210AAD"/>
    <w:rsid w:val="28364597"/>
    <w:rsid w:val="2848476D"/>
    <w:rsid w:val="285A1881"/>
    <w:rsid w:val="2865B3A7"/>
    <w:rsid w:val="28662711"/>
    <w:rsid w:val="286A000B"/>
    <w:rsid w:val="287B49F2"/>
    <w:rsid w:val="288244D2"/>
    <w:rsid w:val="28824A28"/>
    <w:rsid w:val="28847E20"/>
    <w:rsid w:val="288E508A"/>
    <w:rsid w:val="2890765D"/>
    <w:rsid w:val="28930ABE"/>
    <w:rsid w:val="28A3610D"/>
    <w:rsid w:val="28A363C7"/>
    <w:rsid w:val="28AB5F69"/>
    <w:rsid w:val="28B15548"/>
    <w:rsid w:val="28B62B22"/>
    <w:rsid w:val="28C40E8A"/>
    <w:rsid w:val="28C77930"/>
    <w:rsid w:val="28C8445F"/>
    <w:rsid w:val="28D748B1"/>
    <w:rsid w:val="28DE157E"/>
    <w:rsid w:val="28EB68FA"/>
    <w:rsid w:val="28F71E6C"/>
    <w:rsid w:val="28FAC339"/>
    <w:rsid w:val="29003BF9"/>
    <w:rsid w:val="29024F87"/>
    <w:rsid w:val="29087E5A"/>
    <w:rsid w:val="290B2768"/>
    <w:rsid w:val="290C1B44"/>
    <w:rsid w:val="292131F5"/>
    <w:rsid w:val="29220279"/>
    <w:rsid w:val="29244548"/>
    <w:rsid w:val="292C067E"/>
    <w:rsid w:val="29307F83"/>
    <w:rsid w:val="29373393"/>
    <w:rsid w:val="294445B4"/>
    <w:rsid w:val="2954266F"/>
    <w:rsid w:val="29673C78"/>
    <w:rsid w:val="296749DC"/>
    <w:rsid w:val="296E4669"/>
    <w:rsid w:val="297C5F1E"/>
    <w:rsid w:val="29830BA0"/>
    <w:rsid w:val="298A3ADE"/>
    <w:rsid w:val="299D2B87"/>
    <w:rsid w:val="29AA670B"/>
    <w:rsid w:val="29AF5841"/>
    <w:rsid w:val="29B568A0"/>
    <w:rsid w:val="29C11D63"/>
    <w:rsid w:val="29C73A97"/>
    <w:rsid w:val="29C77690"/>
    <w:rsid w:val="29C9017B"/>
    <w:rsid w:val="29D06236"/>
    <w:rsid w:val="29D81F2D"/>
    <w:rsid w:val="29E714C3"/>
    <w:rsid w:val="29F57BF5"/>
    <w:rsid w:val="29FE7956"/>
    <w:rsid w:val="2A025036"/>
    <w:rsid w:val="2A185A02"/>
    <w:rsid w:val="2A1E2D2B"/>
    <w:rsid w:val="2A1E4833"/>
    <w:rsid w:val="2A376617"/>
    <w:rsid w:val="2A3E51AE"/>
    <w:rsid w:val="2A4549FD"/>
    <w:rsid w:val="2A4603B3"/>
    <w:rsid w:val="2A4C2282"/>
    <w:rsid w:val="2A5C2D82"/>
    <w:rsid w:val="2A66193F"/>
    <w:rsid w:val="2A675EB4"/>
    <w:rsid w:val="2A8D4BF0"/>
    <w:rsid w:val="2AA131BA"/>
    <w:rsid w:val="2AA55870"/>
    <w:rsid w:val="2AA64452"/>
    <w:rsid w:val="2AA902C1"/>
    <w:rsid w:val="2AB14E56"/>
    <w:rsid w:val="2AB76471"/>
    <w:rsid w:val="2AB881FE"/>
    <w:rsid w:val="2AC81993"/>
    <w:rsid w:val="2ACD6980"/>
    <w:rsid w:val="2ADC0B50"/>
    <w:rsid w:val="2ADC4C2A"/>
    <w:rsid w:val="2AE31A25"/>
    <w:rsid w:val="2AF41755"/>
    <w:rsid w:val="2AF96EBE"/>
    <w:rsid w:val="2B078D8F"/>
    <w:rsid w:val="2B1C5F6A"/>
    <w:rsid w:val="2B1C69DC"/>
    <w:rsid w:val="2B1F3773"/>
    <w:rsid w:val="2B3F7671"/>
    <w:rsid w:val="2B46235B"/>
    <w:rsid w:val="2B5C7A75"/>
    <w:rsid w:val="2B636CA5"/>
    <w:rsid w:val="2B78513E"/>
    <w:rsid w:val="2B816C0D"/>
    <w:rsid w:val="2B843A4A"/>
    <w:rsid w:val="2B97572C"/>
    <w:rsid w:val="2BA60451"/>
    <w:rsid w:val="2BAC7D94"/>
    <w:rsid w:val="2BBB5B52"/>
    <w:rsid w:val="2BC10622"/>
    <w:rsid w:val="2BCA62A8"/>
    <w:rsid w:val="2BCE6231"/>
    <w:rsid w:val="2BCF491F"/>
    <w:rsid w:val="2BD1791F"/>
    <w:rsid w:val="2BDB5B20"/>
    <w:rsid w:val="2BE12363"/>
    <w:rsid w:val="2BE15B7C"/>
    <w:rsid w:val="2BE2742C"/>
    <w:rsid w:val="2BE31D03"/>
    <w:rsid w:val="2BE47802"/>
    <w:rsid w:val="2BE97DEA"/>
    <w:rsid w:val="2BF04F92"/>
    <w:rsid w:val="2BF10756"/>
    <w:rsid w:val="2BF99913"/>
    <w:rsid w:val="2C062A69"/>
    <w:rsid w:val="2C0A5064"/>
    <w:rsid w:val="2C0E4FC1"/>
    <w:rsid w:val="2C1F7973"/>
    <w:rsid w:val="2C226E23"/>
    <w:rsid w:val="2C357DD7"/>
    <w:rsid w:val="2C486D22"/>
    <w:rsid w:val="2C4E2CC0"/>
    <w:rsid w:val="2C507FD2"/>
    <w:rsid w:val="2C5771F2"/>
    <w:rsid w:val="2C595FD9"/>
    <w:rsid w:val="2C5D1FC7"/>
    <w:rsid w:val="2C6865AC"/>
    <w:rsid w:val="2C6B54D2"/>
    <w:rsid w:val="2C75AF49"/>
    <w:rsid w:val="2C7BB1C4"/>
    <w:rsid w:val="2C7F1A5B"/>
    <w:rsid w:val="2C974C3D"/>
    <w:rsid w:val="2CA13719"/>
    <w:rsid w:val="2CA44FBD"/>
    <w:rsid w:val="2CB915D8"/>
    <w:rsid w:val="2CD83F3F"/>
    <w:rsid w:val="2CD95A9D"/>
    <w:rsid w:val="2CDE72AB"/>
    <w:rsid w:val="2CE96961"/>
    <w:rsid w:val="2CECA645"/>
    <w:rsid w:val="2CF229C2"/>
    <w:rsid w:val="2CFE6B39"/>
    <w:rsid w:val="2D0B5263"/>
    <w:rsid w:val="2D160805"/>
    <w:rsid w:val="2D1660E1"/>
    <w:rsid w:val="2D1D5E8E"/>
    <w:rsid w:val="2D3B7102"/>
    <w:rsid w:val="2D47B9CB"/>
    <w:rsid w:val="2D596920"/>
    <w:rsid w:val="2D77250B"/>
    <w:rsid w:val="2D7B3A9B"/>
    <w:rsid w:val="2D7B400F"/>
    <w:rsid w:val="2D980ACD"/>
    <w:rsid w:val="2DA21EC8"/>
    <w:rsid w:val="2DCD308D"/>
    <w:rsid w:val="2DCF7BC2"/>
    <w:rsid w:val="2DD77F1C"/>
    <w:rsid w:val="2DD8C48C"/>
    <w:rsid w:val="2DE52558"/>
    <w:rsid w:val="2DFD7E93"/>
    <w:rsid w:val="2E091E14"/>
    <w:rsid w:val="2E0A518A"/>
    <w:rsid w:val="2E16411B"/>
    <w:rsid w:val="2E1F7302"/>
    <w:rsid w:val="2E22C3FD"/>
    <w:rsid w:val="2E246182"/>
    <w:rsid w:val="2E2465DC"/>
    <w:rsid w:val="2E2525A7"/>
    <w:rsid w:val="2E2B43B8"/>
    <w:rsid w:val="2E2B71B2"/>
    <w:rsid w:val="2E362BA4"/>
    <w:rsid w:val="2E38CD6F"/>
    <w:rsid w:val="2E427A15"/>
    <w:rsid w:val="2E4C0083"/>
    <w:rsid w:val="2E5730E9"/>
    <w:rsid w:val="2E5E4594"/>
    <w:rsid w:val="2E5E4BFA"/>
    <w:rsid w:val="2E782FC2"/>
    <w:rsid w:val="2EB270CC"/>
    <w:rsid w:val="2EBC63E4"/>
    <w:rsid w:val="2EC13678"/>
    <w:rsid w:val="2EC9289E"/>
    <w:rsid w:val="2ECE6548"/>
    <w:rsid w:val="2ED702E4"/>
    <w:rsid w:val="2EE03EF8"/>
    <w:rsid w:val="2EE43FBD"/>
    <w:rsid w:val="2EF80C2E"/>
    <w:rsid w:val="2F0520FF"/>
    <w:rsid w:val="2F086FAA"/>
    <w:rsid w:val="2F1C4BFB"/>
    <w:rsid w:val="2F1C6CB3"/>
    <w:rsid w:val="2F1E6B53"/>
    <w:rsid w:val="2F21658E"/>
    <w:rsid w:val="2F222E1E"/>
    <w:rsid w:val="2F2874B9"/>
    <w:rsid w:val="2F3B2873"/>
    <w:rsid w:val="2F3BAB3D"/>
    <w:rsid w:val="2F3F0499"/>
    <w:rsid w:val="2F495033"/>
    <w:rsid w:val="2F497749"/>
    <w:rsid w:val="2F4A3E20"/>
    <w:rsid w:val="2F52788E"/>
    <w:rsid w:val="2F570C0D"/>
    <w:rsid w:val="2F773BC9"/>
    <w:rsid w:val="2F780D45"/>
    <w:rsid w:val="2F7B578A"/>
    <w:rsid w:val="2F8A043E"/>
    <w:rsid w:val="2FAF28A5"/>
    <w:rsid w:val="2FB22C80"/>
    <w:rsid w:val="2FC775D2"/>
    <w:rsid w:val="2FC8F218"/>
    <w:rsid w:val="2FDD1178"/>
    <w:rsid w:val="2FEB08DD"/>
    <w:rsid w:val="2FEB597E"/>
    <w:rsid w:val="2FED7C5A"/>
    <w:rsid w:val="2FF43063"/>
    <w:rsid w:val="2FFF8B60"/>
    <w:rsid w:val="30007E3B"/>
    <w:rsid w:val="30131BBC"/>
    <w:rsid w:val="3013A398"/>
    <w:rsid w:val="301B1AA8"/>
    <w:rsid w:val="301D4502"/>
    <w:rsid w:val="3025663B"/>
    <w:rsid w:val="302A7D64"/>
    <w:rsid w:val="302D23A2"/>
    <w:rsid w:val="303469B9"/>
    <w:rsid w:val="3035CEFB"/>
    <w:rsid w:val="303B66DF"/>
    <w:rsid w:val="30500A60"/>
    <w:rsid w:val="3058CD4E"/>
    <w:rsid w:val="305C4B2B"/>
    <w:rsid w:val="305D6288"/>
    <w:rsid w:val="306A01BA"/>
    <w:rsid w:val="306A1DAC"/>
    <w:rsid w:val="306B0B0B"/>
    <w:rsid w:val="306F49E5"/>
    <w:rsid w:val="308356F3"/>
    <w:rsid w:val="308F2085"/>
    <w:rsid w:val="30943905"/>
    <w:rsid w:val="30BB30B2"/>
    <w:rsid w:val="30C645AC"/>
    <w:rsid w:val="30D844C6"/>
    <w:rsid w:val="30E367EA"/>
    <w:rsid w:val="30E41942"/>
    <w:rsid w:val="30F63E07"/>
    <w:rsid w:val="30F67B8B"/>
    <w:rsid w:val="30F77EFA"/>
    <w:rsid w:val="310004D1"/>
    <w:rsid w:val="31071CED"/>
    <w:rsid w:val="310C5CDF"/>
    <w:rsid w:val="3115502D"/>
    <w:rsid w:val="311C5FD8"/>
    <w:rsid w:val="3129114E"/>
    <w:rsid w:val="312B4641"/>
    <w:rsid w:val="312C1F98"/>
    <w:rsid w:val="312F25E0"/>
    <w:rsid w:val="31317ACC"/>
    <w:rsid w:val="313365C5"/>
    <w:rsid w:val="313F44E3"/>
    <w:rsid w:val="3141C454"/>
    <w:rsid w:val="314637A8"/>
    <w:rsid w:val="316929C5"/>
    <w:rsid w:val="316F50FF"/>
    <w:rsid w:val="317330A8"/>
    <w:rsid w:val="317738DE"/>
    <w:rsid w:val="31816C58"/>
    <w:rsid w:val="31820B34"/>
    <w:rsid w:val="318422B4"/>
    <w:rsid w:val="31857392"/>
    <w:rsid w:val="31981725"/>
    <w:rsid w:val="319A1E24"/>
    <w:rsid w:val="31A60EE4"/>
    <w:rsid w:val="31B231EE"/>
    <w:rsid w:val="31B344D2"/>
    <w:rsid w:val="31BA4FC7"/>
    <w:rsid w:val="31BCEF77"/>
    <w:rsid w:val="31D38673"/>
    <w:rsid w:val="31D5281D"/>
    <w:rsid w:val="3200037A"/>
    <w:rsid w:val="32131802"/>
    <w:rsid w:val="321FA728"/>
    <w:rsid w:val="3223D5AB"/>
    <w:rsid w:val="32241AEB"/>
    <w:rsid w:val="322E57DA"/>
    <w:rsid w:val="323D610D"/>
    <w:rsid w:val="324D3497"/>
    <w:rsid w:val="324F5BF1"/>
    <w:rsid w:val="324F7172"/>
    <w:rsid w:val="32536496"/>
    <w:rsid w:val="32593BAF"/>
    <w:rsid w:val="325E6437"/>
    <w:rsid w:val="328F6CEE"/>
    <w:rsid w:val="32A13C1B"/>
    <w:rsid w:val="32A61CC9"/>
    <w:rsid w:val="32AE2FD4"/>
    <w:rsid w:val="32BD78C9"/>
    <w:rsid w:val="32CC0FF0"/>
    <w:rsid w:val="32D63A96"/>
    <w:rsid w:val="32DA18CD"/>
    <w:rsid w:val="32DD6394"/>
    <w:rsid w:val="32F67DB8"/>
    <w:rsid w:val="32FA2C14"/>
    <w:rsid w:val="32FBDEB1"/>
    <w:rsid w:val="330141F8"/>
    <w:rsid w:val="3329550F"/>
    <w:rsid w:val="333A6E57"/>
    <w:rsid w:val="3340630B"/>
    <w:rsid w:val="33479D17"/>
    <w:rsid w:val="335B054C"/>
    <w:rsid w:val="336064ED"/>
    <w:rsid w:val="3366702B"/>
    <w:rsid w:val="3368663D"/>
    <w:rsid w:val="33757E46"/>
    <w:rsid w:val="337E47F6"/>
    <w:rsid w:val="3388369B"/>
    <w:rsid w:val="338E62A6"/>
    <w:rsid w:val="33942ECF"/>
    <w:rsid w:val="3396285B"/>
    <w:rsid w:val="339B6725"/>
    <w:rsid w:val="339E5E85"/>
    <w:rsid w:val="33A92647"/>
    <w:rsid w:val="33ADFFF2"/>
    <w:rsid w:val="33EB6803"/>
    <w:rsid w:val="33F57A38"/>
    <w:rsid w:val="340B406E"/>
    <w:rsid w:val="340E2442"/>
    <w:rsid w:val="34144B70"/>
    <w:rsid w:val="34256B7D"/>
    <w:rsid w:val="342656AB"/>
    <w:rsid w:val="34304DD0"/>
    <w:rsid w:val="3432458C"/>
    <w:rsid w:val="343432F1"/>
    <w:rsid w:val="3435CB1C"/>
    <w:rsid w:val="344C4F55"/>
    <w:rsid w:val="34501C7C"/>
    <w:rsid w:val="34533418"/>
    <w:rsid w:val="345BBE69"/>
    <w:rsid w:val="345F6AFC"/>
    <w:rsid w:val="346208C5"/>
    <w:rsid w:val="34637B6D"/>
    <w:rsid w:val="34936CC9"/>
    <w:rsid w:val="34A10764"/>
    <w:rsid w:val="34A51C48"/>
    <w:rsid w:val="34B50318"/>
    <w:rsid w:val="34C24C03"/>
    <w:rsid w:val="34C648F2"/>
    <w:rsid w:val="34C75F13"/>
    <w:rsid w:val="34CB095E"/>
    <w:rsid w:val="34E72111"/>
    <w:rsid w:val="34FC5AA3"/>
    <w:rsid w:val="34FD1495"/>
    <w:rsid w:val="34FD33FA"/>
    <w:rsid w:val="34FF4C58"/>
    <w:rsid w:val="350831D5"/>
    <w:rsid w:val="350B08CE"/>
    <w:rsid w:val="350D56D8"/>
    <w:rsid w:val="351526BB"/>
    <w:rsid w:val="35180B05"/>
    <w:rsid w:val="35184B0F"/>
    <w:rsid w:val="352574A4"/>
    <w:rsid w:val="3526D55F"/>
    <w:rsid w:val="35306038"/>
    <w:rsid w:val="354370FF"/>
    <w:rsid w:val="3548161C"/>
    <w:rsid w:val="35527ED3"/>
    <w:rsid w:val="35532C11"/>
    <w:rsid w:val="3556B1E5"/>
    <w:rsid w:val="35587CFC"/>
    <w:rsid w:val="355A2E48"/>
    <w:rsid w:val="355BBF4F"/>
    <w:rsid w:val="35671F28"/>
    <w:rsid w:val="35856CF8"/>
    <w:rsid w:val="358B301A"/>
    <w:rsid w:val="35A4255C"/>
    <w:rsid w:val="35AD3E2E"/>
    <w:rsid w:val="35C2F296"/>
    <w:rsid w:val="35C457A6"/>
    <w:rsid w:val="35C61CEB"/>
    <w:rsid w:val="35C84D8A"/>
    <w:rsid w:val="35D401A4"/>
    <w:rsid w:val="35D72A59"/>
    <w:rsid w:val="35D87306"/>
    <w:rsid w:val="35E4514A"/>
    <w:rsid w:val="35F07A68"/>
    <w:rsid w:val="35F34199"/>
    <w:rsid w:val="35FD5242"/>
    <w:rsid w:val="360D0519"/>
    <w:rsid w:val="360E218D"/>
    <w:rsid w:val="361E1225"/>
    <w:rsid w:val="362123C4"/>
    <w:rsid w:val="362B39B5"/>
    <w:rsid w:val="36339BED"/>
    <w:rsid w:val="363A5F56"/>
    <w:rsid w:val="363A8AFF"/>
    <w:rsid w:val="36439F53"/>
    <w:rsid w:val="365A7649"/>
    <w:rsid w:val="365F08C4"/>
    <w:rsid w:val="36610803"/>
    <w:rsid w:val="366204CA"/>
    <w:rsid w:val="36640FCD"/>
    <w:rsid w:val="36666521"/>
    <w:rsid w:val="366D4898"/>
    <w:rsid w:val="36780B39"/>
    <w:rsid w:val="368F0CB2"/>
    <w:rsid w:val="3695FD23"/>
    <w:rsid w:val="36963391"/>
    <w:rsid w:val="36A0251C"/>
    <w:rsid w:val="36A703FB"/>
    <w:rsid w:val="36A868F3"/>
    <w:rsid w:val="36B03D3A"/>
    <w:rsid w:val="36B9E3D9"/>
    <w:rsid w:val="36BB72EB"/>
    <w:rsid w:val="36D28BA3"/>
    <w:rsid w:val="36D45DD5"/>
    <w:rsid w:val="36F12E42"/>
    <w:rsid w:val="36F8220F"/>
    <w:rsid w:val="36FF43CA"/>
    <w:rsid w:val="36FF7BD7"/>
    <w:rsid w:val="3703C78F"/>
    <w:rsid w:val="37050F52"/>
    <w:rsid w:val="370C3A42"/>
    <w:rsid w:val="371A0AAA"/>
    <w:rsid w:val="37220615"/>
    <w:rsid w:val="3728046B"/>
    <w:rsid w:val="37342C4A"/>
    <w:rsid w:val="37397236"/>
    <w:rsid w:val="373AACA0"/>
    <w:rsid w:val="374C7FBA"/>
    <w:rsid w:val="37564F84"/>
    <w:rsid w:val="375E2188"/>
    <w:rsid w:val="3774779A"/>
    <w:rsid w:val="37861C89"/>
    <w:rsid w:val="378E4AC6"/>
    <w:rsid w:val="37ADE5DB"/>
    <w:rsid w:val="37B07132"/>
    <w:rsid w:val="37B55C3D"/>
    <w:rsid w:val="37D02303"/>
    <w:rsid w:val="37DB5ACE"/>
    <w:rsid w:val="37DF5CDC"/>
    <w:rsid w:val="37FD6FD8"/>
    <w:rsid w:val="38030E6B"/>
    <w:rsid w:val="38158CC4"/>
    <w:rsid w:val="38165CC9"/>
    <w:rsid w:val="3817C434"/>
    <w:rsid w:val="381C65B3"/>
    <w:rsid w:val="382669A1"/>
    <w:rsid w:val="38420CCA"/>
    <w:rsid w:val="38437C7A"/>
    <w:rsid w:val="38500355"/>
    <w:rsid w:val="38526B73"/>
    <w:rsid w:val="385F00AA"/>
    <w:rsid w:val="3865C21C"/>
    <w:rsid w:val="386B22E4"/>
    <w:rsid w:val="386D7971"/>
    <w:rsid w:val="386DC453"/>
    <w:rsid w:val="3880C8BB"/>
    <w:rsid w:val="389C125B"/>
    <w:rsid w:val="389F0697"/>
    <w:rsid w:val="38A33FBF"/>
    <w:rsid w:val="38AD7B00"/>
    <w:rsid w:val="38AE725E"/>
    <w:rsid w:val="38AE98BB"/>
    <w:rsid w:val="38B1293E"/>
    <w:rsid w:val="38B8629F"/>
    <w:rsid w:val="38BE6243"/>
    <w:rsid w:val="38C679DF"/>
    <w:rsid w:val="38D0318C"/>
    <w:rsid w:val="38E1650E"/>
    <w:rsid w:val="38F24B8E"/>
    <w:rsid w:val="38F50FF9"/>
    <w:rsid w:val="390B7000"/>
    <w:rsid w:val="39111E53"/>
    <w:rsid w:val="39116241"/>
    <w:rsid w:val="391501EB"/>
    <w:rsid w:val="391737BA"/>
    <w:rsid w:val="391DF333"/>
    <w:rsid w:val="392870EB"/>
    <w:rsid w:val="392A67AE"/>
    <w:rsid w:val="39332D8A"/>
    <w:rsid w:val="393618B9"/>
    <w:rsid w:val="3938615B"/>
    <w:rsid w:val="393D058F"/>
    <w:rsid w:val="39510480"/>
    <w:rsid w:val="39608B59"/>
    <w:rsid w:val="396648F3"/>
    <w:rsid w:val="397038E1"/>
    <w:rsid w:val="39711019"/>
    <w:rsid w:val="398F33A2"/>
    <w:rsid w:val="39A15B4F"/>
    <w:rsid w:val="39A22409"/>
    <w:rsid w:val="39A43D04"/>
    <w:rsid w:val="39B00924"/>
    <w:rsid w:val="39B1408B"/>
    <w:rsid w:val="39C907C8"/>
    <w:rsid w:val="39D227AD"/>
    <w:rsid w:val="39D92F48"/>
    <w:rsid w:val="39DE0DBD"/>
    <w:rsid w:val="39E345EB"/>
    <w:rsid w:val="39E8363A"/>
    <w:rsid w:val="39EB5AB6"/>
    <w:rsid w:val="39EE5CF0"/>
    <w:rsid w:val="39F316A0"/>
    <w:rsid w:val="39F69AB3"/>
    <w:rsid w:val="39FE1FA6"/>
    <w:rsid w:val="3A002868"/>
    <w:rsid w:val="3A0DDEB5"/>
    <w:rsid w:val="3A174853"/>
    <w:rsid w:val="3A1B213D"/>
    <w:rsid w:val="3A316E97"/>
    <w:rsid w:val="3A323E5D"/>
    <w:rsid w:val="3A3302CA"/>
    <w:rsid w:val="3A3D0ECE"/>
    <w:rsid w:val="3A4723A6"/>
    <w:rsid w:val="3A4B39EB"/>
    <w:rsid w:val="3A5F51D8"/>
    <w:rsid w:val="3A6A4534"/>
    <w:rsid w:val="3A6C54E6"/>
    <w:rsid w:val="3A706705"/>
    <w:rsid w:val="3A7909D6"/>
    <w:rsid w:val="3A804200"/>
    <w:rsid w:val="3A81A25D"/>
    <w:rsid w:val="3A8D7715"/>
    <w:rsid w:val="3AA9AFE7"/>
    <w:rsid w:val="3AB062D2"/>
    <w:rsid w:val="3AB36427"/>
    <w:rsid w:val="3ABA2018"/>
    <w:rsid w:val="3ABD0C7B"/>
    <w:rsid w:val="3ABF1F9D"/>
    <w:rsid w:val="3AC16330"/>
    <w:rsid w:val="3AC97C2E"/>
    <w:rsid w:val="3ACD69E1"/>
    <w:rsid w:val="3AD9075B"/>
    <w:rsid w:val="3AE634DB"/>
    <w:rsid w:val="3AFF4F90"/>
    <w:rsid w:val="3B0F5DAE"/>
    <w:rsid w:val="3B143498"/>
    <w:rsid w:val="3B1AC6BB"/>
    <w:rsid w:val="3B1F4178"/>
    <w:rsid w:val="3B2E44C6"/>
    <w:rsid w:val="3B47258C"/>
    <w:rsid w:val="3B4A2724"/>
    <w:rsid w:val="3B4D4268"/>
    <w:rsid w:val="3B4EAD0D"/>
    <w:rsid w:val="3B50F49C"/>
    <w:rsid w:val="3B56426D"/>
    <w:rsid w:val="3B686014"/>
    <w:rsid w:val="3B7D37CF"/>
    <w:rsid w:val="3B7E028A"/>
    <w:rsid w:val="3B7E2AAD"/>
    <w:rsid w:val="3B7E5185"/>
    <w:rsid w:val="3B883DD1"/>
    <w:rsid w:val="3B9C5765"/>
    <w:rsid w:val="3BA1794D"/>
    <w:rsid w:val="3BA4640C"/>
    <w:rsid w:val="3BBE7686"/>
    <w:rsid w:val="3BC96F6B"/>
    <w:rsid w:val="3BCB23F3"/>
    <w:rsid w:val="3BD7C953"/>
    <w:rsid w:val="3BDD3951"/>
    <w:rsid w:val="3BE347C4"/>
    <w:rsid w:val="3BE455FD"/>
    <w:rsid w:val="3BEE9DF8"/>
    <w:rsid w:val="3BEF07AE"/>
    <w:rsid w:val="3BF52974"/>
    <w:rsid w:val="3BFB459F"/>
    <w:rsid w:val="3BFFFB90"/>
    <w:rsid w:val="3C02734D"/>
    <w:rsid w:val="3C037833"/>
    <w:rsid w:val="3C0B4455"/>
    <w:rsid w:val="3C133E97"/>
    <w:rsid w:val="3C2B7ABE"/>
    <w:rsid w:val="3C2F7BB5"/>
    <w:rsid w:val="3C431537"/>
    <w:rsid w:val="3C469B91"/>
    <w:rsid w:val="3C503770"/>
    <w:rsid w:val="3C5727B8"/>
    <w:rsid w:val="3C674CB1"/>
    <w:rsid w:val="3C7249B6"/>
    <w:rsid w:val="3C732390"/>
    <w:rsid w:val="3C880BE3"/>
    <w:rsid w:val="3C8AAF6C"/>
    <w:rsid w:val="3CA006DA"/>
    <w:rsid w:val="3CAB4194"/>
    <w:rsid w:val="3CB8740B"/>
    <w:rsid w:val="3CC735E7"/>
    <w:rsid w:val="3CCF1E09"/>
    <w:rsid w:val="3CD5387F"/>
    <w:rsid w:val="3CD70F15"/>
    <w:rsid w:val="3CDA4C57"/>
    <w:rsid w:val="3CE00035"/>
    <w:rsid w:val="3CEC6182"/>
    <w:rsid w:val="3CECEEF8"/>
    <w:rsid w:val="3CEE00E4"/>
    <w:rsid w:val="3CF82CC1"/>
    <w:rsid w:val="3CF842B9"/>
    <w:rsid w:val="3CFF660B"/>
    <w:rsid w:val="3D0055B6"/>
    <w:rsid w:val="3D094279"/>
    <w:rsid w:val="3D0B2D8E"/>
    <w:rsid w:val="3D0E1F0E"/>
    <w:rsid w:val="3D143CBF"/>
    <w:rsid w:val="3D17519F"/>
    <w:rsid w:val="3D251615"/>
    <w:rsid w:val="3D2566B3"/>
    <w:rsid w:val="3D2832C7"/>
    <w:rsid w:val="3D296BA6"/>
    <w:rsid w:val="3D2C6D62"/>
    <w:rsid w:val="3D2D0D5A"/>
    <w:rsid w:val="3D2D73D3"/>
    <w:rsid w:val="3D2F7BAC"/>
    <w:rsid w:val="3D34698E"/>
    <w:rsid w:val="3D3D7062"/>
    <w:rsid w:val="3D47725E"/>
    <w:rsid w:val="3D494DED"/>
    <w:rsid w:val="3D512A83"/>
    <w:rsid w:val="3D5802E5"/>
    <w:rsid w:val="3D587FD2"/>
    <w:rsid w:val="3D593E65"/>
    <w:rsid w:val="3D5C444D"/>
    <w:rsid w:val="3D601ECC"/>
    <w:rsid w:val="3D622BE8"/>
    <w:rsid w:val="3D6634CE"/>
    <w:rsid w:val="3D671145"/>
    <w:rsid w:val="3D6F0EF6"/>
    <w:rsid w:val="3D716E20"/>
    <w:rsid w:val="3D7755D7"/>
    <w:rsid w:val="3D7C3F53"/>
    <w:rsid w:val="3D9C5895"/>
    <w:rsid w:val="3D9CCEF6"/>
    <w:rsid w:val="3DA56853"/>
    <w:rsid w:val="3DA6700E"/>
    <w:rsid w:val="3DAA4F2D"/>
    <w:rsid w:val="3DAB199D"/>
    <w:rsid w:val="3DB72637"/>
    <w:rsid w:val="3DCE32E0"/>
    <w:rsid w:val="3DE56224"/>
    <w:rsid w:val="3DEB4780"/>
    <w:rsid w:val="3DEF0A8E"/>
    <w:rsid w:val="3DF6F801"/>
    <w:rsid w:val="3DF8713D"/>
    <w:rsid w:val="3E0D5A16"/>
    <w:rsid w:val="3E1115B6"/>
    <w:rsid w:val="3E1A0BBF"/>
    <w:rsid w:val="3E1B68E8"/>
    <w:rsid w:val="3E1E1E7D"/>
    <w:rsid w:val="3E225FE7"/>
    <w:rsid w:val="3E237291"/>
    <w:rsid w:val="3E243DB8"/>
    <w:rsid w:val="3E2F4381"/>
    <w:rsid w:val="3E3E60C5"/>
    <w:rsid w:val="3E4655F6"/>
    <w:rsid w:val="3E6D404B"/>
    <w:rsid w:val="3E6F4C57"/>
    <w:rsid w:val="3E740EBA"/>
    <w:rsid w:val="3E7E7BC5"/>
    <w:rsid w:val="3E853B10"/>
    <w:rsid w:val="3E854631"/>
    <w:rsid w:val="3E883554"/>
    <w:rsid w:val="3E8C07AC"/>
    <w:rsid w:val="3E8E5EDA"/>
    <w:rsid w:val="3E8F1439"/>
    <w:rsid w:val="3E8F6EA6"/>
    <w:rsid w:val="3E927592"/>
    <w:rsid w:val="3E954244"/>
    <w:rsid w:val="3EAF3CA0"/>
    <w:rsid w:val="3EB2371F"/>
    <w:rsid w:val="3EBE4865"/>
    <w:rsid w:val="3ED5D790"/>
    <w:rsid w:val="3EDC4F9D"/>
    <w:rsid w:val="3EEC013C"/>
    <w:rsid w:val="3EEC1E21"/>
    <w:rsid w:val="3EEE7FE3"/>
    <w:rsid w:val="3EF94F1B"/>
    <w:rsid w:val="3F277CDA"/>
    <w:rsid w:val="3F293A53"/>
    <w:rsid w:val="3F2AB194"/>
    <w:rsid w:val="3F313265"/>
    <w:rsid w:val="3F4C5A54"/>
    <w:rsid w:val="3F52119A"/>
    <w:rsid w:val="3F5D36FC"/>
    <w:rsid w:val="3F6A2D72"/>
    <w:rsid w:val="3F8002AE"/>
    <w:rsid w:val="3F8104F8"/>
    <w:rsid w:val="3F835C05"/>
    <w:rsid w:val="3F8421E3"/>
    <w:rsid w:val="3F905752"/>
    <w:rsid w:val="3F95712F"/>
    <w:rsid w:val="3F983462"/>
    <w:rsid w:val="3F9E20A5"/>
    <w:rsid w:val="3FA82812"/>
    <w:rsid w:val="3FAF19E6"/>
    <w:rsid w:val="3FB26099"/>
    <w:rsid w:val="3FBA7D3F"/>
    <w:rsid w:val="3FBC7C44"/>
    <w:rsid w:val="3FBCF84C"/>
    <w:rsid w:val="3FC20FF4"/>
    <w:rsid w:val="3FED6F58"/>
    <w:rsid w:val="3FFA77AD"/>
    <w:rsid w:val="4008305B"/>
    <w:rsid w:val="400E4B63"/>
    <w:rsid w:val="400E5A93"/>
    <w:rsid w:val="40124BA7"/>
    <w:rsid w:val="401A0107"/>
    <w:rsid w:val="40343BA9"/>
    <w:rsid w:val="4035300F"/>
    <w:rsid w:val="40486E85"/>
    <w:rsid w:val="404C09BA"/>
    <w:rsid w:val="40564904"/>
    <w:rsid w:val="40581D87"/>
    <w:rsid w:val="405B071C"/>
    <w:rsid w:val="40624ABD"/>
    <w:rsid w:val="406548BD"/>
    <w:rsid w:val="40664620"/>
    <w:rsid w:val="406B349A"/>
    <w:rsid w:val="406B73F6"/>
    <w:rsid w:val="4077296B"/>
    <w:rsid w:val="40781E6D"/>
    <w:rsid w:val="40894D62"/>
    <w:rsid w:val="40901AAA"/>
    <w:rsid w:val="409D30A0"/>
    <w:rsid w:val="40B2FD44"/>
    <w:rsid w:val="40C216E8"/>
    <w:rsid w:val="40C35805"/>
    <w:rsid w:val="40D72C5E"/>
    <w:rsid w:val="40D740B0"/>
    <w:rsid w:val="40E30E5D"/>
    <w:rsid w:val="40E88936"/>
    <w:rsid w:val="40F02D12"/>
    <w:rsid w:val="40F232F9"/>
    <w:rsid w:val="40F26EF2"/>
    <w:rsid w:val="40F408C6"/>
    <w:rsid w:val="40FBE196"/>
    <w:rsid w:val="40FC842D"/>
    <w:rsid w:val="4109070B"/>
    <w:rsid w:val="41100FAE"/>
    <w:rsid w:val="41273B01"/>
    <w:rsid w:val="413F5934"/>
    <w:rsid w:val="414146F1"/>
    <w:rsid w:val="414369BD"/>
    <w:rsid w:val="415351D3"/>
    <w:rsid w:val="41682919"/>
    <w:rsid w:val="417116E0"/>
    <w:rsid w:val="41742B63"/>
    <w:rsid w:val="41893C9E"/>
    <w:rsid w:val="418A69E0"/>
    <w:rsid w:val="4198280E"/>
    <w:rsid w:val="41A521CE"/>
    <w:rsid w:val="41AF4038"/>
    <w:rsid w:val="41BD0730"/>
    <w:rsid w:val="41BF7D3A"/>
    <w:rsid w:val="41C22D7E"/>
    <w:rsid w:val="41CE72B4"/>
    <w:rsid w:val="41CF5BEF"/>
    <w:rsid w:val="41D20A90"/>
    <w:rsid w:val="41D21957"/>
    <w:rsid w:val="41D33FF4"/>
    <w:rsid w:val="41D61543"/>
    <w:rsid w:val="41DA2915"/>
    <w:rsid w:val="41DE6369"/>
    <w:rsid w:val="41E01614"/>
    <w:rsid w:val="41E03654"/>
    <w:rsid w:val="41E15026"/>
    <w:rsid w:val="41E64487"/>
    <w:rsid w:val="41E83D31"/>
    <w:rsid w:val="42042825"/>
    <w:rsid w:val="42097209"/>
    <w:rsid w:val="420B3E5A"/>
    <w:rsid w:val="42161BBB"/>
    <w:rsid w:val="421A58D4"/>
    <w:rsid w:val="42213106"/>
    <w:rsid w:val="422242A7"/>
    <w:rsid w:val="4222C6A8"/>
    <w:rsid w:val="42264DCD"/>
    <w:rsid w:val="42291AF8"/>
    <w:rsid w:val="422B5A75"/>
    <w:rsid w:val="422F6EA6"/>
    <w:rsid w:val="422F7E56"/>
    <w:rsid w:val="42385026"/>
    <w:rsid w:val="4243CCBA"/>
    <w:rsid w:val="424402BA"/>
    <w:rsid w:val="424C5AD2"/>
    <w:rsid w:val="424D0161"/>
    <w:rsid w:val="4250C341"/>
    <w:rsid w:val="4258423B"/>
    <w:rsid w:val="425B73F1"/>
    <w:rsid w:val="4264262B"/>
    <w:rsid w:val="4266516B"/>
    <w:rsid w:val="426B05FF"/>
    <w:rsid w:val="426D14C8"/>
    <w:rsid w:val="4270398E"/>
    <w:rsid w:val="427A4FEF"/>
    <w:rsid w:val="427E2307"/>
    <w:rsid w:val="427F3CF8"/>
    <w:rsid w:val="42865D3D"/>
    <w:rsid w:val="42872AF2"/>
    <w:rsid w:val="42897211"/>
    <w:rsid w:val="428C05CE"/>
    <w:rsid w:val="42955BAE"/>
    <w:rsid w:val="42986B44"/>
    <w:rsid w:val="42A77135"/>
    <w:rsid w:val="42AA17B7"/>
    <w:rsid w:val="42AB3B2E"/>
    <w:rsid w:val="42C7162F"/>
    <w:rsid w:val="42D06F69"/>
    <w:rsid w:val="42D227B0"/>
    <w:rsid w:val="42E77B38"/>
    <w:rsid w:val="42EE4C8F"/>
    <w:rsid w:val="42F00236"/>
    <w:rsid w:val="42F25C6C"/>
    <w:rsid w:val="42FB87D7"/>
    <w:rsid w:val="42FD108F"/>
    <w:rsid w:val="42FE62B9"/>
    <w:rsid w:val="42FF5259"/>
    <w:rsid w:val="43007066"/>
    <w:rsid w:val="430405A4"/>
    <w:rsid w:val="431562F7"/>
    <w:rsid w:val="43190214"/>
    <w:rsid w:val="432125A7"/>
    <w:rsid w:val="433960C2"/>
    <w:rsid w:val="43430E5B"/>
    <w:rsid w:val="43545386"/>
    <w:rsid w:val="43594100"/>
    <w:rsid w:val="43624F64"/>
    <w:rsid w:val="43750795"/>
    <w:rsid w:val="43795FE5"/>
    <w:rsid w:val="4386033E"/>
    <w:rsid w:val="43860D16"/>
    <w:rsid w:val="43862076"/>
    <w:rsid w:val="43A04884"/>
    <w:rsid w:val="43A731F0"/>
    <w:rsid w:val="43ABC9E8"/>
    <w:rsid w:val="43B12268"/>
    <w:rsid w:val="43B73CD1"/>
    <w:rsid w:val="43CC4AE2"/>
    <w:rsid w:val="43D72343"/>
    <w:rsid w:val="43E7544C"/>
    <w:rsid w:val="43EF20E3"/>
    <w:rsid w:val="43FF5138"/>
    <w:rsid w:val="44184095"/>
    <w:rsid w:val="441B00D1"/>
    <w:rsid w:val="441F3676"/>
    <w:rsid w:val="44214FBD"/>
    <w:rsid w:val="44226B80"/>
    <w:rsid w:val="44257B0C"/>
    <w:rsid w:val="44271FE2"/>
    <w:rsid w:val="44358856"/>
    <w:rsid w:val="44366C11"/>
    <w:rsid w:val="4441F239"/>
    <w:rsid w:val="444B73F4"/>
    <w:rsid w:val="444B788D"/>
    <w:rsid w:val="44767800"/>
    <w:rsid w:val="44783B53"/>
    <w:rsid w:val="44787AF3"/>
    <w:rsid w:val="447C9291"/>
    <w:rsid w:val="449428BF"/>
    <w:rsid w:val="44A27400"/>
    <w:rsid w:val="44AE03A2"/>
    <w:rsid w:val="44AE4D27"/>
    <w:rsid w:val="44B8211F"/>
    <w:rsid w:val="44BA1ED6"/>
    <w:rsid w:val="44C05C94"/>
    <w:rsid w:val="44C164DB"/>
    <w:rsid w:val="44D41657"/>
    <w:rsid w:val="44D43EDB"/>
    <w:rsid w:val="44D81F86"/>
    <w:rsid w:val="44EB79FC"/>
    <w:rsid w:val="44F05012"/>
    <w:rsid w:val="44F50809"/>
    <w:rsid w:val="44F80EA1"/>
    <w:rsid w:val="44FE6FBB"/>
    <w:rsid w:val="450721A2"/>
    <w:rsid w:val="45106373"/>
    <w:rsid w:val="452E0026"/>
    <w:rsid w:val="45351814"/>
    <w:rsid w:val="45386425"/>
    <w:rsid w:val="453B5B84"/>
    <w:rsid w:val="45474A1F"/>
    <w:rsid w:val="455235D7"/>
    <w:rsid w:val="455337AA"/>
    <w:rsid w:val="455653C2"/>
    <w:rsid w:val="45596682"/>
    <w:rsid w:val="455B512C"/>
    <w:rsid w:val="455BB947"/>
    <w:rsid w:val="455C2AAC"/>
    <w:rsid w:val="45607098"/>
    <w:rsid w:val="4580ABB0"/>
    <w:rsid w:val="45842F5A"/>
    <w:rsid w:val="45891FD8"/>
    <w:rsid w:val="458A2D71"/>
    <w:rsid w:val="458F7BAA"/>
    <w:rsid w:val="4593296D"/>
    <w:rsid w:val="45A25184"/>
    <w:rsid w:val="45AC6858"/>
    <w:rsid w:val="45BA0A1A"/>
    <w:rsid w:val="45C1D1AB"/>
    <w:rsid w:val="45D972CB"/>
    <w:rsid w:val="45DA064E"/>
    <w:rsid w:val="45DD6B7C"/>
    <w:rsid w:val="45EA46BF"/>
    <w:rsid w:val="45EF5018"/>
    <w:rsid w:val="45EF65BC"/>
    <w:rsid w:val="45F6310C"/>
    <w:rsid w:val="460A7233"/>
    <w:rsid w:val="4610468A"/>
    <w:rsid w:val="461C1843"/>
    <w:rsid w:val="46224548"/>
    <w:rsid w:val="46256F3D"/>
    <w:rsid w:val="4637216D"/>
    <w:rsid w:val="46467E5E"/>
    <w:rsid w:val="4651A041"/>
    <w:rsid w:val="4652126B"/>
    <w:rsid w:val="465677A9"/>
    <w:rsid w:val="465A5934"/>
    <w:rsid w:val="465E0D8B"/>
    <w:rsid w:val="466571B1"/>
    <w:rsid w:val="466C67D1"/>
    <w:rsid w:val="4671579F"/>
    <w:rsid w:val="46771FEF"/>
    <w:rsid w:val="467E46C5"/>
    <w:rsid w:val="468378FB"/>
    <w:rsid w:val="46861205"/>
    <w:rsid w:val="468B1E04"/>
    <w:rsid w:val="46BE5C2D"/>
    <w:rsid w:val="46C43CBE"/>
    <w:rsid w:val="46C6368E"/>
    <w:rsid w:val="46C900A0"/>
    <w:rsid w:val="46C90467"/>
    <w:rsid w:val="46D22B4B"/>
    <w:rsid w:val="46D561FB"/>
    <w:rsid w:val="46DE71DC"/>
    <w:rsid w:val="46E969DC"/>
    <w:rsid w:val="46EF0E61"/>
    <w:rsid w:val="46F624BD"/>
    <w:rsid w:val="46FA2178"/>
    <w:rsid w:val="471344C6"/>
    <w:rsid w:val="471ADB92"/>
    <w:rsid w:val="471C6D80"/>
    <w:rsid w:val="472124D8"/>
    <w:rsid w:val="47265C33"/>
    <w:rsid w:val="472C0F2B"/>
    <w:rsid w:val="472E4F6A"/>
    <w:rsid w:val="4739EAD5"/>
    <w:rsid w:val="473B332B"/>
    <w:rsid w:val="473B7261"/>
    <w:rsid w:val="47524D4B"/>
    <w:rsid w:val="47670501"/>
    <w:rsid w:val="47687F6C"/>
    <w:rsid w:val="47714CDA"/>
    <w:rsid w:val="47805B76"/>
    <w:rsid w:val="47846C09"/>
    <w:rsid w:val="478650B9"/>
    <w:rsid w:val="47867569"/>
    <w:rsid w:val="47A3499A"/>
    <w:rsid w:val="47A5BE6B"/>
    <w:rsid w:val="47A9860D"/>
    <w:rsid w:val="47B265AF"/>
    <w:rsid w:val="47B66C25"/>
    <w:rsid w:val="47C04F56"/>
    <w:rsid w:val="47C44EAA"/>
    <w:rsid w:val="47C600C0"/>
    <w:rsid w:val="47CB7671"/>
    <w:rsid w:val="47CC6ACA"/>
    <w:rsid w:val="47E1700B"/>
    <w:rsid w:val="47E26E94"/>
    <w:rsid w:val="47E351ED"/>
    <w:rsid w:val="47E534A4"/>
    <w:rsid w:val="47ED24F0"/>
    <w:rsid w:val="47F95534"/>
    <w:rsid w:val="47FA6791"/>
    <w:rsid w:val="47FFB986"/>
    <w:rsid w:val="4803750E"/>
    <w:rsid w:val="480709E5"/>
    <w:rsid w:val="481A0DA9"/>
    <w:rsid w:val="48227BA4"/>
    <w:rsid w:val="48230E5D"/>
    <w:rsid w:val="48346C1C"/>
    <w:rsid w:val="483FBAC6"/>
    <w:rsid w:val="4845D1AB"/>
    <w:rsid w:val="48646F7E"/>
    <w:rsid w:val="48770BB7"/>
    <w:rsid w:val="487D7AFB"/>
    <w:rsid w:val="489353CD"/>
    <w:rsid w:val="48A00AFD"/>
    <w:rsid w:val="48A455DD"/>
    <w:rsid w:val="48A7376C"/>
    <w:rsid w:val="48B0B7EC"/>
    <w:rsid w:val="48B783B3"/>
    <w:rsid w:val="48BE0A03"/>
    <w:rsid w:val="48C11A8D"/>
    <w:rsid w:val="48E63338"/>
    <w:rsid w:val="48E81921"/>
    <w:rsid w:val="48F85839"/>
    <w:rsid w:val="48F9074D"/>
    <w:rsid w:val="48F935C8"/>
    <w:rsid w:val="48FF69D1"/>
    <w:rsid w:val="490E565D"/>
    <w:rsid w:val="4912077B"/>
    <w:rsid w:val="491C4820"/>
    <w:rsid w:val="491E1DAB"/>
    <w:rsid w:val="49286B52"/>
    <w:rsid w:val="492926A0"/>
    <w:rsid w:val="49313B52"/>
    <w:rsid w:val="493572AA"/>
    <w:rsid w:val="493B2E79"/>
    <w:rsid w:val="49493685"/>
    <w:rsid w:val="494A35E3"/>
    <w:rsid w:val="49545A55"/>
    <w:rsid w:val="49575660"/>
    <w:rsid w:val="4959135A"/>
    <w:rsid w:val="495D6F47"/>
    <w:rsid w:val="49624CB7"/>
    <w:rsid w:val="49641B85"/>
    <w:rsid w:val="49645674"/>
    <w:rsid w:val="496B438E"/>
    <w:rsid w:val="49711D08"/>
    <w:rsid w:val="49742DAA"/>
    <w:rsid w:val="497505A0"/>
    <w:rsid w:val="49775EB8"/>
    <w:rsid w:val="497C111B"/>
    <w:rsid w:val="497D302E"/>
    <w:rsid w:val="497D65B0"/>
    <w:rsid w:val="498061C1"/>
    <w:rsid w:val="498179B7"/>
    <w:rsid w:val="498B34A5"/>
    <w:rsid w:val="498D38AD"/>
    <w:rsid w:val="49912AC4"/>
    <w:rsid w:val="4995369B"/>
    <w:rsid w:val="49967DC2"/>
    <w:rsid w:val="4997410A"/>
    <w:rsid w:val="49987594"/>
    <w:rsid w:val="49991869"/>
    <w:rsid w:val="49A02BED"/>
    <w:rsid w:val="49A861E3"/>
    <w:rsid w:val="49A86F82"/>
    <w:rsid w:val="49BA791C"/>
    <w:rsid w:val="49BD4AB9"/>
    <w:rsid w:val="49C76FFD"/>
    <w:rsid w:val="4A004FA8"/>
    <w:rsid w:val="4A1E45CB"/>
    <w:rsid w:val="4A2C3F96"/>
    <w:rsid w:val="4A2C5A06"/>
    <w:rsid w:val="4A2E7C46"/>
    <w:rsid w:val="4A344F53"/>
    <w:rsid w:val="4A37BEB1"/>
    <w:rsid w:val="4A3F59D7"/>
    <w:rsid w:val="4A4445EE"/>
    <w:rsid w:val="4A47878E"/>
    <w:rsid w:val="4A4C4067"/>
    <w:rsid w:val="4A524D27"/>
    <w:rsid w:val="4A541B38"/>
    <w:rsid w:val="4A5A2C45"/>
    <w:rsid w:val="4A667264"/>
    <w:rsid w:val="4A69315A"/>
    <w:rsid w:val="4A6F5687"/>
    <w:rsid w:val="4A72266C"/>
    <w:rsid w:val="4A8A0E53"/>
    <w:rsid w:val="4A8FB300"/>
    <w:rsid w:val="4A9D20AE"/>
    <w:rsid w:val="4AA04F66"/>
    <w:rsid w:val="4AAE68E7"/>
    <w:rsid w:val="4AB66843"/>
    <w:rsid w:val="4ACD24F9"/>
    <w:rsid w:val="4ADA5163"/>
    <w:rsid w:val="4AE5123C"/>
    <w:rsid w:val="4AE762DB"/>
    <w:rsid w:val="4AEC4BFF"/>
    <w:rsid w:val="4AF15640"/>
    <w:rsid w:val="4AF41A03"/>
    <w:rsid w:val="4AFA48DF"/>
    <w:rsid w:val="4B076205"/>
    <w:rsid w:val="4B103E12"/>
    <w:rsid w:val="4B1722F7"/>
    <w:rsid w:val="4B1FB7CA"/>
    <w:rsid w:val="4B3F0EF5"/>
    <w:rsid w:val="4B46598C"/>
    <w:rsid w:val="4B4B7F98"/>
    <w:rsid w:val="4B4BF2A2"/>
    <w:rsid w:val="4B571772"/>
    <w:rsid w:val="4B5829E2"/>
    <w:rsid w:val="4B6D2F19"/>
    <w:rsid w:val="4B764066"/>
    <w:rsid w:val="4B8A76C1"/>
    <w:rsid w:val="4B8D5C08"/>
    <w:rsid w:val="4B936E28"/>
    <w:rsid w:val="4B9A5CD8"/>
    <w:rsid w:val="4BB34336"/>
    <w:rsid w:val="4BCD5CC2"/>
    <w:rsid w:val="4BE025F3"/>
    <w:rsid w:val="4BF41FE8"/>
    <w:rsid w:val="4C05663E"/>
    <w:rsid w:val="4C1214AB"/>
    <w:rsid w:val="4C323E2A"/>
    <w:rsid w:val="4C501259"/>
    <w:rsid w:val="4C7F0837"/>
    <w:rsid w:val="4C80D035"/>
    <w:rsid w:val="4C861C6B"/>
    <w:rsid w:val="4C940586"/>
    <w:rsid w:val="4CAB10CE"/>
    <w:rsid w:val="4CC04470"/>
    <w:rsid w:val="4CC85D46"/>
    <w:rsid w:val="4CC96874"/>
    <w:rsid w:val="4CCD7950"/>
    <w:rsid w:val="4CCEFB46"/>
    <w:rsid w:val="4CF12EB7"/>
    <w:rsid w:val="4D003FC4"/>
    <w:rsid w:val="4D013937"/>
    <w:rsid w:val="4D1977DC"/>
    <w:rsid w:val="4D1F1AD4"/>
    <w:rsid w:val="4D243757"/>
    <w:rsid w:val="4D2A64B8"/>
    <w:rsid w:val="4D2C026D"/>
    <w:rsid w:val="4D3637DE"/>
    <w:rsid w:val="4D3C7A73"/>
    <w:rsid w:val="4D3CE724"/>
    <w:rsid w:val="4D4002EF"/>
    <w:rsid w:val="4D424529"/>
    <w:rsid w:val="4D49C8B4"/>
    <w:rsid w:val="4D4D112A"/>
    <w:rsid w:val="4D586A85"/>
    <w:rsid w:val="4D5E0296"/>
    <w:rsid w:val="4D6B23DF"/>
    <w:rsid w:val="4D88E707"/>
    <w:rsid w:val="4D8E1C40"/>
    <w:rsid w:val="4D8F9574"/>
    <w:rsid w:val="4D935498"/>
    <w:rsid w:val="4D9714C1"/>
    <w:rsid w:val="4D9A6104"/>
    <w:rsid w:val="4D9B330B"/>
    <w:rsid w:val="4D9F2292"/>
    <w:rsid w:val="4DAB3389"/>
    <w:rsid w:val="4DB90F87"/>
    <w:rsid w:val="4DBB6730"/>
    <w:rsid w:val="4DBE5486"/>
    <w:rsid w:val="4DC84563"/>
    <w:rsid w:val="4DDE53E1"/>
    <w:rsid w:val="4DE375B4"/>
    <w:rsid w:val="4DE89A80"/>
    <w:rsid w:val="4DEA46D1"/>
    <w:rsid w:val="4DEB79B0"/>
    <w:rsid w:val="4DF13C81"/>
    <w:rsid w:val="4E00858B"/>
    <w:rsid w:val="4E0683F9"/>
    <w:rsid w:val="4E133390"/>
    <w:rsid w:val="4E1BA473"/>
    <w:rsid w:val="4E222C85"/>
    <w:rsid w:val="4E22EF1A"/>
    <w:rsid w:val="4E286267"/>
    <w:rsid w:val="4E29A890"/>
    <w:rsid w:val="4E2C69BD"/>
    <w:rsid w:val="4E3137B2"/>
    <w:rsid w:val="4E344AC0"/>
    <w:rsid w:val="4E37059B"/>
    <w:rsid w:val="4E3D3A08"/>
    <w:rsid w:val="4E4E6DB1"/>
    <w:rsid w:val="4E5273A7"/>
    <w:rsid w:val="4E559F2F"/>
    <w:rsid w:val="4E598FD2"/>
    <w:rsid w:val="4E59CB45"/>
    <w:rsid w:val="4E5A23DB"/>
    <w:rsid w:val="4E6FD722"/>
    <w:rsid w:val="4E71719A"/>
    <w:rsid w:val="4E732C79"/>
    <w:rsid w:val="4E7D7067"/>
    <w:rsid w:val="4E91F8D9"/>
    <w:rsid w:val="4E92797A"/>
    <w:rsid w:val="4E936CB9"/>
    <w:rsid w:val="4E939554"/>
    <w:rsid w:val="4E9B01EC"/>
    <w:rsid w:val="4EA120E5"/>
    <w:rsid w:val="4EAE20AA"/>
    <w:rsid w:val="4EB200F0"/>
    <w:rsid w:val="4EB5485B"/>
    <w:rsid w:val="4ECE08E5"/>
    <w:rsid w:val="4ECE2E01"/>
    <w:rsid w:val="4EE6452E"/>
    <w:rsid w:val="4EE837BE"/>
    <w:rsid w:val="4EEB80C3"/>
    <w:rsid w:val="4EF35E09"/>
    <w:rsid w:val="4EF97069"/>
    <w:rsid w:val="4EFA25EC"/>
    <w:rsid w:val="4EFC2875"/>
    <w:rsid w:val="4EFC50F8"/>
    <w:rsid w:val="4F003AED"/>
    <w:rsid w:val="4F0A4B0D"/>
    <w:rsid w:val="4F0C2233"/>
    <w:rsid w:val="4F0F29BD"/>
    <w:rsid w:val="4F196F13"/>
    <w:rsid w:val="4F1B4107"/>
    <w:rsid w:val="4F1D7E3D"/>
    <w:rsid w:val="4F20792C"/>
    <w:rsid w:val="4F2928D6"/>
    <w:rsid w:val="4F39336B"/>
    <w:rsid w:val="4F4034EA"/>
    <w:rsid w:val="4F583EE0"/>
    <w:rsid w:val="4F5D8A69"/>
    <w:rsid w:val="4F6D5C65"/>
    <w:rsid w:val="4F6D603B"/>
    <w:rsid w:val="4F6E7BC2"/>
    <w:rsid w:val="4F744EB3"/>
    <w:rsid w:val="4F7715BE"/>
    <w:rsid w:val="4F7C2BC1"/>
    <w:rsid w:val="4F841AA1"/>
    <w:rsid w:val="4F8A7909"/>
    <w:rsid w:val="4F8A8FEC"/>
    <w:rsid w:val="4F905428"/>
    <w:rsid w:val="4F983362"/>
    <w:rsid w:val="4FA2515B"/>
    <w:rsid w:val="4FA964E9"/>
    <w:rsid w:val="4FBE9544"/>
    <w:rsid w:val="4FBFF1E8"/>
    <w:rsid w:val="4FC359A1"/>
    <w:rsid w:val="4FC44DE1"/>
    <w:rsid w:val="4FD02676"/>
    <w:rsid w:val="4FD228A7"/>
    <w:rsid w:val="4FD66C36"/>
    <w:rsid w:val="4FDD3BDC"/>
    <w:rsid w:val="4FF26337"/>
    <w:rsid w:val="4FF47CDE"/>
    <w:rsid w:val="4FFD148E"/>
    <w:rsid w:val="5004CE44"/>
    <w:rsid w:val="50131A3F"/>
    <w:rsid w:val="501861B6"/>
    <w:rsid w:val="501F6361"/>
    <w:rsid w:val="50261277"/>
    <w:rsid w:val="502A8CAC"/>
    <w:rsid w:val="502F2348"/>
    <w:rsid w:val="50387003"/>
    <w:rsid w:val="503B017A"/>
    <w:rsid w:val="504C1CD1"/>
    <w:rsid w:val="50555445"/>
    <w:rsid w:val="5062639E"/>
    <w:rsid w:val="506F11BA"/>
    <w:rsid w:val="508768A1"/>
    <w:rsid w:val="509571EC"/>
    <w:rsid w:val="50A32F39"/>
    <w:rsid w:val="50A720B9"/>
    <w:rsid w:val="50A8764B"/>
    <w:rsid w:val="50B20586"/>
    <w:rsid w:val="50C6137C"/>
    <w:rsid w:val="50CC18C7"/>
    <w:rsid w:val="50CD6494"/>
    <w:rsid w:val="50D1587D"/>
    <w:rsid w:val="50D200F9"/>
    <w:rsid w:val="50D435D6"/>
    <w:rsid w:val="50D43A3A"/>
    <w:rsid w:val="50D5175F"/>
    <w:rsid w:val="50D8496D"/>
    <w:rsid w:val="50D87EF5"/>
    <w:rsid w:val="50DE5B3E"/>
    <w:rsid w:val="50F05E7F"/>
    <w:rsid w:val="50F21945"/>
    <w:rsid w:val="5100AEE8"/>
    <w:rsid w:val="5107785D"/>
    <w:rsid w:val="511005EA"/>
    <w:rsid w:val="51135B41"/>
    <w:rsid w:val="51164FC9"/>
    <w:rsid w:val="511B1027"/>
    <w:rsid w:val="511F5F2B"/>
    <w:rsid w:val="51244EBA"/>
    <w:rsid w:val="51383286"/>
    <w:rsid w:val="513C5B38"/>
    <w:rsid w:val="514222D3"/>
    <w:rsid w:val="5143E74F"/>
    <w:rsid w:val="51475359"/>
    <w:rsid w:val="51476BDD"/>
    <w:rsid w:val="516A2D37"/>
    <w:rsid w:val="516BD450"/>
    <w:rsid w:val="51726500"/>
    <w:rsid w:val="5188808D"/>
    <w:rsid w:val="518A4277"/>
    <w:rsid w:val="518C3739"/>
    <w:rsid w:val="519B1B75"/>
    <w:rsid w:val="51B01437"/>
    <w:rsid w:val="51B06C6A"/>
    <w:rsid w:val="51C70EA9"/>
    <w:rsid w:val="51C75442"/>
    <w:rsid w:val="51DA1AC4"/>
    <w:rsid w:val="51DC4F27"/>
    <w:rsid w:val="51E02177"/>
    <w:rsid w:val="51E30A12"/>
    <w:rsid w:val="51E93C01"/>
    <w:rsid w:val="51EF7FDC"/>
    <w:rsid w:val="51F97B53"/>
    <w:rsid w:val="51FC66BD"/>
    <w:rsid w:val="52047E33"/>
    <w:rsid w:val="520B348B"/>
    <w:rsid w:val="520B6FE7"/>
    <w:rsid w:val="520E17F8"/>
    <w:rsid w:val="521340EE"/>
    <w:rsid w:val="52140592"/>
    <w:rsid w:val="5218D310"/>
    <w:rsid w:val="522602C5"/>
    <w:rsid w:val="52271947"/>
    <w:rsid w:val="523E31AD"/>
    <w:rsid w:val="524704E1"/>
    <w:rsid w:val="52521EFD"/>
    <w:rsid w:val="525259A0"/>
    <w:rsid w:val="52590916"/>
    <w:rsid w:val="52661F44"/>
    <w:rsid w:val="5269411A"/>
    <w:rsid w:val="526CFE1F"/>
    <w:rsid w:val="527222A5"/>
    <w:rsid w:val="527D5106"/>
    <w:rsid w:val="5289B9FD"/>
    <w:rsid w:val="528D9332"/>
    <w:rsid w:val="528F2D4C"/>
    <w:rsid w:val="529B1B44"/>
    <w:rsid w:val="52AA417A"/>
    <w:rsid w:val="52AC44B7"/>
    <w:rsid w:val="52B23907"/>
    <w:rsid w:val="52B751DD"/>
    <w:rsid w:val="52B8C806"/>
    <w:rsid w:val="52BA7ABD"/>
    <w:rsid w:val="52BC3FFC"/>
    <w:rsid w:val="52C0080B"/>
    <w:rsid w:val="52CA50F4"/>
    <w:rsid w:val="52D0180B"/>
    <w:rsid w:val="52E540CC"/>
    <w:rsid w:val="52EF3EFF"/>
    <w:rsid w:val="52F149C8"/>
    <w:rsid w:val="52F371CF"/>
    <w:rsid w:val="52FB1584"/>
    <w:rsid w:val="5306BFFE"/>
    <w:rsid w:val="530E76FE"/>
    <w:rsid w:val="5312764C"/>
    <w:rsid w:val="5318226D"/>
    <w:rsid w:val="531B3999"/>
    <w:rsid w:val="532D7573"/>
    <w:rsid w:val="532E7C10"/>
    <w:rsid w:val="53320EC4"/>
    <w:rsid w:val="53355B1A"/>
    <w:rsid w:val="53484BD5"/>
    <w:rsid w:val="53552604"/>
    <w:rsid w:val="536D7082"/>
    <w:rsid w:val="5372B925"/>
    <w:rsid w:val="53797C99"/>
    <w:rsid w:val="53906C9D"/>
    <w:rsid w:val="53A56D6A"/>
    <w:rsid w:val="53AE11FC"/>
    <w:rsid w:val="53BE3A4D"/>
    <w:rsid w:val="53C261E9"/>
    <w:rsid w:val="53C3757F"/>
    <w:rsid w:val="53D941BE"/>
    <w:rsid w:val="53E14A36"/>
    <w:rsid w:val="53E30BF0"/>
    <w:rsid w:val="54144AF2"/>
    <w:rsid w:val="54162345"/>
    <w:rsid w:val="542B6B30"/>
    <w:rsid w:val="542C6F85"/>
    <w:rsid w:val="542D5C18"/>
    <w:rsid w:val="543222E8"/>
    <w:rsid w:val="54352A41"/>
    <w:rsid w:val="54386FB9"/>
    <w:rsid w:val="54417B99"/>
    <w:rsid w:val="546130F6"/>
    <w:rsid w:val="546D21DB"/>
    <w:rsid w:val="546FDBF3"/>
    <w:rsid w:val="54839B17"/>
    <w:rsid w:val="548AD255"/>
    <w:rsid w:val="549A3A64"/>
    <w:rsid w:val="54A14EF9"/>
    <w:rsid w:val="54A42366"/>
    <w:rsid w:val="54A86925"/>
    <w:rsid w:val="54AC5C15"/>
    <w:rsid w:val="54B05FEE"/>
    <w:rsid w:val="54B7534B"/>
    <w:rsid w:val="54CC29A6"/>
    <w:rsid w:val="54D54C8B"/>
    <w:rsid w:val="54DE013F"/>
    <w:rsid w:val="54E52E2A"/>
    <w:rsid w:val="54ED4CC3"/>
    <w:rsid w:val="54FB54E7"/>
    <w:rsid w:val="54FC530D"/>
    <w:rsid w:val="550B7883"/>
    <w:rsid w:val="55124B47"/>
    <w:rsid w:val="55180A07"/>
    <w:rsid w:val="5519017D"/>
    <w:rsid w:val="551D0957"/>
    <w:rsid w:val="55202DAA"/>
    <w:rsid w:val="55205BE9"/>
    <w:rsid w:val="552878D6"/>
    <w:rsid w:val="552C79A0"/>
    <w:rsid w:val="55314E61"/>
    <w:rsid w:val="553F64DC"/>
    <w:rsid w:val="5547526F"/>
    <w:rsid w:val="55614C4B"/>
    <w:rsid w:val="5567566B"/>
    <w:rsid w:val="55757E77"/>
    <w:rsid w:val="55865B9A"/>
    <w:rsid w:val="558AF943"/>
    <w:rsid w:val="558D5E13"/>
    <w:rsid w:val="558D7AB4"/>
    <w:rsid w:val="559742CB"/>
    <w:rsid w:val="559F0492"/>
    <w:rsid w:val="55B03ABF"/>
    <w:rsid w:val="55B12772"/>
    <w:rsid w:val="55B17797"/>
    <w:rsid w:val="55B21ADF"/>
    <w:rsid w:val="55B64DDC"/>
    <w:rsid w:val="55C013F1"/>
    <w:rsid w:val="55C1791E"/>
    <w:rsid w:val="55C41892"/>
    <w:rsid w:val="55C635A0"/>
    <w:rsid w:val="55D908C1"/>
    <w:rsid w:val="55DA7F37"/>
    <w:rsid w:val="55E53EFC"/>
    <w:rsid w:val="55E6204C"/>
    <w:rsid w:val="55E71C92"/>
    <w:rsid w:val="55E83F43"/>
    <w:rsid w:val="55EE29D4"/>
    <w:rsid w:val="55F85CB7"/>
    <w:rsid w:val="55F9F683"/>
    <w:rsid w:val="55FB7373"/>
    <w:rsid w:val="56026FDC"/>
    <w:rsid w:val="56044BD1"/>
    <w:rsid w:val="5614699A"/>
    <w:rsid w:val="561A1905"/>
    <w:rsid w:val="56295D40"/>
    <w:rsid w:val="562E576E"/>
    <w:rsid w:val="56301151"/>
    <w:rsid w:val="56317EDE"/>
    <w:rsid w:val="5644114D"/>
    <w:rsid w:val="56450E5D"/>
    <w:rsid w:val="56491B9B"/>
    <w:rsid w:val="56495C58"/>
    <w:rsid w:val="564C0646"/>
    <w:rsid w:val="56516833"/>
    <w:rsid w:val="565359DA"/>
    <w:rsid w:val="56596F16"/>
    <w:rsid w:val="5662694B"/>
    <w:rsid w:val="566AD642"/>
    <w:rsid w:val="566E7D13"/>
    <w:rsid w:val="568114D8"/>
    <w:rsid w:val="569859B4"/>
    <w:rsid w:val="56B11E69"/>
    <w:rsid w:val="56D46542"/>
    <w:rsid w:val="56D839E1"/>
    <w:rsid w:val="56DC3AF1"/>
    <w:rsid w:val="56DC670C"/>
    <w:rsid w:val="56DE8D15"/>
    <w:rsid w:val="56E8478A"/>
    <w:rsid w:val="570001B4"/>
    <w:rsid w:val="570CADC9"/>
    <w:rsid w:val="57203535"/>
    <w:rsid w:val="57245E76"/>
    <w:rsid w:val="572FA837"/>
    <w:rsid w:val="574578B2"/>
    <w:rsid w:val="574F5E7B"/>
    <w:rsid w:val="576009B2"/>
    <w:rsid w:val="57605C6B"/>
    <w:rsid w:val="576A0EB1"/>
    <w:rsid w:val="576C240D"/>
    <w:rsid w:val="57767E42"/>
    <w:rsid w:val="57792124"/>
    <w:rsid w:val="57970138"/>
    <w:rsid w:val="57A14010"/>
    <w:rsid w:val="57A67B39"/>
    <w:rsid w:val="57AB1DB0"/>
    <w:rsid w:val="57AF2B0B"/>
    <w:rsid w:val="57B3642C"/>
    <w:rsid w:val="57B66E8C"/>
    <w:rsid w:val="57BC2E5A"/>
    <w:rsid w:val="57C07EEA"/>
    <w:rsid w:val="57CB733B"/>
    <w:rsid w:val="57CD289B"/>
    <w:rsid w:val="57DC1B00"/>
    <w:rsid w:val="57E011D9"/>
    <w:rsid w:val="57EA2053"/>
    <w:rsid w:val="57F51735"/>
    <w:rsid w:val="57F819E6"/>
    <w:rsid w:val="57F89623"/>
    <w:rsid w:val="58034728"/>
    <w:rsid w:val="58047DDA"/>
    <w:rsid w:val="5805BC9C"/>
    <w:rsid w:val="5809221B"/>
    <w:rsid w:val="58164262"/>
    <w:rsid w:val="58175BC0"/>
    <w:rsid w:val="58212A88"/>
    <w:rsid w:val="582C4857"/>
    <w:rsid w:val="58380B14"/>
    <w:rsid w:val="584B2834"/>
    <w:rsid w:val="584D2F8A"/>
    <w:rsid w:val="585158B0"/>
    <w:rsid w:val="58566039"/>
    <w:rsid w:val="585C30DB"/>
    <w:rsid w:val="585F451F"/>
    <w:rsid w:val="58604064"/>
    <w:rsid w:val="58737694"/>
    <w:rsid w:val="587C24F5"/>
    <w:rsid w:val="587E0A53"/>
    <w:rsid w:val="587E12D3"/>
    <w:rsid w:val="58873140"/>
    <w:rsid w:val="58892899"/>
    <w:rsid w:val="588B1B05"/>
    <w:rsid w:val="589734ED"/>
    <w:rsid w:val="58A20109"/>
    <w:rsid w:val="58B50422"/>
    <w:rsid w:val="58B8530F"/>
    <w:rsid w:val="58BD6B16"/>
    <w:rsid w:val="58BEEE95"/>
    <w:rsid w:val="58BF2A67"/>
    <w:rsid w:val="58CF633D"/>
    <w:rsid w:val="58D9784C"/>
    <w:rsid w:val="58DBBDD4"/>
    <w:rsid w:val="58DD497C"/>
    <w:rsid w:val="58E167D1"/>
    <w:rsid w:val="58F44C79"/>
    <w:rsid w:val="58F46722"/>
    <w:rsid w:val="58F6527B"/>
    <w:rsid w:val="58F85FDC"/>
    <w:rsid w:val="58FB3166"/>
    <w:rsid w:val="5900E72B"/>
    <w:rsid w:val="590B25B1"/>
    <w:rsid w:val="590B2D49"/>
    <w:rsid w:val="59126BCF"/>
    <w:rsid w:val="5915672F"/>
    <w:rsid w:val="59230424"/>
    <w:rsid w:val="592F3F03"/>
    <w:rsid w:val="59321CD7"/>
    <w:rsid w:val="593724F6"/>
    <w:rsid w:val="594837A9"/>
    <w:rsid w:val="5948E596"/>
    <w:rsid w:val="595B211C"/>
    <w:rsid w:val="59626C9E"/>
    <w:rsid w:val="59709476"/>
    <w:rsid w:val="59752D17"/>
    <w:rsid w:val="59805797"/>
    <w:rsid w:val="59814847"/>
    <w:rsid w:val="599C5A01"/>
    <w:rsid w:val="59A27C41"/>
    <w:rsid w:val="59AB51A8"/>
    <w:rsid w:val="59B02B85"/>
    <w:rsid w:val="59B1299F"/>
    <w:rsid w:val="59C0474B"/>
    <w:rsid w:val="59C55A0E"/>
    <w:rsid w:val="59C67967"/>
    <w:rsid w:val="59CD1026"/>
    <w:rsid w:val="59DE6BFA"/>
    <w:rsid w:val="59E8568E"/>
    <w:rsid w:val="59FC6EC7"/>
    <w:rsid w:val="59FE8020"/>
    <w:rsid w:val="59FF7EB9"/>
    <w:rsid w:val="5A0519B8"/>
    <w:rsid w:val="5A1A4538"/>
    <w:rsid w:val="5A291F5F"/>
    <w:rsid w:val="5A400801"/>
    <w:rsid w:val="5A4B1834"/>
    <w:rsid w:val="5A4E245D"/>
    <w:rsid w:val="5A5311CE"/>
    <w:rsid w:val="5A5C0D28"/>
    <w:rsid w:val="5A5D1D48"/>
    <w:rsid w:val="5A662812"/>
    <w:rsid w:val="5A6A2A46"/>
    <w:rsid w:val="5A7A92CC"/>
    <w:rsid w:val="5A7F6DAA"/>
    <w:rsid w:val="5A936A62"/>
    <w:rsid w:val="5AA132E3"/>
    <w:rsid w:val="5AC15F91"/>
    <w:rsid w:val="5AC823CE"/>
    <w:rsid w:val="5ACA3D93"/>
    <w:rsid w:val="5AD31541"/>
    <w:rsid w:val="5AD91258"/>
    <w:rsid w:val="5ADB212A"/>
    <w:rsid w:val="5AE46932"/>
    <w:rsid w:val="5AEB636E"/>
    <w:rsid w:val="5AED68B1"/>
    <w:rsid w:val="5AFC0E72"/>
    <w:rsid w:val="5B136028"/>
    <w:rsid w:val="5B140187"/>
    <w:rsid w:val="5B1A7D92"/>
    <w:rsid w:val="5B1B205A"/>
    <w:rsid w:val="5B1C2F07"/>
    <w:rsid w:val="5B1C30F1"/>
    <w:rsid w:val="5B1F3B44"/>
    <w:rsid w:val="5B2423B0"/>
    <w:rsid w:val="5B286E63"/>
    <w:rsid w:val="5B2B46E2"/>
    <w:rsid w:val="5B333EC9"/>
    <w:rsid w:val="5B3727CE"/>
    <w:rsid w:val="5B4D6F40"/>
    <w:rsid w:val="5B5A2D8E"/>
    <w:rsid w:val="5B615D6B"/>
    <w:rsid w:val="5B681CEA"/>
    <w:rsid w:val="5B7231A0"/>
    <w:rsid w:val="5B794FAE"/>
    <w:rsid w:val="5B8147BE"/>
    <w:rsid w:val="5B89F639"/>
    <w:rsid w:val="5B9B4F70"/>
    <w:rsid w:val="5BA71E52"/>
    <w:rsid w:val="5BBD5C42"/>
    <w:rsid w:val="5BBE1FF9"/>
    <w:rsid w:val="5BBE72EA"/>
    <w:rsid w:val="5BC51E39"/>
    <w:rsid w:val="5BC8419B"/>
    <w:rsid w:val="5BC90C1E"/>
    <w:rsid w:val="5BD0101D"/>
    <w:rsid w:val="5BDA143A"/>
    <w:rsid w:val="5BEA2140"/>
    <w:rsid w:val="5BEE01CF"/>
    <w:rsid w:val="5BEEF696"/>
    <w:rsid w:val="5BF56687"/>
    <w:rsid w:val="5BF7FB91"/>
    <w:rsid w:val="5C005642"/>
    <w:rsid w:val="5C054F8A"/>
    <w:rsid w:val="5C05719D"/>
    <w:rsid w:val="5C0789E1"/>
    <w:rsid w:val="5C0975D7"/>
    <w:rsid w:val="5C0A4DA8"/>
    <w:rsid w:val="5C14245D"/>
    <w:rsid w:val="5C16B809"/>
    <w:rsid w:val="5C18559C"/>
    <w:rsid w:val="5C1C3D82"/>
    <w:rsid w:val="5C2A2A39"/>
    <w:rsid w:val="5C2C3A6D"/>
    <w:rsid w:val="5C2E432C"/>
    <w:rsid w:val="5C2F7D76"/>
    <w:rsid w:val="5C327C3D"/>
    <w:rsid w:val="5C3E66A3"/>
    <w:rsid w:val="5C441189"/>
    <w:rsid w:val="5C573B84"/>
    <w:rsid w:val="5C589626"/>
    <w:rsid w:val="5C5B1356"/>
    <w:rsid w:val="5C5D3C37"/>
    <w:rsid w:val="5C789273"/>
    <w:rsid w:val="5C790D4D"/>
    <w:rsid w:val="5C7C1AA4"/>
    <w:rsid w:val="5C8D3D65"/>
    <w:rsid w:val="5C9661B1"/>
    <w:rsid w:val="5CA20F3D"/>
    <w:rsid w:val="5CB658BD"/>
    <w:rsid w:val="5CBC3490"/>
    <w:rsid w:val="5CC15A81"/>
    <w:rsid w:val="5CC8270A"/>
    <w:rsid w:val="5CCB30C1"/>
    <w:rsid w:val="5CD54857"/>
    <w:rsid w:val="5CD69F15"/>
    <w:rsid w:val="5CE279FE"/>
    <w:rsid w:val="5CE57DB7"/>
    <w:rsid w:val="5CE61CD3"/>
    <w:rsid w:val="5CE63C01"/>
    <w:rsid w:val="5CF625B7"/>
    <w:rsid w:val="5CF963B0"/>
    <w:rsid w:val="5D0013A8"/>
    <w:rsid w:val="5D02101E"/>
    <w:rsid w:val="5D0A4652"/>
    <w:rsid w:val="5D2BBA61"/>
    <w:rsid w:val="5D323FC2"/>
    <w:rsid w:val="5D3A4F35"/>
    <w:rsid w:val="5D40008A"/>
    <w:rsid w:val="5D582145"/>
    <w:rsid w:val="5D5B2CE0"/>
    <w:rsid w:val="5D6A5D4C"/>
    <w:rsid w:val="5D760E22"/>
    <w:rsid w:val="5D7C4CD8"/>
    <w:rsid w:val="5D817A6E"/>
    <w:rsid w:val="5D852344"/>
    <w:rsid w:val="5DA249F1"/>
    <w:rsid w:val="5DA53E60"/>
    <w:rsid w:val="5DA6050C"/>
    <w:rsid w:val="5DB85967"/>
    <w:rsid w:val="5DBB4C67"/>
    <w:rsid w:val="5DC26EB5"/>
    <w:rsid w:val="5DC57EF2"/>
    <w:rsid w:val="5DCA3C9E"/>
    <w:rsid w:val="5DCA5FA9"/>
    <w:rsid w:val="5DCA724A"/>
    <w:rsid w:val="5DCD2DD9"/>
    <w:rsid w:val="5DCF0DF5"/>
    <w:rsid w:val="5DD010E5"/>
    <w:rsid w:val="5DD6B916"/>
    <w:rsid w:val="5DD84054"/>
    <w:rsid w:val="5DE13DD3"/>
    <w:rsid w:val="5DE1739D"/>
    <w:rsid w:val="5DF1028B"/>
    <w:rsid w:val="5DF45EE9"/>
    <w:rsid w:val="5DFC012C"/>
    <w:rsid w:val="5E04091C"/>
    <w:rsid w:val="5E0D247D"/>
    <w:rsid w:val="5E0F659A"/>
    <w:rsid w:val="5E1D17B8"/>
    <w:rsid w:val="5E222091"/>
    <w:rsid w:val="5E246283"/>
    <w:rsid w:val="5E3228CE"/>
    <w:rsid w:val="5E3478C6"/>
    <w:rsid w:val="5E381855"/>
    <w:rsid w:val="5E503601"/>
    <w:rsid w:val="5E5036FB"/>
    <w:rsid w:val="5E556B8C"/>
    <w:rsid w:val="5E5D4070"/>
    <w:rsid w:val="5E60500E"/>
    <w:rsid w:val="5E6D7892"/>
    <w:rsid w:val="5E8275F9"/>
    <w:rsid w:val="5E867AC0"/>
    <w:rsid w:val="5E94707E"/>
    <w:rsid w:val="5E9944AB"/>
    <w:rsid w:val="5E9AC963"/>
    <w:rsid w:val="5E9E1448"/>
    <w:rsid w:val="5EA153C9"/>
    <w:rsid w:val="5EA261D8"/>
    <w:rsid w:val="5EB25025"/>
    <w:rsid w:val="5EC1093B"/>
    <w:rsid w:val="5EC84977"/>
    <w:rsid w:val="5ECD2B2F"/>
    <w:rsid w:val="5ED140F3"/>
    <w:rsid w:val="5ED24FA0"/>
    <w:rsid w:val="5ED344C7"/>
    <w:rsid w:val="5ED647A3"/>
    <w:rsid w:val="5ED89203"/>
    <w:rsid w:val="5EDB3B94"/>
    <w:rsid w:val="5EEE37D3"/>
    <w:rsid w:val="5EEF2302"/>
    <w:rsid w:val="5EF35080"/>
    <w:rsid w:val="5EF88650"/>
    <w:rsid w:val="5EFE2F57"/>
    <w:rsid w:val="5F0771F3"/>
    <w:rsid w:val="5F125BE4"/>
    <w:rsid w:val="5F1452F7"/>
    <w:rsid w:val="5F2119AE"/>
    <w:rsid w:val="5F2655FA"/>
    <w:rsid w:val="5F305071"/>
    <w:rsid w:val="5F3529FC"/>
    <w:rsid w:val="5F390658"/>
    <w:rsid w:val="5F470564"/>
    <w:rsid w:val="5F4F2EA7"/>
    <w:rsid w:val="5F510349"/>
    <w:rsid w:val="5F524F97"/>
    <w:rsid w:val="5F5B4D9A"/>
    <w:rsid w:val="5F66B456"/>
    <w:rsid w:val="5F6728DA"/>
    <w:rsid w:val="5F675260"/>
    <w:rsid w:val="5F6752A0"/>
    <w:rsid w:val="5F687313"/>
    <w:rsid w:val="5F76415A"/>
    <w:rsid w:val="5F7B19DD"/>
    <w:rsid w:val="5F9719FB"/>
    <w:rsid w:val="5F9A676F"/>
    <w:rsid w:val="5F9C0F1F"/>
    <w:rsid w:val="5F9C8A7A"/>
    <w:rsid w:val="5FAA5994"/>
    <w:rsid w:val="5FAC2EB2"/>
    <w:rsid w:val="5FAF18FA"/>
    <w:rsid w:val="5FAF4F61"/>
    <w:rsid w:val="5FB565F0"/>
    <w:rsid w:val="5FB6354E"/>
    <w:rsid w:val="5FC00119"/>
    <w:rsid w:val="5FC3662E"/>
    <w:rsid w:val="5FD023D5"/>
    <w:rsid w:val="5FD5E265"/>
    <w:rsid w:val="5FD72129"/>
    <w:rsid w:val="5FE62837"/>
    <w:rsid w:val="600227EC"/>
    <w:rsid w:val="600668DF"/>
    <w:rsid w:val="600748B8"/>
    <w:rsid w:val="60107C25"/>
    <w:rsid w:val="60141AA4"/>
    <w:rsid w:val="60181961"/>
    <w:rsid w:val="601A189D"/>
    <w:rsid w:val="60312F76"/>
    <w:rsid w:val="60423238"/>
    <w:rsid w:val="604449D1"/>
    <w:rsid w:val="60473BCC"/>
    <w:rsid w:val="604C0729"/>
    <w:rsid w:val="604F43F1"/>
    <w:rsid w:val="60500A53"/>
    <w:rsid w:val="605A7C69"/>
    <w:rsid w:val="605C5ECD"/>
    <w:rsid w:val="605E7E31"/>
    <w:rsid w:val="60627722"/>
    <w:rsid w:val="60651075"/>
    <w:rsid w:val="60663704"/>
    <w:rsid w:val="606C60F5"/>
    <w:rsid w:val="60835243"/>
    <w:rsid w:val="6093273E"/>
    <w:rsid w:val="609402AE"/>
    <w:rsid w:val="609805E0"/>
    <w:rsid w:val="60996D84"/>
    <w:rsid w:val="60B802EE"/>
    <w:rsid w:val="60BA5FC3"/>
    <w:rsid w:val="60C07B37"/>
    <w:rsid w:val="60C348EE"/>
    <w:rsid w:val="60C747D6"/>
    <w:rsid w:val="60CC5200"/>
    <w:rsid w:val="60D735C7"/>
    <w:rsid w:val="60EC57FA"/>
    <w:rsid w:val="60F03B88"/>
    <w:rsid w:val="60F751D2"/>
    <w:rsid w:val="60F822D4"/>
    <w:rsid w:val="60F91E60"/>
    <w:rsid w:val="61073070"/>
    <w:rsid w:val="6108756D"/>
    <w:rsid w:val="610D285D"/>
    <w:rsid w:val="61120392"/>
    <w:rsid w:val="61126857"/>
    <w:rsid w:val="61167D69"/>
    <w:rsid w:val="611F52E7"/>
    <w:rsid w:val="61227E25"/>
    <w:rsid w:val="612776A4"/>
    <w:rsid w:val="612B5822"/>
    <w:rsid w:val="6134F6B2"/>
    <w:rsid w:val="6140219F"/>
    <w:rsid w:val="61447E24"/>
    <w:rsid w:val="614C77EB"/>
    <w:rsid w:val="615100B3"/>
    <w:rsid w:val="6151078F"/>
    <w:rsid w:val="615A48E2"/>
    <w:rsid w:val="616366D7"/>
    <w:rsid w:val="616E3D2E"/>
    <w:rsid w:val="616F0559"/>
    <w:rsid w:val="61782ED0"/>
    <w:rsid w:val="617E1C94"/>
    <w:rsid w:val="619C4B26"/>
    <w:rsid w:val="61A00AD8"/>
    <w:rsid w:val="61A952E7"/>
    <w:rsid w:val="61AD0A85"/>
    <w:rsid w:val="61B1118D"/>
    <w:rsid w:val="61C864E7"/>
    <w:rsid w:val="61C94D34"/>
    <w:rsid w:val="61DA089F"/>
    <w:rsid w:val="61DC1841"/>
    <w:rsid w:val="61E2D5D0"/>
    <w:rsid w:val="61E40767"/>
    <w:rsid w:val="61E90E4D"/>
    <w:rsid w:val="61EF14CD"/>
    <w:rsid w:val="61EF5B7B"/>
    <w:rsid w:val="61EF7F9E"/>
    <w:rsid w:val="61F33895"/>
    <w:rsid w:val="620A9568"/>
    <w:rsid w:val="6215C8C2"/>
    <w:rsid w:val="621B4340"/>
    <w:rsid w:val="621E2AF9"/>
    <w:rsid w:val="62224C56"/>
    <w:rsid w:val="622651DA"/>
    <w:rsid w:val="62273E16"/>
    <w:rsid w:val="623440DD"/>
    <w:rsid w:val="62401854"/>
    <w:rsid w:val="62476FD4"/>
    <w:rsid w:val="625F4746"/>
    <w:rsid w:val="626E0327"/>
    <w:rsid w:val="628057F2"/>
    <w:rsid w:val="628061D4"/>
    <w:rsid w:val="628EAB0E"/>
    <w:rsid w:val="629A177A"/>
    <w:rsid w:val="62A47B26"/>
    <w:rsid w:val="62C62124"/>
    <w:rsid w:val="62D113E8"/>
    <w:rsid w:val="62D44C03"/>
    <w:rsid w:val="62E50E8E"/>
    <w:rsid w:val="62E775FD"/>
    <w:rsid w:val="62EDD305"/>
    <w:rsid w:val="62EE1A27"/>
    <w:rsid w:val="62F166C7"/>
    <w:rsid w:val="62FD3E7E"/>
    <w:rsid w:val="63001DEA"/>
    <w:rsid w:val="63123B59"/>
    <w:rsid w:val="631F06A5"/>
    <w:rsid w:val="632542A5"/>
    <w:rsid w:val="6329551F"/>
    <w:rsid w:val="63301ACA"/>
    <w:rsid w:val="634211F3"/>
    <w:rsid w:val="63424833"/>
    <w:rsid w:val="634436E5"/>
    <w:rsid w:val="63483BF0"/>
    <w:rsid w:val="634B3E25"/>
    <w:rsid w:val="635174D8"/>
    <w:rsid w:val="635E95F2"/>
    <w:rsid w:val="6366622E"/>
    <w:rsid w:val="637737CD"/>
    <w:rsid w:val="63836EDD"/>
    <w:rsid w:val="638503FD"/>
    <w:rsid w:val="638C5413"/>
    <w:rsid w:val="63927995"/>
    <w:rsid w:val="63951F20"/>
    <w:rsid w:val="639FF6C7"/>
    <w:rsid w:val="63A30890"/>
    <w:rsid w:val="63AD3037"/>
    <w:rsid w:val="63B139D3"/>
    <w:rsid w:val="63B23767"/>
    <w:rsid w:val="63B87642"/>
    <w:rsid w:val="63C91760"/>
    <w:rsid w:val="63FA6698"/>
    <w:rsid w:val="63FE1800"/>
    <w:rsid w:val="640059D6"/>
    <w:rsid w:val="640B2E77"/>
    <w:rsid w:val="6411266F"/>
    <w:rsid w:val="641C6D89"/>
    <w:rsid w:val="64243C94"/>
    <w:rsid w:val="642B766A"/>
    <w:rsid w:val="642F39F2"/>
    <w:rsid w:val="64435162"/>
    <w:rsid w:val="64487303"/>
    <w:rsid w:val="64504DBF"/>
    <w:rsid w:val="64553DAF"/>
    <w:rsid w:val="64624C66"/>
    <w:rsid w:val="64668B72"/>
    <w:rsid w:val="646A4339"/>
    <w:rsid w:val="64807E57"/>
    <w:rsid w:val="64970BAF"/>
    <w:rsid w:val="64A34CC5"/>
    <w:rsid w:val="64AA08E2"/>
    <w:rsid w:val="64AA61DF"/>
    <w:rsid w:val="64AB305C"/>
    <w:rsid w:val="64AE6A9B"/>
    <w:rsid w:val="64B777A7"/>
    <w:rsid w:val="64B96D77"/>
    <w:rsid w:val="64C0289F"/>
    <w:rsid w:val="64CE60B2"/>
    <w:rsid w:val="64D326EB"/>
    <w:rsid w:val="64D979EC"/>
    <w:rsid w:val="64DC0BDC"/>
    <w:rsid w:val="64E0133A"/>
    <w:rsid w:val="64EB7D8B"/>
    <w:rsid w:val="64ED10AC"/>
    <w:rsid w:val="64F02FD2"/>
    <w:rsid w:val="650457D2"/>
    <w:rsid w:val="650968B1"/>
    <w:rsid w:val="6512493B"/>
    <w:rsid w:val="65262BFE"/>
    <w:rsid w:val="652F43C3"/>
    <w:rsid w:val="652FEFF4"/>
    <w:rsid w:val="654008EC"/>
    <w:rsid w:val="654010BB"/>
    <w:rsid w:val="654537D2"/>
    <w:rsid w:val="65487480"/>
    <w:rsid w:val="654B7FB3"/>
    <w:rsid w:val="65577563"/>
    <w:rsid w:val="65583F20"/>
    <w:rsid w:val="655A2308"/>
    <w:rsid w:val="656D516F"/>
    <w:rsid w:val="6579961A"/>
    <w:rsid w:val="657A2ADC"/>
    <w:rsid w:val="657C60E0"/>
    <w:rsid w:val="65894E8E"/>
    <w:rsid w:val="658E5F14"/>
    <w:rsid w:val="659C60FE"/>
    <w:rsid w:val="65B46819"/>
    <w:rsid w:val="65C26C1A"/>
    <w:rsid w:val="65D01DCE"/>
    <w:rsid w:val="65DA64C2"/>
    <w:rsid w:val="65DB4CF8"/>
    <w:rsid w:val="65ED7DBC"/>
    <w:rsid w:val="65F1BF60"/>
    <w:rsid w:val="66065343"/>
    <w:rsid w:val="66071C07"/>
    <w:rsid w:val="661B50B3"/>
    <w:rsid w:val="66212670"/>
    <w:rsid w:val="663A4420"/>
    <w:rsid w:val="663B714A"/>
    <w:rsid w:val="664360AD"/>
    <w:rsid w:val="664429EC"/>
    <w:rsid w:val="664B2710"/>
    <w:rsid w:val="664F25E5"/>
    <w:rsid w:val="664FF2AA"/>
    <w:rsid w:val="667322AE"/>
    <w:rsid w:val="667513B3"/>
    <w:rsid w:val="6681057C"/>
    <w:rsid w:val="668C6F8D"/>
    <w:rsid w:val="668F614D"/>
    <w:rsid w:val="668F7D8F"/>
    <w:rsid w:val="6693380E"/>
    <w:rsid w:val="66991DC7"/>
    <w:rsid w:val="669D4A24"/>
    <w:rsid w:val="66A41AF7"/>
    <w:rsid w:val="66A7CBEB"/>
    <w:rsid w:val="66A83442"/>
    <w:rsid w:val="66C63C08"/>
    <w:rsid w:val="670CF5F2"/>
    <w:rsid w:val="67122AA4"/>
    <w:rsid w:val="67170015"/>
    <w:rsid w:val="672C4060"/>
    <w:rsid w:val="67384189"/>
    <w:rsid w:val="67391647"/>
    <w:rsid w:val="67464063"/>
    <w:rsid w:val="6753767C"/>
    <w:rsid w:val="67665593"/>
    <w:rsid w:val="676B256A"/>
    <w:rsid w:val="677D78F8"/>
    <w:rsid w:val="67807852"/>
    <w:rsid w:val="67841A74"/>
    <w:rsid w:val="67917FD9"/>
    <w:rsid w:val="67977C94"/>
    <w:rsid w:val="67987F96"/>
    <w:rsid w:val="67A91325"/>
    <w:rsid w:val="67BC6576"/>
    <w:rsid w:val="67BD7914"/>
    <w:rsid w:val="67BEDED2"/>
    <w:rsid w:val="67C20A7C"/>
    <w:rsid w:val="67C324F0"/>
    <w:rsid w:val="67C33D1F"/>
    <w:rsid w:val="67C412E6"/>
    <w:rsid w:val="67C46D37"/>
    <w:rsid w:val="67CA1C13"/>
    <w:rsid w:val="67CB1898"/>
    <w:rsid w:val="67D024F3"/>
    <w:rsid w:val="67D09728"/>
    <w:rsid w:val="67D471F8"/>
    <w:rsid w:val="67D63AFE"/>
    <w:rsid w:val="67E1030E"/>
    <w:rsid w:val="67EA091A"/>
    <w:rsid w:val="67F55168"/>
    <w:rsid w:val="680227E3"/>
    <w:rsid w:val="6805D295"/>
    <w:rsid w:val="680A267F"/>
    <w:rsid w:val="68354966"/>
    <w:rsid w:val="683A287D"/>
    <w:rsid w:val="68584C37"/>
    <w:rsid w:val="685E5204"/>
    <w:rsid w:val="68685898"/>
    <w:rsid w:val="686B65DA"/>
    <w:rsid w:val="686D1BC3"/>
    <w:rsid w:val="68705200"/>
    <w:rsid w:val="688159DC"/>
    <w:rsid w:val="688431F8"/>
    <w:rsid w:val="689255A5"/>
    <w:rsid w:val="68953F37"/>
    <w:rsid w:val="68955405"/>
    <w:rsid w:val="689663B8"/>
    <w:rsid w:val="689B0F98"/>
    <w:rsid w:val="689B1347"/>
    <w:rsid w:val="689B5842"/>
    <w:rsid w:val="68A151DD"/>
    <w:rsid w:val="68AD012F"/>
    <w:rsid w:val="68C4690A"/>
    <w:rsid w:val="68CA5F88"/>
    <w:rsid w:val="68CE037D"/>
    <w:rsid w:val="68CE40B2"/>
    <w:rsid w:val="68D3240B"/>
    <w:rsid w:val="68D9383F"/>
    <w:rsid w:val="68D96902"/>
    <w:rsid w:val="68E214FB"/>
    <w:rsid w:val="68E953F4"/>
    <w:rsid w:val="68F9058E"/>
    <w:rsid w:val="69023FB4"/>
    <w:rsid w:val="69126804"/>
    <w:rsid w:val="69127A3D"/>
    <w:rsid w:val="6917487C"/>
    <w:rsid w:val="691ECEEA"/>
    <w:rsid w:val="692A301D"/>
    <w:rsid w:val="69316F02"/>
    <w:rsid w:val="693B5295"/>
    <w:rsid w:val="694035C3"/>
    <w:rsid w:val="694C6D08"/>
    <w:rsid w:val="694E3124"/>
    <w:rsid w:val="69525887"/>
    <w:rsid w:val="696F1559"/>
    <w:rsid w:val="69817F01"/>
    <w:rsid w:val="698706FE"/>
    <w:rsid w:val="69877D15"/>
    <w:rsid w:val="699C9B0D"/>
    <w:rsid w:val="69A915A5"/>
    <w:rsid w:val="69B12712"/>
    <w:rsid w:val="69B56CAA"/>
    <w:rsid w:val="69B74A02"/>
    <w:rsid w:val="69B766C5"/>
    <w:rsid w:val="69B873ED"/>
    <w:rsid w:val="69C15A56"/>
    <w:rsid w:val="69C2B94E"/>
    <w:rsid w:val="69DA28F4"/>
    <w:rsid w:val="69DC9B45"/>
    <w:rsid w:val="69DE738F"/>
    <w:rsid w:val="69FA59B5"/>
    <w:rsid w:val="69FC1B09"/>
    <w:rsid w:val="6A220A75"/>
    <w:rsid w:val="6A276390"/>
    <w:rsid w:val="6A2F0E46"/>
    <w:rsid w:val="6A3A266A"/>
    <w:rsid w:val="6A3B79E6"/>
    <w:rsid w:val="6A47CFB2"/>
    <w:rsid w:val="6A5358DC"/>
    <w:rsid w:val="6A5B2843"/>
    <w:rsid w:val="6A7865BC"/>
    <w:rsid w:val="6A885221"/>
    <w:rsid w:val="6A894B9B"/>
    <w:rsid w:val="6A8C4499"/>
    <w:rsid w:val="6A9A8B3E"/>
    <w:rsid w:val="6ABF23C0"/>
    <w:rsid w:val="6AC95D55"/>
    <w:rsid w:val="6ACA718F"/>
    <w:rsid w:val="6ACE3445"/>
    <w:rsid w:val="6AD574EB"/>
    <w:rsid w:val="6AF61459"/>
    <w:rsid w:val="6AF79C6A"/>
    <w:rsid w:val="6AF8358E"/>
    <w:rsid w:val="6AF84B2C"/>
    <w:rsid w:val="6AFF9DF6"/>
    <w:rsid w:val="6B00473A"/>
    <w:rsid w:val="6B0320FC"/>
    <w:rsid w:val="6B1C04AE"/>
    <w:rsid w:val="6B1C0A25"/>
    <w:rsid w:val="6B20662D"/>
    <w:rsid w:val="6B2111D2"/>
    <w:rsid w:val="6B235FE5"/>
    <w:rsid w:val="6B2A15A7"/>
    <w:rsid w:val="6B2D27A4"/>
    <w:rsid w:val="6B300456"/>
    <w:rsid w:val="6B4042EA"/>
    <w:rsid w:val="6B4776F6"/>
    <w:rsid w:val="6B4B07A4"/>
    <w:rsid w:val="6B5A73EC"/>
    <w:rsid w:val="6B5B4CD3"/>
    <w:rsid w:val="6B6F43E8"/>
    <w:rsid w:val="6B713734"/>
    <w:rsid w:val="6B7772A2"/>
    <w:rsid w:val="6B7F745B"/>
    <w:rsid w:val="6B847151"/>
    <w:rsid w:val="6B862A14"/>
    <w:rsid w:val="6B9F64A0"/>
    <w:rsid w:val="6BB56A2D"/>
    <w:rsid w:val="6BB6715A"/>
    <w:rsid w:val="6BBC6E72"/>
    <w:rsid w:val="6BC64DE9"/>
    <w:rsid w:val="6BC80531"/>
    <w:rsid w:val="6BD85D34"/>
    <w:rsid w:val="6BFC0FEB"/>
    <w:rsid w:val="6BFC6DF8"/>
    <w:rsid w:val="6C073514"/>
    <w:rsid w:val="6C0E6A74"/>
    <w:rsid w:val="6C146C2F"/>
    <w:rsid w:val="6C214336"/>
    <w:rsid w:val="6C2C1757"/>
    <w:rsid w:val="6C3814A1"/>
    <w:rsid w:val="6C3F302C"/>
    <w:rsid w:val="6C4B4758"/>
    <w:rsid w:val="6C4D6292"/>
    <w:rsid w:val="6C5F234D"/>
    <w:rsid w:val="6C605163"/>
    <w:rsid w:val="6C743E73"/>
    <w:rsid w:val="6C753132"/>
    <w:rsid w:val="6C7C79DF"/>
    <w:rsid w:val="6C801B38"/>
    <w:rsid w:val="6C806D0F"/>
    <w:rsid w:val="6C851191"/>
    <w:rsid w:val="6C853EA9"/>
    <w:rsid w:val="6CA16ED7"/>
    <w:rsid w:val="6CA419A9"/>
    <w:rsid w:val="6CAF26A6"/>
    <w:rsid w:val="6CB855F1"/>
    <w:rsid w:val="6CCC139C"/>
    <w:rsid w:val="6CD1A0EC"/>
    <w:rsid w:val="6CDF11C2"/>
    <w:rsid w:val="6CFB23CD"/>
    <w:rsid w:val="6D04363C"/>
    <w:rsid w:val="6D0B9CDB"/>
    <w:rsid w:val="6D0D5EB2"/>
    <w:rsid w:val="6D110773"/>
    <w:rsid w:val="6D1677A7"/>
    <w:rsid w:val="6D244E21"/>
    <w:rsid w:val="6D25254A"/>
    <w:rsid w:val="6D2A0E80"/>
    <w:rsid w:val="6D312D3F"/>
    <w:rsid w:val="6D317CBA"/>
    <w:rsid w:val="6D325557"/>
    <w:rsid w:val="6D4122C3"/>
    <w:rsid w:val="6D553BCD"/>
    <w:rsid w:val="6D6D0BAF"/>
    <w:rsid w:val="6D6E2FC2"/>
    <w:rsid w:val="6D720621"/>
    <w:rsid w:val="6D730C66"/>
    <w:rsid w:val="6D7F66FE"/>
    <w:rsid w:val="6D8CE15E"/>
    <w:rsid w:val="6D9678B2"/>
    <w:rsid w:val="6D9803BC"/>
    <w:rsid w:val="6D9E6B0A"/>
    <w:rsid w:val="6DA90B6F"/>
    <w:rsid w:val="6DB03549"/>
    <w:rsid w:val="6DB57762"/>
    <w:rsid w:val="6DBB59B7"/>
    <w:rsid w:val="6DDB7FAC"/>
    <w:rsid w:val="6DE445C0"/>
    <w:rsid w:val="6DEA6CDA"/>
    <w:rsid w:val="6DF9274E"/>
    <w:rsid w:val="6DF95474"/>
    <w:rsid w:val="6DFC30FB"/>
    <w:rsid w:val="6DFE0E5D"/>
    <w:rsid w:val="6E017450"/>
    <w:rsid w:val="6E03171B"/>
    <w:rsid w:val="6E0533B3"/>
    <w:rsid w:val="6E095980"/>
    <w:rsid w:val="6E1D39F3"/>
    <w:rsid w:val="6E3D734E"/>
    <w:rsid w:val="6E423939"/>
    <w:rsid w:val="6E44771E"/>
    <w:rsid w:val="6E5C1558"/>
    <w:rsid w:val="6E600263"/>
    <w:rsid w:val="6E6849D6"/>
    <w:rsid w:val="6E6861C5"/>
    <w:rsid w:val="6E712893"/>
    <w:rsid w:val="6E810C71"/>
    <w:rsid w:val="6E84A679"/>
    <w:rsid w:val="6E8768A1"/>
    <w:rsid w:val="6E876E96"/>
    <w:rsid w:val="6E9043E4"/>
    <w:rsid w:val="6E9747F8"/>
    <w:rsid w:val="6E9D5441"/>
    <w:rsid w:val="6EA90180"/>
    <w:rsid w:val="6EAE7381"/>
    <w:rsid w:val="6EBF60F5"/>
    <w:rsid w:val="6EC224A8"/>
    <w:rsid w:val="6ECD2213"/>
    <w:rsid w:val="6EE63E41"/>
    <w:rsid w:val="6EEC1AAA"/>
    <w:rsid w:val="6F11632A"/>
    <w:rsid w:val="6F20DE21"/>
    <w:rsid w:val="6F255DD2"/>
    <w:rsid w:val="6F3A39CF"/>
    <w:rsid w:val="6F3D6593"/>
    <w:rsid w:val="6F3DD351"/>
    <w:rsid w:val="6F3E0D1D"/>
    <w:rsid w:val="6F443114"/>
    <w:rsid w:val="6F683873"/>
    <w:rsid w:val="6F6D2C38"/>
    <w:rsid w:val="6F7157F6"/>
    <w:rsid w:val="6F74C605"/>
    <w:rsid w:val="6F7F3235"/>
    <w:rsid w:val="6F811855"/>
    <w:rsid w:val="6FA996D8"/>
    <w:rsid w:val="6FB16C82"/>
    <w:rsid w:val="6FB516A8"/>
    <w:rsid w:val="6FB62A84"/>
    <w:rsid w:val="6FB70B75"/>
    <w:rsid w:val="6FBD58D5"/>
    <w:rsid w:val="6FC43D6C"/>
    <w:rsid w:val="6FC726B1"/>
    <w:rsid w:val="6FDE0E83"/>
    <w:rsid w:val="6FE17097"/>
    <w:rsid w:val="6FEE2ED4"/>
    <w:rsid w:val="70073A2C"/>
    <w:rsid w:val="700F7D91"/>
    <w:rsid w:val="70156C13"/>
    <w:rsid w:val="701A40DE"/>
    <w:rsid w:val="703C038B"/>
    <w:rsid w:val="703D7C2B"/>
    <w:rsid w:val="704619C4"/>
    <w:rsid w:val="704C2F55"/>
    <w:rsid w:val="704CD0D4"/>
    <w:rsid w:val="705301E4"/>
    <w:rsid w:val="7055204A"/>
    <w:rsid w:val="70575E10"/>
    <w:rsid w:val="70620D15"/>
    <w:rsid w:val="7069383C"/>
    <w:rsid w:val="706E46A2"/>
    <w:rsid w:val="707644CB"/>
    <w:rsid w:val="70770070"/>
    <w:rsid w:val="70880755"/>
    <w:rsid w:val="709092B3"/>
    <w:rsid w:val="709172FF"/>
    <w:rsid w:val="70932B72"/>
    <w:rsid w:val="70935E3F"/>
    <w:rsid w:val="70977308"/>
    <w:rsid w:val="709E1EB4"/>
    <w:rsid w:val="70A077B4"/>
    <w:rsid w:val="70AF2FA4"/>
    <w:rsid w:val="70B411D2"/>
    <w:rsid w:val="70B6338A"/>
    <w:rsid w:val="70B772F6"/>
    <w:rsid w:val="70C14EF1"/>
    <w:rsid w:val="70CA03FE"/>
    <w:rsid w:val="70CCC32A"/>
    <w:rsid w:val="70D23902"/>
    <w:rsid w:val="70EECB60"/>
    <w:rsid w:val="710F1803"/>
    <w:rsid w:val="711D4B96"/>
    <w:rsid w:val="71323856"/>
    <w:rsid w:val="713C37E4"/>
    <w:rsid w:val="715728EF"/>
    <w:rsid w:val="715B15C3"/>
    <w:rsid w:val="715B578B"/>
    <w:rsid w:val="715B61F5"/>
    <w:rsid w:val="7169702B"/>
    <w:rsid w:val="71775FF0"/>
    <w:rsid w:val="717B3641"/>
    <w:rsid w:val="718639D6"/>
    <w:rsid w:val="71883DA4"/>
    <w:rsid w:val="719212F5"/>
    <w:rsid w:val="71960034"/>
    <w:rsid w:val="719C15B2"/>
    <w:rsid w:val="719C6654"/>
    <w:rsid w:val="71A1E661"/>
    <w:rsid w:val="71AE804B"/>
    <w:rsid w:val="71B24391"/>
    <w:rsid w:val="71B63E66"/>
    <w:rsid w:val="71B92EA2"/>
    <w:rsid w:val="71BA5F1D"/>
    <w:rsid w:val="71C06E3D"/>
    <w:rsid w:val="71C21992"/>
    <w:rsid w:val="71C32886"/>
    <w:rsid w:val="71C529ED"/>
    <w:rsid w:val="71D2364B"/>
    <w:rsid w:val="71D46F9E"/>
    <w:rsid w:val="71F05ABF"/>
    <w:rsid w:val="71FC1B7F"/>
    <w:rsid w:val="71FE3339"/>
    <w:rsid w:val="71FE401B"/>
    <w:rsid w:val="72072DF3"/>
    <w:rsid w:val="72094751"/>
    <w:rsid w:val="721037B8"/>
    <w:rsid w:val="721D2B81"/>
    <w:rsid w:val="721E6CE0"/>
    <w:rsid w:val="72205A44"/>
    <w:rsid w:val="72355485"/>
    <w:rsid w:val="724C4D86"/>
    <w:rsid w:val="72553F08"/>
    <w:rsid w:val="725556C3"/>
    <w:rsid w:val="72570217"/>
    <w:rsid w:val="725A0AFE"/>
    <w:rsid w:val="72651924"/>
    <w:rsid w:val="72653279"/>
    <w:rsid w:val="72694C08"/>
    <w:rsid w:val="72702536"/>
    <w:rsid w:val="728F5C64"/>
    <w:rsid w:val="729E8F68"/>
    <w:rsid w:val="72AAAE31"/>
    <w:rsid w:val="72AE6C1B"/>
    <w:rsid w:val="72AF5A71"/>
    <w:rsid w:val="72B06450"/>
    <w:rsid w:val="72BC17FF"/>
    <w:rsid w:val="72BD690D"/>
    <w:rsid w:val="72C008B7"/>
    <w:rsid w:val="72CF0398"/>
    <w:rsid w:val="72EA4D0E"/>
    <w:rsid w:val="72F531D4"/>
    <w:rsid w:val="72F905FF"/>
    <w:rsid w:val="73223547"/>
    <w:rsid w:val="732312E3"/>
    <w:rsid w:val="7324E38C"/>
    <w:rsid w:val="73267A64"/>
    <w:rsid w:val="73271F84"/>
    <w:rsid w:val="732A7843"/>
    <w:rsid w:val="73301F06"/>
    <w:rsid w:val="73342394"/>
    <w:rsid w:val="73381842"/>
    <w:rsid w:val="73384AA8"/>
    <w:rsid w:val="733A0E08"/>
    <w:rsid w:val="734703C4"/>
    <w:rsid w:val="734DBBFB"/>
    <w:rsid w:val="7352494C"/>
    <w:rsid w:val="73555AE2"/>
    <w:rsid w:val="73643FF8"/>
    <w:rsid w:val="73644C37"/>
    <w:rsid w:val="73662399"/>
    <w:rsid w:val="736D1458"/>
    <w:rsid w:val="737B3532"/>
    <w:rsid w:val="737F09D3"/>
    <w:rsid w:val="737F2B0D"/>
    <w:rsid w:val="73A5616A"/>
    <w:rsid w:val="73A82F8A"/>
    <w:rsid w:val="73A8D236"/>
    <w:rsid w:val="73AF183D"/>
    <w:rsid w:val="73AF5514"/>
    <w:rsid w:val="73B152D8"/>
    <w:rsid w:val="73B943D6"/>
    <w:rsid w:val="73BD5452"/>
    <w:rsid w:val="73C9580B"/>
    <w:rsid w:val="73D1C868"/>
    <w:rsid w:val="73D5370B"/>
    <w:rsid w:val="73D725EB"/>
    <w:rsid w:val="73DB7B06"/>
    <w:rsid w:val="73E336B6"/>
    <w:rsid w:val="73EC7F96"/>
    <w:rsid w:val="740547EB"/>
    <w:rsid w:val="741C2156"/>
    <w:rsid w:val="74220B51"/>
    <w:rsid w:val="74272627"/>
    <w:rsid w:val="74376D0D"/>
    <w:rsid w:val="743A6237"/>
    <w:rsid w:val="743F9470"/>
    <w:rsid w:val="74433857"/>
    <w:rsid w:val="7446609E"/>
    <w:rsid w:val="74530738"/>
    <w:rsid w:val="74574AFE"/>
    <w:rsid w:val="7463252F"/>
    <w:rsid w:val="74682A1C"/>
    <w:rsid w:val="74733BE5"/>
    <w:rsid w:val="74751D08"/>
    <w:rsid w:val="748A2515"/>
    <w:rsid w:val="748B4926"/>
    <w:rsid w:val="748E1E68"/>
    <w:rsid w:val="74984DA8"/>
    <w:rsid w:val="749B497E"/>
    <w:rsid w:val="74A51E40"/>
    <w:rsid w:val="74A701FD"/>
    <w:rsid w:val="74AB05E2"/>
    <w:rsid w:val="74AB4D57"/>
    <w:rsid w:val="74AEE5FB"/>
    <w:rsid w:val="74B07D5F"/>
    <w:rsid w:val="74B17A6A"/>
    <w:rsid w:val="74B2EFD9"/>
    <w:rsid w:val="74B62C1B"/>
    <w:rsid w:val="74CB860B"/>
    <w:rsid w:val="74F824A8"/>
    <w:rsid w:val="75001EE7"/>
    <w:rsid w:val="7503468A"/>
    <w:rsid w:val="75064C36"/>
    <w:rsid w:val="75065B46"/>
    <w:rsid w:val="7513285D"/>
    <w:rsid w:val="75193281"/>
    <w:rsid w:val="75245DFB"/>
    <w:rsid w:val="75284DD3"/>
    <w:rsid w:val="752F6E0B"/>
    <w:rsid w:val="7530B4CA"/>
    <w:rsid w:val="75367033"/>
    <w:rsid w:val="753D9173"/>
    <w:rsid w:val="75422C8E"/>
    <w:rsid w:val="7546411E"/>
    <w:rsid w:val="754C78CA"/>
    <w:rsid w:val="7555159F"/>
    <w:rsid w:val="756B6273"/>
    <w:rsid w:val="7570122D"/>
    <w:rsid w:val="7582694C"/>
    <w:rsid w:val="75833214"/>
    <w:rsid w:val="7590750C"/>
    <w:rsid w:val="75965D5C"/>
    <w:rsid w:val="759850E9"/>
    <w:rsid w:val="75992182"/>
    <w:rsid w:val="75A1188D"/>
    <w:rsid w:val="75A25064"/>
    <w:rsid w:val="75A8704C"/>
    <w:rsid w:val="75AA4E1D"/>
    <w:rsid w:val="75B12586"/>
    <w:rsid w:val="75B41237"/>
    <w:rsid w:val="75B928AA"/>
    <w:rsid w:val="75BE472E"/>
    <w:rsid w:val="75C04DA2"/>
    <w:rsid w:val="75C07189"/>
    <w:rsid w:val="75C69F64"/>
    <w:rsid w:val="75D83B6E"/>
    <w:rsid w:val="75E85D98"/>
    <w:rsid w:val="75ED16E5"/>
    <w:rsid w:val="7603A769"/>
    <w:rsid w:val="760421D1"/>
    <w:rsid w:val="761503E0"/>
    <w:rsid w:val="761F1055"/>
    <w:rsid w:val="76265739"/>
    <w:rsid w:val="762D1373"/>
    <w:rsid w:val="76392796"/>
    <w:rsid w:val="763C4082"/>
    <w:rsid w:val="7642ADC5"/>
    <w:rsid w:val="76571541"/>
    <w:rsid w:val="766213D4"/>
    <w:rsid w:val="76693146"/>
    <w:rsid w:val="76695F78"/>
    <w:rsid w:val="76732C9B"/>
    <w:rsid w:val="76761FFF"/>
    <w:rsid w:val="76775825"/>
    <w:rsid w:val="769034F5"/>
    <w:rsid w:val="769154A9"/>
    <w:rsid w:val="76924516"/>
    <w:rsid w:val="76964F7C"/>
    <w:rsid w:val="7697150A"/>
    <w:rsid w:val="76987CDA"/>
    <w:rsid w:val="76A54209"/>
    <w:rsid w:val="76A82F8C"/>
    <w:rsid w:val="76B344C4"/>
    <w:rsid w:val="76B45F0D"/>
    <w:rsid w:val="76B96BD8"/>
    <w:rsid w:val="76BB66A7"/>
    <w:rsid w:val="76BB697E"/>
    <w:rsid w:val="76C57A73"/>
    <w:rsid w:val="76D0B845"/>
    <w:rsid w:val="76D4D50A"/>
    <w:rsid w:val="76F1DFF5"/>
    <w:rsid w:val="77008D07"/>
    <w:rsid w:val="770B3271"/>
    <w:rsid w:val="772436E9"/>
    <w:rsid w:val="772844B2"/>
    <w:rsid w:val="773B8C06"/>
    <w:rsid w:val="774255ED"/>
    <w:rsid w:val="77471FC0"/>
    <w:rsid w:val="775970C7"/>
    <w:rsid w:val="775A551C"/>
    <w:rsid w:val="775C7097"/>
    <w:rsid w:val="775F730A"/>
    <w:rsid w:val="77646573"/>
    <w:rsid w:val="77653126"/>
    <w:rsid w:val="777505E8"/>
    <w:rsid w:val="777F3B7E"/>
    <w:rsid w:val="7783401B"/>
    <w:rsid w:val="778860EE"/>
    <w:rsid w:val="77920153"/>
    <w:rsid w:val="77934F95"/>
    <w:rsid w:val="779D0758"/>
    <w:rsid w:val="77A55729"/>
    <w:rsid w:val="77B05DB7"/>
    <w:rsid w:val="77B581C7"/>
    <w:rsid w:val="77B6212C"/>
    <w:rsid w:val="77B83CA9"/>
    <w:rsid w:val="77BC475C"/>
    <w:rsid w:val="77C41276"/>
    <w:rsid w:val="77CE117D"/>
    <w:rsid w:val="77DC4DFE"/>
    <w:rsid w:val="77E20C2F"/>
    <w:rsid w:val="77E85551"/>
    <w:rsid w:val="77ED2E44"/>
    <w:rsid w:val="77F73C27"/>
    <w:rsid w:val="77FB4BBA"/>
    <w:rsid w:val="78147EC8"/>
    <w:rsid w:val="78153D6A"/>
    <w:rsid w:val="781E28E9"/>
    <w:rsid w:val="781E4A9C"/>
    <w:rsid w:val="78228A05"/>
    <w:rsid w:val="782D1AD2"/>
    <w:rsid w:val="782D45A6"/>
    <w:rsid w:val="783469E8"/>
    <w:rsid w:val="78380516"/>
    <w:rsid w:val="785150DB"/>
    <w:rsid w:val="78570929"/>
    <w:rsid w:val="7858C4FF"/>
    <w:rsid w:val="786051B8"/>
    <w:rsid w:val="7864750F"/>
    <w:rsid w:val="78697953"/>
    <w:rsid w:val="786D14FD"/>
    <w:rsid w:val="78703B34"/>
    <w:rsid w:val="787C756A"/>
    <w:rsid w:val="788825E4"/>
    <w:rsid w:val="788F76CC"/>
    <w:rsid w:val="78947D9A"/>
    <w:rsid w:val="78967372"/>
    <w:rsid w:val="789A597B"/>
    <w:rsid w:val="789CB36D"/>
    <w:rsid w:val="78B01EF8"/>
    <w:rsid w:val="78CF0DF8"/>
    <w:rsid w:val="78D530F8"/>
    <w:rsid w:val="78DF6F22"/>
    <w:rsid w:val="78E682B1"/>
    <w:rsid w:val="78F107DA"/>
    <w:rsid w:val="78F10D34"/>
    <w:rsid w:val="78F11EF2"/>
    <w:rsid w:val="78F6144C"/>
    <w:rsid w:val="79020895"/>
    <w:rsid w:val="790630EE"/>
    <w:rsid w:val="790E73B5"/>
    <w:rsid w:val="7910856F"/>
    <w:rsid w:val="791E0AA5"/>
    <w:rsid w:val="79217C05"/>
    <w:rsid w:val="79224059"/>
    <w:rsid w:val="79267B01"/>
    <w:rsid w:val="79335743"/>
    <w:rsid w:val="79397C83"/>
    <w:rsid w:val="794F471D"/>
    <w:rsid w:val="79543E8E"/>
    <w:rsid w:val="795CD068"/>
    <w:rsid w:val="795F77E9"/>
    <w:rsid w:val="79782C74"/>
    <w:rsid w:val="797E11ED"/>
    <w:rsid w:val="798657AC"/>
    <w:rsid w:val="79885CA0"/>
    <w:rsid w:val="798A6DE2"/>
    <w:rsid w:val="798C1060"/>
    <w:rsid w:val="798EA8B2"/>
    <w:rsid w:val="79997FDD"/>
    <w:rsid w:val="799B4777"/>
    <w:rsid w:val="799F78A5"/>
    <w:rsid w:val="79A04F00"/>
    <w:rsid w:val="79A8251C"/>
    <w:rsid w:val="79CD3574"/>
    <w:rsid w:val="79D02D7B"/>
    <w:rsid w:val="79E103A3"/>
    <w:rsid w:val="79EC5CF1"/>
    <w:rsid w:val="79F94376"/>
    <w:rsid w:val="79FC4B86"/>
    <w:rsid w:val="7A093584"/>
    <w:rsid w:val="7A0C797A"/>
    <w:rsid w:val="7A17AE6E"/>
    <w:rsid w:val="7A23665D"/>
    <w:rsid w:val="7A4609B4"/>
    <w:rsid w:val="7A4716E4"/>
    <w:rsid w:val="7A5115F0"/>
    <w:rsid w:val="7A5F5A4A"/>
    <w:rsid w:val="7A632128"/>
    <w:rsid w:val="7A637ADC"/>
    <w:rsid w:val="7A6E286A"/>
    <w:rsid w:val="7A793599"/>
    <w:rsid w:val="7A79626E"/>
    <w:rsid w:val="7A7EE1A8"/>
    <w:rsid w:val="7A833AFE"/>
    <w:rsid w:val="7A853978"/>
    <w:rsid w:val="7A8D29C1"/>
    <w:rsid w:val="7A956497"/>
    <w:rsid w:val="7A9C3B9E"/>
    <w:rsid w:val="7AA509B7"/>
    <w:rsid w:val="7AAA5A08"/>
    <w:rsid w:val="7AB16045"/>
    <w:rsid w:val="7AB958C0"/>
    <w:rsid w:val="7AC0AEBF"/>
    <w:rsid w:val="7AC63032"/>
    <w:rsid w:val="7AD905D9"/>
    <w:rsid w:val="7ADA3716"/>
    <w:rsid w:val="7ADB70CF"/>
    <w:rsid w:val="7AE06AD4"/>
    <w:rsid w:val="7AFA4FC4"/>
    <w:rsid w:val="7AFB1F80"/>
    <w:rsid w:val="7AFD230D"/>
    <w:rsid w:val="7AFE508C"/>
    <w:rsid w:val="7B035673"/>
    <w:rsid w:val="7B073F40"/>
    <w:rsid w:val="7B0958DD"/>
    <w:rsid w:val="7B126481"/>
    <w:rsid w:val="7B136DC0"/>
    <w:rsid w:val="7B1B449F"/>
    <w:rsid w:val="7B2267CD"/>
    <w:rsid w:val="7B2700BF"/>
    <w:rsid w:val="7B28A659"/>
    <w:rsid w:val="7B364826"/>
    <w:rsid w:val="7B3A2F96"/>
    <w:rsid w:val="7B522CA7"/>
    <w:rsid w:val="7B595DEB"/>
    <w:rsid w:val="7B5C6444"/>
    <w:rsid w:val="7B747AC1"/>
    <w:rsid w:val="7B76970A"/>
    <w:rsid w:val="7B80527F"/>
    <w:rsid w:val="7B953EBD"/>
    <w:rsid w:val="7BA37D3D"/>
    <w:rsid w:val="7BB7572A"/>
    <w:rsid w:val="7BB8145B"/>
    <w:rsid w:val="7BBE70F9"/>
    <w:rsid w:val="7BC05612"/>
    <w:rsid w:val="7BC2331A"/>
    <w:rsid w:val="7BCE1B7D"/>
    <w:rsid w:val="7BD31F25"/>
    <w:rsid w:val="7BD75B4B"/>
    <w:rsid w:val="7BDA78A7"/>
    <w:rsid w:val="7BDD5515"/>
    <w:rsid w:val="7BE14791"/>
    <w:rsid w:val="7BE3595E"/>
    <w:rsid w:val="7BE4EF12"/>
    <w:rsid w:val="7BE9067D"/>
    <w:rsid w:val="7BF635A6"/>
    <w:rsid w:val="7C0524D4"/>
    <w:rsid w:val="7C0745CE"/>
    <w:rsid w:val="7C0E280C"/>
    <w:rsid w:val="7C1B5B8B"/>
    <w:rsid w:val="7C1D09E9"/>
    <w:rsid w:val="7C214539"/>
    <w:rsid w:val="7C225823"/>
    <w:rsid w:val="7C2B4CFC"/>
    <w:rsid w:val="7C5D1554"/>
    <w:rsid w:val="7C702649"/>
    <w:rsid w:val="7C743439"/>
    <w:rsid w:val="7C780481"/>
    <w:rsid w:val="7C792C1C"/>
    <w:rsid w:val="7C8655DD"/>
    <w:rsid w:val="7C8E5933"/>
    <w:rsid w:val="7C92A412"/>
    <w:rsid w:val="7C98E117"/>
    <w:rsid w:val="7C9C17DF"/>
    <w:rsid w:val="7CA0429F"/>
    <w:rsid w:val="7CA818C0"/>
    <w:rsid w:val="7CAA1027"/>
    <w:rsid w:val="7CB11E09"/>
    <w:rsid w:val="7CB80D67"/>
    <w:rsid w:val="7CBB1024"/>
    <w:rsid w:val="7CBBB7AE"/>
    <w:rsid w:val="7CC293D2"/>
    <w:rsid w:val="7CC60793"/>
    <w:rsid w:val="7CC77880"/>
    <w:rsid w:val="7CCB4411"/>
    <w:rsid w:val="7CD75C98"/>
    <w:rsid w:val="7CEB1D72"/>
    <w:rsid w:val="7CEB3651"/>
    <w:rsid w:val="7CF54FC3"/>
    <w:rsid w:val="7D03642A"/>
    <w:rsid w:val="7D044D32"/>
    <w:rsid w:val="7D094B37"/>
    <w:rsid w:val="7D097DB8"/>
    <w:rsid w:val="7D129C6F"/>
    <w:rsid w:val="7D216EF0"/>
    <w:rsid w:val="7D2C1A37"/>
    <w:rsid w:val="7D2F0C98"/>
    <w:rsid w:val="7D332CD0"/>
    <w:rsid w:val="7D39269D"/>
    <w:rsid w:val="7D3B53A5"/>
    <w:rsid w:val="7D452299"/>
    <w:rsid w:val="7D4F75B8"/>
    <w:rsid w:val="7D5D4FD6"/>
    <w:rsid w:val="7D6754BF"/>
    <w:rsid w:val="7D6853A1"/>
    <w:rsid w:val="7D70270E"/>
    <w:rsid w:val="7D7674C2"/>
    <w:rsid w:val="7D892130"/>
    <w:rsid w:val="7DA62A7E"/>
    <w:rsid w:val="7DAC2F5B"/>
    <w:rsid w:val="7DB66220"/>
    <w:rsid w:val="7DE537E5"/>
    <w:rsid w:val="7DEA55CC"/>
    <w:rsid w:val="7DEB18F7"/>
    <w:rsid w:val="7E026F41"/>
    <w:rsid w:val="7E0429E9"/>
    <w:rsid w:val="7E076F0B"/>
    <w:rsid w:val="7E1B3994"/>
    <w:rsid w:val="7E1C1523"/>
    <w:rsid w:val="7E245314"/>
    <w:rsid w:val="7E265025"/>
    <w:rsid w:val="7E33504C"/>
    <w:rsid w:val="7E392C0B"/>
    <w:rsid w:val="7E3A7ECE"/>
    <w:rsid w:val="7E4201F6"/>
    <w:rsid w:val="7E563357"/>
    <w:rsid w:val="7E6ABCBC"/>
    <w:rsid w:val="7E713BBE"/>
    <w:rsid w:val="7E7C40D3"/>
    <w:rsid w:val="7E7F4E53"/>
    <w:rsid w:val="7EA57A87"/>
    <w:rsid w:val="7EAD5043"/>
    <w:rsid w:val="7EB26B66"/>
    <w:rsid w:val="7EBE77EF"/>
    <w:rsid w:val="7EC17D27"/>
    <w:rsid w:val="7EDB0FB4"/>
    <w:rsid w:val="7EF3542B"/>
    <w:rsid w:val="7EF72A29"/>
    <w:rsid w:val="7EF849CF"/>
    <w:rsid w:val="7F0444E9"/>
    <w:rsid w:val="7F0C5EFA"/>
    <w:rsid w:val="7F23C7E9"/>
    <w:rsid w:val="7F245635"/>
    <w:rsid w:val="7F2D4029"/>
    <w:rsid w:val="7F384DEC"/>
    <w:rsid w:val="7F49C152"/>
    <w:rsid w:val="7F4D19DD"/>
    <w:rsid w:val="7F5657FC"/>
    <w:rsid w:val="7F5D0393"/>
    <w:rsid w:val="7F6B2DD7"/>
    <w:rsid w:val="7F7D3A0D"/>
    <w:rsid w:val="7F849120"/>
    <w:rsid w:val="7F9069BB"/>
    <w:rsid w:val="7F9BBE56"/>
    <w:rsid w:val="7FA15923"/>
    <w:rsid w:val="7FA2248A"/>
    <w:rsid w:val="7FA56EBD"/>
    <w:rsid w:val="7FA5A7E2"/>
    <w:rsid w:val="7FAA1322"/>
    <w:rsid w:val="7FAE09A7"/>
    <w:rsid w:val="7FB405E5"/>
    <w:rsid w:val="7FB701AA"/>
    <w:rsid w:val="7FCD8986"/>
    <w:rsid w:val="7FD53334"/>
    <w:rsid w:val="7FD61AE9"/>
    <w:rsid w:val="7FD914CF"/>
    <w:rsid w:val="7FE10040"/>
    <w:rsid w:val="7FE93017"/>
    <w:rsid w:val="7FF52F01"/>
    <w:rsid w:val="7FFF688D"/>
    <w:rsid w:val="8003120D"/>
    <w:rsid w:val="80380476"/>
    <w:rsid w:val="804C3B93"/>
    <w:rsid w:val="8051F8EA"/>
    <w:rsid w:val="80B7C1C3"/>
    <w:rsid w:val="80EFC168"/>
    <w:rsid w:val="81C64E7F"/>
    <w:rsid w:val="81CD910C"/>
    <w:rsid w:val="81F0A2ED"/>
    <w:rsid w:val="82719EA3"/>
    <w:rsid w:val="82BEB22F"/>
    <w:rsid w:val="830176D4"/>
    <w:rsid w:val="834FF008"/>
    <w:rsid w:val="839AFD1E"/>
    <w:rsid w:val="83BF7CEF"/>
    <w:rsid w:val="83CA9735"/>
    <w:rsid w:val="83F9158D"/>
    <w:rsid w:val="840923A3"/>
    <w:rsid w:val="8456935B"/>
    <w:rsid w:val="84657F63"/>
    <w:rsid w:val="84739242"/>
    <w:rsid w:val="849A3BC6"/>
    <w:rsid w:val="84A21890"/>
    <w:rsid w:val="84A25635"/>
    <w:rsid w:val="84C52222"/>
    <w:rsid w:val="8530D884"/>
    <w:rsid w:val="85412042"/>
    <w:rsid w:val="8561D0EC"/>
    <w:rsid w:val="856AF4DF"/>
    <w:rsid w:val="85B11132"/>
    <w:rsid w:val="85B22131"/>
    <w:rsid w:val="85C0E27C"/>
    <w:rsid w:val="85C12927"/>
    <w:rsid w:val="85DE8276"/>
    <w:rsid w:val="85F82541"/>
    <w:rsid w:val="861242D9"/>
    <w:rsid w:val="8635F3ED"/>
    <w:rsid w:val="8645AFA7"/>
    <w:rsid w:val="8653EB49"/>
    <w:rsid w:val="8691B041"/>
    <w:rsid w:val="86E0FD47"/>
    <w:rsid w:val="8704A194"/>
    <w:rsid w:val="87474659"/>
    <w:rsid w:val="87771A71"/>
    <w:rsid w:val="87868382"/>
    <w:rsid w:val="87DAE503"/>
    <w:rsid w:val="8847A22B"/>
    <w:rsid w:val="88630850"/>
    <w:rsid w:val="88726295"/>
    <w:rsid w:val="887B91A3"/>
    <w:rsid w:val="88F2A2C8"/>
    <w:rsid w:val="8900D42F"/>
    <w:rsid w:val="8915D99A"/>
    <w:rsid w:val="893F1EF4"/>
    <w:rsid w:val="897932BE"/>
    <w:rsid w:val="897E6011"/>
    <w:rsid w:val="89C8B887"/>
    <w:rsid w:val="89D0EAC6"/>
    <w:rsid w:val="89EA7397"/>
    <w:rsid w:val="8A66191D"/>
    <w:rsid w:val="8A98A944"/>
    <w:rsid w:val="8AB37840"/>
    <w:rsid w:val="8AD1AB43"/>
    <w:rsid w:val="8B2A6256"/>
    <w:rsid w:val="8B51CB0B"/>
    <w:rsid w:val="8BE08F0D"/>
    <w:rsid w:val="8CD6A571"/>
    <w:rsid w:val="8CEB8F20"/>
    <w:rsid w:val="8E5081CC"/>
    <w:rsid w:val="8E86D9E4"/>
    <w:rsid w:val="8EFB14B6"/>
    <w:rsid w:val="8F006052"/>
    <w:rsid w:val="8F2FC650"/>
    <w:rsid w:val="8F3EA02C"/>
    <w:rsid w:val="8F5AF8BE"/>
    <w:rsid w:val="8F76D783"/>
    <w:rsid w:val="8FC1A675"/>
    <w:rsid w:val="8FD3FB42"/>
    <w:rsid w:val="8FEE59F3"/>
    <w:rsid w:val="90096C90"/>
    <w:rsid w:val="90AC22E4"/>
    <w:rsid w:val="90EBE6E6"/>
    <w:rsid w:val="90EED0D8"/>
    <w:rsid w:val="912A1812"/>
    <w:rsid w:val="913667C6"/>
    <w:rsid w:val="91B0D3AF"/>
    <w:rsid w:val="91FAF613"/>
    <w:rsid w:val="9253D4F8"/>
    <w:rsid w:val="92596829"/>
    <w:rsid w:val="925BD07C"/>
    <w:rsid w:val="938E068D"/>
    <w:rsid w:val="93AB2719"/>
    <w:rsid w:val="93DB613A"/>
    <w:rsid w:val="93E96130"/>
    <w:rsid w:val="93EDA3D5"/>
    <w:rsid w:val="93F0FFF4"/>
    <w:rsid w:val="942AE01D"/>
    <w:rsid w:val="943E144D"/>
    <w:rsid w:val="945386F4"/>
    <w:rsid w:val="9458ADCB"/>
    <w:rsid w:val="946D3B40"/>
    <w:rsid w:val="946DC139"/>
    <w:rsid w:val="94938B36"/>
    <w:rsid w:val="9498272D"/>
    <w:rsid w:val="94AA151F"/>
    <w:rsid w:val="94CD84D8"/>
    <w:rsid w:val="94E4D2CF"/>
    <w:rsid w:val="9525D377"/>
    <w:rsid w:val="952A4E48"/>
    <w:rsid w:val="95596551"/>
    <w:rsid w:val="9566D618"/>
    <w:rsid w:val="95811149"/>
    <w:rsid w:val="958C6363"/>
    <w:rsid w:val="95AF550C"/>
    <w:rsid w:val="96518357"/>
    <w:rsid w:val="96550428"/>
    <w:rsid w:val="96572247"/>
    <w:rsid w:val="965E6FAC"/>
    <w:rsid w:val="96903397"/>
    <w:rsid w:val="96A57F60"/>
    <w:rsid w:val="96BE4956"/>
    <w:rsid w:val="96BEAFB3"/>
    <w:rsid w:val="96E3843E"/>
    <w:rsid w:val="96F24D72"/>
    <w:rsid w:val="9736B5D1"/>
    <w:rsid w:val="974D803A"/>
    <w:rsid w:val="979AB395"/>
    <w:rsid w:val="97DDA57F"/>
    <w:rsid w:val="980B4C4D"/>
    <w:rsid w:val="9817B1E0"/>
    <w:rsid w:val="98827694"/>
    <w:rsid w:val="98DAE294"/>
    <w:rsid w:val="98F34406"/>
    <w:rsid w:val="98FA9110"/>
    <w:rsid w:val="98FC922F"/>
    <w:rsid w:val="99898967"/>
    <w:rsid w:val="998AA5C2"/>
    <w:rsid w:val="9A009276"/>
    <w:rsid w:val="9A0546B8"/>
    <w:rsid w:val="9A11D86F"/>
    <w:rsid w:val="9A1E0724"/>
    <w:rsid w:val="9A936D2F"/>
    <w:rsid w:val="9B2B27F6"/>
    <w:rsid w:val="9B4187ED"/>
    <w:rsid w:val="9B488DEE"/>
    <w:rsid w:val="9B61C232"/>
    <w:rsid w:val="9B667191"/>
    <w:rsid w:val="9B767640"/>
    <w:rsid w:val="9B802DE4"/>
    <w:rsid w:val="9B83588D"/>
    <w:rsid w:val="9B88AE82"/>
    <w:rsid w:val="9B88ECC2"/>
    <w:rsid w:val="9B8FFDE4"/>
    <w:rsid w:val="9BB05BE4"/>
    <w:rsid w:val="9BD4D201"/>
    <w:rsid w:val="9C196AC4"/>
    <w:rsid w:val="9C289B21"/>
    <w:rsid w:val="9C3FE1B1"/>
    <w:rsid w:val="9CBBB728"/>
    <w:rsid w:val="9CEA28CD"/>
    <w:rsid w:val="9D3A05A8"/>
    <w:rsid w:val="9D485DF7"/>
    <w:rsid w:val="9D52DEEC"/>
    <w:rsid w:val="9DB14D0F"/>
    <w:rsid w:val="9DCFCC9B"/>
    <w:rsid w:val="9E053658"/>
    <w:rsid w:val="9E738D1B"/>
    <w:rsid w:val="9F0F9099"/>
    <w:rsid w:val="9F2BB31F"/>
    <w:rsid w:val="9F3EF457"/>
    <w:rsid w:val="9FA9C674"/>
    <w:rsid w:val="9FB4A377"/>
    <w:rsid w:val="9FE10809"/>
    <w:rsid w:val="A0D42FFB"/>
    <w:rsid w:val="A0DE6164"/>
    <w:rsid w:val="A0DF7935"/>
    <w:rsid w:val="A132AEAB"/>
    <w:rsid w:val="A17E151E"/>
    <w:rsid w:val="A19E2AB8"/>
    <w:rsid w:val="A1AC21CB"/>
    <w:rsid w:val="A2409456"/>
    <w:rsid w:val="A26A2249"/>
    <w:rsid w:val="A28B131D"/>
    <w:rsid w:val="A2ACEE34"/>
    <w:rsid w:val="A2EA150E"/>
    <w:rsid w:val="A2EB3243"/>
    <w:rsid w:val="A3433851"/>
    <w:rsid w:val="A36D0598"/>
    <w:rsid w:val="A37F51A0"/>
    <w:rsid w:val="A39FB382"/>
    <w:rsid w:val="A3B608D8"/>
    <w:rsid w:val="A3F44678"/>
    <w:rsid w:val="A41251EE"/>
    <w:rsid w:val="A42E6A95"/>
    <w:rsid w:val="A434F07F"/>
    <w:rsid w:val="A4609F69"/>
    <w:rsid w:val="A468140E"/>
    <w:rsid w:val="A46FC7A7"/>
    <w:rsid w:val="A4930DF7"/>
    <w:rsid w:val="A4BC8D7F"/>
    <w:rsid w:val="A4E4CC84"/>
    <w:rsid w:val="A566EF69"/>
    <w:rsid w:val="A5EB5220"/>
    <w:rsid w:val="A60CC45C"/>
    <w:rsid w:val="A60F8AAE"/>
    <w:rsid w:val="A637F364"/>
    <w:rsid w:val="A642002C"/>
    <w:rsid w:val="A66D30BB"/>
    <w:rsid w:val="A68C2748"/>
    <w:rsid w:val="A6E451A2"/>
    <w:rsid w:val="A6F11B61"/>
    <w:rsid w:val="A701D38E"/>
    <w:rsid w:val="A7045300"/>
    <w:rsid w:val="A720194D"/>
    <w:rsid w:val="A740E84C"/>
    <w:rsid w:val="A7E027DF"/>
    <w:rsid w:val="A7F37843"/>
    <w:rsid w:val="A81A86BD"/>
    <w:rsid w:val="A83C8366"/>
    <w:rsid w:val="A85876EF"/>
    <w:rsid w:val="A8876B49"/>
    <w:rsid w:val="A8D11BF0"/>
    <w:rsid w:val="A8F62F7B"/>
    <w:rsid w:val="A9413B43"/>
    <w:rsid w:val="A96B376F"/>
    <w:rsid w:val="A9804FB6"/>
    <w:rsid w:val="A9865B2D"/>
    <w:rsid w:val="A9BA0F5A"/>
    <w:rsid w:val="A9F85466"/>
    <w:rsid w:val="AA2E61FE"/>
    <w:rsid w:val="AAB11EED"/>
    <w:rsid w:val="AADCAC55"/>
    <w:rsid w:val="AB15D019"/>
    <w:rsid w:val="AB26A62D"/>
    <w:rsid w:val="AB81B944"/>
    <w:rsid w:val="ABAAE51B"/>
    <w:rsid w:val="ABD62510"/>
    <w:rsid w:val="AC1A814F"/>
    <w:rsid w:val="AC3CEFF1"/>
    <w:rsid w:val="AC5789F0"/>
    <w:rsid w:val="AC8EA638"/>
    <w:rsid w:val="ACC2AFF7"/>
    <w:rsid w:val="ACFD5A5F"/>
    <w:rsid w:val="AD2B281F"/>
    <w:rsid w:val="AD4217B9"/>
    <w:rsid w:val="AD5F4337"/>
    <w:rsid w:val="AD728E70"/>
    <w:rsid w:val="ADAB4A1C"/>
    <w:rsid w:val="ADC9D619"/>
    <w:rsid w:val="ADF339DE"/>
    <w:rsid w:val="AE052C6A"/>
    <w:rsid w:val="AE448906"/>
    <w:rsid w:val="AE63D4BE"/>
    <w:rsid w:val="AEA130FE"/>
    <w:rsid w:val="AEA80937"/>
    <w:rsid w:val="AEA88F6D"/>
    <w:rsid w:val="AEE95794"/>
    <w:rsid w:val="AF36BD6F"/>
    <w:rsid w:val="AF41D76F"/>
    <w:rsid w:val="AF7F62C4"/>
    <w:rsid w:val="AFBD5D31"/>
    <w:rsid w:val="B00339AC"/>
    <w:rsid w:val="B030C9CC"/>
    <w:rsid w:val="B0AB28AB"/>
    <w:rsid w:val="B0D152C0"/>
    <w:rsid w:val="B0EE9566"/>
    <w:rsid w:val="B1516F84"/>
    <w:rsid w:val="B1598979"/>
    <w:rsid w:val="B161556B"/>
    <w:rsid w:val="B16F8D0D"/>
    <w:rsid w:val="B1DC2B3B"/>
    <w:rsid w:val="B1F76B26"/>
    <w:rsid w:val="B21E25B2"/>
    <w:rsid w:val="B237FD10"/>
    <w:rsid w:val="B24945A0"/>
    <w:rsid w:val="B2B2A4C8"/>
    <w:rsid w:val="B2C64FA1"/>
    <w:rsid w:val="B34D4F18"/>
    <w:rsid w:val="B3C8B21D"/>
    <w:rsid w:val="B3CC04B1"/>
    <w:rsid w:val="B3D5E0A2"/>
    <w:rsid w:val="B3E72FAF"/>
    <w:rsid w:val="B3EEF7B4"/>
    <w:rsid w:val="B422CB06"/>
    <w:rsid w:val="B48FD03F"/>
    <w:rsid w:val="B4A6BE4C"/>
    <w:rsid w:val="B4CE5B06"/>
    <w:rsid w:val="B4CED786"/>
    <w:rsid w:val="B50D7178"/>
    <w:rsid w:val="B54F9B5C"/>
    <w:rsid w:val="B583C7FE"/>
    <w:rsid w:val="B58C9E37"/>
    <w:rsid w:val="B58E5F56"/>
    <w:rsid w:val="B5988A9A"/>
    <w:rsid w:val="B59F1A52"/>
    <w:rsid w:val="B5A59F1C"/>
    <w:rsid w:val="B5DFD55D"/>
    <w:rsid w:val="B60C9A76"/>
    <w:rsid w:val="B6508615"/>
    <w:rsid w:val="B68CD8CB"/>
    <w:rsid w:val="B69958A1"/>
    <w:rsid w:val="B6A5D003"/>
    <w:rsid w:val="B6B3F298"/>
    <w:rsid w:val="B6BD44F4"/>
    <w:rsid w:val="B6E6B354"/>
    <w:rsid w:val="B71E1186"/>
    <w:rsid w:val="B73C69D4"/>
    <w:rsid w:val="B7416B81"/>
    <w:rsid w:val="B752AEFA"/>
    <w:rsid w:val="B753C5DC"/>
    <w:rsid w:val="B7656C20"/>
    <w:rsid w:val="B7795E67"/>
    <w:rsid w:val="B799BB9B"/>
    <w:rsid w:val="B7AE9D9B"/>
    <w:rsid w:val="B86DAB90"/>
    <w:rsid w:val="B8B5A13E"/>
    <w:rsid w:val="B9881BAF"/>
    <w:rsid w:val="B99DDFA8"/>
    <w:rsid w:val="B9B90046"/>
    <w:rsid w:val="B9C543F2"/>
    <w:rsid w:val="B9F8F558"/>
    <w:rsid w:val="BA139946"/>
    <w:rsid w:val="BA318C01"/>
    <w:rsid w:val="BA7426DE"/>
    <w:rsid w:val="BA95D9B0"/>
    <w:rsid w:val="BAF44E0B"/>
    <w:rsid w:val="BAFC46F9"/>
    <w:rsid w:val="BB5EEAF4"/>
    <w:rsid w:val="BB6AF5D9"/>
    <w:rsid w:val="BB6C9C6F"/>
    <w:rsid w:val="BBE71B91"/>
    <w:rsid w:val="BC87E406"/>
    <w:rsid w:val="BCAFDDBE"/>
    <w:rsid w:val="BD27357F"/>
    <w:rsid w:val="BD5F5EA4"/>
    <w:rsid w:val="BD9A0811"/>
    <w:rsid w:val="BDDB1B32"/>
    <w:rsid w:val="BE76E952"/>
    <w:rsid w:val="BE9DDBA1"/>
    <w:rsid w:val="BEA567A3"/>
    <w:rsid w:val="BEC93912"/>
    <w:rsid w:val="BEDFF0C9"/>
    <w:rsid w:val="BEE19F1E"/>
    <w:rsid w:val="BEE6A275"/>
    <w:rsid w:val="BF3350C7"/>
    <w:rsid w:val="BF54E70D"/>
    <w:rsid w:val="BF8E1D90"/>
    <w:rsid w:val="BFD22D0A"/>
    <w:rsid w:val="C0AD203A"/>
    <w:rsid w:val="C0FA4CE4"/>
    <w:rsid w:val="C1A75C93"/>
    <w:rsid w:val="C1AFFCBE"/>
    <w:rsid w:val="C1D22521"/>
    <w:rsid w:val="C206B8A2"/>
    <w:rsid w:val="C256C185"/>
    <w:rsid w:val="C27984D8"/>
    <w:rsid w:val="C2982484"/>
    <w:rsid w:val="C2B10439"/>
    <w:rsid w:val="C2E65676"/>
    <w:rsid w:val="C2FF48D5"/>
    <w:rsid w:val="C33F93C0"/>
    <w:rsid w:val="C364DF6A"/>
    <w:rsid w:val="C37983DA"/>
    <w:rsid w:val="C3806120"/>
    <w:rsid w:val="C3AD5009"/>
    <w:rsid w:val="C3BEE331"/>
    <w:rsid w:val="C4059588"/>
    <w:rsid w:val="C44E93D7"/>
    <w:rsid w:val="C456F0DC"/>
    <w:rsid w:val="C45B4703"/>
    <w:rsid w:val="C4661AA4"/>
    <w:rsid w:val="C4A0D17F"/>
    <w:rsid w:val="C4B8CE3F"/>
    <w:rsid w:val="C4EE446D"/>
    <w:rsid w:val="C4FCB8DC"/>
    <w:rsid w:val="C576EAB8"/>
    <w:rsid w:val="C5D33308"/>
    <w:rsid w:val="C5F79099"/>
    <w:rsid w:val="C6574836"/>
    <w:rsid w:val="C69D2E2D"/>
    <w:rsid w:val="C6ABC6B3"/>
    <w:rsid w:val="C6AF9342"/>
    <w:rsid w:val="C6B2FFAF"/>
    <w:rsid w:val="C6E122A9"/>
    <w:rsid w:val="C6F119E9"/>
    <w:rsid w:val="C71C6C50"/>
    <w:rsid w:val="C738C278"/>
    <w:rsid w:val="C748E662"/>
    <w:rsid w:val="C78D7EDD"/>
    <w:rsid w:val="C7FC6BBE"/>
    <w:rsid w:val="C84ACE39"/>
    <w:rsid w:val="C85AC65F"/>
    <w:rsid w:val="C8A079FC"/>
    <w:rsid w:val="C907E22E"/>
    <w:rsid w:val="C93E7691"/>
    <w:rsid w:val="C948D08D"/>
    <w:rsid w:val="C96ACFF2"/>
    <w:rsid w:val="C99355C1"/>
    <w:rsid w:val="C9C753E0"/>
    <w:rsid w:val="C9D8A21A"/>
    <w:rsid w:val="C9F216B8"/>
    <w:rsid w:val="C9F40513"/>
    <w:rsid w:val="CA0ED479"/>
    <w:rsid w:val="CA1900CB"/>
    <w:rsid w:val="CA349524"/>
    <w:rsid w:val="CA350763"/>
    <w:rsid w:val="CA5280C5"/>
    <w:rsid w:val="CA5D2D2D"/>
    <w:rsid w:val="CA929C71"/>
    <w:rsid w:val="CAE55B61"/>
    <w:rsid w:val="CAEA42A9"/>
    <w:rsid w:val="CB0E19C9"/>
    <w:rsid w:val="CB13A9C4"/>
    <w:rsid w:val="CB5E144B"/>
    <w:rsid w:val="CB812D02"/>
    <w:rsid w:val="CB84A8C6"/>
    <w:rsid w:val="CBEC1D81"/>
    <w:rsid w:val="CC0B90B8"/>
    <w:rsid w:val="CCC9E5E1"/>
    <w:rsid w:val="CCFB2013"/>
    <w:rsid w:val="CD35FDA0"/>
    <w:rsid w:val="CD406C4E"/>
    <w:rsid w:val="CD4A165E"/>
    <w:rsid w:val="CD849365"/>
    <w:rsid w:val="CD9732B9"/>
    <w:rsid w:val="CDD2A41D"/>
    <w:rsid w:val="CDEE5C7E"/>
    <w:rsid w:val="CEC6357F"/>
    <w:rsid w:val="CEE753A0"/>
    <w:rsid w:val="CF0AC156"/>
    <w:rsid w:val="CF11F5EC"/>
    <w:rsid w:val="CF72EA96"/>
    <w:rsid w:val="CFA20348"/>
    <w:rsid w:val="CFAD4545"/>
    <w:rsid w:val="CFF2EB83"/>
    <w:rsid w:val="D01C3A8B"/>
    <w:rsid w:val="D0216404"/>
    <w:rsid w:val="D038CD14"/>
    <w:rsid w:val="D05A879C"/>
    <w:rsid w:val="D072CEE1"/>
    <w:rsid w:val="D0BC940C"/>
    <w:rsid w:val="D0C2589D"/>
    <w:rsid w:val="D13A7C16"/>
    <w:rsid w:val="D16D8C97"/>
    <w:rsid w:val="D1865449"/>
    <w:rsid w:val="D193090C"/>
    <w:rsid w:val="D1C5E2D9"/>
    <w:rsid w:val="D20AEF89"/>
    <w:rsid w:val="D229F98B"/>
    <w:rsid w:val="D2BF59AB"/>
    <w:rsid w:val="D2C85DF7"/>
    <w:rsid w:val="D30723D5"/>
    <w:rsid w:val="D37A81DD"/>
    <w:rsid w:val="D3944571"/>
    <w:rsid w:val="D3F4ED2C"/>
    <w:rsid w:val="D3FE74BC"/>
    <w:rsid w:val="D3FEC899"/>
    <w:rsid w:val="D40724E6"/>
    <w:rsid w:val="D42518BC"/>
    <w:rsid w:val="D430990B"/>
    <w:rsid w:val="D43286EF"/>
    <w:rsid w:val="D438813A"/>
    <w:rsid w:val="D4874062"/>
    <w:rsid w:val="D4D57DFF"/>
    <w:rsid w:val="D509EDCF"/>
    <w:rsid w:val="D50B32CD"/>
    <w:rsid w:val="D51AEDCB"/>
    <w:rsid w:val="D58FB23B"/>
    <w:rsid w:val="D59260D0"/>
    <w:rsid w:val="D6245267"/>
    <w:rsid w:val="D69E3C2B"/>
    <w:rsid w:val="D6B6D327"/>
    <w:rsid w:val="D6D48951"/>
    <w:rsid w:val="D6D51E84"/>
    <w:rsid w:val="D72DF8F0"/>
    <w:rsid w:val="D7509EA6"/>
    <w:rsid w:val="D787AFEA"/>
    <w:rsid w:val="D78AC3A0"/>
    <w:rsid w:val="D7B860A8"/>
    <w:rsid w:val="D7E10ECE"/>
    <w:rsid w:val="D80089A4"/>
    <w:rsid w:val="D805AAAE"/>
    <w:rsid w:val="D825F4A8"/>
    <w:rsid w:val="D8976CA3"/>
    <w:rsid w:val="D92DA814"/>
    <w:rsid w:val="D9367933"/>
    <w:rsid w:val="D9978AD1"/>
    <w:rsid w:val="D99E2AB5"/>
    <w:rsid w:val="D9D1F546"/>
    <w:rsid w:val="DA1086E6"/>
    <w:rsid w:val="DA537D69"/>
    <w:rsid w:val="DA5D67B0"/>
    <w:rsid w:val="DAE1B488"/>
    <w:rsid w:val="DAE3C8DF"/>
    <w:rsid w:val="DAF48E57"/>
    <w:rsid w:val="DB215F6B"/>
    <w:rsid w:val="DB351365"/>
    <w:rsid w:val="DB6B6C2F"/>
    <w:rsid w:val="DBBCEA8D"/>
    <w:rsid w:val="DC3693DE"/>
    <w:rsid w:val="DC4675E2"/>
    <w:rsid w:val="DC586A56"/>
    <w:rsid w:val="DC59EF78"/>
    <w:rsid w:val="DC813A4C"/>
    <w:rsid w:val="DC89B345"/>
    <w:rsid w:val="DC965335"/>
    <w:rsid w:val="DC9C3F7B"/>
    <w:rsid w:val="DCC7FC11"/>
    <w:rsid w:val="DCC9DAD4"/>
    <w:rsid w:val="DCE2E7F1"/>
    <w:rsid w:val="DCF2781E"/>
    <w:rsid w:val="DD2D765A"/>
    <w:rsid w:val="DD8E5A9C"/>
    <w:rsid w:val="DDE771A3"/>
    <w:rsid w:val="DE046FE6"/>
    <w:rsid w:val="DE1229FB"/>
    <w:rsid w:val="DE1922E9"/>
    <w:rsid w:val="DE1CC06E"/>
    <w:rsid w:val="DE2844B0"/>
    <w:rsid w:val="DE56BC3F"/>
    <w:rsid w:val="DE700F99"/>
    <w:rsid w:val="DE80A19C"/>
    <w:rsid w:val="DE83DC84"/>
    <w:rsid w:val="DE9DF40B"/>
    <w:rsid w:val="DEA27BBE"/>
    <w:rsid w:val="DED0C423"/>
    <w:rsid w:val="DEDAC3A2"/>
    <w:rsid w:val="DEFBC2AF"/>
    <w:rsid w:val="DF0C68D2"/>
    <w:rsid w:val="DF3CF70B"/>
    <w:rsid w:val="DF3D48CD"/>
    <w:rsid w:val="DF6188E9"/>
    <w:rsid w:val="DF7FB756"/>
    <w:rsid w:val="DF948462"/>
    <w:rsid w:val="E04DD6CA"/>
    <w:rsid w:val="E0895552"/>
    <w:rsid w:val="E0A17E79"/>
    <w:rsid w:val="E105EA1E"/>
    <w:rsid w:val="E1184120"/>
    <w:rsid w:val="E15AA9A8"/>
    <w:rsid w:val="E17175B4"/>
    <w:rsid w:val="E18B92E1"/>
    <w:rsid w:val="E1B47759"/>
    <w:rsid w:val="E1BDE9B0"/>
    <w:rsid w:val="E1CFB9D3"/>
    <w:rsid w:val="E1D0B2E1"/>
    <w:rsid w:val="E1E48339"/>
    <w:rsid w:val="E1F9B35A"/>
    <w:rsid w:val="E2AF1E36"/>
    <w:rsid w:val="E2B55834"/>
    <w:rsid w:val="E2F41A39"/>
    <w:rsid w:val="E334FFA7"/>
    <w:rsid w:val="E391558A"/>
    <w:rsid w:val="E3C00E7C"/>
    <w:rsid w:val="E3EFFBD1"/>
    <w:rsid w:val="E41C3E11"/>
    <w:rsid w:val="E4218D8D"/>
    <w:rsid w:val="E483DC89"/>
    <w:rsid w:val="E49B9948"/>
    <w:rsid w:val="E4C738F9"/>
    <w:rsid w:val="E4D4EB49"/>
    <w:rsid w:val="E4F526CC"/>
    <w:rsid w:val="E5D2040F"/>
    <w:rsid w:val="E66003F1"/>
    <w:rsid w:val="E6B271D3"/>
    <w:rsid w:val="E6C36F4D"/>
    <w:rsid w:val="E6EFC7C5"/>
    <w:rsid w:val="E7121A15"/>
    <w:rsid w:val="E73F58D9"/>
    <w:rsid w:val="E76B5893"/>
    <w:rsid w:val="E771A61D"/>
    <w:rsid w:val="E7874BAA"/>
    <w:rsid w:val="E7893B91"/>
    <w:rsid w:val="E7C1CE1C"/>
    <w:rsid w:val="E7C9D250"/>
    <w:rsid w:val="E8042E4D"/>
    <w:rsid w:val="E812C2AD"/>
    <w:rsid w:val="E83E526D"/>
    <w:rsid w:val="E86704C3"/>
    <w:rsid w:val="E8779A87"/>
    <w:rsid w:val="E88C4F03"/>
    <w:rsid w:val="E8A06E57"/>
    <w:rsid w:val="E8BC5CB2"/>
    <w:rsid w:val="E8C84BE8"/>
    <w:rsid w:val="E917E762"/>
    <w:rsid w:val="E9186228"/>
    <w:rsid w:val="E92BD09C"/>
    <w:rsid w:val="E95871C0"/>
    <w:rsid w:val="E96ED579"/>
    <w:rsid w:val="E97B198B"/>
    <w:rsid w:val="E9C402C6"/>
    <w:rsid w:val="E9D3FF00"/>
    <w:rsid w:val="E9F72185"/>
    <w:rsid w:val="EB216660"/>
    <w:rsid w:val="EB257CBD"/>
    <w:rsid w:val="EB2E4511"/>
    <w:rsid w:val="EB561759"/>
    <w:rsid w:val="EB5DCF36"/>
    <w:rsid w:val="EB6FBF5D"/>
    <w:rsid w:val="EBAD8864"/>
    <w:rsid w:val="EBBA7ACC"/>
    <w:rsid w:val="EBBF23A5"/>
    <w:rsid w:val="EBEFCB09"/>
    <w:rsid w:val="EBFE9C91"/>
    <w:rsid w:val="EC3577AD"/>
    <w:rsid w:val="EC610A4F"/>
    <w:rsid w:val="EC7E00B0"/>
    <w:rsid w:val="EC929692"/>
    <w:rsid w:val="ECB1D0F7"/>
    <w:rsid w:val="ED1432BE"/>
    <w:rsid w:val="ED1AAF56"/>
    <w:rsid w:val="ED675841"/>
    <w:rsid w:val="ED77920A"/>
    <w:rsid w:val="ED7FA3EF"/>
    <w:rsid w:val="ED82412C"/>
    <w:rsid w:val="ED9E735A"/>
    <w:rsid w:val="EDABEF07"/>
    <w:rsid w:val="EDAE9117"/>
    <w:rsid w:val="EDFCD374"/>
    <w:rsid w:val="EE4C2179"/>
    <w:rsid w:val="EE5BF690"/>
    <w:rsid w:val="EEF4455D"/>
    <w:rsid w:val="EF9EB41C"/>
    <w:rsid w:val="EFCA37C4"/>
    <w:rsid w:val="EFDB5EF9"/>
    <w:rsid w:val="F005BE4E"/>
    <w:rsid w:val="F0A72327"/>
    <w:rsid w:val="F0D3BAAF"/>
    <w:rsid w:val="F1209D10"/>
    <w:rsid w:val="F1245A20"/>
    <w:rsid w:val="F143DC6E"/>
    <w:rsid w:val="F14BF57D"/>
    <w:rsid w:val="F1C26609"/>
    <w:rsid w:val="F1D0F7E6"/>
    <w:rsid w:val="F1DD4FF1"/>
    <w:rsid w:val="F1F8B33D"/>
    <w:rsid w:val="F25B99BB"/>
    <w:rsid w:val="F2B49B27"/>
    <w:rsid w:val="F423A5CF"/>
    <w:rsid w:val="F49B31DA"/>
    <w:rsid w:val="F52CAB32"/>
    <w:rsid w:val="F5425AE0"/>
    <w:rsid w:val="F5563FE7"/>
    <w:rsid w:val="F5698BC9"/>
    <w:rsid w:val="F5B4E19B"/>
    <w:rsid w:val="F66BFBB9"/>
    <w:rsid w:val="F6A4A852"/>
    <w:rsid w:val="F6B117C0"/>
    <w:rsid w:val="F6C74514"/>
    <w:rsid w:val="F6EEB6D0"/>
    <w:rsid w:val="F713074F"/>
    <w:rsid w:val="F734053C"/>
    <w:rsid w:val="F7CCF2A3"/>
    <w:rsid w:val="F7DA77F8"/>
    <w:rsid w:val="F7F5D8CE"/>
    <w:rsid w:val="F815EEBD"/>
    <w:rsid w:val="F81CBA89"/>
    <w:rsid w:val="F82328F4"/>
    <w:rsid w:val="F84A8F62"/>
    <w:rsid w:val="F863EFEF"/>
    <w:rsid w:val="F8CF5EA4"/>
    <w:rsid w:val="F8D693DB"/>
    <w:rsid w:val="F8E16D99"/>
    <w:rsid w:val="F8FD58A7"/>
    <w:rsid w:val="F9B5F0D4"/>
    <w:rsid w:val="F9D596D0"/>
    <w:rsid w:val="F9F0612B"/>
    <w:rsid w:val="FA11AF36"/>
    <w:rsid w:val="FA2DFA77"/>
    <w:rsid w:val="FA459136"/>
    <w:rsid w:val="FA4BADCB"/>
    <w:rsid w:val="FA76C20C"/>
    <w:rsid w:val="FA8DCC60"/>
    <w:rsid w:val="FA9123C6"/>
    <w:rsid w:val="FA9BBA60"/>
    <w:rsid w:val="FAB45AA1"/>
    <w:rsid w:val="FAC39A9B"/>
    <w:rsid w:val="FB75BF53"/>
    <w:rsid w:val="FBA20C5F"/>
    <w:rsid w:val="FBCD207A"/>
    <w:rsid w:val="FBDC8D48"/>
    <w:rsid w:val="FC656343"/>
    <w:rsid w:val="FC8A07EB"/>
    <w:rsid w:val="FC9F8B1A"/>
    <w:rsid w:val="FCC2D445"/>
    <w:rsid w:val="FD229B77"/>
    <w:rsid w:val="FD28DD98"/>
    <w:rsid w:val="FDB8FAF5"/>
    <w:rsid w:val="FDC05E47"/>
    <w:rsid w:val="FDED5D2D"/>
    <w:rsid w:val="FE074151"/>
    <w:rsid w:val="FE60F823"/>
    <w:rsid w:val="FE7704AF"/>
    <w:rsid w:val="FE8BD3F4"/>
    <w:rsid w:val="FEA73662"/>
    <w:rsid w:val="FED85404"/>
    <w:rsid w:val="FFB444B3"/>
    <w:rsid w:val="FFD766C6"/>
    <w:rsid w:val="FFEB4A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iPriority="99" w:semiHidden="0"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qFormat="1" w:unhideWhenUsed="0" w:uiPriority="99" w:semiHidden="0"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qFormat="1" w:unhideWhenUsed="0" w:uiPriority="0" w:semiHidden="0" w:name="Medium Shading 2 Accent 1"/>
    <w:lsdException w:unhideWhenUsed="0" w:uiPriority="65" w:semiHidden="0" w:name="Medium List 1 Accent 1"/>
    <w:lsdException w:qFormat="1" w:unhideWhenUsed="0" w:uiPriority="72"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qFormat="1" w:unhideWhenUsed="0" w:uiPriority="0"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qFormat="1" w:unhideWhenUsed="0" w:uiPriority="0"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qFormat="1" w:unhideWhenUsed="0" w:uiPriority="0"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qFormat="1" w:unhideWhenUsed="0" w:uiPriority="0"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qFormat="1" w:unhideWhenUsed="0" w:uiPriority="0"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5">
    <w:name w:val="heading 1"/>
    <w:basedOn w:val="1"/>
    <w:next w:val="1"/>
    <w:qFormat/>
    <w:uiPriority w:val="0"/>
    <w:pPr>
      <w:keepNext/>
      <w:keepLines/>
      <w:numPr>
        <w:ilvl w:val="0"/>
        <w:numId w:val="1"/>
      </w:numPr>
      <w:spacing w:before="100" w:beforeLines="100" w:line="360" w:lineRule="auto"/>
      <w:outlineLvl w:val="0"/>
    </w:pPr>
    <w:rPr>
      <w:b/>
      <w:kern w:val="44"/>
      <w:sz w:val="32"/>
      <w:szCs w:val="20"/>
    </w:rPr>
  </w:style>
  <w:style w:type="paragraph" w:styleId="6">
    <w:name w:val="heading 2"/>
    <w:basedOn w:val="1"/>
    <w:next w:val="7"/>
    <w:link w:val="59"/>
    <w:qFormat/>
    <w:uiPriority w:val="0"/>
    <w:pPr>
      <w:keepNext/>
      <w:keepLines/>
      <w:numPr>
        <w:ilvl w:val="1"/>
        <w:numId w:val="1"/>
      </w:numPr>
      <w:spacing w:before="100" w:beforeLines="100" w:line="360" w:lineRule="auto"/>
      <w:outlineLvl w:val="1"/>
    </w:pPr>
    <w:rPr>
      <w:rFonts w:ascii="Arial" w:hAnsi="Arial"/>
      <w:b/>
      <w:sz w:val="30"/>
      <w:szCs w:val="20"/>
    </w:rPr>
  </w:style>
  <w:style w:type="paragraph" w:styleId="8">
    <w:name w:val="heading 3"/>
    <w:basedOn w:val="1"/>
    <w:next w:val="1"/>
    <w:qFormat/>
    <w:uiPriority w:val="0"/>
    <w:pPr>
      <w:keepNext/>
      <w:keepLines/>
      <w:spacing w:before="100" w:beforeLines="100" w:line="360" w:lineRule="auto"/>
      <w:ind w:left="767" w:leftChars="200" w:right="100" w:rightChars="100" w:hanging="567"/>
      <w:outlineLvl w:val="2"/>
    </w:pPr>
    <w:rPr>
      <w:b/>
      <w:sz w:val="28"/>
      <w:szCs w:val="20"/>
    </w:rPr>
  </w:style>
  <w:style w:type="paragraph" w:styleId="9">
    <w:name w:val="heading 4"/>
    <w:basedOn w:val="1"/>
    <w:next w:val="7"/>
    <w:link w:val="60"/>
    <w:qFormat/>
    <w:uiPriority w:val="0"/>
    <w:pPr>
      <w:keepNext/>
      <w:keepLines/>
      <w:numPr>
        <w:ilvl w:val="3"/>
        <w:numId w:val="1"/>
      </w:numPr>
      <w:spacing w:before="280" w:after="290" w:line="376" w:lineRule="auto"/>
      <w:outlineLvl w:val="3"/>
    </w:pPr>
    <w:rPr>
      <w:rFonts w:ascii="Arial" w:hAnsi="Arial" w:eastAsia="黑体"/>
      <w:b/>
      <w:sz w:val="28"/>
      <w:szCs w:val="20"/>
    </w:rPr>
  </w:style>
  <w:style w:type="paragraph" w:styleId="10">
    <w:name w:val="heading 5"/>
    <w:basedOn w:val="1"/>
    <w:next w:val="7"/>
    <w:qFormat/>
    <w:uiPriority w:val="0"/>
    <w:pPr>
      <w:keepNext/>
      <w:adjustRightInd w:val="0"/>
      <w:spacing w:line="360" w:lineRule="atLeast"/>
      <w:ind w:left="510" w:hanging="510"/>
      <w:jc w:val="center"/>
      <w:textAlignment w:val="baseline"/>
      <w:outlineLvl w:val="4"/>
    </w:pPr>
    <w:rPr>
      <w:b/>
      <w:kern w:val="0"/>
      <w:sz w:val="30"/>
      <w:szCs w:val="20"/>
    </w:rPr>
  </w:style>
  <w:style w:type="paragraph" w:styleId="11">
    <w:name w:val="heading 6"/>
    <w:basedOn w:val="12"/>
    <w:next w:val="12"/>
    <w:qFormat/>
    <w:uiPriority w:val="0"/>
    <w:pPr>
      <w:keepNext/>
      <w:keepLines/>
      <w:spacing w:before="240" w:after="64" w:line="319" w:lineRule="auto"/>
      <w:ind w:firstLine="0"/>
      <w:outlineLvl w:val="5"/>
    </w:pPr>
    <w:rPr>
      <w:rFonts w:ascii="Times New Roman" w:hAnsi="Times New Roman" w:eastAsia="黑体"/>
      <w:b/>
    </w:rPr>
  </w:style>
  <w:style w:type="paragraph" w:styleId="13">
    <w:name w:val="heading 7"/>
    <w:basedOn w:val="1"/>
    <w:next w:val="1"/>
    <w:qFormat/>
    <w:uiPriority w:val="0"/>
    <w:pPr>
      <w:keepNext/>
      <w:keepLines/>
      <w:widowControl/>
      <w:spacing w:before="240" w:after="64" w:line="320" w:lineRule="auto"/>
      <w:ind w:left="-1320"/>
      <w:jc w:val="left"/>
      <w:outlineLvl w:val="6"/>
    </w:pPr>
    <w:rPr>
      <w:rFonts w:ascii="Arial" w:hAnsi="Arial"/>
      <w:b/>
      <w:color w:val="000000"/>
      <w:kern w:val="0"/>
      <w:sz w:val="28"/>
      <w:szCs w:val="28"/>
    </w:rPr>
  </w:style>
  <w:style w:type="paragraph" w:styleId="14">
    <w:name w:val="heading 8"/>
    <w:basedOn w:val="1"/>
    <w:next w:val="1"/>
    <w:qFormat/>
    <w:uiPriority w:val="0"/>
    <w:pPr>
      <w:keepNext/>
      <w:keepLines/>
      <w:widowControl/>
      <w:spacing w:before="240" w:after="64" w:line="320" w:lineRule="auto"/>
      <w:ind w:left="-1320"/>
      <w:jc w:val="left"/>
      <w:outlineLvl w:val="7"/>
    </w:pPr>
    <w:rPr>
      <w:rFonts w:ascii="Arial" w:hAnsi="Arial" w:eastAsia="黑体"/>
      <w:color w:val="000000"/>
      <w:kern w:val="0"/>
      <w:sz w:val="28"/>
      <w:szCs w:val="28"/>
    </w:rPr>
  </w:style>
  <w:style w:type="paragraph" w:styleId="15">
    <w:name w:val="heading 9"/>
    <w:basedOn w:val="1"/>
    <w:next w:val="1"/>
    <w:qFormat/>
    <w:uiPriority w:val="0"/>
    <w:pPr>
      <w:keepNext/>
      <w:keepLines/>
      <w:widowControl/>
      <w:spacing w:before="240" w:after="64" w:line="320" w:lineRule="auto"/>
      <w:ind w:left="-1320"/>
      <w:jc w:val="left"/>
      <w:outlineLvl w:val="8"/>
    </w:pPr>
    <w:rPr>
      <w:rFonts w:ascii="Arial" w:hAnsi="Arial" w:eastAsia="黑体"/>
      <w:color w:val="000000"/>
      <w:kern w:val="0"/>
      <w:szCs w:val="28"/>
    </w:rPr>
  </w:style>
  <w:style w:type="character" w:default="1" w:styleId="54">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ind w:left="420" w:firstLine="420" w:firstLineChars="200"/>
    </w:pPr>
  </w:style>
  <w:style w:type="paragraph" w:styleId="3">
    <w:name w:val="Body Text Indent"/>
    <w:basedOn w:val="1"/>
    <w:next w:val="4"/>
    <w:qFormat/>
    <w:uiPriority w:val="0"/>
    <w:pPr>
      <w:spacing w:line="360" w:lineRule="auto"/>
      <w:ind w:firstLine="425"/>
    </w:pPr>
    <w:rPr>
      <w:sz w:val="28"/>
    </w:rPr>
  </w:style>
  <w:style w:type="paragraph" w:styleId="4">
    <w:name w:val="envelope return"/>
    <w:basedOn w:val="1"/>
    <w:qFormat/>
    <w:uiPriority w:val="99"/>
    <w:pPr>
      <w:snapToGrid w:val="0"/>
    </w:pPr>
    <w:rPr>
      <w:rFonts w:ascii="Arial" w:hAnsi="Arial"/>
    </w:rPr>
  </w:style>
  <w:style w:type="paragraph" w:styleId="7">
    <w:name w:val="Normal Indent"/>
    <w:basedOn w:val="1"/>
    <w:qFormat/>
    <w:uiPriority w:val="0"/>
    <w:pPr>
      <w:adjustRightInd w:val="0"/>
      <w:spacing w:line="360" w:lineRule="atLeast"/>
      <w:ind w:firstLine="420"/>
      <w:jc w:val="left"/>
      <w:textAlignment w:val="baseline"/>
    </w:pPr>
    <w:rPr>
      <w:kern w:val="0"/>
      <w:sz w:val="24"/>
      <w:szCs w:val="20"/>
    </w:rPr>
  </w:style>
  <w:style w:type="paragraph" w:customStyle="1" w:styleId="12">
    <w:name w:val="Default Text"/>
    <w:basedOn w:val="1"/>
    <w:qFormat/>
    <w:uiPriority w:val="0"/>
    <w:pPr>
      <w:widowControl/>
      <w:spacing w:line="360" w:lineRule="auto"/>
      <w:ind w:firstLine="482"/>
      <w:jc w:val="left"/>
    </w:pPr>
    <w:rPr>
      <w:rFonts w:ascii="Arial" w:hAnsi="Arial"/>
      <w:color w:val="000000"/>
      <w:kern w:val="0"/>
      <w:sz w:val="24"/>
      <w:szCs w:val="28"/>
    </w:rPr>
  </w:style>
  <w:style w:type="paragraph" w:styleId="16">
    <w:name w:val="toc 7"/>
    <w:basedOn w:val="1"/>
    <w:next w:val="1"/>
    <w:qFormat/>
    <w:uiPriority w:val="0"/>
    <w:pPr>
      <w:ind w:left="2520" w:leftChars="1200"/>
    </w:pPr>
  </w:style>
  <w:style w:type="paragraph" w:styleId="17">
    <w:name w:val="table of authorities"/>
    <w:basedOn w:val="1"/>
    <w:next w:val="1"/>
    <w:qFormat/>
    <w:uiPriority w:val="99"/>
    <w:pPr>
      <w:ind w:left="420" w:leftChars="200"/>
    </w:pPr>
    <w:rPr>
      <w:rFonts w:hint="eastAsia" w:ascii="等线" w:hAnsi="等线" w:eastAsia="等线"/>
    </w:rPr>
  </w:style>
  <w:style w:type="paragraph" w:styleId="18">
    <w:name w:val="index 8"/>
    <w:basedOn w:val="1"/>
    <w:next w:val="1"/>
    <w:unhideWhenUsed/>
    <w:qFormat/>
    <w:uiPriority w:val="99"/>
    <w:pPr>
      <w:ind w:left="1400" w:leftChars="1400"/>
    </w:pPr>
  </w:style>
  <w:style w:type="paragraph" w:styleId="19">
    <w:name w:val="Document Map"/>
    <w:basedOn w:val="12"/>
    <w:link w:val="61"/>
    <w:qFormat/>
    <w:uiPriority w:val="0"/>
    <w:pPr>
      <w:shd w:val="clear" w:color="auto" w:fill="00FFFF"/>
      <w:spacing w:line="240" w:lineRule="auto"/>
    </w:pPr>
    <w:rPr>
      <w:rFonts w:ascii="Times New Roman" w:hAnsi="Times New Roman"/>
      <w:sz w:val="18"/>
    </w:rPr>
  </w:style>
  <w:style w:type="paragraph" w:styleId="20">
    <w:name w:val="annotation text"/>
    <w:basedOn w:val="1"/>
    <w:link w:val="62"/>
    <w:qFormat/>
    <w:uiPriority w:val="99"/>
    <w:pPr>
      <w:jc w:val="left"/>
    </w:pPr>
  </w:style>
  <w:style w:type="paragraph" w:styleId="21">
    <w:name w:val="Body Text 3"/>
    <w:basedOn w:val="1"/>
    <w:qFormat/>
    <w:uiPriority w:val="0"/>
    <w:pPr>
      <w:spacing w:line="360" w:lineRule="auto"/>
      <w:jc w:val="center"/>
    </w:pPr>
  </w:style>
  <w:style w:type="paragraph" w:styleId="22">
    <w:name w:val="Body Text"/>
    <w:basedOn w:val="1"/>
    <w:next w:val="23"/>
    <w:link w:val="63"/>
    <w:qFormat/>
    <w:uiPriority w:val="99"/>
    <w:rPr>
      <w:sz w:val="32"/>
      <w:szCs w:val="20"/>
    </w:rPr>
  </w:style>
  <w:style w:type="paragraph" w:customStyle="1" w:styleId="23">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styleId="24">
    <w:name w:val="Block Text"/>
    <w:basedOn w:val="1"/>
    <w:qFormat/>
    <w:uiPriority w:val="0"/>
    <w:pPr>
      <w:widowControl/>
      <w:autoSpaceDE w:val="0"/>
      <w:autoSpaceDN w:val="0"/>
      <w:adjustRightInd w:val="0"/>
      <w:spacing w:line="315" w:lineRule="atLeast"/>
      <w:ind w:left="-540" w:right="893"/>
      <w:jc w:val="left"/>
      <w:textAlignment w:val="bottom"/>
    </w:pPr>
    <w:rPr>
      <w:rFonts w:ascii="宋体"/>
      <w:kern w:val="0"/>
      <w:sz w:val="28"/>
      <w:szCs w:val="20"/>
    </w:rPr>
  </w:style>
  <w:style w:type="paragraph" w:styleId="25">
    <w:name w:val="toc 5"/>
    <w:basedOn w:val="1"/>
    <w:next w:val="1"/>
    <w:qFormat/>
    <w:uiPriority w:val="0"/>
    <w:pPr>
      <w:ind w:left="1680" w:leftChars="800"/>
    </w:pPr>
  </w:style>
  <w:style w:type="paragraph" w:styleId="26">
    <w:name w:val="toc 3"/>
    <w:basedOn w:val="1"/>
    <w:next w:val="1"/>
    <w:qFormat/>
    <w:uiPriority w:val="0"/>
    <w:pPr>
      <w:widowControl/>
      <w:spacing w:line="360" w:lineRule="auto"/>
      <w:ind w:left="840" w:leftChars="400"/>
      <w:jc w:val="left"/>
    </w:pPr>
    <w:rPr>
      <w:rFonts w:ascii="Arial" w:hAnsi="Arial"/>
      <w:color w:val="000000"/>
      <w:kern w:val="0"/>
      <w:sz w:val="28"/>
      <w:szCs w:val="28"/>
    </w:rPr>
  </w:style>
  <w:style w:type="paragraph" w:styleId="27">
    <w:name w:val="Plain Text"/>
    <w:basedOn w:val="1"/>
    <w:link w:val="64"/>
    <w:qFormat/>
    <w:uiPriority w:val="0"/>
    <w:pPr>
      <w:adjustRightInd w:val="0"/>
      <w:textAlignment w:val="baseline"/>
    </w:pPr>
    <w:rPr>
      <w:rFonts w:ascii="宋体" w:hAnsi="Courier New"/>
      <w:szCs w:val="20"/>
    </w:rPr>
  </w:style>
  <w:style w:type="paragraph" w:styleId="28">
    <w:name w:val="toc 8"/>
    <w:basedOn w:val="1"/>
    <w:next w:val="1"/>
    <w:qFormat/>
    <w:uiPriority w:val="0"/>
    <w:pPr>
      <w:ind w:left="2940" w:leftChars="1400"/>
    </w:pPr>
  </w:style>
  <w:style w:type="paragraph" w:styleId="29">
    <w:name w:val="Date"/>
    <w:basedOn w:val="1"/>
    <w:next w:val="1"/>
    <w:link w:val="65"/>
    <w:qFormat/>
    <w:uiPriority w:val="0"/>
    <w:pPr>
      <w:adjustRightInd w:val="0"/>
      <w:spacing w:line="360" w:lineRule="atLeast"/>
      <w:ind w:left="100" w:leftChars="2500"/>
      <w:jc w:val="left"/>
      <w:textAlignment w:val="baseline"/>
    </w:pPr>
    <w:rPr>
      <w:rFonts w:ascii="宋体"/>
      <w:color w:val="FF0000"/>
      <w:spacing w:val="8"/>
      <w:kern w:val="0"/>
      <w:sz w:val="24"/>
      <w:szCs w:val="20"/>
    </w:rPr>
  </w:style>
  <w:style w:type="paragraph" w:styleId="30">
    <w:name w:val="Body Text Indent 2"/>
    <w:basedOn w:val="1"/>
    <w:qFormat/>
    <w:uiPriority w:val="0"/>
    <w:pPr>
      <w:snapToGrid w:val="0"/>
      <w:spacing w:line="360" w:lineRule="auto"/>
      <w:ind w:left="734" w:leftChars="343" w:hanging="14" w:hangingChars="6"/>
    </w:pPr>
    <w:rPr>
      <w:sz w:val="24"/>
    </w:rPr>
  </w:style>
  <w:style w:type="paragraph" w:styleId="31">
    <w:name w:val="Balloon Text"/>
    <w:basedOn w:val="1"/>
    <w:qFormat/>
    <w:uiPriority w:val="0"/>
    <w:rPr>
      <w:sz w:val="18"/>
      <w:szCs w:val="18"/>
    </w:rPr>
  </w:style>
  <w:style w:type="paragraph" w:styleId="32">
    <w:name w:val="footer"/>
    <w:basedOn w:val="1"/>
    <w:link w:val="66"/>
    <w:qFormat/>
    <w:uiPriority w:val="0"/>
    <w:pPr>
      <w:tabs>
        <w:tab w:val="center" w:pos="4153"/>
        <w:tab w:val="right" w:pos="8306"/>
      </w:tabs>
      <w:snapToGrid w:val="0"/>
      <w:jc w:val="left"/>
    </w:pPr>
    <w:rPr>
      <w:sz w:val="18"/>
      <w:szCs w:val="18"/>
    </w:rPr>
  </w:style>
  <w:style w:type="paragraph" w:styleId="33">
    <w:name w:val="header"/>
    <w:basedOn w:val="1"/>
    <w:link w:val="67"/>
    <w:qFormat/>
    <w:uiPriority w:val="0"/>
    <w:pPr>
      <w:pBdr>
        <w:bottom w:val="single" w:color="auto" w:sz="6" w:space="1"/>
      </w:pBdr>
      <w:tabs>
        <w:tab w:val="center" w:pos="4153"/>
        <w:tab w:val="right" w:pos="8306"/>
      </w:tabs>
      <w:snapToGrid w:val="0"/>
      <w:jc w:val="center"/>
    </w:pPr>
    <w:rPr>
      <w:sz w:val="18"/>
      <w:szCs w:val="18"/>
    </w:rPr>
  </w:style>
  <w:style w:type="paragraph" w:styleId="34">
    <w:name w:val="toc 1"/>
    <w:basedOn w:val="1"/>
    <w:next w:val="1"/>
    <w:qFormat/>
    <w:uiPriority w:val="0"/>
    <w:pPr>
      <w:tabs>
        <w:tab w:val="right" w:leader="dot" w:pos="9061"/>
      </w:tabs>
      <w:spacing w:line="360" w:lineRule="auto"/>
    </w:pPr>
    <w:rPr>
      <w:rFonts w:cs="Arial"/>
      <w:szCs w:val="44"/>
    </w:rPr>
  </w:style>
  <w:style w:type="paragraph" w:styleId="35">
    <w:name w:val="toc 4"/>
    <w:basedOn w:val="1"/>
    <w:next w:val="1"/>
    <w:qFormat/>
    <w:uiPriority w:val="0"/>
    <w:pPr>
      <w:ind w:left="1260" w:leftChars="600"/>
    </w:pPr>
  </w:style>
  <w:style w:type="paragraph" w:styleId="36">
    <w:name w:val="Subtitle"/>
    <w:basedOn w:val="1"/>
    <w:next w:val="1"/>
    <w:link w:val="68"/>
    <w:qFormat/>
    <w:uiPriority w:val="11"/>
    <w:pPr>
      <w:spacing w:before="240" w:after="60" w:line="312" w:lineRule="auto"/>
      <w:jc w:val="center"/>
      <w:outlineLvl w:val="1"/>
    </w:pPr>
    <w:rPr>
      <w:rFonts w:ascii="等线 Light" w:hAnsi="等线 Light"/>
      <w:b/>
      <w:bCs/>
      <w:kern w:val="28"/>
      <w:sz w:val="32"/>
      <w:szCs w:val="32"/>
    </w:rPr>
  </w:style>
  <w:style w:type="paragraph" w:styleId="37">
    <w:name w:val="toc 6"/>
    <w:basedOn w:val="1"/>
    <w:next w:val="1"/>
    <w:qFormat/>
    <w:uiPriority w:val="0"/>
    <w:pPr>
      <w:ind w:left="2100" w:leftChars="1000"/>
    </w:pPr>
  </w:style>
  <w:style w:type="paragraph" w:styleId="38">
    <w:name w:val="Body Text Indent 3"/>
    <w:basedOn w:val="1"/>
    <w:qFormat/>
    <w:uiPriority w:val="0"/>
    <w:pPr>
      <w:snapToGrid w:val="0"/>
      <w:spacing w:line="360" w:lineRule="auto"/>
      <w:ind w:right="565" w:rightChars="269" w:firstLine="720" w:firstLineChars="300"/>
    </w:pPr>
    <w:rPr>
      <w:sz w:val="24"/>
      <w:szCs w:val="20"/>
    </w:rPr>
  </w:style>
  <w:style w:type="paragraph" w:styleId="39">
    <w:name w:val="toc 2"/>
    <w:basedOn w:val="1"/>
    <w:next w:val="1"/>
    <w:qFormat/>
    <w:uiPriority w:val="0"/>
    <w:pPr>
      <w:tabs>
        <w:tab w:val="right" w:leader="dot" w:pos="9628"/>
      </w:tabs>
      <w:ind w:left="560"/>
    </w:pPr>
    <w:rPr>
      <w:rFonts w:ascii="仿宋_GB2312" w:eastAsia="仿宋_GB2312"/>
    </w:rPr>
  </w:style>
  <w:style w:type="paragraph" w:styleId="40">
    <w:name w:val="toc 9"/>
    <w:basedOn w:val="1"/>
    <w:next w:val="1"/>
    <w:qFormat/>
    <w:uiPriority w:val="0"/>
    <w:pPr>
      <w:ind w:left="3360" w:leftChars="1600"/>
    </w:pPr>
  </w:style>
  <w:style w:type="paragraph" w:styleId="41">
    <w:name w:val="Body Text 2"/>
    <w:basedOn w:val="1"/>
    <w:qFormat/>
    <w:uiPriority w:val="0"/>
    <w:rPr>
      <w:color w:val="FF0000"/>
      <w:sz w:val="28"/>
    </w:rPr>
  </w:style>
  <w:style w:type="paragraph" w:styleId="42">
    <w:name w:val="Normal (Web)"/>
    <w:basedOn w:val="1"/>
    <w:qFormat/>
    <w:uiPriority w:val="99"/>
    <w:pPr>
      <w:widowControl/>
      <w:spacing w:before="100" w:beforeAutospacing="1" w:after="100" w:afterAutospacing="1"/>
      <w:jc w:val="left"/>
    </w:pPr>
    <w:rPr>
      <w:rFonts w:ascii="_x000B__x000C_" w:hAnsi="_x000B__x000C_"/>
      <w:kern w:val="0"/>
      <w:sz w:val="18"/>
      <w:szCs w:val="18"/>
    </w:rPr>
  </w:style>
  <w:style w:type="paragraph" w:styleId="43">
    <w:name w:val="index 1"/>
    <w:basedOn w:val="1"/>
    <w:next w:val="1"/>
    <w:qFormat/>
    <w:uiPriority w:val="0"/>
    <w:pPr>
      <w:jc w:val="center"/>
    </w:pPr>
    <w:rPr>
      <w:b/>
      <w:sz w:val="24"/>
    </w:rPr>
  </w:style>
  <w:style w:type="paragraph" w:styleId="44">
    <w:name w:val="Title"/>
    <w:basedOn w:val="1"/>
    <w:link w:val="69"/>
    <w:qFormat/>
    <w:uiPriority w:val="0"/>
    <w:pPr>
      <w:spacing w:before="240" w:after="60"/>
      <w:jc w:val="center"/>
      <w:outlineLvl w:val="0"/>
    </w:pPr>
    <w:rPr>
      <w:rFonts w:ascii="Cambria" w:hAnsi="Cambria"/>
      <w:b/>
      <w:bCs/>
      <w:sz w:val="32"/>
      <w:szCs w:val="32"/>
    </w:rPr>
  </w:style>
  <w:style w:type="paragraph" w:styleId="45">
    <w:name w:val="annotation subject"/>
    <w:basedOn w:val="20"/>
    <w:next w:val="20"/>
    <w:qFormat/>
    <w:uiPriority w:val="0"/>
    <w:rPr>
      <w:b/>
      <w:bCs/>
    </w:rPr>
  </w:style>
  <w:style w:type="table" w:styleId="47">
    <w:name w:val="Table Grid"/>
    <w:basedOn w:val="46"/>
    <w:qFormat/>
    <w:uiPriority w:val="0"/>
    <w:rPr>
      <w:rFonts w:ascii="Calibri" w:hAnsi="Calibr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48">
    <w:name w:val="Medium Shading 2 Accent 1"/>
    <w:basedOn w:val="46"/>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firstRow">
      <w:rPr>
        <w:b/>
        <w:bCs/>
        <w:i w:val="0"/>
        <w:iCs w:val="0"/>
        <w:color w:val="FFFFFF"/>
      </w:rPr>
      <w:tblPr/>
      <w:tcPr>
        <w:tcBorders>
          <w:top w:val="single" w:color="CCE8CF" w:sz="8" w:space="0"/>
          <w:left w:val="single" w:color="CCE8CF" w:sz="24" w:space="0"/>
          <w:bottom w:val="single" w:color="CCE8CF" w:sz="8" w:space="0"/>
          <w:right w:val="single" w:color="CCE8CF" w:sz="8" w:space="0"/>
          <w:insideH w:val="nil"/>
          <w:insideV w:val="single" w:sz="8" w:space="0"/>
          <w:tl2br w:val="nil"/>
          <w:tr2bl w:val="nil"/>
        </w:tcBorders>
        <w:shd w:val="clear" w:color="auto" w:fill="000000"/>
      </w:tcPr>
    </w:tblStylePr>
    <w:tblStylePr w:type="lastRow">
      <w:rPr>
        <w:b/>
        <w:bCs/>
        <w:i w:val="0"/>
        <w:iCs w:val="0"/>
        <w:color w:val="FFFFFF"/>
      </w:rPr>
      <w:tbl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000000"/>
      </w:tcPr>
    </w:tblStylePr>
    <w:tblStylePr w:type="firstCol">
      <w:rPr>
        <w:b/>
        <w:bCs/>
        <w:i w:val="0"/>
        <w:iCs w:val="0"/>
        <w:color w:val="FFFFFF"/>
      </w:rPr>
      <w:tblPr/>
      <w:tcPr>
        <w:tcBorders>
          <w:top w:val="nil"/>
          <w:left w:val="nil"/>
          <w:bottom w:val="single" w:color="CCE8CF" w:sz="8" w:space="0"/>
          <w:right w:val="single" w:color="CCE8CF" w:sz="24" w:space="0"/>
          <w:insideH w:val="nil"/>
          <w:insideV w:val="nil"/>
          <w:tl2br w:val="nil"/>
          <w:tr2bl w:val="nil"/>
        </w:tcBorders>
        <w:shd w:val="clear" w:color="auto" w:fill="000000"/>
      </w:tcPr>
    </w:tblStylePr>
    <w:tblStylePr w:type="lastCol">
      <w:rPr>
        <w:b/>
        <w:bCs/>
        <w:i w:val="0"/>
        <w:iCs w:val="0"/>
        <w:color w:val="FFFFFF"/>
      </w:rPr>
      <w:tblPr/>
      <w:tcPr>
        <w:tcBorders>
          <w:top w:val="nil"/>
          <w:left w:val="nil"/>
          <w:bottom w:val="single" w:color="CCE8CF" w:sz="24" w:space="0"/>
          <w:right w:val="nil"/>
          <w:insideH w:val="nil"/>
          <w:insideV w:val="nil"/>
          <w:tl2br w:val="nil"/>
          <w:tr2bl w:val="nil"/>
        </w:tcBorders>
        <w:shd w:val="clear" w:color="auto" w:fill="000000"/>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808080"/>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808080"/>
      </w:tcPr>
    </w:tblStylePr>
    <w:tblStylePr w:type="neCell">
      <w:tblPr/>
      <w:tcPr>
        <w:tcBorders>
          <w:top w:val="single" w:color="auto" w:sz="18" w:space="0"/>
          <w:left w:val="single" w:color="auto" w:sz="18" w:space="0"/>
          <w:bottom w:val="nil"/>
          <w:right w:val="nil"/>
          <w:insideH w:val="nil"/>
          <w:insideV w:val="nil"/>
          <w:tl2br w:val="nil"/>
          <w:tr2bl w:val="nil"/>
        </w:tcBorders>
      </w:tcPr>
    </w:tblStylePr>
    <w:tblStylePr w:type="nwCell">
      <w:rPr>
        <w:color w:val="FFFFFF"/>
      </w:rPr>
      <w:tblPr/>
      <w:tcPr>
        <w:tcBorders>
          <w:top w:val="single" w:color="auto" w:sz="18" w:space="0"/>
          <w:left w:val="single" w:color="auto" w:sz="18" w:space="0"/>
          <w:bottom w:val="nil"/>
          <w:right w:val="nil"/>
          <w:insideH w:val="nil"/>
          <w:insideV w:val="nil"/>
          <w:tl2br w:val="nil"/>
          <w:tr2bl w:val="nil"/>
        </w:tcBorders>
      </w:tcPr>
    </w:tblStylePr>
  </w:style>
  <w:style w:type="table" w:styleId="49">
    <w:name w:val="Medium Shading 2 Accent 2"/>
    <w:basedOn w:val="46"/>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3DFEE"/>
    </w:tcPr>
    <w:tblStylePr w:type="firstRow">
      <w:rPr>
        <w:b/>
        <w:bCs/>
        <w:i w:val="0"/>
        <w:iCs w:val="0"/>
        <w:color w:val="FFFFFF"/>
      </w:rPr>
      <w:tblPr/>
      <w:tcPr>
        <w:tcBorders>
          <w:top w:val="single" w:color="CCE8CF" w:sz="8" w:space="0"/>
          <w:left w:val="single" w:color="CCE8CF" w:sz="24" w:space="0"/>
          <w:bottom w:val="single" w:color="CCE8CF" w:sz="8" w:space="0"/>
          <w:right w:val="single" w:color="CCE8CF" w:sz="8" w:space="0"/>
          <w:insideH w:val="nil"/>
          <w:insideV w:val="single" w:sz="8" w:space="0"/>
          <w:tl2br w:val="nil"/>
          <w:tr2bl w:val="nil"/>
        </w:tcBorders>
        <w:shd w:val="clear" w:color="auto" w:fill="4F81BD"/>
      </w:tcPr>
    </w:tblStylePr>
    <w:tblStylePr w:type="lastRow">
      <w:rPr>
        <w:b/>
        <w:bCs/>
        <w:i w:val="0"/>
        <w:iCs w:val="0"/>
        <w:color w:val="FFFFFF"/>
      </w:rPr>
      <w:tbl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4F81BD"/>
      </w:tcPr>
    </w:tblStylePr>
    <w:tblStylePr w:type="firstCol">
      <w:rPr>
        <w:b/>
        <w:bCs/>
        <w:i w:val="0"/>
        <w:iCs w:val="0"/>
        <w:color w:val="FFFFFF"/>
      </w:rPr>
      <w:tblPr/>
      <w:tcPr>
        <w:tcBorders>
          <w:top w:val="nil"/>
          <w:left w:val="nil"/>
          <w:bottom w:val="single" w:color="CCE8CF" w:sz="8" w:space="0"/>
          <w:right w:val="single" w:color="CCE8CF" w:sz="24" w:space="0"/>
          <w:insideH w:val="nil"/>
          <w:insideV w:val="nil"/>
          <w:tl2br w:val="nil"/>
          <w:tr2bl w:val="nil"/>
        </w:tcBorders>
        <w:shd w:val="clear" w:color="auto" w:fill="4F81BD"/>
      </w:tcPr>
    </w:tblStylePr>
    <w:tblStylePr w:type="lastCol">
      <w:rPr>
        <w:b/>
        <w:bCs/>
        <w:i w:val="0"/>
        <w:iCs w:val="0"/>
        <w:color w:val="FFFFFF"/>
      </w:rPr>
      <w:tblPr/>
      <w:tcPr>
        <w:tcBorders>
          <w:top w:val="nil"/>
          <w:left w:val="nil"/>
          <w:bottom w:val="single" w:color="CCE8CF" w:sz="24" w:space="0"/>
          <w:right w:val="nil"/>
          <w:insideH w:val="nil"/>
          <w:insideV w:val="nil"/>
          <w:tl2br w:val="nil"/>
          <w:tr2bl w:val="nil"/>
        </w:tcBorders>
        <w:shd w:val="clear" w:color="auto" w:fill="4F81BD"/>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A7BFDE"/>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A7BFDE"/>
      </w:tcPr>
    </w:tblStylePr>
    <w:tblStylePr w:type="neCell">
      <w:tblPr/>
      <w:tcPr>
        <w:tcBorders>
          <w:top w:val="single" w:color="auto" w:sz="18" w:space="0"/>
          <w:left w:val="single" w:color="auto" w:sz="18" w:space="0"/>
          <w:bottom w:val="nil"/>
          <w:right w:val="nil"/>
          <w:insideH w:val="nil"/>
          <w:insideV w:val="nil"/>
          <w:tl2br w:val="nil"/>
          <w:tr2bl w:val="nil"/>
        </w:tcBorders>
      </w:tcPr>
    </w:tblStylePr>
    <w:tblStylePr w:type="nwCell">
      <w:rPr>
        <w:color w:val="FFFFFF"/>
      </w:rPr>
      <w:tblPr/>
      <w:tcPr>
        <w:tcBorders>
          <w:top w:val="single" w:color="auto" w:sz="18" w:space="0"/>
          <w:left w:val="single" w:color="auto" w:sz="18" w:space="0"/>
          <w:bottom w:val="nil"/>
          <w:right w:val="nil"/>
          <w:insideH w:val="nil"/>
          <w:insideV w:val="nil"/>
          <w:tl2br w:val="nil"/>
          <w:tr2bl w:val="nil"/>
        </w:tcBorders>
      </w:tcPr>
    </w:tblStylePr>
  </w:style>
  <w:style w:type="table" w:styleId="50">
    <w:name w:val="Medium Shading 2 Accent 3"/>
    <w:basedOn w:val="46"/>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FD3D2"/>
    </w:tcPr>
    <w:tblStylePr w:type="firstRow">
      <w:rPr>
        <w:b/>
        <w:bCs/>
        <w:i w:val="0"/>
        <w:iCs w:val="0"/>
        <w:color w:val="FFFFFF"/>
      </w:rPr>
      <w:tblPr/>
      <w:tcPr>
        <w:tcBorders>
          <w:top w:val="single" w:color="CCE8CF" w:sz="8" w:space="0"/>
          <w:left w:val="single" w:color="CCE8CF" w:sz="24" w:space="0"/>
          <w:bottom w:val="single" w:color="CCE8CF" w:sz="8" w:space="0"/>
          <w:right w:val="single" w:color="CCE8CF" w:sz="8" w:space="0"/>
          <w:insideH w:val="nil"/>
          <w:insideV w:val="single" w:sz="8" w:space="0"/>
          <w:tl2br w:val="nil"/>
          <w:tr2bl w:val="nil"/>
        </w:tcBorders>
        <w:shd w:val="clear" w:color="auto" w:fill="C0504D"/>
      </w:tcPr>
    </w:tblStylePr>
    <w:tblStylePr w:type="lastRow">
      <w:rPr>
        <w:b/>
        <w:bCs/>
        <w:i w:val="0"/>
        <w:iCs w:val="0"/>
        <w:color w:val="FFFFFF"/>
      </w:rPr>
      <w:tbl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C0504D"/>
      </w:tcPr>
    </w:tblStylePr>
    <w:tblStylePr w:type="firstCol">
      <w:rPr>
        <w:b/>
        <w:bCs/>
        <w:i w:val="0"/>
        <w:iCs w:val="0"/>
        <w:color w:val="FFFFFF"/>
      </w:rPr>
      <w:tblPr/>
      <w:tcPr>
        <w:tcBorders>
          <w:top w:val="nil"/>
          <w:left w:val="nil"/>
          <w:bottom w:val="single" w:color="CCE8CF" w:sz="8" w:space="0"/>
          <w:right w:val="single" w:color="CCE8CF" w:sz="24" w:space="0"/>
          <w:insideH w:val="nil"/>
          <w:insideV w:val="nil"/>
          <w:tl2br w:val="nil"/>
          <w:tr2bl w:val="nil"/>
        </w:tcBorders>
        <w:shd w:val="clear" w:color="auto" w:fill="C0504D"/>
      </w:tcPr>
    </w:tblStylePr>
    <w:tblStylePr w:type="lastCol">
      <w:rPr>
        <w:b/>
        <w:bCs/>
        <w:i w:val="0"/>
        <w:iCs w:val="0"/>
        <w:color w:val="FFFFFF"/>
      </w:rPr>
      <w:tblPr/>
      <w:tcPr>
        <w:tcBorders>
          <w:top w:val="nil"/>
          <w:left w:val="nil"/>
          <w:bottom w:val="single" w:color="CCE8CF" w:sz="24" w:space="0"/>
          <w:right w:val="nil"/>
          <w:insideH w:val="nil"/>
          <w:insideV w:val="nil"/>
          <w:tl2br w:val="nil"/>
          <w:tr2bl w:val="nil"/>
        </w:tcBorders>
        <w:shd w:val="clear" w:color="auto" w:fill="C0504D"/>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DFA7A6"/>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DFA7A6"/>
      </w:tcPr>
    </w:tblStylePr>
    <w:tblStylePr w:type="neCell">
      <w:tblPr/>
      <w:tcPr>
        <w:tcBorders>
          <w:top w:val="single" w:color="auto" w:sz="18" w:space="0"/>
          <w:left w:val="single" w:color="auto" w:sz="18" w:space="0"/>
          <w:bottom w:val="nil"/>
          <w:right w:val="nil"/>
          <w:insideH w:val="nil"/>
          <w:insideV w:val="nil"/>
          <w:tl2br w:val="nil"/>
          <w:tr2bl w:val="nil"/>
        </w:tcBorders>
      </w:tcPr>
    </w:tblStylePr>
    <w:tblStylePr w:type="nwCell">
      <w:rPr>
        <w:color w:val="FFFFFF"/>
      </w:rPr>
      <w:tblPr/>
      <w:tcPr>
        <w:tcBorders>
          <w:top w:val="single" w:color="auto" w:sz="18" w:space="0"/>
          <w:left w:val="single" w:color="auto" w:sz="18" w:space="0"/>
          <w:bottom w:val="nil"/>
          <w:right w:val="nil"/>
          <w:insideH w:val="nil"/>
          <w:insideV w:val="nil"/>
          <w:tl2br w:val="nil"/>
          <w:tr2bl w:val="nil"/>
        </w:tcBorders>
      </w:tcPr>
    </w:tblStylePr>
  </w:style>
  <w:style w:type="table" w:styleId="51">
    <w:name w:val="Medium Shading 2 Accent 4"/>
    <w:basedOn w:val="46"/>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6EED5"/>
    </w:tcPr>
    <w:tblStylePr w:type="firstRow">
      <w:rPr>
        <w:b/>
        <w:bCs/>
        <w:i w:val="0"/>
        <w:iCs w:val="0"/>
        <w:color w:val="FFFFFF"/>
      </w:rPr>
      <w:tblPr/>
      <w:tcPr>
        <w:tcBorders>
          <w:top w:val="single" w:color="CCE8CF" w:sz="8" w:space="0"/>
          <w:left w:val="single" w:color="CCE8CF" w:sz="24" w:space="0"/>
          <w:bottom w:val="single" w:color="CCE8CF" w:sz="8" w:space="0"/>
          <w:right w:val="single" w:color="CCE8CF" w:sz="8" w:space="0"/>
          <w:insideH w:val="nil"/>
          <w:insideV w:val="single" w:sz="8" w:space="0"/>
          <w:tl2br w:val="nil"/>
          <w:tr2bl w:val="nil"/>
        </w:tcBorders>
        <w:shd w:val="clear" w:color="auto" w:fill="9BBB59"/>
      </w:tcPr>
    </w:tblStylePr>
    <w:tblStylePr w:type="lastRow">
      <w:rPr>
        <w:b/>
        <w:bCs/>
        <w:i w:val="0"/>
        <w:iCs w:val="0"/>
        <w:color w:val="FFFFFF"/>
      </w:rPr>
      <w:tbl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9BBB59"/>
      </w:tcPr>
    </w:tblStylePr>
    <w:tblStylePr w:type="firstCol">
      <w:rPr>
        <w:b/>
        <w:bCs/>
        <w:i w:val="0"/>
        <w:iCs w:val="0"/>
        <w:color w:val="FFFFFF"/>
      </w:rPr>
      <w:tblPr/>
      <w:tcPr>
        <w:tcBorders>
          <w:top w:val="nil"/>
          <w:left w:val="nil"/>
          <w:bottom w:val="single" w:color="CCE8CF" w:sz="8" w:space="0"/>
          <w:right w:val="single" w:color="CCE8CF" w:sz="24" w:space="0"/>
          <w:insideH w:val="nil"/>
          <w:insideV w:val="nil"/>
          <w:tl2br w:val="nil"/>
          <w:tr2bl w:val="nil"/>
        </w:tcBorders>
        <w:shd w:val="clear" w:color="auto" w:fill="9BBB59"/>
      </w:tcPr>
    </w:tblStylePr>
    <w:tblStylePr w:type="lastCol">
      <w:rPr>
        <w:b/>
        <w:bCs/>
        <w:i w:val="0"/>
        <w:iCs w:val="0"/>
        <w:color w:val="FFFFFF"/>
      </w:rPr>
      <w:tblPr/>
      <w:tcPr>
        <w:tcBorders>
          <w:top w:val="nil"/>
          <w:left w:val="nil"/>
          <w:bottom w:val="single" w:color="CCE8CF" w:sz="24" w:space="0"/>
          <w:right w:val="nil"/>
          <w:insideH w:val="nil"/>
          <w:insideV w:val="nil"/>
          <w:tl2br w:val="nil"/>
          <w:tr2bl w:val="nil"/>
        </w:tcBorders>
        <w:shd w:val="clear" w:color="auto" w:fill="9BBB59"/>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CDDDAC"/>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CDDDAC"/>
      </w:tcPr>
    </w:tblStylePr>
    <w:tblStylePr w:type="neCell">
      <w:tblPr/>
      <w:tcPr>
        <w:tcBorders>
          <w:top w:val="single" w:color="auto" w:sz="18" w:space="0"/>
          <w:left w:val="single" w:color="auto" w:sz="18" w:space="0"/>
          <w:bottom w:val="nil"/>
          <w:right w:val="nil"/>
          <w:insideH w:val="nil"/>
          <w:insideV w:val="nil"/>
          <w:tl2br w:val="nil"/>
          <w:tr2bl w:val="nil"/>
        </w:tcBorders>
      </w:tcPr>
    </w:tblStylePr>
    <w:tblStylePr w:type="nwCell">
      <w:rPr>
        <w:color w:val="FFFFFF"/>
      </w:rPr>
      <w:tblPr/>
      <w:tcPr>
        <w:tcBorders>
          <w:top w:val="single" w:color="auto" w:sz="18" w:space="0"/>
          <w:left w:val="single" w:color="auto" w:sz="18" w:space="0"/>
          <w:bottom w:val="nil"/>
          <w:right w:val="nil"/>
          <w:insideH w:val="nil"/>
          <w:insideV w:val="nil"/>
          <w:tl2br w:val="nil"/>
          <w:tr2bl w:val="nil"/>
        </w:tcBorders>
      </w:tcPr>
    </w:tblStylePr>
  </w:style>
  <w:style w:type="table" w:styleId="52">
    <w:name w:val="Medium Shading 2 Accent 5"/>
    <w:basedOn w:val="46"/>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FD8E8"/>
    </w:tcPr>
    <w:tblStylePr w:type="firstRow">
      <w:rPr>
        <w:b/>
        <w:bCs/>
        <w:i w:val="0"/>
        <w:iCs w:val="0"/>
        <w:color w:val="FFFFFF"/>
      </w:rPr>
      <w:tblPr/>
      <w:tcPr>
        <w:tcBorders>
          <w:top w:val="single" w:color="CCE8CF" w:sz="8" w:space="0"/>
          <w:left w:val="single" w:color="CCE8CF" w:sz="24" w:space="0"/>
          <w:bottom w:val="single" w:color="CCE8CF" w:sz="8" w:space="0"/>
          <w:right w:val="single" w:color="CCE8CF" w:sz="8" w:space="0"/>
          <w:insideH w:val="nil"/>
          <w:insideV w:val="single" w:sz="8" w:space="0"/>
          <w:tl2br w:val="nil"/>
          <w:tr2bl w:val="nil"/>
        </w:tcBorders>
        <w:shd w:val="clear" w:color="auto" w:fill="8064A2"/>
      </w:tcPr>
    </w:tblStylePr>
    <w:tblStylePr w:type="lastRow">
      <w:rPr>
        <w:b/>
        <w:bCs/>
        <w:i w:val="0"/>
        <w:iCs w:val="0"/>
        <w:color w:val="FFFFFF"/>
      </w:rPr>
      <w:tbl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8064A2"/>
      </w:tcPr>
    </w:tblStylePr>
    <w:tblStylePr w:type="firstCol">
      <w:rPr>
        <w:b/>
        <w:bCs/>
        <w:i w:val="0"/>
        <w:iCs w:val="0"/>
        <w:color w:val="FFFFFF"/>
      </w:rPr>
      <w:tblPr/>
      <w:tcPr>
        <w:tcBorders>
          <w:top w:val="nil"/>
          <w:left w:val="nil"/>
          <w:bottom w:val="single" w:color="CCE8CF" w:sz="8" w:space="0"/>
          <w:right w:val="single" w:color="CCE8CF" w:sz="24" w:space="0"/>
          <w:insideH w:val="nil"/>
          <w:insideV w:val="nil"/>
          <w:tl2br w:val="nil"/>
          <w:tr2bl w:val="nil"/>
        </w:tcBorders>
        <w:shd w:val="clear" w:color="auto" w:fill="8064A2"/>
      </w:tcPr>
    </w:tblStylePr>
    <w:tblStylePr w:type="lastCol">
      <w:rPr>
        <w:b/>
        <w:bCs/>
        <w:i w:val="0"/>
        <w:iCs w:val="0"/>
        <w:color w:val="FFFFFF"/>
      </w:rPr>
      <w:tblPr/>
      <w:tcPr>
        <w:tcBorders>
          <w:top w:val="nil"/>
          <w:left w:val="nil"/>
          <w:bottom w:val="single" w:color="CCE8CF" w:sz="24" w:space="0"/>
          <w:right w:val="nil"/>
          <w:insideH w:val="nil"/>
          <w:insideV w:val="nil"/>
          <w:tl2br w:val="nil"/>
          <w:tr2bl w:val="nil"/>
        </w:tcBorders>
        <w:shd w:val="clear" w:color="auto" w:fill="8064A2"/>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BFB1D0"/>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BFB1D0"/>
      </w:tcPr>
    </w:tblStylePr>
    <w:tblStylePr w:type="neCell">
      <w:tblPr/>
      <w:tcPr>
        <w:tcBorders>
          <w:top w:val="single" w:color="auto" w:sz="18" w:space="0"/>
          <w:left w:val="single" w:color="auto" w:sz="18" w:space="0"/>
          <w:bottom w:val="nil"/>
          <w:right w:val="nil"/>
          <w:insideH w:val="nil"/>
          <w:insideV w:val="nil"/>
          <w:tl2br w:val="nil"/>
          <w:tr2bl w:val="nil"/>
        </w:tcBorders>
      </w:tcPr>
    </w:tblStylePr>
    <w:tblStylePr w:type="nwCell">
      <w:rPr>
        <w:color w:val="FFFFFF"/>
      </w:rPr>
      <w:tblPr/>
      <w:tcPr>
        <w:tcBorders>
          <w:top w:val="single" w:color="auto" w:sz="18" w:space="0"/>
          <w:left w:val="single" w:color="auto" w:sz="18" w:space="0"/>
          <w:bottom w:val="nil"/>
          <w:right w:val="nil"/>
          <w:insideH w:val="nil"/>
          <w:insideV w:val="nil"/>
          <w:tl2br w:val="nil"/>
          <w:tr2bl w:val="nil"/>
        </w:tcBorders>
      </w:tcPr>
    </w:tblStylePr>
  </w:style>
  <w:style w:type="table" w:styleId="53">
    <w:name w:val="Medium Shading 2 Accent 6"/>
    <w:basedOn w:val="46"/>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2EAF1"/>
    </w:tcPr>
    <w:tblStylePr w:type="firstRow">
      <w:rPr>
        <w:b/>
        <w:bCs/>
        <w:i w:val="0"/>
        <w:iCs w:val="0"/>
        <w:color w:val="FFFFFF"/>
      </w:rPr>
      <w:tblPr/>
      <w:tcPr>
        <w:tcBorders>
          <w:top w:val="single" w:color="CCE8CF" w:sz="8" w:space="0"/>
          <w:left w:val="single" w:color="CCE8CF" w:sz="24" w:space="0"/>
          <w:bottom w:val="single" w:color="CCE8CF" w:sz="8" w:space="0"/>
          <w:right w:val="single" w:color="CCE8CF" w:sz="8" w:space="0"/>
          <w:insideH w:val="nil"/>
          <w:insideV w:val="single" w:sz="8" w:space="0"/>
          <w:tl2br w:val="nil"/>
          <w:tr2bl w:val="nil"/>
        </w:tcBorders>
        <w:shd w:val="clear" w:color="auto" w:fill="4BACC6"/>
      </w:tcPr>
    </w:tblStylePr>
    <w:tblStylePr w:type="lastRow">
      <w:rPr>
        <w:b/>
        <w:bCs/>
        <w:i w:val="0"/>
        <w:iCs w:val="0"/>
        <w:color w:val="FFFFFF"/>
      </w:rPr>
      <w:tbl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4BACC6"/>
      </w:tcPr>
    </w:tblStylePr>
    <w:tblStylePr w:type="firstCol">
      <w:rPr>
        <w:b/>
        <w:bCs/>
        <w:i w:val="0"/>
        <w:iCs w:val="0"/>
        <w:color w:val="FFFFFF"/>
      </w:rPr>
      <w:tblPr/>
      <w:tcPr>
        <w:tcBorders>
          <w:top w:val="nil"/>
          <w:left w:val="nil"/>
          <w:bottom w:val="single" w:color="CCE8CF" w:sz="8" w:space="0"/>
          <w:right w:val="single" w:color="CCE8CF" w:sz="24" w:space="0"/>
          <w:insideH w:val="nil"/>
          <w:insideV w:val="nil"/>
          <w:tl2br w:val="nil"/>
          <w:tr2bl w:val="nil"/>
        </w:tcBorders>
        <w:shd w:val="clear" w:color="auto" w:fill="4BACC6"/>
      </w:tcPr>
    </w:tblStylePr>
    <w:tblStylePr w:type="lastCol">
      <w:rPr>
        <w:b/>
        <w:bCs/>
        <w:i w:val="0"/>
        <w:iCs w:val="0"/>
        <w:color w:val="FFFFFF"/>
      </w:rPr>
      <w:tblPr/>
      <w:tcPr>
        <w:tcBorders>
          <w:top w:val="nil"/>
          <w:left w:val="nil"/>
          <w:bottom w:val="single" w:color="CCE8CF" w:sz="24" w:space="0"/>
          <w:right w:val="nil"/>
          <w:insideH w:val="nil"/>
          <w:insideV w:val="nil"/>
          <w:tl2br w:val="nil"/>
          <w:tr2bl w:val="nil"/>
        </w:tcBorders>
        <w:shd w:val="clear" w:color="auto" w:fill="4BACC6"/>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A5D5E2"/>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A5D5E2"/>
      </w:tcPr>
    </w:tblStylePr>
    <w:tblStylePr w:type="neCell">
      <w:tblPr/>
      <w:tcPr>
        <w:tcBorders>
          <w:top w:val="single" w:color="auto" w:sz="18" w:space="0"/>
          <w:left w:val="single" w:color="auto" w:sz="18" w:space="0"/>
          <w:bottom w:val="nil"/>
          <w:right w:val="nil"/>
          <w:insideH w:val="nil"/>
          <w:insideV w:val="nil"/>
          <w:tl2br w:val="nil"/>
          <w:tr2bl w:val="nil"/>
        </w:tcBorders>
      </w:tcPr>
    </w:tblStylePr>
    <w:tblStylePr w:type="nwCell">
      <w:rPr>
        <w:color w:val="FFFFFF"/>
      </w:rPr>
      <w:tblPr/>
      <w:tcPr>
        <w:tcBorders>
          <w:top w:val="single" w:color="auto" w:sz="18" w:space="0"/>
          <w:left w:val="single" w:color="auto" w:sz="18" w:space="0"/>
          <w:bottom w:val="nil"/>
          <w:right w:val="nil"/>
          <w:insideH w:val="nil"/>
          <w:insideV w:val="nil"/>
          <w:tl2br w:val="nil"/>
          <w:tr2bl w:val="nil"/>
        </w:tcBorders>
      </w:tcPr>
    </w:tblStylePr>
  </w:style>
  <w:style w:type="character" w:styleId="55">
    <w:name w:val="Strong"/>
    <w:basedOn w:val="54"/>
    <w:qFormat/>
    <w:uiPriority w:val="0"/>
    <w:rPr>
      <w:rFonts w:ascii="Times New Roman" w:hAnsi="Times New Roman" w:eastAsia="宋体" w:cs="Times New Roman"/>
      <w:b/>
      <w:bCs/>
    </w:rPr>
  </w:style>
  <w:style w:type="character" w:styleId="56">
    <w:name w:val="page number"/>
    <w:qFormat/>
    <w:uiPriority w:val="0"/>
    <w:rPr>
      <w:rFonts w:ascii="Times New Roman" w:hAnsi="Times New Roman" w:eastAsia="宋体" w:cs="Times New Roman"/>
    </w:rPr>
  </w:style>
  <w:style w:type="character" w:styleId="57">
    <w:name w:val="Hyperlink"/>
    <w:qFormat/>
    <w:uiPriority w:val="0"/>
    <w:rPr>
      <w:rFonts w:ascii="Times New Roman" w:hAnsi="Times New Roman" w:eastAsia="宋体" w:cs="Times New Roman"/>
      <w:color w:val="0000FF"/>
      <w:u w:val="single"/>
    </w:rPr>
  </w:style>
  <w:style w:type="character" w:styleId="58">
    <w:name w:val="annotation reference"/>
    <w:basedOn w:val="54"/>
    <w:qFormat/>
    <w:uiPriority w:val="99"/>
    <w:rPr>
      <w:rFonts w:ascii="Times New Roman" w:hAnsi="Times New Roman" w:eastAsia="宋体" w:cs="Times New Roman"/>
      <w:sz w:val="21"/>
      <w:szCs w:val="21"/>
    </w:rPr>
  </w:style>
  <w:style w:type="character" w:customStyle="1" w:styleId="59">
    <w:name w:val="标题 2 字符"/>
    <w:link w:val="6"/>
    <w:qFormat/>
    <w:uiPriority w:val="0"/>
    <w:rPr>
      <w:rFonts w:ascii="Arial" w:hAnsi="Arial"/>
      <w:b/>
      <w:kern w:val="2"/>
      <w:sz w:val="30"/>
    </w:rPr>
  </w:style>
  <w:style w:type="character" w:customStyle="1" w:styleId="60">
    <w:name w:val="标题 4 字符"/>
    <w:link w:val="9"/>
    <w:qFormat/>
    <w:uiPriority w:val="0"/>
    <w:rPr>
      <w:rFonts w:ascii="Arial" w:hAnsi="Arial" w:eastAsia="黑体" w:cs="Times New Roman"/>
      <w:b/>
      <w:kern w:val="2"/>
      <w:sz w:val="28"/>
    </w:rPr>
  </w:style>
  <w:style w:type="character" w:customStyle="1" w:styleId="61">
    <w:name w:val="文档结构图 字符"/>
    <w:link w:val="19"/>
    <w:qFormat/>
    <w:uiPriority w:val="0"/>
    <w:rPr>
      <w:rFonts w:ascii="Arial" w:hAnsi="Arial" w:eastAsia="宋体" w:cs="Times New Roman"/>
      <w:color w:val="000000"/>
      <w:sz w:val="18"/>
      <w:szCs w:val="28"/>
      <w:shd w:val="clear" w:color="auto" w:fill="00FFFF"/>
    </w:rPr>
  </w:style>
  <w:style w:type="character" w:customStyle="1" w:styleId="62">
    <w:name w:val="批注文字 字符"/>
    <w:link w:val="20"/>
    <w:qFormat/>
    <w:uiPriority w:val="99"/>
    <w:rPr>
      <w:rFonts w:ascii="Times New Roman" w:hAnsi="Times New Roman" w:eastAsia="宋体" w:cs="Times New Roman"/>
      <w:kern w:val="2"/>
      <w:sz w:val="21"/>
      <w:szCs w:val="24"/>
    </w:rPr>
  </w:style>
  <w:style w:type="character" w:customStyle="1" w:styleId="63">
    <w:name w:val="正文文本 字符"/>
    <w:link w:val="22"/>
    <w:qFormat/>
    <w:uiPriority w:val="99"/>
    <w:rPr>
      <w:kern w:val="2"/>
      <w:sz w:val="32"/>
    </w:rPr>
  </w:style>
  <w:style w:type="character" w:customStyle="1" w:styleId="64">
    <w:name w:val="纯文本 字符"/>
    <w:link w:val="27"/>
    <w:qFormat/>
    <w:uiPriority w:val="99"/>
    <w:rPr>
      <w:rFonts w:ascii="宋体" w:hAnsi="Courier New" w:eastAsia="宋体" w:cs="Times New Roman"/>
      <w:kern w:val="2"/>
      <w:sz w:val="21"/>
    </w:rPr>
  </w:style>
  <w:style w:type="character" w:customStyle="1" w:styleId="65">
    <w:name w:val="日期 字符"/>
    <w:link w:val="29"/>
    <w:qFormat/>
    <w:uiPriority w:val="0"/>
    <w:rPr>
      <w:rFonts w:ascii="宋体" w:hAnsi="Times New Roman" w:eastAsia="宋体" w:cs="Times New Roman"/>
      <w:color w:val="FF0000"/>
      <w:spacing w:val="8"/>
      <w:sz w:val="24"/>
    </w:rPr>
  </w:style>
  <w:style w:type="character" w:customStyle="1" w:styleId="66">
    <w:name w:val="页脚 字符"/>
    <w:link w:val="32"/>
    <w:qFormat/>
    <w:uiPriority w:val="0"/>
    <w:rPr>
      <w:rFonts w:ascii="Times New Roman" w:hAnsi="Times New Roman" w:eastAsia="宋体" w:cs="Times New Roman"/>
      <w:kern w:val="2"/>
      <w:sz w:val="18"/>
      <w:szCs w:val="18"/>
    </w:rPr>
  </w:style>
  <w:style w:type="character" w:customStyle="1" w:styleId="67">
    <w:name w:val="页眉 字符1"/>
    <w:link w:val="33"/>
    <w:qFormat/>
    <w:uiPriority w:val="0"/>
    <w:rPr>
      <w:rFonts w:ascii="Times New Roman" w:hAnsi="Times New Roman" w:eastAsia="宋体" w:cs="Times New Roman"/>
      <w:kern w:val="2"/>
      <w:sz w:val="18"/>
      <w:szCs w:val="18"/>
    </w:rPr>
  </w:style>
  <w:style w:type="character" w:customStyle="1" w:styleId="68">
    <w:name w:val="副标题 字符"/>
    <w:link w:val="36"/>
    <w:qFormat/>
    <w:uiPriority w:val="11"/>
    <w:rPr>
      <w:rFonts w:ascii="等线 Light" w:hAnsi="等线 Light" w:eastAsia="宋体" w:cs="Times New Roman"/>
      <w:b/>
      <w:bCs/>
      <w:kern w:val="28"/>
      <w:sz w:val="32"/>
      <w:szCs w:val="32"/>
    </w:rPr>
  </w:style>
  <w:style w:type="character" w:customStyle="1" w:styleId="69">
    <w:name w:val="标题 字符"/>
    <w:link w:val="44"/>
    <w:qFormat/>
    <w:uiPriority w:val="0"/>
    <w:rPr>
      <w:rFonts w:ascii="Cambria" w:hAnsi="Cambria" w:eastAsia="宋体" w:cs="Times New Roman"/>
      <w:b/>
      <w:bCs/>
      <w:kern w:val="2"/>
      <w:sz w:val="32"/>
      <w:szCs w:val="32"/>
    </w:rPr>
  </w:style>
  <w:style w:type="table" w:customStyle="1" w:styleId="70">
    <w:name w:val="_Style 67"/>
    <w:basedOn w:val="46"/>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FDE4D0"/>
    </w:tcPr>
    <w:tblStylePr w:type="firstRow">
      <w:rPr>
        <w:b/>
        <w:bCs/>
        <w:i w:val="0"/>
        <w:iCs w:val="0"/>
        <w:color w:val="FFFFFF"/>
      </w:rPr>
      <w:tcPr>
        <w:tcBorders>
          <w:top w:val="single" w:color="CCE8CF" w:sz="8" w:space="0"/>
          <w:left w:val="single" w:color="CCE8CF" w:sz="24" w:space="0"/>
          <w:bottom w:val="single" w:color="CCE8CF" w:sz="8" w:space="0"/>
          <w:right w:val="single" w:color="CCE8CF" w:sz="8" w:space="0"/>
          <w:insideH w:val="nil"/>
          <w:insideV w:val="single" w:sz="8" w:space="0"/>
          <w:tl2br w:val="nil"/>
          <w:tr2bl w:val="nil"/>
        </w:tcBorders>
        <w:shd w:val="clear" w:color="auto" w:fill="F79646"/>
      </w:tcPr>
    </w:tblStylePr>
    <w:tblStylePr w:type="lastRow">
      <w:rPr>
        <w:b/>
        <w:bCs/>
        <w:i w:val="0"/>
        <w:iCs w:val="0"/>
        <w:color w:val="FFFFFF"/>
      </w:rPr>
      <w:tcPr>
        <w:tcBorders>
          <w:top w:val="single" w:color="CCE8CF" w:sz="24" w:space="0"/>
          <w:left w:val="single" w:color="CCE8CF" w:sz="8" w:space="0"/>
          <w:bottom w:val="single" w:color="CCE8CF" w:sz="8" w:space="0"/>
          <w:right w:val="single" w:color="CCE8CF" w:sz="8" w:space="0"/>
          <w:insideH w:val="nil"/>
          <w:insideV w:val="single" w:sz="8" w:space="0"/>
          <w:tl2br w:val="nil"/>
          <w:tr2bl w:val="nil"/>
        </w:tcBorders>
        <w:shd w:val="clear" w:color="auto" w:fill="F79646"/>
      </w:tcPr>
    </w:tblStylePr>
    <w:tblStylePr w:type="firstCol">
      <w:rPr>
        <w:b/>
        <w:bCs/>
        <w:i w:val="0"/>
        <w:iCs w:val="0"/>
        <w:color w:val="FFFFFF"/>
      </w:rPr>
      <w:tcPr>
        <w:tcBorders>
          <w:top w:val="nil"/>
          <w:left w:val="nil"/>
          <w:bottom w:val="single" w:color="CCE8CF" w:sz="8" w:space="0"/>
          <w:right w:val="single" w:color="CCE8CF" w:sz="24" w:space="0"/>
          <w:insideH w:val="nil"/>
          <w:insideV w:val="nil"/>
          <w:tl2br w:val="nil"/>
          <w:tr2bl w:val="nil"/>
        </w:tcBorders>
        <w:shd w:val="clear" w:color="auto" w:fill="F79646"/>
      </w:tcPr>
    </w:tblStylePr>
    <w:tblStylePr w:type="lastCol">
      <w:rPr>
        <w:b/>
        <w:bCs/>
        <w:i w:val="0"/>
        <w:iCs w:val="0"/>
        <w:color w:val="FFFFFF"/>
      </w:rPr>
      <w:tcPr>
        <w:tcBorders>
          <w:top w:val="nil"/>
          <w:left w:val="nil"/>
          <w:bottom w:val="single" w:color="CCE8CF" w:sz="24" w:space="0"/>
          <w:right w:val="nil"/>
          <w:insideH w:val="nil"/>
          <w:insideV w:val="nil"/>
          <w:tl2br w:val="nil"/>
          <w:tr2bl w:val="nil"/>
        </w:tcBorders>
        <w:shd w:val="clear" w:color="auto" w:fill="F79646"/>
      </w:tcPr>
    </w:tblStylePr>
    <w:tblStylePr w:type="band1Vert">
      <w:tcPr>
        <w:tcBorders>
          <w:top w:val="single" w:color="CCE8CF" w:sz="8" w:space="0"/>
          <w:left w:val="single" w:color="CCE8CF" w:sz="8" w:space="0"/>
          <w:bottom w:val="single" w:color="CCE8CF" w:sz="8" w:space="0"/>
          <w:right w:val="single" w:color="CCE8CF" w:sz="8" w:space="0"/>
          <w:insideH w:val="nil"/>
          <w:insideV w:val="nil"/>
          <w:tl2br w:val="nil"/>
          <w:tr2bl w:val="nil"/>
        </w:tcBorders>
        <w:shd w:val="clear" w:color="auto" w:fill="FBCAA2"/>
      </w:tcPr>
    </w:tblStylePr>
    <w:tblStylePr w:type="band1Horz">
      <w:tcPr>
        <w:tcBorders>
          <w:top w:val="single" w:color="CCE8CF" w:sz="8" w:space="0"/>
          <w:left w:val="single" w:color="CCE8CF" w:sz="8" w:space="0"/>
          <w:bottom w:val="single" w:color="CCE8CF" w:sz="8" w:space="0"/>
          <w:right w:val="single" w:color="CCE8CF" w:sz="8" w:space="0"/>
          <w:insideH w:val="single" w:sz="8" w:space="0"/>
          <w:insideV w:val="single" w:sz="8" w:space="0"/>
          <w:tl2br w:val="nil"/>
          <w:tr2bl w:val="nil"/>
        </w:tcBorders>
        <w:shd w:val="clear" w:color="auto" w:fill="FBCAA2"/>
      </w:tcPr>
    </w:tblStylePr>
  </w:style>
  <w:style w:type="paragraph" w:customStyle="1" w:styleId="71">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rPr>
  </w:style>
  <w:style w:type="paragraph" w:customStyle="1" w:styleId="72">
    <w:name w:val="样式"/>
    <w:basedOn w:val="1"/>
    <w:next w:val="27"/>
    <w:qFormat/>
    <w:uiPriority w:val="0"/>
    <w:rPr>
      <w:rFonts w:ascii="宋体" w:hAnsi="Courier New" w:cs="宋体"/>
    </w:rPr>
  </w:style>
  <w:style w:type="character" w:customStyle="1" w:styleId="73">
    <w:name w:val="日期 Char"/>
    <w:qFormat/>
    <w:uiPriority w:val="0"/>
    <w:rPr>
      <w:rFonts w:ascii="宋体" w:hAnsi="Times New Roman" w:eastAsia="宋体" w:cs="Times New Roman"/>
      <w:color w:val="FF0000"/>
      <w:spacing w:val="8"/>
      <w:sz w:val="24"/>
    </w:rPr>
  </w:style>
  <w:style w:type="character" w:customStyle="1" w:styleId="74">
    <w:name w:val="页脚 Char"/>
    <w:qFormat/>
    <w:uiPriority w:val="0"/>
    <w:rPr>
      <w:rFonts w:ascii="Times New Roman" w:hAnsi="Times New Roman" w:eastAsia="宋体" w:cs="Times New Roman"/>
      <w:kern w:val="2"/>
      <w:sz w:val="18"/>
      <w:szCs w:val="18"/>
    </w:rPr>
  </w:style>
  <w:style w:type="paragraph" w:customStyle="1" w:styleId="75">
    <w:name w:val="彩色列表 - 强调文字颜色 11"/>
    <w:basedOn w:val="1"/>
    <w:link w:val="76"/>
    <w:qFormat/>
    <w:uiPriority w:val="0"/>
    <w:pPr>
      <w:ind w:firstLine="420" w:firstLineChars="200"/>
    </w:pPr>
  </w:style>
  <w:style w:type="character" w:customStyle="1" w:styleId="76">
    <w:name w:val="彩色列表 - 着色 1 字符"/>
    <w:link w:val="75"/>
    <w:qFormat/>
    <w:uiPriority w:val="0"/>
    <w:rPr>
      <w:rFonts w:ascii="Times New Roman" w:hAnsi="Times New Roman" w:eastAsia="宋体" w:cs="Times New Roman"/>
      <w:kern w:val="2"/>
      <w:sz w:val="21"/>
      <w:szCs w:val="24"/>
    </w:rPr>
  </w:style>
  <w:style w:type="character" w:customStyle="1" w:styleId="77">
    <w:name w:val="页眉 Char"/>
    <w:qFormat/>
    <w:uiPriority w:val="0"/>
    <w:rPr>
      <w:rFonts w:ascii="Times New Roman" w:hAnsi="Times New Roman" w:eastAsia="宋体" w:cs="Times New Roman"/>
      <w:kern w:val="2"/>
      <w:sz w:val="18"/>
      <w:szCs w:val="18"/>
    </w:rPr>
  </w:style>
  <w:style w:type="character" w:customStyle="1" w:styleId="78">
    <w:name w:val="font31"/>
    <w:qFormat/>
    <w:uiPriority w:val="0"/>
    <w:rPr>
      <w:rFonts w:hint="eastAsia" w:ascii="宋体" w:hAnsi="宋体" w:eastAsia="宋体" w:cs="宋体"/>
      <w:color w:val="000000"/>
      <w:sz w:val="24"/>
      <w:szCs w:val="24"/>
      <w:u w:val="none"/>
    </w:rPr>
  </w:style>
  <w:style w:type="character" w:customStyle="1" w:styleId="79">
    <w:name w:val="页眉 字符"/>
    <w:qFormat/>
    <w:uiPriority w:val="0"/>
    <w:rPr>
      <w:rFonts w:ascii="Times New Roman" w:hAnsi="Times New Roman" w:eastAsia="宋体" w:cs="Times New Roman"/>
      <w:kern w:val="2"/>
      <w:sz w:val="18"/>
      <w:szCs w:val="18"/>
    </w:rPr>
  </w:style>
  <w:style w:type="character" w:customStyle="1" w:styleId="80">
    <w:name w:val="标题 4 Char"/>
    <w:qFormat/>
    <w:uiPriority w:val="0"/>
    <w:rPr>
      <w:rFonts w:ascii="Arial" w:hAnsi="Arial" w:eastAsia="黑体" w:cs="Times New Roman"/>
      <w:b/>
      <w:kern w:val="2"/>
      <w:sz w:val="28"/>
    </w:rPr>
  </w:style>
  <w:style w:type="character" w:customStyle="1" w:styleId="81">
    <w:name w:val="纯文本 Char"/>
    <w:qFormat/>
    <w:uiPriority w:val="0"/>
    <w:rPr>
      <w:rFonts w:ascii="宋体" w:hAnsi="Courier New" w:eastAsia="宋体" w:cs="Times New Roman"/>
      <w:kern w:val="2"/>
      <w:sz w:val="21"/>
    </w:rPr>
  </w:style>
  <w:style w:type="character" w:customStyle="1" w:styleId="82">
    <w:name w:val="批注文字 Char"/>
    <w:qFormat/>
    <w:uiPriority w:val="0"/>
    <w:rPr>
      <w:rFonts w:ascii="Times New Roman" w:hAnsi="Times New Roman" w:eastAsia="宋体" w:cs="Times New Roman"/>
      <w:kern w:val="2"/>
      <w:sz w:val="21"/>
      <w:szCs w:val="24"/>
    </w:rPr>
  </w:style>
  <w:style w:type="paragraph" w:customStyle="1" w:styleId="83">
    <w:name w:val="Char2"/>
    <w:basedOn w:val="1"/>
    <w:qFormat/>
    <w:uiPriority w:val="0"/>
    <w:pPr>
      <w:widowControl/>
      <w:spacing w:after="160" w:line="240" w:lineRule="exact"/>
      <w:jc w:val="left"/>
    </w:pPr>
  </w:style>
  <w:style w:type="paragraph" w:customStyle="1" w:styleId="84">
    <w:name w:val="样式5"/>
    <w:basedOn w:val="1"/>
    <w:qFormat/>
    <w:uiPriority w:val="0"/>
    <w:pPr>
      <w:numPr>
        <w:ilvl w:val="0"/>
        <w:numId w:val="2"/>
      </w:numPr>
    </w:pPr>
    <w:rPr>
      <w:rFonts w:eastAsia="仿宋_GB2312"/>
    </w:rPr>
  </w:style>
  <w:style w:type="paragraph" w:customStyle="1" w:styleId="85">
    <w:name w:val="样式 Default Text + 三号 加粗"/>
    <w:basedOn w:val="12"/>
    <w:qFormat/>
    <w:uiPriority w:val="0"/>
    <w:pPr>
      <w:jc w:val="center"/>
    </w:pPr>
    <w:rPr>
      <w:rFonts w:ascii="Times New Roman" w:hAnsi="Times New Roman"/>
      <w:b/>
      <w:bCs/>
      <w:sz w:val="32"/>
    </w:rPr>
  </w:style>
  <w:style w:type="paragraph" w:customStyle="1" w:styleId="86">
    <w:name w:val="样式 标题 2 + 段前: 1 行 段后: 1 行"/>
    <w:basedOn w:val="6"/>
    <w:qFormat/>
    <w:uiPriority w:val="0"/>
    <w:pPr>
      <w:numPr>
        <w:numId w:val="3"/>
      </w:numPr>
      <w:tabs>
        <w:tab w:val="left" w:pos="315"/>
        <w:tab w:val="left" w:pos="576"/>
      </w:tabs>
      <w:spacing w:before="312" w:after="312" w:afterLines="100" w:line="240" w:lineRule="auto"/>
      <w:ind w:left="576" w:hanging="576"/>
    </w:pPr>
    <w:rPr>
      <w:rFonts w:ascii="Times New Roman" w:hAnsi="Times New Roman" w:cs="宋体"/>
      <w:color w:val="000000"/>
      <w:spacing w:val="10"/>
      <w:szCs w:val="30"/>
    </w:rPr>
  </w:style>
  <w:style w:type="paragraph" w:customStyle="1" w:styleId="87">
    <w:name w:val="标题四"/>
    <w:basedOn w:val="1"/>
    <w:next w:val="38"/>
    <w:qFormat/>
    <w:uiPriority w:val="0"/>
    <w:pPr>
      <w:ind w:left="515" w:leftChars="200" w:hanging="78"/>
    </w:pPr>
    <w:rPr>
      <w:rFonts w:ascii="宋体" w:hAnsi="宋体"/>
      <w:sz w:val="24"/>
    </w:rPr>
  </w:style>
  <w:style w:type="paragraph" w:customStyle="1" w:styleId="88">
    <w:name w:val="样式1"/>
    <w:basedOn w:val="10"/>
    <w:qFormat/>
    <w:uiPriority w:val="0"/>
    <w:pPr>
      <w:keepLines/>
      <w:widowControl/>
      <w:numPr>
        <w:ilvl w:val="4"/>
        <w:numId w:val="1"/>
      </w:numPr>
      <w:tabs>
        <w:tab w:val="clear" w:pos="3141"/>
      </w:tabs>
      <w:adjustRightInd/>
      <w:spacing w:before="280" w:after="290" w:line="377" w:lineRule="auto"/>
      <w:ind w:left="0" w:leftChars="-128" w:hanging="358" w:hangingChars="128"/>
      <w:jc w:val="left"/>
      <w:textAlignment w:val="auto"/>
    </w:pPr>
    <w:rPr>
      <w:rFonts w:ascii="宋体" w:hAnsi="宋体" w:eastAsia="黑体"/>
      <w:b w:val="0"/>
      <w:color w:val="000000"/>
      <w:kern w:val="2"/>
      <w:sz w:val="32"/>
      <w:szCs w:val="28"/>
    </w:rPr>
  </w:style>
  <w:style w:type="paragraph" w:customStyle="1" w:styleId="89">
    <w:name w:val="TableHead"/>
    <w:basedOn w:val="1"/>
    <w:qFormat/>
    <w:uiPriority w:val="0"/>
    <w:pPr>
      <w:keepLines/>
      <w:spacing w:before="62" w:beforeLines="20" w:after="120"/>
      <w:jc w:val="center"/>
    </w:pPr>
    <w:rPr>
      <w:rFonts w:ascii="仿宋_GB2312" w:hAnsi="Arial" w:eastAsia="仿宋_GB2312"/>
      <w:b/>
      <w:bCs/>
      <w:snapToGrid w:val="0"/>
      <w:color w:val="000000"/>
      <w:kern w:val="0"/>
    </w:rPr>
  </w:style>
  <w:style w:type="paragraph" w:customStyle="1" w:styleId="90">
    <w:name w:val="Char1"/>
    <w:basedOn w:val="1"/>
    <w:qFormat/>
    <w:uiPriority w:val="0"/>
    <w:rPr>
      <w:b/>
      <w:bCs/>
      <w:sz w:val="36"/>
      <w:szCs w:val="32"/>
    </w:rPr>
  </w:style>
  <w:style w:type="paragraph" w:customStyle="1" w:styleId="91">
    <w:name w:val="样式 Default Text + 加粗 右"/>
    <w:basedOn w:val="12"/>
    <w:qFormat/>
    <w:uiPriority w:val="0"/>
    <w:pPr>
      <w:ind w:right="720" w:firstLine="3600"/>
    </w:pPr>
    <w:rPr>
      <w:rFonts w:ascii="Times New Roman" w:hAnsi="Times New Roman" w:eastAsia="黑体" w:cs="宋体"/>
      <w:bCs/>
      <w:sz w:val="36"/>
    </w:rPr>
  </w:style>
  <w:style w:type="paragraph" w:customStyle="1" w:styleId="92">
    <w:name w:val="Default Text + 小五号 蓝色"/>
    <w:basedOn w:val="12"/>
    <w:qFormat/>
    <w:uiPriority w:val="0"/>
    <w:pPr>
      <w:ind w:firstLine="420" w:firstLineChars="200"/>
    </w:pPr>
    <w:rPr>
      <w:rFonts w:ascii="仿宋_GB2312" w:hAnsi="Times New Roman" w:eastAsia="仿宋_GB2312"/>
      <w:color w:val="auto"/>
      <w:sz w:val="21"/>
      <w:szCs w:val="21"/>
    </w:rPr>
  </w:style>
  <w:style w:type="paragraph" w:customStyle="1" w:styleId="93">
    <w:name w:val="Char Char Char Char"/>
    <w:basedOn w:val="1"/>
    <w:qFormat/>
    <w:uiPriority w:val="0"/>
    <w:pPr>
      <w:spacing w:after="160" w:line="240" w:lineRule="exact"/>
    </w:pPr>
  </w:style>
  <w:style w:type="paragraph" w:customStyle="1" w:styleId="94">
    <w:name w:val="Tabletext"/>
    <w:basedOn w:val="1"/>
    <w:qFormat/>
    <w:uiPriority w:val="0"/>
    <w:pPr>
      <w:keepLines/>
      <w:spacing w:before="62" w:beforeLines="20" w:after="120" w:line="360" w:lineRule="auto"/>
      <w:jc w:val="center"/>
    </w:pPr>
    <w:rPr>
      <w:rFonts w:ascii="宋体" w:hAnsi="宋体"/>
      <w:snapToGrid w:val="0"/>
      <w:color w:val="000000"/>
      <w:kern w:val="0"/>
      <w:lang w:val="zh-CN"/>
    </w:rPr>
  </w:style>
  <w:style w:type="paragraph" w:customStyle="1" w:styleId="95">
    <w:name w:val="Char Char"/>
    <w:basedOn w:val="1"/>
    <w:qFormat/>
    <w:uiPriority w:val="0"/>
    <w:rPr>
      <w:rFonts w:ascii="Tahoma" w:hAnsi="Tahoma"/>
      <w:sz w:val="24"/>
      <w:szCs w:val="20"/>
    </w:rPr>
  </w:style>
  <w:style w:type="paragraph" w:customStyle="1" w:styleId="96">
    <w:name w:val="表格文字"/>
    <w:basedOn w:val="94"/>
    <w:qFormat/>
    <w:uiPriority w:val="0"/>
    <w:pPr>
      <w:spacing w:before="0" w:beforeLines="0" w:after="0"/>
      <w:ind w:left="6" w:hanging="6"/>
    </w:pPr>
    <w:rPr>
      <w:rFonts w:ascii="Times New Roman" w:hAnsi="Times New Roman" w:cs="宋体"/>
      <w:szCs w:val="20"/>
    </w:rPr>
  </w:style>
  <w:style w:type="table" w:customStyle="1" w:styleId="97">
    <w:name w:val="网格型2"/>
    <w:basedOn w:val="4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8">
    <w:name w:val="网格型1"/>
    <w:basedOn w:val="4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9">
    <w:name w:val="_Style 97"/>
    <w:qFormat/>
    <w:uiPriority w:val="0"/>
    <w:rPr>
      <w:rFonts w:ascii="Times New Roman" w:hAnsi="Times New Roman" w:eastAsia="宋体" w:cs="Times New Roman"/>
      <w:color w:val="605E5C"/>
      <w:shd w:val="clear" w:color="auto" w:fill="E1DFDD"/>
    </w:rPr>
  </w:style>
  <w:style w:type="paragraph" w:customStyle="1" w:styleId="100">
    <w:name w:val="彩色底纹 - 强调文字颜色 11"/>
    <w:semiHidden/>
    <w:qFormat/>
    <w:uiPriority w:val="99"/>
    <w:rPr>
      <w:rFonts w:ascii="Times New Roman" w:hAnsi="Times New Roman" w:eastAsia="宋体" w:cs="Times New Roman"/>
      <w:kern w:val="2"/>
      <w:sz w:val="21"/>
      <w:szCs w:val="24"/>
      <w:lang w:val="en-US" w:eastAsia="zh-CN" w:bidi="ar-SA"/>
    </w:rPr>
  </w:style>
  <w:style w:type="character" w:customStyle="1" w:styleId="101">
    <w:name w:val="无格式表格 31"/>
    <w:qFormat/>
    <w:uiPriority w:val="19"/>
    <w:rPr>
      <w:rFonts w:ascii="Times New Roman" w:hAnsi="Times New Roman" w:eastAsia="宋体" w:cs="Times New Roman"/>
      <w:i/>
      <w:iCs/>
      <w:color w:val="404040"/>
    </w:rPr>
  </w:style>
  <w:style w:type="character" w:customStyle="1" w:styleId="102">
    <w:name w:val="content-right_8zs40"/>
    <w:qFormat/>
    <w:uiPriority w:val="0"/>
  </w:style>
  <w:style w:type="character" w:customStyle="1" w:styleId="103">
    <w:name w:val="纯文本 字符1"/>
    <w:qFormat/>
    <w:uiPriority w:val="0"/>
    <w:rPr>
      <w:rFonts w:ascii="宋体" w:hAnsi="Courier New"/>
      <w:kern w:val="2"/>
      <w:sz w:val="21"/>
    </w:rPr>
  </w:style>
  <w:style w:type="paragraph" w:customStyle="1" w:styleId="104">
    <w:name w:val="彩色列表 - 强调文字颜色 12"/>
    <w:basedOn w:val="1"/>
    <w:qFormat/>
    <w:uiPriority w:val="34"/>
    <w:pPr>
      <w:ind w:firstLine="420" w:firstLineChars="200"/>
    </w:pPr>
  </w:style>
  <w:style w:type="paragraph" w:customStyle="1" w:styleId="105">
    <w:name w:val="_Style 103"/>
    <w:unhideWhenUsed/>
    <w:qFormat/>
    <w:uiPriority w:val="99"/>
    <w:rPr>
      <w:rFonts w:ascii="Times New Roman" w:hAnsi="Times New Roman" w:eastAsia="宋体" w:cs="Times New Roman"/>
      <w:kern w:val="2"/>
      <w:sz w:val="21"/>
      <w:szCs w:val="24"/>
      <w:lang w:val="en-US" w:eastAsia="zh-CN" w:bidi="ar-SA"/>
    </w:rPr>
  </w:style>
  <w:style w:type="character" w:customStyle="1" w:styleId="106">
    <w:name w:val="批注文字 字符2"/>
    <w:qFormat/>
    <w:uiPriority w:val="99"/>
    <w:rPr>
      <w:kern w:val="2"/>
      <w:sz w:val="21"/>
      <w:szCs w:val="24"/>
    </w:rPr>
  </w:style>
  <w:style w:type="paragraph" w:customStyle="1" w:styleId="107">
    <w:name w:val="CM17"/>
    <w:basedOn w:val="23"/>
    <w:next w:val="23"/>
    <w:qFormat/>
    <w:uiPriority w:val="99"/>
    <w:pPr>
      <w:spacing w:after="160"/>
    </w:pPr>
    <w:rPr>
      <w:rFonts w:ascii="仿宋" w:hAnsi="Calibri" w:eastAsia="仿宋" w:cs="Times New Roman"/>
      <w:color w:val="auto"/>
    </w:rPr>
  </w:style>
  <w:style w:type="paragraph" w:customStyle="1" w:styleId="108">
    <w:name w:val="CM11"/>
    <w:basedOn w:val="23"/>
    <w:next w:val="23"/>
    <w:qFormat/>
    <w:uiPriority w:val="99"/>
    <w:pPr>
      <w:spacing w:line="520" w:lineRule="atLeast"/>
    </w:pPr>
    <w:rPr>
      <w:rFonts w:ascii="仿宋" w:hAnsi="Calibri" w:eastAsia="仿宋" w:cs="Times New Roman"/>
      <w:color w:val="auto"/>
    </w:rPr>
  </w:style>
  <w:style w:type="paragraph" w:customStyle="1" w:styleId="109">
    <w:name w:val="CM13"/>
    <w:basedOn w:val="23"/>
    <w:next w:val="23"/>
    <w:qFormat/>
    <w:uiPriority w:val="99"/>
    <w:pPr>
      <w:spacing w:line="520" w:lineRule="atLeast"/>
    </w:pPr>
    <w:rPr>
      <w:rFonts w:ascii="仿宋" w:hAnsi="Calibri" w:eastAsia="仿宋" w:cs="Times New Roman"/>
      <w:color w:val="auto"/>
    </w:rPr>
  </w:style>
  <w:style w:type="paragraph" w:customStyle="1" w:styleId="110">
    <w:name w:val="正文首行缩进 21"/>
    <w:basedOn w:val="3"/>
    <w:qFormat/>
    <w:uiPriority w:val="0"/>
    <w:pPr>
      <w:spacing w:before="100" w:beforeAutospacing="1" w:after="100" w:afterAutospacing="1"/>
      <w:ind w:left="420" w:firstLine="420" w:firstLineChars="200"/>
    </w:pPr>
    <w:rPr>
      <w:szCs w:val="28"/>
    </w:rPr>
  </w:style>
  <w:style w:type="paragraph" w:customStyle="1" w:styleId="111">
    <w:name w:val="_Style 101"/>
    <w:basedOn w:val="1"/>
    <w:next w:val="112"/>
    <w:qFormat/>
    <w:uiPriority w:val="99"/>
    <w:pPr>
      <w:ind w:firstLine="420"/>
    </w:pPr>
    <w:rPr>
      <w:szCs w:val="24"/>
    </w:rPr>
  </w:style>
  <w:style w:type="paragraph" w:styleId="112">
    <w:name w:val="List Paragraph"/>
    <w:basedOn w:val="1"/>
    <w:qFormat/>
    <w:uiPriority w:val="72"/>
    <w:pPr>
      <w:ind w:firstLine="420" w:firstLineChars="200"/>
    </w:pPr>
  </w:style>
  <w:style w:type="paragraph" w:customStyle="1" w:styleId="113">
    <w:name w:val="_Style 114"/>
    <w:basedOn w:val="1"/>
    <w:next w:val="112"/>
    <w:qFormat/>
    <w:uiPriority w:val="34"/>
    <w:pPr>
      <w:ind w:firstLine="420" w:firstLineChars="200"/>
    </w:pPr>
    <w:rPr>
      <w:szCs w:val="24"/>
    </w:rPr>
  </w:style>
  <w:style w:type="paragraph" w:customStyle="1" w:styleId="114">
    <w:name w:val="_Style 31"/>
    <w:basedOn w:val="3"/>
    <w:next w:val="2"/>
    <w:unhideWhenUsed/>
    <w:qFormat/>
    <w:uiPriority w:val="99"/>
    <w:pPr>
      <w:spacing w:line="240" w:lineRule="auto"/>
      <w:ind w:left="420" w:firstLine="420" w:firstLineChars="200"/>
    </w:pPr>
    <w:rPr>
      <w:rFonts w:ascii="楷体_GB2312" w:hAnsi="宋体" w:eastAsia="楷体_GB2312"/>
      <w:szCs w:val="24"/>
    </w:rPr>
  </w:style>
  <w:style w:type="character" w:customStyle="1" w:styleId="115">
    <w:name w:val="批注文字 Char2"/>
    <w:qFormat/>
    <w:uiPriority w:val="0"/>
    <w:rPr>
      <w:kern w:val="2"/>
      <w:sz w:val="21"/>
      <w:szCs w:val="24"/>
    </w:rPr>
  </w:style>
  <w:style w:type="paragraph" w:customStyle="1" w:styleId="116">
    <w:name w:val="_Style 117"/>
    <w:basedOn w:val="3"/>
    <w:next w:val="2"/>
    <w:qFormat/>
    <w:uiPriority w:val="0"/>
    <w:pPr>
      <w:spacing w:before="100" w:beforeAutospacing="1" w:after="100" w:afterAutospacing="1" w:line="240" w:lineRule="auto"/>
      <w:ind w:left="420" w:firstLine="420" w:firstLineChars="200"/>
    </w:pPr>
    <w:rPr>
      <w:rFonts w:ascii="楷体_GB2312" w:hAnsi="宋体" w:eastAsia="楷体_GB2312"/>
      <w:szCs w:val="28"/>
    </w:rPr>
  </w:style>
  <w:style w:type="paragraph" w:customStyle="1" w:styleId="117">
    <w:name w:val="p0"/>
    <w:basedOn w:val="1"/>
    <w:qFormat/>
    <w:uiPriority w:val="0"/>
    <w:pPr>
      <w:widowControl/>
      <w:ind w:firstLine="420"/>
    </w:pPr>
    <w:rPr>
      <w:kern w:val="0"/>
    </w:rPr>
  </w:style>
  <w:style w:type="paragraph" w:customStyle="1" w:styleId="118">
    <w:name w:val="修订1"/>
    <w:hidden/>
    <w:unhideWhenUsed/>
    <w:qFormat/>
    <w:uiPriority w:val="99"/>
    <w:rPr>
      <w:rFonts w:ascii="Times New Roman" w:hAnsi="Times New Roman" w:eastAsia="宋体" w:cs="Times New Roman"/>
      <w:kern w:val="2"/>
      <w:sz w:val="21"/>
      <w:szCs w:val="21"/>
      <w:lang w:val="en-US" w:eastAsia="zh-CN" w:bidi="ar-SA"/>
    </w:rPr>
  </w:style>
  <w:style w:type="paragraph" w:customStyle="1" w:styleId="119">
    <w:name w:val="_Style 7"/>
    <w:basedOn w:val="3"/>
    <w:next w:val="2"/>
    <w:qFormat/>
    <w:uiPriority w:val="0"/>
    <w:pPr>
      <w:ind w:firstLine="420" w:firstLineChars="200"/>
    </w:pPr>
  </w:style>
  <w:style w:type="paragraph" w:customStyle="1" w:styleId="120">
    <w:name w:val="修订2"/>
    <w:hidden/>
    <w:unhideWhenUsed/>
    <w:qFormat/>
    <w:uiPriority w:val="99"/>
    <w:rPr>
      <w:rFonts w:ascii="Times New Roman" w:hAnsi="Times New Roman" w:eastAsia="宋体" w:cs="Times New Roman"/>
      <w:kern w:val="2"/>
      <w:sz w:val="21"/>
      <w:szCs w:val="21"/>
      <w:lang w:val="en-US" w:eastAsia="zh-CN" w:bidi="ar-SA"/>
    </w:rPr>
  </w:style>
  <w:style w:type="paragraph" w:customStyle="1" w:styleId="121">
    <w:name w:val="修订3"/>
    <w:hidden/>
    <w:unhideWhenUsed/>
    <w:qFormat/>
    <w:uiPriority w:val="99"/>
    <w:rPr>
      <w:rFonts w:ascii="Times New Roman" w:hAnsi="Times New Roman" w:eastAsia="宋体" w:cs="Times New Roman"/>
      <w:kern w:val="2"/>
      <w:sz w:val="21"/>
      <w:szCs w:val="21"/>
      <w:lang w:val="en-US" w:eastAsia="zh-CN" w:bidi="ar-SA"/>
    </w:rPr>
  </w:style>
  <w:style w:type="paragraph" w:customStyle="1" w:styleId="122">
    <w:name w:val="修订4"/>
    <w:hidden/>
    <w:unhideWhenUsed/>
    <w:qFormat/>
    <w:uiPriority w:val="99"/>
    <w:rPr>
      <w:rFonts w:ascii="Times New Roman" w:hAnsi="Times New Roman" w:eastAsia="宋体" w:cs="Times New Roman"/>
      <w:kern w:val="2"/>
      <w:sz w:val="21"/>
      <w:szCs w:val="21"/>
      <w:lang w:val="en-US" w:eastAsia="zh-CN" w:bidi="ar-SA"/>
    </w:rPr>
  </w:style>
  <w:style w:type="paragraph" w:customStyle="1" w:styleId="123">
    <w:name w:val="修订5"/>
    <w:hidden/>
    <w:unhideWhenUsed/>
    <w:qFormat/>
    <w:uiPriority w:val="99"/>
    <w:rPr>
      <w:rFonts w:ascii="Times New Roman" w:hAnsi="Times New Roman" w:eastAsia="宋体" w:cs="Times New Roman"/>
      <w:kern w:val="2"/>
      <w:sz w:val="21"/>
      <w:szCs w:val="21"/>
      <w:lang w:val="en-US" w:eastAsia="zh-CN" w:bidi="ar-SA"/>
    </w:rPr>
  </w:style>
  <w:style w:type="character" w:customStyle="1" w:styleId="124">
    <w:name w:val="fontstyle01"/>
    <w:basedOn w:val="54"/>
    <w:qFormat/>
    <w:uiPriority w:val="0"/>
    <w:rPr>
      <w:rFonts w:hint="eastAsia" w:ascii="宋体" w:hAnsi="宋体" w:eastAsia="宋体"/>
      <w:color w:val="000000"/>
      <w:sz w:val="22"/>
      <w:szCs w:val="22"/>
    </w:rPr>
  </w:style>
  <w:style w:type="paragraph" w:customStyle="1" w:styleId="125">
    <w:name w:val="修订6"/>
    <w:hidden/>
    <w:unhideWhenUsed/>
    <w:qFormat/>
    <w:uiPriority w:val="99"/>
    <w:rPr>
      <w:rFonts w:ascii="Times New Roman" w:hAnsi="Times New Roman" w:eastAsia="宋体" w:cs="Times New Roman"/>
      <w:kern w:val="2"/>
      <w:sz w:val="21"/>
      <w:szCs w:val="21"/>
      <w:lang w:val="en-US" w:eastAsia="zh-CN" w:bidi="ar-SA"/>
    </w:rPr>
  </w:style>
  <w:style w:type="paragraph" w:customStyle="1" w:styleId="126">
    <w:name w:val="修订7"/>
    <w:hidden/>
    <w:unhideWhenUsed/>
    <w:qFormat/>
    <w:uiPriority w:val="99"/>
    <w:rPr>
      <w:rFonts w:ascii="Times New Roman" w:hAnsi="Times New Roman" w:eastAsia="宋体" w:cs="Times New Roman"/>
      <w:kern w:val="2"/>
      <w:sz w:val="21"/>
      <w:szCs w:val="21"/>
      <w:lang w:val="en-US" w:eastAsia="zh-CN" w:bidi="ar-SA"/>
    </w:rPr>
  </w:style>
  <w:style w:type="paragraph" w:customStyle="1" w:styleId="127">
    <w:name w:val="修订8"/>
    <w:hidden/>
    <w:unhideWhenUsed/>
    <w:qFormat/>
    <w:uiPriority w:val="99"/>
    <w:rPr>
      <w:rFonts w:ascii="Times New Roman" w:hAnsi="Times New Roman" w:eastAsia="宋体" w:cs="Times New Roman"/>
      <w:kern w:val="2"/>
      <w:sz w:val="21"/>
      <w:szCs w:val="21"/>
      <w:lang w:val="en-US" w:eastAsia="zh-CN" w:bidi="ar-SA"/>
    </w:rPr>
  </w:style>
  <w:style w:type="paragraph" w:customStyle="1" w:styleId="128">
    <w:name w:val="Revision"/>
    <w:hidden/>
    <w:unhideWhenUsed/>
    <w:qFormat/>
    <w:uiPriority w:val="99"/>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368DBAB-2A5F-4D00-B827-87EEE94642F2}">
  <ds:schemaRefs/>
</ds:datastoreItem>
</file>

<file path=docProps/app.xml><?xml version="1.0" encoding="utf-8"?>
<Properties xmlns="http://schemas.openxmlformats.org/officeDocument/2006/extended-properties" xmlns:vt="http://schemas.openxmlformats.org/officeDocument/2006/docPropsVTypes">
  <Template>Normal.dotm</Template>
  <Company>shendu</Company>
  <Pages>85</Pages>
  <Words>7085</Words>
  <Characters>7911</Characters>
  <Lines>4368</Lines>
  <Paragraphs>4225</Paragraphs>
  <TotalTime>1</TotalTime>
  <ScaleCrop>false</ScaleCrop>
  <LinksUpToDate>false</LinksUpToDate>
  <CharactersWithSpaces>8088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2025-11-05T09:39:00Z</dcterms:created>
  <dc:creator>Shine</dc:creator>
  <cp:lastModifiedBy>逆夢</cp:lastModifiedBy>
  <cp:lastPrinted>2025-11-05T09:31:00Z</cp:lastPrinted>
  <dcterms:modified xsi:type="dcterms:W3CDTF">2025-11-07T08:20:27Z</dcterms:modified>
  <dc:title>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FB2120489B3A4EF58807CEC0A3A99F57_13</vt:lpwstr>
  </property>
  <property fmtid="{D5CDD505-2E9C-101B-9397-08002B2CF9AE}" pid="4" name="GrammarlyDocumentId">
    <vt:lpwstr>5a4ecbc5790d0ef466f8aed1a79cba115f09cbba45150c75c134036ccabaa084</vt:lpwstr>
  </property>
  <property fmtid="{D5CDD505-2E9C-101B-9397-08002B2CF9AE}" pid="5" name="KSOTemplateDocerSaveRecord">
    <vt:lpwstr>eyJoZGlkIjoiOGQzMzRmZmU4NGY3NGViMWYyOWQyY2M0ZjViZjdlNDciLCJ1c2VySWQiOiIyNDU1MjIwMzkifQ==</vt:lpwstr>
  </property>
</Properties>
</file>