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37117A7">
      <w:pPr>
        <w:adjustRightInd w:val="0"/>
        <w:snapToGrid w:val="0"/>
        <w:spacing w:after="156" w:afterLines="50" w:line="360" w:lineRule="auto"/>
        <w:jc w:val="center"/>
        <w:outlineLvl w:val="0"/>
        <w:rPr>
          <w:rFonts w:ascii="黑体" w:eastAsia="黑体"/>
          <w:b/>
          <w:kern w:val="44"/>
          <w:sz w:val="48"/>
          <w:szCs w:val="20"/>
        </w:rPr>
      </w:pPr>
      <w:bookmarkStart w:id="3" w:name="_GoBack"/>
      <w:bookmarkEnd w:id="3"/>
      <w:r>
        <w:rPr>
          <w:rFonts w:ascii="宋体" w:hAnsi="宋体"/>
          <w:b/>
          <w:sz w:val="32"/>
          <w:szCs w:val="32"/>
        </w:rPr>
        <w:t xml:space="preserve">  </w:t>
      </w:r>
      <w:bookmarkStart w:id="0" w:name="_Toc129880039"/>
      <w:bookmarkStart w:id="1" w:name="_Toc512937852"/>
      <w:r>
        <w:rPr>
          <w:rFonts w:hint="eastAsia" w:ascii="宋体" w:hAnsi="宋体"/>
          <w:b/>
          <w:sz w:val="30"/>
          <w:szCs w:val="30"/>
        </w:rPr>
        <w:t>第八部分 采购需求</w:t>
      </w:r>
      <w:bookmarkEnd w:id="0"/>
    </w:p>
    <w:bookmarkEnd w:id="1"/>
    <w:p w14:paraId="04A55A75">
      <w:pPr>
        <w:adjustRightInd w:val="0"/>
        <w:snapToGrid w:val="0"/>
        <w:spacing w:before="156" w:beforeLines="50" w:after="156" w:afterLines="50" w:line="360" w:lineRule="auto"/>
        <w:jc w:val="center"/>
        <w:rPr>
          <w:rFonts w:hint="eastAsia" w:ascii="宋体" w:hAnsi="宋体"/>
          <w:b/>
          <w:sz w:val="24"/>
        </w:rPr>
      </w:pPr>
      <w:r>
        <w:rPr>
          <w:rFonts w:hint="eastAsia" w:ascii="宋体" w:hAnsi="宋体"/>
          <w:b/>
          <w:sz w:val="24"/>
        </w:rPr>
        <w:t>货物需求一览表</w:t>
      </w:r>
    </w:p>
    <w:p w14:paraId="568BE67C">
      <w:pPr>
        <w:adjustRightInd w:val="0"/>
        <w:snapToGrid w:val="0"/>
        <w:jc w:val="center"/>
        <w:rPr>
          <w:rFonts w:hint="eastAsia" w:ascii="宋体" w:hAnsi="宋体"/>
          <w:b/>
          <w:sz w:val="30"/>
          <w:szCs w:val="30"/>
        </w:rPr>
      </w:pPr>
    </w:p>
    <w:tbl>
      <w:tblPr>
        <w:tblStyle w:val="38"/>
        <w:tblW w:w="759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1440"/>
        <w:gridCol w:w="2520"/>
        <w:gridCol w:w="1166"/>
        <w:gridCol w:w="2470"/>
      </w:tblGrid>
      <w:tr w14:paraId="735377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02" w:hRule="atLeast"/>
          <w:jc w:val="center"/>
        </w:trPr>
        <w:tc>
          <w:tcPr>
            <w:tcW w:w="1440" w:type="dxa"/>
            <w:vAlign w:val="center"/>
          </w:tcPr>
          <w:p w14:paraId="501614CA">
            <w:pPr>
              <w:jc w:val="center"/>
              <w:rPr>
                <w:rFonts w:ascii="宋体" w:hAnsi="Bookman Old Style"/>
                <w:sz w:val="24"/>
              </w:rPr>
            </w:pPr>
            <w:r>
              <w:rPr>
                <w:rFonts w:hint="eastAsia" w:ascii="宋体" w:hAnsi="Bookman Old Style"/>
                <w:sz w:val="24"/>
              </w:rPr>
              <w:t>包号</w:t>
            </w:r>
          </w:p>
        </w:tc>
        <w:tc>
          <w:tcPr>
            <w:tcW w:w="2520" w:type="dxa"/>
            <w:vAlign w:val="center"/>
          </w:tcPr>
          <w:p w14:paraId="7A2858E1">
            <w:pPr>
              <w:jc w:val="center"/>
              <w:rPr>
                <w:rFonts w:ascii="宋体" w:hAnsi="Bookman Old Style"/>
                <w:sz w:val="24"/>
              </w:rPr>
            </w:pPr>
            <w:r>
              <w:rPr>
                <w:rFonts w:hint="eastAsia" w:ascii="宋体" w:hAnsi="Bookman Old Style"/>
                <w:sz w:val="24"/>
              </w:rPr>
              <w:t>货物名称</w:t>
            </w:r>
          </w:p>
        </w:tc>
        <w:tc>
          <w:tcPr>
            <w:tcW w:w="1166" w:type="dxa"/>
            <w:vAlign w:val="center"/>
          </w:tcPr>
          <w:p w14:paraId="78E6A539">
            <w:pPr>
              <w:jc w:val="center"/>
              <w:rPr>
                <w:rFonts w:ascii="宋体" w:hAnsi="Bookman Old Style"/>
                <w:sz w:val="24"/>
              </w:rPr>
            </w:pPr>
            <w:r>
              <w:rPr>
                <w:rFonts w:hint="eastAsia" w:ascii="宋体" w:hAnsi="Bookman Old Style"/>
                <w:sz w:val="24"/>
              </w:rPr>
              <w:t>数量</w:t>
            </w:r>
          </w:p>
        </w:tc>
        <w:tc>
          <w:tcPr>
            <w:tcW w:w="2470" w:type="dxa"/>
            <w:vAlign w:val="center"/>
          </w:tcPr>
          <w:p w14:paraId="435D74B7">
            <w:pPr>
              <w:jc w:val="center"/>
              <w:rPr>
                <w:rFonts w:ascii="宋体" w:hAnsi="Bookman Old Style"/>
                <w:sz w:val="24"/>
              </w:rPr>
            </w:pPr>
            <w:r>
              <w:rPr>
                <w:rFonts w:hint="eastAsia" w:ascii="宋体" w:hAnsi="Bookman Old Style"/>
                <w:sz w:val="24"/>
              </w:rPr>
              <w:t>是否接受进口</w:t>
            </w:r>
          </w:p>
        </w:tc>
      </w:tr>
      <w:tr w14:paraId="67EB06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963" w:hRule="atLeast"/>
          <w:jc w:val="center"/>
        </w:trPr>
        <w:tc>
          <w:tcPr>
            <w:tcW w:w="1440" w:type="dxa"/>
            <w:vAlign w:val="center"/>
          </w:tcPr>
          <w:p w14:paraId="6428062E">
            <w:pPr>
              <w:jc w:val="center"/>
              <w:rPr>
                <w:rFonts w:ascii="宋体"/>
                <w:sz w:val="24"/>
              </w:rPr>
            </w:pPr>
            <w:r>
              <w:rPr>
                <w:rFonts w:hint="eastAsia" w:ascii="宋体"/>
                <w:sz w:val="24"/>
              </w:rPr>
              <w:t>1</w:t>
            </w:r>
          </w:p>
        </w:tc>
        <w:tc>
          <w:tcPr>
            <w:tcW w:w="2520" w:type="dxa"/>
            <w:vAlign w:val="center"/>
          </w:tcPr>
          <w:p w14:paraId="6E8205B9">
            <w:pPr>
              <w:jc w:val="center"/>
              <w:rPr>
                <w:rFonts w:ascii="Bookman Old Style" w:hAnsi="Bookman Old Style"/>
                <w:sz w:val="24"/>
              </w:rPr>
            </w:pPr>
            <w:r>
              <w:rPr>
                <w:rFonts w:hint="eastAsia" w:ascii="宋体" w:hAnsi="Bookman Old Style"/>
                <w:sz w:val="24"/>
              </w:rPr>
              <w:t>超高速流式分选系统</w:t>
            </w:r>
          </w:p>
        </w:tc>
        <w:tc>
          <w:tcPr>
            <w:tcW w:w="1166" w:type="dxa"/>
            <w:vAlign w:val="center"/>
          </w:tcPr>
          <w:p w14:paraId="0D228372">
            <w:pPr>
              <w:jc w:val="center"/>
              <w:rPr>
                <w:rFonts w:ascii="宋体" w:hAnsi="Bookman Old Style"/>
                <w:sz w:val="24"/>
              </w:rPr>
            </w:pPr>
            <w:r>
              <w:rPr>
                <w:rFonts w:ascii="宋体" w:hAnsi="Bookman Old Style"/>
                <w:sz w:val="24"/>
              </w:rPr>
              <w:t>1</w:t>
            </w:r>
          </w:p>
        </w:tc>
        <w:tc>
          <w:tcPr>
            <w:tcW w:w="2470" w:type="dxa"/>
            <w:vAlign w:val="center"/>
          </w:tcPr>
          <w:p w14:paraId="00195BFF">
            <w:pPr>
              <w:jc w:val="center"/>
              <w:rPr>
                <w:rFonts w:ascii="宋体" w:hAnsi="Bookman Old Style"/>
                <w:sz w:val="24"/>
              </w:rPr>
            </w:pPr>
            <w:r>
              <w:rPr>
                <w:rFonts w:hint="eastAsia" w:ascii="宋体" w:hAnsi="Bookman Old Style"/>
                <w:sz w:val="24"/>
              </w:rPr>
              <w:t>否</w:t>
            </w:r>
          </w:p>
        </w:tc>
      </w:tr>
    </w:tbl>
    <w:p w14:paraId="3E5AA894">
      <w:pPr>
        <w:adjustRightInd w:val="0"/>
        <w:snapToGrid w:val="0"/>
        <w:jc w:val="center"/>
        <w:rPr>
          <w:rFonts w:hint="eastAsia" w:ascii="宋体" w:hAnsi="宋体"/>
          <w:b/>
          <w:sz w:val="30"/>
          <w:szCs w:val="30"/>
        </w:rPr>
      </w:pPr>
    </w:p>
    <w:p w14:paraId="3701FE26">
      <w:pPr>
        <w:adjustRightInd w:val="0"/>
        <w:snapToGrid w:val="0"/>
        <w:jc w:val="center"/>
        <w:rPr>
          <w:rFonts w:hint="eastAsia" w:ascii="宋体" w:hAnsi="宋体"/>
          <w:b/>
          <w:sz w:val="30"/>
          <w:szCs w:val="30"/>
        </w:rPr>
      </w:pPr>
    </w:p>
    <w:p w14:paraId="627FBD1D">
      <w:pPr>
        <w:rPr>
          <w:rFonts w:ascii="Bookman Old Style" w:hAnsi="Bookman Old Style"/>
          <w:sz w:val="24"/>
        </w:rPr>
      </w:pPr>
      <w:r>
        <w:rPr>
          <w:rFonts w:hint="eastAsia"/>
          <w:sz w:val="24"/>
        </w:rPr>
        <w:t>注：投标人须对上述投标内容中完整的一包或几包进行投标，</w:t>
      </w:r>
      <w:r>
        <w:rPr>
          <w:rFonts w:hint="eastAsia" w:ascii="Bookman Old Style" w:hAnsi="Bookman Old Style"/>
          <w:sz w:val="24"/>
        </w:rPr>
        <w:t>不完整的投标将视为非响应性投标予以拒绝。</w:t>
      </w:r>
    </w:p>
    <w:p w14:paraId="5986DC0C">
      <w:pPr>
        <w:adjustRightInd w:val="0"/>
        <w:snapToGrid w:val="0"/>
        <w:rPr>
          <w:rFonts w:hint="eastAsia" w:ascii="宋体" w:hAnsi="宋体"/>
          <w:szCs w:val="21"/>
        </w:rPr>
      </w:pPr>
    </w:p>
    <w:p w14:paraId="25B4A263">
      <w:pPr>
        <w:adjustRightInd w:val="0"/>
        <w:snapToGrid w:val="0"/>
        <w:rPr>
          <w:rFonts w:hint="eastAsia" w:ascii="宋体" w:hAnsi="宋体"/>
          <w:szCs w:val="21"/>
        </w:rPr>
      </w:pPr>
    </w:p>
    <w:p w14:paraId="1DC66444">
      <w:pPr>
        <w:adjustRightInd w:val="0"/>
        <w:snapToGrid w:val="0"/>
        <w:rPr>
          <w:rFonts w:hint="eastAsia" w:ascii="宋体" w:hAnsi="宋体"/>
          <w:szCs w:val="21"/>
        </w:rPr>
      </w:pPr>
    </w:p>
    <w:p w14:paraId="5F01564C">
      <w:pPr>
        <w:adjustRightInd w:val="0"/>
        <w:snapToGrid w:val="0"/>
        <w:spacing w:line="360" w:lineRule="auto"/>
        <w:rPr>
          <w:rFonts w:hint="eastAsia" w:ascii="宋体" w:hAnsi="宋体"/>
          <w:b/>
          <w:sz w:val="28"/>
          <w:szCs w:val="28"/>
        </w:rPr>
      </w:pPr>
      <w:r>
        <w:rPr>
          <w:rFonts w:ascii="宋体" w:hAnsi="宋体"/>
          <w:b/>
          <w:sz w:val="30"/>
          <w:szCs w:val="30"/>
        </w:rPr>
        <w:br w:type="page"/>
      </w:r>
      <w:r>
        <w:rPr>
          <w:rFonts w:hint="eastAsia" w:ascii="宋体" w:hAnsi="宋体"/>
          <w:b/>
          <w:sz w:val="28"/>
          <w:szCs w:val="28"/>
        </w:rPr>
        <w:t>一、总则</w:t>
      </w:r>
    </w:p>
    <w:p w14:paraId="51589A65">
      <w:pPr>
        <w:adjustRightInd w:val="0"/>
        <w:snapToGrid w:val="0"/>
        <w:spacing w:line="360" w:lineRule="auto"/>
        <w:rPr>
          <w:rFonts w:hint="eastAsia" w:ascii="宋体" w:hAnsi="宋体"/>
          <w:b/>
          <w:sz w:val="28"/>
          <w:szCs w:val="28"/>
        </w:rPr>
      </w:pPr>
      <w:r>
        <w:rPr>
          <w:rFonts w:ascii="宋体" w:hAnsi="宋体"/>
          <w:b/>
          <w:sz w:val="28"/>
          <w:szCs w:val="28"/>
        </w:rPr>
        <w:t>1</w:t>
      </w:r>
      <w:r>
        <w:rPr>
          <w:rFonts w:hint="eastAsia" w:ascii="宋体" w:hAnsi="宋体"/>
          <w:b/>
          <w:sz w:val="28"/>
          <w:szCs w:val="28"/>
        </w:rPr>
        <w:t>、投标要求</w:t>
      </w:r>
    </w:p>
    <w:p w14:paraId="4F27E709">
      <w:pPr>
        <w:spacing w:line="360" w:lineRule="auto"/>
        <w:ind w:left="554" w:hanging="554" w:hangingChars="231"/>
        <w:rPr>
          <w:rFonts w:hint="eastAsia" w:ascii="宋体" w:hAnsi="宋体"/>
          <w:sz w:val="24"/>
        </w:rPr>
      </w:pPr>
      <w:r>
        <w:rPr>
          <w:rFonts w:ascii="宋体" w:hAnsi="宋体"/>
          <w:sz w:val="24"/>
        </w:rPr>
        <w:t xml:space="preserve">1.1 </w:t>
      </w:r>
      <w:r>
        <w:rPr>
          <w:rFonts w:hint="eastAsia" w:ascii="宋体" w:hAnsi="宋体"/>
          <w:sz w:val="24"/>
        </w:rPr>
        <w:t xml:space="preserve"> 投标人在准备投标书时，务必在所提供的商品的技术规格文件中，标明型号、商标名称、目录号。</w:t>
      </w:r>
    </w:p>
    <w:p w14:paraId="48D73603">
      <w:pPr>
        <w:spacing w:line="360" w:lineRule="auto"/>
        <w:ind w:left="554" w:hanging="554" w:hangingChars="231"/>
        <w:rPr>
          <w:rFonts w:hint="eastAsia" w:ascii="宋体" w:hAnsi="宋体"/>
          <w:sz w:val="24"/>
        </w:rPr>
      </w:pPr>
      <w:r>
        <w:rPr>
          <w:rFonts w:hint="eastAsia" w:ascii="宋体" w:hAnsi="宋体"/>
          <w:sz w:val="24"/>
        </w:rPr>
        <w:t>1.2  投标人提供的货物须是成熟的全新的产品，其技术规格应符合招标文件的要求。如与招标文件的技术规格有偏差，应提供技术规格偏差的量值或说明（偏离表）。如投标人有意隐瞒对规格要求的偏差或在开标后提出新的偏差，买方有权扣留其投标保证金或/并拒绝其投标。</w:t>
      </w:r>
    </w:p>
    <w:p w14:paraId="033FE098">
      <w:pPr>
        <w:spacing w:line="360" w:lineRule="auto"/>
        <w:ind w:left="554" w:hanging="554" w:hangingChars="231"/>
        <w:rPr>
          <w:rFonts w:ascii="宋体"/>
          <w:sz w:val="24"/>
        </w:rPr>
      </w:pPr>
      <w:r>
        <w:rPr>
          <w:rFonts w:hint="eastAsia" w:ascii="宋体" w:hAnsi="宋体"/>
          <w:sz w:val="24"/>
        </w:rPr>
        <w:t xml:space="preserve">1.3  </w:t>
      </w:r>
      <w:r>
        <w:rPr>
          <w:rFonts w:hint="eastAsia"/>
          <w:sz w:val="24"/>
        </w:rPr>
        <w:t>投标人提供的</w:t>
      </w:r>
      <w:r>
        <w:rPr>
          <w:rFonts w:hint="eastAsia" w:ascii="宋体"/>
          <w:sz w:val="24"/>
        </w:rPr>
        <w:t>产品</w:t>
      </w:r>
      <w:r>
        <w:rPr>
          <w:rFonts w:hint="eastAsia"/>
          <w:sz w:val="24"/>
        </w:rPr>
        <w:t>样本，必须是“原件”而非复印件，</w:t>
      </w:r>
      <w:r>
        <w:rPr>
          <w:rFonts w:hint="eastAsia" w:ascii="宋体"/>
          <w:sz w:val="24"/>
        </w:rPr>
        <w:t>图表、简图、电路图以及印刷电路板图等都应</w:t>
      </w:r>
      <w:r>
        <w:rPr>
          <w:rFonts w:hint="eastAsia"/>
          <w:sz w:val="24"/>
        </w:rPr>
        <w:t>清晰易读。买方有权</w:t>
      </w:r>
      <w:r>
        <w:rPr>
          <w:rFonts w:hint="eastAsia" w:ascii="宋体"/>
          <w:sz w:val="24"/>
        </w:rPr>
        <w:t>不付任何附加费用</w:t>
      </w:r>
      <w:r>
        <w:rPr>
          <w:rFonts w:hint="eastAsia"/>
          <w:sz w:val="24"/>
        </w:rPr>
        <w:t>复制这些资料</w:t>
      </w:r>
      <w:r>
        <w:rPr>
          <w:rFonts w:hint="eastAsia" w:ascii="宋体"/>
          <w:sz w:val="24"/>
        </w:rPr>
        <w:t>以供参考。</w:t>
      </w:r>
    </w:p>
    <w:p w14:paraId="4497CFFB">
      <w:pPr>
        <w:spacing w:line="360" w:lineRule="auto"/>
        <w:ind w:left="554" w:hanging="554" w:hangingChars="231"/>
        <w:rPr>
          <w:rFonts w:ascii="宋体"/>
          <w:sz w:val="24"/>
        </w:rPr>
      </w:pPr>
      <w:r>
        <w:rPr>
          <w:rFonts w:hint="eastAsia" w:ascii="宋体"/>
          <w:sz w:val="24"/>
        </w:rPr>
        <w:t>1.4  投标人的投标产品应符合国家有关部门规定的相应技术、计量、节能、安全和环保法规及标准；如国家有关部门对投标人的投标产品有强制性规定或要求的，则投标人的投标产品必须符合相应规定或要求，投标人须提供相关证明文件的复印件。</w:t>
      </w:r>
    </w:p>
    <w:p w14:paraId="0F12A2D6">
      <w:pPr>
        <w:adjustRightInd w:val="0"/>
        <w:snapToGrid w:val="0"/>
        <w:spacing w:line="360" w:lineRule="auto"/>
        <w:rPr>
          <w:rFonts w:hint="eastAsia" w:ascii="宋体" w:hAnsi="宋体"/>
          <w:b/>
          <w:sz w:val="28"/>
          <w:szCs w:val="28"/>
        </w:rPr>
      </w:pPr>
      <w:r>
        <w:rPr>
          <w:rFonts w:hint="eastAsia" w:ascii="宋体" w:hAnsi="宋体"/>
          <w:b/>
          <w:sz w:val="28"/>
          <w:szCs w:val="28"/>
        </w:rPr>
        <w:t>2、评标标准</w:t>
      </w:r>
    </w:p>
    <w:p w14:paraId="58FD9D45">
      <w:pPr>
        <w:spacing w:line="360" w:lineRule="auto"/>
        <w:ind w:left="554" w:hanging="554" w:hangingChars="231"/>
        <w:rPr>
          <w:rFonts w:ascii="宋体"/>
          <w:sz w:val="24"/>
        </w:rPr>
      </w:pPr>
      <w:r>
        <w:rPr>
          <w:rFonts w:ascii="宋体" w:hAnsi="宋体"/>
          <w:sz w:val="24"/>
        </w:rPr>
        <w:t>2.</w:t>
      </w:r>
      <w:r>
        <w:rPr>
          <w:rFonts w:hint="eastAsia" w:ascii="宋体" w:hAnsi="宋体"/>
          <w:sz w:val="24"/>
        </w:rPr>
        <w:t xml:space="preserve">1  </w:t>
      </w:r>
      <w:r>
        <w:rPr>
          <w:rFonts w:hint="eastAsia"/>
          <w:sz w:val="24"/>
        </w:rPr>
        <w:t>除招标文件中指定的附件和专用工具外，</w:t>
      </w:r>
      <w:r>
        <w:rPr>
          <w:rFonts w:hint="eastAsia" w:ascii="宋体"/>
          <w:sz w:val="24"/>
        </w:rPr>
        <w:t>投标人应提供仪器设备的正常运行和常规保养所需的全套标准附件、专用工具</w:t>
      </w:r>
      <w:r>
        <w:rPr>
          <w:rFonts w:hint="eastAsia"/>
          <w:sz w:val="24"/>
        </w:rPr>
        <w:t>和消耗品</w:t>
      </w:r>
      <w:r>
        <w:rPr>
          <w:rFonts w:hint="eastAsia" w:ascii="宋体"/>
          <w:sz w:val="24"/>
        </w:rPr>
        <w:t>。投标人在投标书中需列出这些附件和工具的数量和单价的清单，这些附件和工具的报价的总值需计入投标价中。</w:t>
      </w:r>
    </w:p>
    <w:p w14:paraId="14873C62">
      <w:pPr>
        <w:spacing w:line="360" w:lineRule="auto"/>
        <w:ind w:left="554" w:hanging="554" w:hangingChars="231"/>
        <w:rPr>
          <w:sz w:val="24"/>
        </w:rPr>
      </w:pPr>
      <w:r>
        <w:rPr>
          <w:rFonts w:hint="eastAsia" w:ascii="宋体" w:hAnsi="宋体"/>
          <w:sz w:val="24"/>
        </w:rPr>
        <w:t xml:space="preserve">2.2  </w:t>
      </w:r>
      <w:r>
        <w:rPr>
          <w:rFonts w:hint="eastAsia"/>
          <w:sz w:val="24"/>
        </w:rPr>
        <w:t>对于标书</w:t>
      </w:r>
      <w:r>
        <w:rPr>
          <w:rFonts w:hint="eastAsia" w:ascii="宋体"/>
          <w:sz w:val="24"/>
        </w:rPr>
        <w:t>技术规范中已列</w:t>
      </w:r>
      <w:r>
        <w:rPr>
          <w:rFonts w:hint="eastAsia"/>
          <w:sz w:val="24"/>
        </w:rPr>
        <w:t>出的作为查询选件的附件、零配件、专用工具和消耗品，投标书中</w:t>
      </w:r>
      <w:r>
        <w:rPr>
          <w:rFonts w:hint="eastAsia" w:ascii="宋体"/>
          <w:sz w:val="24"/>
        </w:rPr>
        <w:t>应列明其数量、单价、总价供买方参考。投标人也可推荐买方没有要求的附件或专用工具作为选件，并列明其数量、单价、总价供买方参考。选件价格不计入评标价中。</w:t>
      </w:r>
    </w:p>
    <w:p w14:paraId="232426B0">
      <w:pPr>
        <w:spacing w:line="360" w:lineRule="auto"/>
        <w:ind w:left="554" w:hanging="554" w:hangingChars="231"/>
        <w:rPr>
          <w:rFonts w:hint="eastAsia" w:ascii="宋体" w:hAnsi="宋体"/>
          <w:sz w:val="24"/>
        </w:rPr>
      </w:pPr>
      <w:r>
        <w:rPr>
          <w:rFonts w:hint="eastAsia" w:ascii="宋体" w:hAnsi="宋体"/>
          <w:sz w:val="24"/>
        </w:rPr>
        <w:t>2.3  为便于用户进行接收仪器的准备工作，卖方应在合同生效后</w:t>
      </w:r>
      <w:r>
        <w:rPr>
          <w:rFonts w:ascii="宋体" w:hAnsi="宋体"/>
          <w:b/>
          <w:sz w:val="24"/>
        </w:rPr>
        <w:t>3</w:t>
      </w:r>
      <w:r>
        <w:rPr>
          <w:rFonts w:hint="eastAsia" w:ascii="宋体" w:hAnsi="宋体"/>
          <w:b/>
          <w:sz w:val="24"/>
        </w:rPr>
        <w:t>0</w:t>
      </w:r>
      <w:r>
        <w:rPr>
          <w:rFonts w:hint="eastAsia" w:ascii="宋体" w:hAnsi="宋体"/>
          <w:sz w:val="24"/>
        </w:rPr>
        <w:t>天内向用户提供一套完整的使用说明书、操作手册、维修及安装说明等文件。另一套完整上述资料应在交货时随货包装提供给用户，这些费用应计入投标价中。</w:t>
      </w:r>
    </w:p>
    <w:p w14:paraId="3CECF26C">
      <w:pPr>
        <w:spacing w:line="360" w:lineRule="auto"/>
        <w:ind w:left="554" w:hanging="554" w:hangingChars="231"/>
        <w:rPr>
          <w:rFonts w:hint="eastAsia" w:ascii="宋体" w:hAnsi="宋体"/>
          <w:sz w:val="24"/>
        </w:rPr>
      </w:pPr>
      <w:r>
        <w:rPr>
          <w:rFonts w:hint="eastAsia" w:ascii="宋体" w:hAnsi="宋体"/>
          <w:sz w:val="24"/>
        </w:rPr>
        <w:t>2</w:t>
      </w:r>
      <w:r>
        <w:rPr>
          <w:rFonts w:ascii="宋体" w:hAnsi="宋体"/>
          <w:sz w:val="24"/>
        </w:rPr>
        <w:t>.</w:t>
      </w:r>
      <w:r>
        <w:rPr>
          <w:rFonts w:hint="eastAsia" w:ascii="宋体" w:hAnsi="宋体"/>
          <w:sz w:val="24"/>
        </w:rPr>
        <w:t>4</w:t>
      </w:r>
      <w:r>
        <w:rPr>
          <w:rFonts w:ascii="宋体" w:hAnsi="宋体"/>
          <w:sz w:val="24"/>
        </w:rPr>
        <w:t xml:space="preserve"> </w:t>
      </w:r>
      <w:r>
        <w:rPr>
          <w:rFonts w:hint="eastAsia" w:ascii="宋体" w:hAnsi="宋体"/>
          <w:sz w:val="24"/>
        </w:rPr>
        <w:t xml:space="preserve"> 关于设备的安装调试，如果有必要的安装准备条件，卖方应在合同生效后一个月内向买方提出详细的要求或计划。安装调试的费用应计入投标价中，并应单独列出，供评标使用。</w:t>
      </w:r>
    </w:p>
    <w:p w14:paraId="691CF3D2">
      <w:pPr>
        <w:spacing w:line="360" w:lineRule="auto"/>
        <w:ind w:left="554" w:hanging="554" w:hangingChars="231"/>
        <w:rPr>
          <w:rFonts w:hint="eastAsia" w:ascii="宋体" w:hAnsi="宋体"/>
          <w:sz w:val="24"/>
        </w:rPr>
      </w:pPr>
      <w:r>
        <w:rPr>
          <w:rFonts w:ascii="宋体" w:hAnsi="宋体"/>
          <w:sz w:val="24"/>
        </w:rPr>
        <w:t>2.</w:t>
      </w:r>
      <w:r>
        <w:rPr>
          <w:rFonts w:hint="eastAsia" w:ascii="宋体" w:hAnsi="宋体"/>
          <w:sz w:val="24"/>
        </w:rPr>
        <w:t>5  制造厂家提供的培训指的是涉及货物的基本原理、操作使用和保养维修等有关内容的培训。培训教员的培训费、旅费、食宿费等费用和培训场地费及培训资料费均应由卖方支付。</w:t>
      </w:r>
    </w:p>
    <w:p w14:paraId="16C2B049">
      <w:pPr>
        <w:adjustRightInd w:val="0"/>
        <w:snapToGrid w:val="0"/>
        <w:spacing w:line="360" w:lineRule="auto"/>
        <w:rPr>
          <w:rFonts w:hint="eastAsia" w:ascii="宋体" w:hAnsi="宋体"/>
          <w:b/>
          <w:sz w:val="28"/>
          <w:szCs w:val="28"/>
        </w:rPr>
      </w:pPr>
      <w:r>
        <w:rPr>
          <w:rFonts w:hint="eastAsia" w:ascii="宋体" w:hAnsi="宋体"/>
          <w:b/>
          <w:sz w:val="28"/>
          <w:szCs w:val="28"/>
        </w:rPr>
        <w:t>3、工作条件</w:t>
      </w:r>
    </w:p>
    <w:p w14:paraId="45F190B3">
      <w:pPr>
        <w:spacing w:after="312" w:afterLines="100" w:line="360" w:lineRule="auto"/>
        <w:rPr>
          <w:rFonts w:hint="eastAsia" w:ascii="宋体" w:hAnsi="宋体"/>
          <w:sz w:val="24"/>
        </w:rPr>
      </w:pPr>
      <w:r>
        <w:rPr>
          <w:rFonts w:hint="eastAsia" w:ascii="宋体" w:hAnsi="宋体"/>
          <w:sz w:val="24"/>
        </w:rPr>
        <w:t>除非在技术规格中另有说明，所有仪器、设备和系统都应符合下列要求：</w:t>
      </w:r>
      <w:r>
        <w:rPr>
          <w:rFonts w:ascii="宋体" w:hAnsi="宋体"/>
          <w:sz w:val="24"/>
        </w:rPr>
        <w:t xml:space="preserve"> </w:t>
      </w:r>
    </w:p>
    <w:p w14:paraId="5F48F4FF">
      <w:pPr>
        <w:spacing w:line="360" w:lineRule="auto"/>
        <w:ind w:left="554" w:hanging="554" w:hangingChars="231"/>
        <w:rPr>
          <w:rFonts w:hint="eastAsia" w:ascii="宋体" w:hAnsi="宋体"/>
          <w:sz w:val="24"/>
        </w:rPr>
      </w:pPr>
      <w:r>
        <w:rPr>
          <w:rFonts w:hint="eastAsia" w:ascii="宋体" w:hAnsi="宋体"/>
          <w:sz w:val="24"/>
        </w:rPr>
        <w:t>3.1  适于在气温为摄氏</w:t>
      </w:r>
      <w:r>
        <w:rPr>
          <w:rFonts w:ascii="宋体" w:hAnsi="宋体"/>
          <w:b/>
          <w:sz w:val="24"/>
        </w:rPr>
        <w:t>-40</w:t>
      </w:r>
      <w:r>
        <w:rPr>
          <w:rFonts w:hint="eastAsia" w:ascii="宋体" w:hAnsi="宋体"/>
          <w:b/>
          <w:sz w:val="24"/>
        </w:rPr>
        <w:t>℃～＋</w:t>
      </w:r>
      <w:r>
        <w:rPr>
          <w:rFonts w:ascii="宋体" w:hAnsi="宋体"/>
          <w:b/>
          <w:sz w:val="24"/>
        </w:rPr>
        <w:t>50</w:t>
      </w:r>
      <w:r>
        <w:rPr>
          <w:rFonts w:hint="eastAsia" w:ascii="宋体" w:hAnsi="宋体"/>
          <w:b/>
          <w:sz w:val="24"/>
        </w:rPr>
        <w:t>℃</w:t>
      </w:r>
      <w:r>
        <w:rPr>
          <w:rFonts w:hint="eastAsia" w:ascii="宋体" w:hAnsi="宋体"/>
          <w:sz w:val="24"/>
        </w:rPr>
        <w:t>和相对湿度为</w:t>
      </w:r>
      <w:r>
        <w:rPr>
          <w:rFonts w:ascii="宋体" w:hAnsi="宋体"/>
          <w:b/>
          <w:sz w:val="24"/>
        </w:rPr>
        <w:t>90</w:t>
      </w:r>
      <w:r>
        <w:rPr>
          <w:rFonts w:hint="eastAsia" w:ascii="宋体" w:hAnsi="宋体"/>
          <w:b/>
          <w:sz w:val="24"/>
        </w:rPr>
        <w:t>％</w:t>
      </w:r>
      <w:r>
        <w:rPr>
          <w:rFonts w:hint="eastAsia" w:ascii="宋体" w:hAnsi="宋体"/>
          <w:sz w:val="24"/>
        </w:rPr>
        <w:t>的环境条件下运输和贮存。</w:t>
      </w:r>
    </w:p>
    <w:p w14:paraId="0CEBCFE7">
      <w:pPr>
        <w:spacing w:line="360" w:lineRule="auto"/>
        <w:ind w:left="554" w:hanging="554" w:hangingChars="231"/>
        <w:rPr>
          <w:rFonts w:hint="eastAsia" w:ascii="宋体" w:hAnsi="宋体"/>
          <w:sz w:val="24"/>
        </w:rPr>
      </w:pPr>
      <w:r>
        <w:rPr>
          <w:rFonts w:hint="eastAsia" w:ascii="宋体" w:hAnsi="宋体"/>
          <w:sz w:val="24"/>
        </w:rPr>
        <w:t>3.2  适于在电源</w:t>
      </w:r>
      <w:r>
        <w:rPr>
          <w:rFonts w:ascii="宋体" w:hAnsi="宋体"/>
          <w:b/>
          <w:sz w:val="24"/>
        </w:rPr>
        <w:t>220V</w:t>
      </w:r>
      <w:r>
        <w:rPr>
          <w:rFonts w:hint="eastAsia" w:ascii="宋体" w:hAnsi="宋体"/>
          <w:b/>
          <w:sz w:val="24"/>
        </w:rPr>
        <w:t>（</w:t>
      </w:r>
      <w:r>
        <w:rPr>
          <w:rFonts w:ascii="宋体" w:hAnsi="宋体"/>
          <w:b/>
          <w:sz w:val="24"/>
        </w:rPr>
        <w:sym w:font="Symbol" w:char="F0B1"/>
      </w:r>
      <w:r>
        <w:rPr>
          <w:rFonts w:ascii="宋体" w:hAnsi="宋体"/>
          <w:b/>
          <w:sz w:val="24"/>
        </w:rPr>
        <w:t>10</w:t>
      </w:r>
      <w:r>
        <w:rPr>
          <w:rFonts w:hint="eastAsia" w:ascii="宋体" w:hAnsi="宋体"/>
          <w:b/>
          <w:sz w:val="24"/>
        </w:rPr>
        <w:t>％）</w:t>
      </w:r>
      <w:r>
        <w:rPr>
          <w:rFonts w:ascii="宋体" w:hAnsi="宋体"/>
          <w:b/>
          <w:sz w:val="24"/>
        </w:rPr>
        <w:t>/50Hz</w:t>
      </w:r>
      <w:r>
        <w:rPr>
          <w:rFonts w:hint="eastAsia" w:ascii="宋体" w:hAnsi="宋体"/>
          <w:sz w:val="24"/>
        </w:rPr>
        <w:t>、气温摄氏</w:t>
      </w:r>
      <w:r>
        <w:rPr>
          <w:rFonts w:hint="eastAsia" w:ascii="宋体" w:hAnsi="宋体"/>
          <w:b/>
          <w:sz w:val="24"/>
        </w:rPr>
        <w:t>+1</w:t>
      </w:r>
      <w:r>
        <w:rPr>
          <w:rFonts w:ascii="宋体" w:hAnsi="宋体"/>
          <w:b/>
          <w:sz w:val="24"/>
        </w:rPr>
        <w:t>5</w:t>
      </w:r>
      <w:r>
        <w:rPr>
          <w:rFonts w:hint="eastAsia" w:ascii="宋体" w:hAnsi="宋体"/>
          <w:b/>
          <w:sz w:val="24"/>
        </w:rPr>
        <w:t>℃～＋3</w:t>
      </w:r>
      <w:r>
        <w:rPr>
          <w:rFonts w:ascii="宋体" w:hAnsi="宋体"/>
          <w:b/>
          <w:sz w:val="24"/>
        </w:rPr>
        <w:t>0</w:t>
      </w:r>
      <w:r>
        <w:rPr>
          <w:rFonts w:hint="eastAsia" w:ascii="宋体" w:hAnsi="宋体"/>
          <w:b/>
          <w:sz w:val="24"/>
        </w:rPr>
        <w:t>℃</w:t>
      </w:r>
      <w:r>
        <w:rPr>
          <w:rFonts w:hint="eastAsia" w:ascii="宋体" w:hAnsi="宋体"/>
          <w:sz w:val="24"/>
        </w:rPr>
        <w:t>和相对湿度小于</w:t>
      </w:r>
      <w:r>
        <w:rPr>
          <w:rFonts w:ascii="宋体" w:hAnsi="宋体"/>
          <w:b/>
          <w:sz w:val="24"/>
        </w:rPr>
        <w:t>8</w:t>
      </w:r>
      <w:r>
        <w:rPr>
          <w:rFonts w:hint="eastAsia" w:ascii="宋体" w:hAnsi="宋体"/>
          <w:b/>
          <w:sz w:val="24"/>
        </w:rPr>
        <w:t>0％</w:t>
      </w:r>
      <w:r>
        <w:rPr>
          <w:rFonts w:hint="eastAsia" w:ascii="宋体" w:hAnsi="宋体"/>
          <w:sz w:val="24"/>
        </w:rPr>
        <w:t>的环境条件下运行。</w:t>
      </w:r>
      <w:r>
        <w:rPr>
          <w:rFonts w:hint="eastAsia" w:ascii="宋体" w:hAnsi="宋体"/>
          <w:b/>
          <w:sz w:val="24"/>
        </w:rPr>
        <w:t>能够连续正常工作。</w:t>
      </w:r>
    </w:p>
    <w:p w14:paraId="4D938EA9">
      <w:pPr>
        <w:spacing w:line="360" w:lineRule="auto"/>
        <w:ind w:left="554" w:hanging="554" w:hangingChars="231"/>
        <w:rPr>
          <w:rFonts w:hint="eastAsia" w:ascii="宋体" w:hAnsi="宋体"/>
          <w:sz w:val="24"/>
        </w:rPr>
      </w:pPr>
      <w:r>
        <w:rPr>
          <w:rFonts w:hint="eastAsia" w:ascii="宋体" w:hAnsi="宋体"/>
          <w:sz w:val="24"/>
        </w:rPr>
        <w:t>3.3  配置符合中国有关标准要求的插头，如果没有这样的插头，则需</w:t>
      </w:r>
      <w:r>
        <w:rPr>
          <w:rFonts w:hint="eastAsia" w:ascii="宋体"/>
          <w:sz w:val="24"/>
        </w:rPr>
        <w:t>提供适当的转</w:t>
      </w:r>
      <w:r>
        <w:rPr>
          <w:rFonts w:hint="eastAsia" w:ascii="宋体" w:hAnsi="宋体"/>
          <w:sz w:val="24"/>
        </w:rPr>
        <w:t>换插座。</w:t>
      </w:r>
    </w:p>
    <w:p w14:paraId="30D4B6A6">
      <w:pPr>
        <w:spacing w:line="360" w:lineRule="auto"/>
        <w:ind w:left="554" w:hanging="554" w:hangingChars="231"/>
        <w:rPr>
          <w:rFonts w:hint="eastAsia" w:ascii="宋体" w:hAnsi="宋体"/>
          <w:sz w:val="24"/>
        </w:rPr>
      </w:pPr>
      <w:r>
        <w:rPr>
          <w:rFonts w:hint="eastAsia" w:ascii="宋体" w:hAnsi="宋体"/>
          <w:sz w:val="24"/>
        </w:rPr>
        <w:t>3.4  如产品达不到上述要求，投标人应注明其偏差。如仪器设备需要特殊工作条件（如水、电源、磁场强度、温度、湿度、动强度等）投标人应在投标书中加以说明。</w:t>
      </w:r>
    </w:p>
    <w:p w14:paraId="6B6FBC31">
      <w:pPr>
        <w:rPr>
          <w:rFonts w:eastAsia="黑体"/>
          <w:b/>
          <w:bCs/>
          <w:kern w:val="44"/>
          <w:sz w:val="24"/>
        </w:rPr>
      </w:pPr>
    </w:p>
    <w:p w14:paraId="3893A55A">
      <w:pPr>
        <w:adjustRightInd w:val="0"/>
        <w:snapToGrid w:val="0"/>
        <w:spacing w:line="360" w:lineRule="auto"/>
        <w:rPr>
          <w:rFonts w:hint="eastAsia" w:ascii="宋体" w:hAnsi="宋体"/>
          <w:b/>
          <w:sz w:val="28"/>
          <w:szCs w:val="28"/>
        </w:rPr>
      </w:pPr>
      <w:r>
        <w:rPr>
          <w:rFonts w:hint="eastAsia" w:ascii="宋体" w:hAnsi="宋体"/>
          <w:b/>
          <w:sz w:val="28"/>
          <w:szCs w:val="28"/>
        </w:rPr>
        <w:t>4、验收标准</w:t>
      </w:r>
    </w:p>
    <w:p w14:paraId="133B49C9">
      <w:pPr>
        <w:spacing w:after="312" w:afterLines="100" w:line="360" w:lineRule="auto"/>
        <w:rPr>
          <w:rFonts w:hint="eastAsia" w:ascii="宋体" w:hAnsi="宋体"/>
          <w:sz w:val="24"/>
        </w:rPr>
      </w:pPr>
      <w:r>
        <w:rPr>
          <w:rFonts w:hint="eastAsia" w:ascii="宋体" w:hAnsi="宋体"/>
          <w:sz w:val="24"/>
        </w:rPr>
        <w:t>除非在技术规格中另有说明，所有仪器、设备和系统按下列要求进行验收：</w:t>
      </w:r>
      <w:r>
        <w:rPr>
          <w:rFonts w:ascii="宋体" w:hAnsi="宋体"/>
          <w:sz w:val="24"/>
        </w:rPr>
        <w:t xml:space="preserve"> </w:t>
      </w:r>
    </w:p>
    <w:p w14:paraId="648A608F">
      <w:pPr>
        <w:spacing w:line="360" w:lineRule="auto"/>
        <w:ind w:left="554" w:hanging="554" w:hangingChars="231"/>
        <w:rPr>
          <w:rFonts w:hint="eastAsia" w:ascii="宋体" w:hAnsi="宋体"/>
          <w:sz w:val="24"/>
        </w:rPr>
      </w:pPr>
      <w:r>
        <w:rPr>
          <w:rFonts w:hint="eastAsia" w:ascii="宋体" w:hAnsi="宋体"/>
          <w:sz w:val="24"/>
        </w:rPr>
        <w:t>4.1  仪器设备运抵安装现场后，买方将与卖方共同开箱验收</w:t>
      </w:r>
      <w:r>
        <w:rPr>
          <w:rFonts w:ascii="宋体" w:hAnsi="宋体"/>
          <w:sz w:val="24"/>
        </w:rPr>
        <w:t xml:space="preserve">, </w:t>
      </w:r>
      <w:r>
        <w:rPr>
          <w:rFonts w:hint="eastAsia" w:ascii="宋体" w:hAnsi="宋体"/>
          <w:sz w:val="24"/>
        </w:rPr>
        <w:t>如卖方届时不派人来</w:t>
      </w:r>
      <w:r>
        <w:rPr>
          <w:rFonts w:ascii="宋体" w:hAnsi="宋体"/>
          <w:sz w:val="24"/>
        </w:rPr>
        <w:t xml:space="preserve">, </w:t>
      </w:r>
      <w:r>
        <w:rPr>
          <w:rFonts w:hint="eastAsia" w:ascii="宋体" w:hAnsi="宋体"/>
          <w:sz w:val="24"/>
        </w:rPr>
        <w:t>则验收结果应以买方的验收报告为最终验收结果。验收时发现短缺、破损</w:t>
      </w:r>
      <w:r>
        <w:rPr>
          <w:rFonts w:ascii="宋体" w:hAnsi="宋体"/>
          <w:sz w:val="24"/>
        </w:rPr>
        <w:t xml:space="preserve">, </w:t>
      </w:r>
      <w:r>
        <w:rPr>
          <w:rFonts w:hint="eastAsia" w:ascii="宋体" w:hAnsi="宋体"/>
          <w:sz w:val="24"/>
        </w:rPr>
        <w:t>买方有权要求卖方负责更换。</w:t>
      </w:r>
    </w:p>
    <w:p w14:paraId="2BA74529">
      <w:pPr>
        <w:spacing w:line="360" w:lineRule="auto"/>
        <w:ind w:left="554" w:hanging="554" w:hangingChars="231"/>
        <w:rPr>
          <w:rFonts w:hint="eastAsia" w:ascii="宋体" w:hAnsi="宋体"/>
          <w:sz w:val="24"/>
        </w:rPr>
      </w:pPr>
      <w:r>
        <w:rPr>
          <w:rFonts w:hint="eastAsia" w:ascii="宋体" w:hAnsi="宋体"/>
          <w:sz w:val="24"/>
        </w:rPr>
        <w:t xml:space="preserve">4.2  </w:t>
      </w:r>
      <w:r>
        <w:rPr>
          <w:rFonts w:hint="eastAsia"/>
          <w:sz w:val="24"/>
        </w:rPr>
        <w:t>验收标准以中标人提供的投标文件中所列的指标为准（该指标应不低于招标文件所要求的指标）。任何虚假指标响应一经发现即作废标，卖方必须承担由此给买方带来的一切经济损失和其它相关责任。</w:t>
      </w:r>
    </w:p>
    <w:p w14:paraId="4B150F5C">
      <w:pPr>
        <w:spacing w:line="360" w:lineRule="auto"/>
        <w:ind w:left="554" w:hanging="554" w:hangingChars="231"/>
        <w:rPr>
          <w:rFonts w:hint="eastAsia" w:ascii="宋体" w:hAnsi="宋体"/>
          <w:sz w:val="24"/>
        </w:rPr>
      </w:pPr>
      <w:r>
        <w:rPr>
          <w:rFonts w:hint="eastAsia" w:ascii="宋体" w:hAnsi="宋体"/>
          <w:sz w:val="24"/>
        </w:rPr>
        <w:t xml:space="preserve">4.3  </w:t>
      </w:r>
      <w:r>
        <w:rPr>
          <w:rFonts w:ascii="宋体" w:hAnsi="宋体"/>
          <w:sz w:val="24"/>
        </w:rPr>
        <w:t>验收由采购人、中标人及相关人员依国家有关标准、合同及有关附件要求进行，验收完毕由采购人及中标人在验收报告上签名。</w:t>
      </w:r>
    </w:p>
    <w:p w14:paraId="01FB119F">
      <w:pPr>
        <w:pStyle w:val="20"/>
        <w:spacing w:line="360" w:lineRule="auto"/>
        <w:ind w:left="410" w:hanging="410" w:hangingChars="170"/>
        <w:rPr>
          <w:rFonts w:hint="eastAsia" w:hAnsi="宋体"/>
          <w:b/>
          <w:sz w:val="24"/>
          <w:szCs w:val="24"/>
        </w:rPr>
      </w:pPr>
    </w:p>
    <w:p w14:paraId="17DFA208">
      <w:pPr>
        <w:adjustRightInd w:val="0"/>
        <w:snapToGrid w:val="0"/>
        <w:spacing w:line="360" w:lineRule="auto"/>
        <w:rPr>
          <w:rFonts w:hint="eastAsia" w:hAnsi="宋体"/>
          <w:b/>
          <w:sz w:val="24"/>
        </w:rPr>
      </w:pPr>
      <w:r>
        <w:rPr>
          <w:rFonts w:hint="eastAsia"/>
          <w:b/>
          <w:bCs/>
          <w:sz w:val="24"/>
        </w:rPr>
        <w:t>5、本采购需求书中标注“*”号技术条款的为实质性要求，不满足其投标将视为无效投标被拒绝。</w:t>
      </w:r>
    </w:p>
    <w:p w14:paraId="7957D942">
      <w:pPr>
        <w:adjustRightInd w:val="0"/>
        <w:snapToGrid w:val="0"/>
        <w:spacing w:line="360" w:lineRule="auto"/>
        <w:rPr>
          <w:rFonts w:hint="eastAsia" w:ascii="宋体" w:hAnsi="宋体"/>
          <w:b/>
          <w:sz w:val="24"/>
        </w:rPr>
      </w:pPr>
    </w:p>
    <w:p w14:paraId="3A36AD57">
      <w:pPr>
        <w:adjustRightInd w:val="0"/>
        <w:snapToGrid w:val="0"/>
        <w:spacing w:line="360" w:lineRule="auto"/>
        <w:rPr>
          <w:rFonts w:hint="eastAsia" w:ascii="宋体" w:hAnsi="宋体"/>
          <w:b/>
          <w:sz w:val="24"/>
        </w:rPr>
      </w:pPr>
      <w:r>
        <w:rPr>
          <w:rFonts w:hint="eastAsia" w:ascii="宋体" w:hAnsi="宋体"/>
          <w:b/>
          <w:sz w:val="24"/>
        </w:rPr>
        <w:t>6、如在具体技术规格中有本总则不一致之处，以具体技术规格中的要求为准。</w:t>
      </w:r>
    </w:p>
    <w:p w14:paraId="5EA4BFE4">
      <w:pPr>
        <w:adjustRightInd w:val="0"/>
        <w:snapToGrid w:val="0"/>
        <w:spacing w:line="360" w:lineRule="auto"/>
        <w:rPr>
          <w:rFonts w:hint="eastAsia" w:ascii="宋体" w:hAnsi="宋体"/>
          <w:b/>
          <w:sz w:val="28"/>
          <w:szCs w:val="28"/>
        </w:rPr>
      </w:pPr>
      <w:r>
        <w:rPr>
          <w:rFonts w:ascii="宋体" w:hAnsi="宋体"/>
          <w:b/>
          <w:sz w:val="28"/>
        </w:rPr>
        <w:br w:type="page"/>
      </w:r>
      <w:r>
        <w:rPr>
          <w:rFonts w:hint="eastAsia" w:ascii="宋体" w:hAnsi="宋体"/>
          <w:b/>
          <w:sz w:val="28"/>
          <w:szCs w:val="28"/>
        </w:rPr>
        <w:t>二、具体技术规格</w:t>
      </w:r>
    </w:p>
    <w:p w14:paraId="71626D22">
      <w:pPr>
        <w:jc w:val="center"/>
        <w:rPr>
          <w:b/>
          <w:sz w:val="24"/>
        </w:rPr>
      </w:pPr>
      <w:r>
        <w:rPr>
          <w:rFonts w:hint="eastAsia"/>
          <w:b/>
          <w:sz w:val="24"/>
        </w:rPr>
        <w:t>第1包 超高速流式分选系统</w:t>
      </w:r>
    </w:p>
    <w:p w14:paraId="6801B35A">
      <w:pPr>
        <w:rPr>
          <w:b/>
          <w:sz w:val="24"/>
        </w:rPr>
      </w:pPr>
    </w:p>
    <w:p w14:paraId="244A633B">
      <w:pPr>
        <w:numPr>
          <w:ilvl w:val="0"/>
          <w:numId w:val="1"/>
        </w:numPr>
        <w:rPr>
          <w:b/>
          <w:sz w:val="24"/>
        </w:rPr>
      </w:pPr>
      <w:r>
        <w:rPr>
          <w:rFonts w:hint="eastAsia"/>
          <w:b/>
          <w:sz w:val="24"/>
        </w:rPr>
        <w:t>技术要求：</w:t>
      </w:r>
    </w:p>
    <w:p w14:paraId="54CD989D">
      <w:pPr>
        <w:numPr>
          <w:ilvl w:val="0"/>
          <w:numId w:val="2"/>
        </w:numPr>
        <w:spacing w:line="360" w:lineRule="auto"/>
        <w:rPr>
          <w:b/>
          <w:sz w:val="24"/>
        </w:rPr>
      </w:pPr>
      <w:r>
        <w:rPr>
          <w:b/>
          <w:sz w:val="24"/>
        </w:rPr>
        <w:t>工作条件：</w:t>
      </w:r>
    </w:p>
    <w:p w14:paraId="6E649221">
      <w:pPr>
        <w:widowControl/>
        <w:spacing w:line="360" w:lineRule="auto"/>
        <w:rPr>
          <w:sz w:val="24"/>
        </w:rPr>
      </w:pPr>
      <w:r>
        <w:rPr>
          <w:sz w:val="24"/>
        </w:rPr>
        <w:t>1.1电源：电压 100-240V，电流10A，功率</w:t>
      </w:r>
      <w:r>
        <w:rPr>
          <w:rFonts w:hint="eastAsia"/>
          <w:sz w:val="24"/>
        </w:rPr>
        <w:t>200</w:t>
      </w:r>
      <w:r>
        <w:rPr>
          <w:sz w:val="24"/>
        </w:rPr>
        <w:t>VA；</w:t>
      </w:r>
    </w:p>
    <w:p w14:paraId="2346E6B0">
      <w:pPr>
        <w:widowControl/>
        <w:spacing w:line="360" w:lineRule="auto"/>
        <w:rPr>
          <w:sz w:val="24"/>
        </w:rPr>
      </w:pPr>
      <w:r>
        <w:rPr>
          <w:sz w:val="24"/>
        </w:rPr>
        <w:t>1.2环境温度：15 - 30 ℃；</w:t>
      </w:r>
    </w:p>
    <w:p w14:paraId="720CBA96">
      <w:pPr>
        <w:widowControl/>
        <w:spacing w:line="360" w:lineRule="auto"/>
        <w:rPr>
          <w:sz w:val="24"/>
        </w:rPr>
      </w:pPr>
      <w:r>
        <w:rPr>
          <w:sz w:val="24"/>
        </w:rPr>
        <w:t>1.3环境湿度：</w:t>
      </w:r>
      <w:r>
        <w:rPr>
          <w:rFonts w:hint="eastAsia"/>
          <w:sz w:val="24"/>
        </w:rPr>
        <w:t>20</w:t>
      </w:r>
      <w:r>
        <w:rPr>
          <w:sz w:val="24"/>
        </w:rPr>
        <w:t>% - 80%，无冷凝。</w:t>
      </w:r>
    </w:p>
    <w:p w14:paraId="6D5F05B9">
      <w:pPr>
        <w:widowControl/>
        <w:spacing w:line="360" w:lineRule="auto"/>
        <w:rPr>
          <w:sz w:val="24"/>
        </w:rPr>
      </w:pPr>
    </w:p>
    <w:p w14:paraId="716B8683">
      <w:pPr>
        <w:numPr>
          <w:ilvl w:val="0"/>
          <w:numId w:val="2"/>
        </w:numPr>
        <w:spacing w:line="360" w:lineRule="auto"/>
        <w:rPr>
          <w:b/>
          <w:sz w:val="24"/>
        </w:rPr>
      </w:pPr>
      <w:r>
        <w:rPr>
          <w:b/>
          <w:sz w:val="24"/>
        </w:rPr>
        <w:t>设备用途：</w:t>
      </w:r>
    </w:p>
    <w:p w14:paraId="4514369E">
      <w:pPr>
        <w:spacing w:line="360" w:lineRule="auto"/>
        <w:ind w:firstLine="480" w:firstLineChars="200"/>
        <w:rPr>
          <w:sz w:val="24"/>
        </w:rPr>
      </w:pPr>
      <w:r>
        <w:rPr>
          <w:rFonts w:hint="eastAsia"/>
          <w:sz w:val="24"/>
        </w:rPr>
        <w:t>能够对细胞进行多参数荧光检测与高速分选，支持植物细胞周期、基因组大小、</w:t>
      </w:r>
      <w:r>
        <w:rPr>
          <w:sz w:val="24"/>
        </w:rPr>
        <w:t>GC</w:t>
      </w:r>
      <w:r>
        <w:rPr>
          <w:rFonts w:hint="eastAsia"/>
          <w:sz w:val="24"/>
        </w:rPr>
        <w:t>含量及染色体倍性等关键性状的高通量分析。其精准分选功能可高效分离目标细胞亚群，为单细胞测序、功能研究提供高纯度样本。广泛应用于植物进化与遗传多样性分析、作物性状改良及细胞分裂机制研究，是植物分类学、基因组学和发育生物学研究的核心工具。</w:t>
      </w:r>
    </w:p>
    <w:p w14:paraId="33801BF3">
      <w:pPr>
        <w:spacing w:line="360" w:lineRule="auto"/>
        <w:rPr>
          <w:sz w:val="24"/>
        </w:rPr>
      </w:pPr>
    </w:p>
    <w:p w14:paraId="54BCF6DE">
      <w:pPr>
        <w:numPr>
          <w:ilvl w:val="0"/>
          <w:numId w:val="2"/>
        </w:numPr>
        <w:spacing w:line="360" w:lineRule="auto"/>
        <w:rPr>
          <w:b/>
          <w:sz w:val="24"/>
        </w:rPr>
      </w:pPr>
      <w:r>
        <w:rPr>
          <w:b/>
          <w:sz w:val="24"/>
        </w:rPr>
        <w:t>技术</w:t>
      </w:r>
      <w:r>
        <w:rPr>
          <w:rFonts w:hint="eastAsia"/>
          <w:b/>
          <w:sz w:val="24"/>
        </w:rPr>
        <w:t>参数</w:t>
      </w:r>
    </w:p>
    <w:p w14:paraId="70578853">
      <w:pPr>
        <w:spacing w:line="360" w:lineRule="auto"/>
        <w:rPr>
          <w:bCs/>
          <w:sz w:val="24"/>
        </w:rPr>
      </w:pPr>
      <w:bookmarkStart w:id="2" w:name="OLE_LINK3"/>
      <w:r>
        <w:rPr>
          <w:b/>
          <w:sz w:val="24"/>
        </w:rPr>
        <w:t>*</w:t>
      </w:r>
      <w:r>
        <w:rPr>
          <w:sz w:val="24"/>
        </w:rPr>
        <w:t>3.1主</w:t>
      </w:r>
      <w:r>
        <w:rPr>
          <w:bCs/>
          <w:sz w:val="24"/>
        </w:rPr>
        <w:t>机</w:t>
      </w:r>
      <w:r>
        <w:rPr>
          <w:rFonts w:hint="eastAsia"/>
          <w:bCs/>
          <w:sz w:val="24"/>
        </w:rPr>
        <w:t>具有四个独立激光器位置，至少</w:t>
      </w:r>
      <w:r>
        <w:rPr>
          <w:bCs/>
          <w:sz w:val="24"/>
        </w:rPr>
        <w:t>配置488nm≥</w:t>
      </w:r>
      <w:r>
        <w:rPr>
          <w:sz w:val="24"/>
        </w:rPr>
        <w:t>50mW</w:t>
      </w:r>
      <w:r>
        <w:rPr>
          <w:bCs/>
          <w:sz w:val="24"/>
        </w:rPr>
        <w:t>、638±2nm≥</w:t>
      </w:r>
      <w:r>
        <w:rPr>
          <w:sz w:val="24"/>
        </w:rPr>
        <w:t>100mW</w:t>
      </w:r>
      <w:r>
        <w:rPr>
          <w:rFonts w:hint="eastAsia"/>
          <w:bCs/>
          <w:sz w:val="24"/>
        </w:rPr>
        <w:t>和</w:t>
      </w:r>
      <w:r>
        <w:rPr>
          <w:bCs/>
          <w:sz w:val="24"/>
        </w:rPr>
        <w:t>405nm≥</w:t>
      </w:r>
      <w:r>
        <w:rPr>
          <w:sz w:val="24"/>
        </w:rPr>
        <w:t>90mW</w:t>
      </w:r>
      <w:r>
        <w:rPr>
          <w:rFonts w:hint="eastAsia"/>
          <w:sz w:val="24"/>
        </w:rPr>
        <w:t>和</w:t>
      </w:r>
      <w:r>
        <w:rPr>
          <w:sz w:val="24"/>
        </w:rPr>
        <w:t>561</w:t>
      </w:r>
      <w:r>
        <w:rPr>
          <w:rFonts w:hint="eastAsia"/>
          <w:sz w:val="24"/>
        </w:rPr>
        <w:t>nm≥</w:t>
      </w:r>
      <w:r>
        <w:rPr>
          <w:sz w:val="24"/>
        </w:rPr>
        <w:t>3</w:t>
      </w:r>
      <w:r>
        <w:rPr>
          <w:rFonts w:hint="eastAsia"/>
          <w:sz w:val="24"/>
        </w:rPr>
        <w:t>0mW</w:t>
      </w:r>
      <w:r>
        <w:rPr>
          <w:rFonts w:hint="eastAsia"/>
          <w:bCs/>
          <w:sz w:val="24"/>
        </w:rPr>
        <w:t>四</w:t>
      </w:r>
      <w:r>
        <w:rPr>
          <w:bCs/>
          <w:sz w:val="24"/>
        </w:rPr>
        <w:t>根固态激光器（</w:t>
      </w:r>
      <w:r>
        <w:rPr>
          <w:rFonts w:hint="eastAsia"/>
          <w:bCs/>
          <w:sz w:val="24"/>
        </w:rPr>
        <w:t>提供原厂技术彩页或说明书）</w:t>
      </w:r>
      <w:r>
        <w:rPr>
          <w:bCs/>
          <w:sz w:val="24"/>
        </w:rPr>
        <w:t>；</w:t>
      </w:r>
    </w:p>
    <w:p w14:paraId="6915C4A5">
      <w:pPr>
        <w:pStyle w:val="70"/>
        <w:adjustRightInd w:val="0"/>
        <w:spacing w:after="0" w:line="360" w:lineRule="auto"/>
        <w:ind w:left="0"/>
        <w:jc w:val="both"/>
        <w:rPr>
          <w:rFonts w:ascii="Times New Roman" w:hAnsi="Times New Roman"/>
          <w:sz w:val="24"/>
          <w:szCs w:val="24"/>
        </w:rPr>
      </w:pPr>
      <w:r>
        <w:rPr>
          <w:rFonts w:ascii="Times New Roman" w:hAnsi="Times New Roman"/>
          <w:b/>
          <w:kern w:val="2"/>
          <w:sz w:val="24"/>
          <w:szCs w:val="24"/>
        </w:rPr>
        <w:t>*</w:t>
      </w:r>
      <w:r>
        <w:rPr>
          <w:rFonts w:ascii="Times New Roman" w:hAnsi="Times New Roman"/>
          <w:bCs/>
          <w:sz w:val="24"/>
        </w:rPr>
        <w:t>3.2 检测参数</w:t>
      </w:r>
      <w:r>
        <w:rPr>
          <w:rFonts w:ascii="Times New Roman" w:hAnsi="Times New Roman"/>
          <w:sz w:val="24"/>
          <w:szCs w:val="24"/>
        </w:rPr>
        <w:t>：可以同时检测≥17个参数，包括15个荧光参数、SSC和FSC；</w:t>
      </w:r>
      <w:bookmarkEnd w:id="2"/>
    </w:p>
    <w:p w14:paraId="0325EEBF">
      <w:pPr>
        <w:spacing w:line="360" w:lineRule="auto"/>
        <w:rPr>
          <w:bCs/>
          <w:sz w:val="24"/>
        </w:rPr>
      </w:pPr>
      <w:r>
        <w:rPr>
          <w:rFonts w:hint="eastAsia"/>
          <w:b/>
          <w:sz w:val="24"/>
        </w:rPr>
        <w:t>#</w:t>
      </w:r>
      <w:r>
        <w:rPr>
          <w:b/>
          <w:sz w:val="24"/>
        </w:rPr>
        <w:t xml:space="preserve"> </w:t>
      </w:r>
      <w:r>
        <w:rPr>
          <w:bCs/>
          <w:sz w:val="24"/>
        </w:rPr>
        <w:t>3.3</w:t>
      </w:r>
      <w:r>
        <w:rPr>
          <w:rFonts w:hint="eastAsia"/>
          <w:bCs/>
          <w:sz w:val="24"/>
        </w:rPr>
        <w:t>检测器：采用APD检测器阵列；</w:t>
      </w:r>
    </w:p>
    <w:p w14:paraId="6144D214">
      <w:pPr>
        <w:spacing w:line="360" w:lineRule="auto"/>
        <w:rPr>
          <w:bCs/>
          <w:sz w:val="24"/>
        </w:rPr>
      </w:pPr>
      <w:r>
        <w:rPr>
          <w:rFonts w:hint="eastAsia"/>
          <w:b/>
          <w:sz w:val="24"/>
        </w:rPr>
        <w:t>#</w:t>
      </w:r>
      <w:r>
        <w:rPr>
          <w:b/>
          <w:sz w:val="24"/>
        </w:rPr>
        <w:t xml:space="preserve"> </w:t>
      </w:r>
      <w:r>
        <w:rPr>
          <w:bCs/>
          <w:sz w:val="24"/>
        </w:rPr>
        <w:t>3.</w:t>
      </w:r>
      <w:r>
        <w:rPr>
          <w:rFonts w:hint="eastAsia"/>
          <w:bCs/>
          <w:sz w:val="24"/>
        </w:rPr>
        <w:t>4光路系统：通过波分复用器（WDM）收集及分离光信号，仅使用带通滤光片，有效地将光信号传递到检测器；</w:t>
      </w:r>
    </w:p>
    <w:p w14:paraId="283C280E">
      <w:pPr>
        <w:spacing w:line="360" w:lineRule="auto"/>
        <w:rPr>
          <w:bCs/>
          <w:sz w:val="24"/>
        </w:rPr>
      </w:pPr>
      <w:r>
        <w:rPr>
          <w:rFonts w:hint="eastAsia"/>
          <w:bCs/>
          <w:sz w:val="24"/>
        </w:rPr>
        <w:t>3.5采用一体化的流动室-物镜设计；</w:t>
      </w:r>
    </w:p>
    <w:p w14:paraId="26D962F3">
      <w:pPr>
        <w:spacing w:line="360" w:lineRule="auto"/>
        <w:rPr>
          <w:sz w:val="24"/>
        </w:rPr>
      </w:pPr>
      <w:r>
        <w:rPr>
          <w:bCs/>
          <w:sz w:val="24"/>
        </w:rPr>
        <w:t>3.</w:t>
      </w:r>
      <w:r>
        <w:rPr>
          <w:rFonts w:hint="eastAsia"/>
          <w:bCs/>
          <w:sz w:val="24"/>
        </w:rPr>
        <w:t>6</w:t>
      </w:r>
      <w:r>
        <w:rPr>
          <w:bCs/>
          <w:sz w:val="24"/>
        </w:rPr>
        <w:t>同时配备一根638</w:t>
      </w:r>
      <w:r>
        <w:rPr>
          <w:rFonts w:hint="eastAsia"/>
          <w:bCs/>
          <w:sz w:val="24"/>
        </w:rPr>
        <w:t>±</w:t>
      </w:r>
      <w:r>
        <w:rPr>
          <w:bCs/>
          <w:sz w:val="24"/>
        </w:rPr>
        <w:t>2nm激光用于液滴延迟设定</w:t>
      </w:r>
      <w:r>
        <w:rPr>
          <w:rFonts w:hint="eastAsia"/>
          <w:bCs/>
          <w:sz w:val="24"/>
        </w:rPr>
        <w:t>；</w:t>
      </w:r>
    </w:p>
    <w:p w14:paraId="7CB5D127">
      <w:pPr>
        <w:spacing w:line="360" w:lineRule="auto"/>
        <w:rPr>
          <w:bCs/>
          <w:sz w:val="24"/>
        </w:rPr>
      </w:pPr>
      <w:r>
        <w:rPr>
          <w:rFonts w:hint="eastAsia"/>
          <w:b/>
          <w:sz w:val="24"/>
        </w:rPr>
        <w:t>#</w:t>
      </w:r>
      <w:r>
        <w:rPr>
          <w:b/>
          <w:sz w:val="24"/>
        </w:rPr>
        <w:t xml:space="preserve"> </w:t>
      </w:r>
      <w:r>
        <w:rPr>
          <w:sz w:val="24"/>
        </w:rPr>
        <w:t>3.</w:t>
      </w:r>
      <w:r>
        <w:rPr>
          <w:rFonts w:hint="eastAsia"/>
          <w:sz w:val="24"/>
        </w:rPr>
        <w:t>7</w:t>
      </w:r>
      <w:r>
        <w:rPr>
          <w:sz w:val="24"/>
        </w:rPr>
        <w:t>荧光灵敏度：FITC≤</w:t>
      </w:r>
      <w:r>
        <w:rPr>
          <w:rFonts w:hint="eastAsia"/>
          <w:sz w:val="24"/>
        </w:rPr>
        <w:t>2</w:t>
      </w:r>
      <w:r>
        <w:rPr>
          <w:sz w:val="24"/>
        </w:rPr>
        <w:t>0 MESF</w:t>
      </w:r>
      <w:r>
        <w:rPr>
          <w:rFonts w:hint="eastAsia"/>
          <w:sz w:val="24"/>
        </w:rPr>
        <w:t>、</w:t>
      </w:r>
      <w:r>
        <w:rPr>
          <w:sz w:val="24"/>
        </w:rPr>
        <w:t>PE≤10 MESF和APC≤</w:t>
      </w:r>
      <w:r>
        <w:rPr>
          <w:rFonts w:hint="eastAsia"/>
          <w:sz w:val="24"/>
        </w:rPr>
        <w:t xml:space="preserve">10 </w:t>
      </w:r>
      <w:r>
        <w:rPr>
          <w:sz w:val="24"/>
        </w:rPr>
        <w:t>MESF</w:t>
      </w:r>
      <w:r>
        <w:rPr>
          <w:rFonts w:hint="eastAsia"/>
          <w:sz w:val="24"/>
        </w:rPr>
        <w:t>（提供国家相关机构检测报告）；</w:t>
      </w:r>
    </w:p>
    <w:p w14:paraId="6625ACF1">
      <w:pPr>
        <w:spacing w:line="360" w:lineRule="auto"/>
        <w:rPr>
          <w:sz w:val="24"/>
        </w:rPr>
      </w:pPr>
      <w:r>
        <w:rPr>
          <w:sz w:val="24"/>
        </w:rPr>
        <w:t>3.</w:t>
      </w:r>
      <w:r>
        <w:rPr>
          <w:rFonts w:hint="eastAsia"/>
          <w:sz w:val="24"/>
        </w:rPr>
        <w:t>8配置紫色激光检测器进行侧向角散射光（VSSC）的采集；</w:t>
      </w:r>
    </w:p>
    <w:p w14:paraId="4E68896B">
      <w:pPr>
        <w:spacing w:line="360" w:lineRule="auto"/>
        <w:rPr>
          <w:sz w:val="24"/>
        </w:rPr>
      </w:pPr>
      <w:r>
        <w:rPr>
          <w:rFonts w:hint="eastAsia"/>
          <w:b/>
          <w:sz w:val="24"/>
        </w:rPr>
        <w:t>#</w:t>
      </w:r>
      <w:r>
        <w:rPr>
          <w:sz w:val="24"/>
        </w:rPr>
        <w:t>3.9</w:t>
      </w:r>
      <w:r>
        <w:rPr>
          <w:rFonts w:hint="eastAsia"/>
          <w:sz w:val="24"/>
        </w:rPr>
        <w:t>最小检测颗粒为≤</w:t>
      </w:r>
      <w:r>
        <w:rPr>
          <w:sz w:val="24"/>
        </w:rPr>
        <w:t>100nm</w:t>
      </w:r>
      <w:r>
        <w:rPr>
          <w:rFonts w:hint="eastAsia"/>
          <w:sz w:val="24"/>
        </w:rPr>
        <w:t>；</w:t>
      </w:r>
    </w:p>
    <w:p w14:paraId="1B6CAEFB">
      <w:pPr>
        <w:spacing w:line="360" w:lineRule="auto"/>
        <w:rPr>
          <w:sz w:val="24"/>
        </w:rPr>
      </w:pPr>
      <w:r>
        <w:rPr>
          <w:sz w:val="24"/>
        </w:rPr>
        <w:t>3.</w:t>
      </w:r>
      <w:r>
        <w:rPr>
          <w:rFonts w:hint="eastAsia"/>
          <w:sz w:val="24"/>
        </w:rPr>
        <w:t>10分选速度：30000个事件/秒；</w:t>
      </w:r>
    </w:p>
    <w:p w14:paraId="3381963F">
      <w:pPr>
        <w:spacing w:line="360" w:lineRule="auto"/>
        <w:rPr>
          <w:sz w:val="24"/>
        </w:rPr>
      </w:pPr>
      <w:r>
        <w:rPr>
          <w:sz w:val="24"/>
        </w:rPr>
        <w:t>3.1</w:t>
      </w:r>
      <w:r>
        <w:rPr>
          <w:rFonts w:hint="eastAsia"/>
          <w:sz w:val="24"/>
        </w:rPr>
        <w:t>1液滴振荡频率：30-35</w:t>
      </w:r>
      <w:r>
        <w:rPr>
          <w:sz w:val="24"/>
        </w:rPr>
        <w:t>kHz</w:t>
      </w:r>
      <w:r>
        <w:rPr>
          <w:rFonts w:hint="eastAsia"/>
          <w:sz w:val="24"/>
        </w:rPr>
        <w:t>自动优化并且可调节；</w:t>
      </w:r>
    </w:p>
    <w:p w14:paraId="0D6DB82C">
      <w:pPr>
        <w:spacing w:line="360" w:lineRule="auto"/>
        <w:rPr>
          <w:sz w:val="24"/>
        </w:rPr>
      </w:pPr>
      <w:r>
        <w:rPr>
          <w:rFonts w:hint="eastAsia"/>
          <w:b/>
          <w:sz w:val="24"/>
        </w:rPr>
        <w:t>#</w:t>
      </w:r>
      <w:r>
        <w:rPr>
          <w:b/>
          <w:sz w:val="24"/>
        </w:rPr>
        <w:t xml:space="preserve"> </w:t>
      </w:r>
      <w:r>
        <w:rPr>
          <w:sz w:val="24"/>
        </w:rPr>
        <w:t>3.1</w:t>
      </w:r>
      <w:r>
        <w:rPr>
          <w:rFonts w:hint="eastAsia"/>
          <w:sz w:val="24"/>
        </w:rPr>
        <w:t>2免微球分选参数设定系统，可以自动优化液滴形成，自动计算液滴延迟，并且监控并维持；</w:t>
      </w:r>
    </w:p>
    <w:p w14:paraId="453F15D3">
      <w:pPr>
        <w:spacing w:line="360" w:lineRule="auto"/>
        <w:rPr>
          <w:sz w:val="24"/>
        </w:rPr>
      </w:pPr>
      <w:r>
        <w:rPr>
          <w:rFonts w:hint="eastAsia"/>
          <w:b/>
          <w:sz w:val="24"/>
        </w:rPr>
        <w:t>#</w:t>
      </w:r>
      <w:r>
        <w:rPr>
          <w:b/>
          <w:sz w:val="24"/>
        </w:rPr>
        <w:t xml:space="preserve"> </w:t>
      </w:r>
      <w:r>
        <w:rPr>
          <w:sz w:val="24"/>
        </w:rPr>
        <w:t>3.1</w:t>
      </w:r>
      <w:r>
        <w:rPr>
          <w:rFonts w:hint="eastAsia"/>
          <w:sz w:val="24"/>
        </w:rPr>
        <w:t>3分选纯度：在速度小于10000 颗粒数/秒条件下，5% 的目标细胞可以获得&gt;99% 的纯度；</w:t>
      </w:r>
    </w:p>
    <w:p w14:paraId="20350F14">
      <w:pPr>
        <w:spacing w:line="360" w:lineRule="auto"/>
        <w:rPr>
          <w:sz w:val="24"/>
        </w:rPr>
      </w:pPr>
      <w:r>
        <w:rPr>
          <w:sz w:val="24"/>
        </w:rPr>
        <w:t>3.1</w:t>
      </w:r>
      <w:r>
        <w:rPr>
          <w:rFonts w:hint="eastAsia"/>
          <w:sz w:val="24"/>
        </w:rPr>
        <w:t>4具备不加电垂直分选模式；</w:t>
      </w:r>
    </w:p>
    <w:p w14:paraId="2E903A6C">
      <w:pPr>
        <w:spacing w:line="360" w:lineRule="auto"/>
        <w:rPr>
          <w:sz w:val="24"/>
        </w:rPr>
      </w:pPr>
      <w:r>
        <w:rPr>
          <w:sz w:val="24"/>
        </w:rPr>
        <w:t>3</w:t>
      </w:r>
      <w:r>
        <w:rPr>
          <w:rFonts w:hint="eastAsia"/>
          <w:sz w:val="24"/>
        </w:rPr>
        <w:t>.15分选收集模式：提供富集模式、纯度模式和单细胞模式，同时具有混合分选功能；</w:t>
      </w:r>
    </w:p>
    <w:p w14:paraId="6E1E1800">
      <w:pPr>
        <w:spacing w:line="360" w:lineRule="auto"/>
        <w:rPr>
          <w:sz w:val="24"/>
        </w:rPr>
      </w:pPr>
      <w:r>
        <w:rPr>
          <w:sz w:val="24"/>
        </w:rPr>
        <w:t>3.1</w:t>
      </w:r>
      <w:r>
        <w:rPr>
          <w:rFonts w:hint="eastAsia"/>
          <w:sz w:val="24"/>
        </w:rPr>
        <w:t>6能够同时实现4路分选；</w:t>
      </w:r>
    </w:p>
    <w:p w14:paraId="138B9EE1">
      <w:pPr>
        <w:spacing w:line="360" w:lineRule="auto"/>
        <w:rPr>
          <w:sz w:val="24"/>
        </w:rPr>
      </w:pPr>
      <w:r>
        <w:rPr>
          <w:sz w:val="24"/>
        </w:rPr>
        <w:t>3.1</w:t>
      </w:r>
      <w:r>
        <w:rPr>
          <w:rFonts w:hint="eastAsia"/>
          <w:sz w:val="24"/>
        </w:rPr>
        <w:t>7配备高通单克隆分选系统，可以使用6孔、24孔、48孔、96孔和384孔板、96孔深孔板和载玻片，可校准自定义设备进行分选；</w:t>
      </w:r>
    </w:p>
    <w:p w14:paraId="6E5AE059">
      <w:pPr>
        <w:spacing w:line="360" w:lineRule="auto"/>
        <w:rPr>
          <w:bCs/>
          <w:sz w:val="24"/>
        </w:rPr>
      </w:pPr>
      <w:r>
        <w:rPr>
          <w:sz w:val="24"/>
        </w:rPr>
        <w:t>3.1</w:t>
      </w:r>
      <w:r>
        <w:rPr>
          <w:rFonts w:hint="eastAsia"/>
          <w:sz w:val="24"/>
        </w:rPr>
        <w:t>8</w:t>
      </w:r>
      <w:r>
        <w:rPr>
          <w:bCs/>
          <w:sz w:val="24"/>
        </w:rPr>
        <w:t>信号处理精度：7个十进制的数据显示，24bit分辨率的全数字系统；</w:t>
      </w:r>
    </w:p>
    <w:p w14:paraId="2F5DA288">
      <w:pPr>
        <w:spacing w:line="360" w:lineRule="auto"/>
        <w:rPr>
          <w:sz w:val="24"/>
        </w:rPr>
      </w:pPr>
      <w:r>
        <w:rPr>
          <w:sz w:val="24"/>
        </w:rPr>
        <w:t>3.1</w:t>
      </w:r>
      <w:r>
        <w:rPr>
          <w:rFonts w:hint="eastAsia"/>
          <w:sz w:val="24"/>
        </w:rPr>
        <w:t>9全17个参数采集时</w:t>
      </w:r>
      <w:r>
        <w:rPr>
          <w:sz w:val="24"/>
        </w:rPr>
        <w:t>，</w:t>
      </w:r>
      <w:r>
        <w:rPr>
          <w:rFonts w:hint="eastAsia"/>
          <w:sz w:val="24"/>
        </w:rPr>
        <w:t>检测速度</w:t>
      </w:r>
      <w:r>
        <w:rPr>
          <w:sz w:val="24"/>
        </w:rPr>
        <w:t>≥</w:t>
      </w:r>
      <w:r>
        <w:rPr>
          <w:rFonts w:hint="eastAsia"/>
          <w:sz w:val="24"/>
        </w:rPr>
        <w:t>4</w:t>
      </w:r>
      <w:r>
        <w:rPr>
          <w:sz w:val="24"/>
        </w:rPr>
        <w:t>0,000个/秒；</w:t>
      </w:r>
    </w:p>
    <w:p w14:paraId="3630F9F9">
      <w:pPr>
        <w:spacing w:line="360" w:lineRule="auto"/>
        <w:rPr>
          <w:bCs/>
          <w:sz w:val="24"/>
        </w:rPr>
      </w:pPr>
      <w:r>
        <w:rPr>
          <w:rFonts w:hint="eastAsia"/>
          <w:b/>
          <w:sz w:val="24"/>
        </w:rPr>
        <w:t>#</w:t>
      </w:r>
      <w:r>
        <w:rPr>
          <w:b/>
          <w:sz w:val="24"/>
        </w:rPr>
        <w:t xml:space="preserve"> </w:t>
      </w:r>
      <w:r>
        <w:rPr>
          <w:sz w:val="24"/>
        </w:rPr>
        <w:t>3.</w:t>
      </w:r>
      <w:r>
        <w:rPr>
          <w:rFonts w:hint="eastAsia"/>
          <w:sz w:val="24"/>
        </w:rPr>
        <w:t>20最大样本收集数：单个文件全通道信号收集，至少可存储3000万个事件。</w:t>
      </w:r>
    </w:p>
    <w:p w14:paraId="0FF292A3">
      <w:pPr>
        <w:spacing w:line="360" w:lineRule="auto"/>
        <w:rPr>
          <w:bCs/>
          <w:sz w:val="24"/>
        </w:rPr>
      </w:pPr>
      <w:r>
        <w:rPr>
          <w:sz w:val="24"/>
        </w:rPr>
        <w:t>3.2</w:t>
      </w:r>
      <w:r>
        <w:rPr>
          <w:rFonts w:hint="eastAsia"/>
          <w:sz w:val="24"/>
        </w:rPr>
        <w:t>1</w:t>
      </w:r>
      <w:r>
        <w:rPr>
          <w:sz w:val="24"/>
        </w:rPr>
        <w:t>上</w:t>
      </w:r>
      <w:r>
        <w:rPr>
          <w:bCs/>
          <w:sz w:val="24"/>
        </w:rPr>
        <w:t>样速度：可连续自定义样本进样速度10-</w:t>
      </w:r>
      <w:r>
        <w:rPr>
          <w:rFonts w:hint="eastAsia"/>
          <w:bCs/>
          <w:sz w:val="24"/>
        </w:rPr>
        <w:t>10</w:t>
      </w:r>
      <w:r>
        <w:rPr>
          <w:bCs/>
          <w:sz w:val="24"/>
        </w:rPr>
        <w:t>0 μL/min，增量为1 μL；</w:t>
      </w:r>
    </w:p>
    <w:p w14:paraId="67F02E23">
      <w:pPr>
        <w:spacing w:line="360" w:lineRule="auto"/>
        <w:rPr>
          <w:bCs/>
          <w:sz w:val="24"/>
        </w:rPr>
      </w:pPr>
      <w:r>
        <w:rPr>
          <w:rFonts w:hint="eastAsia"/>
          <w:b/>
          <w:sz w:val="24"/>
        </w:rPr>
        <w:t>#</w:t>
      </w:r>
      <w:r>
        <w:rPr>
          <w:b/>
          <w:sz w:val="24"/>
        </w:rPr>
        <w:t xml:space="preserve"> </w:t>
      </w:r>
      <w:r>
        <w:rPr>
          <w:bCs/>
          <w:sz w:val="24"/>
        </w:rPr>
        <w:t>3.2</w:t>
      </w:r>
      <w:r>
        <w:rPr>
          <w:rFonts w:hint="eastAsia"/>
          <w:bCs/>
          <w:sz w:val="24"/>
        </w:rPr>
        <w:t>2鞘液压力：固定15 psi的鞘液压力（提供相应软件界面展示图）；</w:t>
      </w:r>
    </w:p>
    <w:p w14:paraId="0426D407">
      <w:pPr>
        <w:spacing w:line="360" w:lineRule="auto"/>
        <w:rPr>
          <w:bCs/>
          <w:sz w:val="24"/>
        </w:rPr>
      </w:pPr>
      <w:r>
        <w:rPr>
          <w:bCs/>
          <w:sz w:val="24"/>
        </w:rPr>
        <w:t>3.2</w:t>
      </w:r>
      <w:r>
        <w:rPr>
          <w:rFonts w:hint="eastAsia"/>
          <w:bCs/>
          <w:sz w:val="24"/>
        </w:rPr>
        <w:t>3样本混匀方式：电磁混匀，3档样本混匀速度调节；</w:t>
      </w:r>
    </w:p>
    <w:p w14:paraId="60A0C5D1">
      <w:pPr>
        <w:spacing w:line="360" w:lineRule="auto"/>
        <w:rPr>
          <w:bCs/>
          <w:sz w:val="24"/>
        </w:rPr>
      </w:pPr>
      <w:r>
        <w:rPr>
          <w:bCs/>
          <w:sz w:val="24"/>
        </w:rPr>
        <w:t>3.2</w:t>
      </w:r>
      <w:r>
        <w:rPr>
          <w:rFonts w:hint="eastAsia"/>
          <w:bCs/>
          <w:sz w:val="24"/>
        </w:rPr>
        <w:t>4液流车标配液体储存桶：耐热耐压4升钢质鞘液桶、7升高密度聚乙烯废液桶和1升高密度聚乙烯关机液桶；</w:t>
      </w:r>
    </w:p>
    <w:p w14:paraId="12D1C263">
      <w:pPr>
        <w:spacing w:line="360" w:lineRule="auto"/>
        <w:rPr>
          <w:bCs/>
          <w:sz w:val="24"/>
        </w:rPr>
      </w:pPr>
      <w:r>
        <w:rPr>
          <w:rFonts w:hint="eastAsia"/>
          <w:b/>
          <w:sz w:val="24"/>
        </w:rPr>
        <w:t>#</w:t>
      </w:r>
      <w:r>
        <w:rPr>
          <w:b/>
          <w:sz w:val="24"/>
        </w:rPr>
        <w:t xml:space="preserve"> </w:t>
      </w:r>
      <w:r>
        <w:rPr>
          <w:rFonts w:hint="eastAsia"/>
          <w:bCs/>
          <w:sz w:val="24"/>
        </w:rPr>
        <w:t>3.25内置气压泵；</w:t>
      </w:r>
    </w:p>
    <w:p w14:paraId="141B132E">
      <w:pPr>
        <w:spacing w:line="360" w:lineRule="auto"/>
        <w:rPr>
          <w:bCs/>
          <w:sz w:val="24"/>
        </w:rPr>
      </w:pPr>
      <w:r>
        <w:rPr>
          <w:rFonts w:hint="eastAsia"/>
          <w:bCs/>
          <w:sz w:val="24"/>
        </w:rPr>
        <w:t>3.26分选收集仓配置水浴温控系统；</w:t>
      </w:r>
    </w:p>
    <w:p w14:paraId="6DBB7C90">
      <w:pPr>
        <w:spacing w:line="360" w:lineRule="auto"/>
        <w:rPr>
          <w:bCs/>
          <w:sz w:val="24"/>
        </w:rPr>
      </w:pPr>
      <w:r>
        <w:rPr>
          <w:rFonts w:hint="eastAsia"/>
          <w:bCs/>
          <w:sz w:val="24"/>
        </w:rPr>
        <w:t>3.27电脑配置：处理器：Intel Core i7-11700 或更高；CPU：8核；内存：</w:t>
      </w:r>
      <w:r>
        <w:rPr>
          <w:bCs/>
          <w:sz w:val="24"/>
        </w:rPr>
        <w:t>32</w:t>
      </w:r>
      <w:r>
        <w:rPr>
          <w:rFonts w:hint="eastAsia"/>
          <w:bCs/>
          <w:sz w:val="24"/>
        </w:rPr>
        <w:t xml:space="preserve"> GB RAM；存储器：256固态硬盘，2 T机械硬盘；以太网：Integrated 100M GB, 双以太网端口；USB 端口：4 ports, at least one USB 3.0；显示器：32 英寸显示器 (2560x1440 分辨率 )；</w:t>
      </w:r>
    </w:p>
    <w:p w14:paraId="4CA68AA3">
      <w:pPr>
        <w:spacing w:line="360" w:lineRule="auto"/>
        <w:rPr>
          <w:sz w:val="24"/>
        </w:rPr>
      </w:pPr>
      <w:r>
        <w:rPr>
          <w:rFonts w:hint="eastAsia"/>
          <w:sz w:val="24"/>
        </w:rPr>
        <w:t>分析软件无版权限制，可自由安装在任意电脑上，方便用户脱机分析数据，提高仪器使用效率，便于数据共享，具备中、英文两种语言。</w:t>
      </w:r>
    </w:p>
    <w:p w14:paraId="2C215F77">
      <w:pPr>
        <w:spacing w:line="360" w:lineRule="auto"/>
        <w:rPr>
          <w:sz w:val="24"/>
        </w:rPr>
      </w:pPr>
    </w:p>
    <w:p w14:paraId="17582050">
      <w:pPr>
        <w:spacing w:line="360" w:lineRule="auto"/>
        <w:rPr>
          <w:b/>
          <w:bCs/>
          <w:sz w:val="24"/>
        </w:rPr>
      </w:pPr>
      <w:r>
        <w:rPr>
          <w:rFonts w:hint="eastAsia"/>
          <w:b/>
          <w:bCs/>
          <w:sz w:val="24"/>
        </w:rPr>
        <w:t>4. 配置要求</w:t>
      </w:r>
      <w:r>
        <w:rPr>
          <w:b/>
          <w:bCs/>
          <w:sz w:val="24"/>
        </w:rPr>
        <w:t xml:space="preserve"> </w:t>
      </w:r>
    </w:p>
    <w:p w14:paraId="2ADC6CDD">
      <w:pPr>
        <w:spacing w:line="360" w:lineRule="auto"/>
        <w:rPr>
          <w:sz w:val="24"/>
        </w:rPr>
      </w:pPr>
      <w:r>
        <w:rPr>
          <w:rFonts w:hint="eastAsia"/>
          <w:sz w:val="24"/>
        </w:rPr>
        <w:t>4.1分选流式主机一台（包含405nm、488nm、638nm和561nm共4根独立激光器以及1根638nm激光用于液滴延迟设定，15个荧光检测器，2个SSC和1个FSC）；</w:t>
      </w:r>
    </w:p>
    <w:p w14:paraId="65491EEB">
      <w:pPr>
        <w:spacing w:line="360" w:lineRule="auto"/>
        <w:rPr>
          <w:sz w:val="24"/>
        </w:rPr>
      </w:pPr>
      <w:r>
        <w:rPr>
          <w:rFonts w:hint="eastAsia"/>
          <w:sz w:val="24"/>
        </w:rPr>
        <w:t>4.2数据采集及分析软件一套；</w:t>
      </w:r>
    </w:p>
    <w:p w14:paraId="413405E5">
      <w:pPr>
        <w:spacing w:line="360" w:lineRule="auto"/>
        <w:rPr>
          <w:sz w:val="24"/>
        </w:rPr>
      </w:pPr>
      <w:r>
        <w:rPr>
          <w:rFonts w:hint="eastAsia"/>
          <w:sz w:val="24"/>
        </w:rPr>
        <w:t>4.3喷嘴2个、密码狗1个；</w:t>
      </w:r>
    </w:p>
    <w:p w14:paraId="03D30AF2">
      <w:pPr>
        <w:spacing w:line="360" w:lineRule="auto"/>
        <w:rPr>
          <w:sz w:val="24"/>
        </w:rPr>
      </w:pPr>
      <w:r>
        <w:rPr>
          <w:rFonts w:hint="eastAsia"/>
          <w:sz w:val="24"/>
        </w:rPr>
        <w:t>4.4电脑工作站及显示器各1个；</w:t>
      </w:r>
    </w:p>
    <w:p w14:paraId="525796D7">
      <w:pPr>
        <w:spacing w:line="360" w:lineRule="auto"/>
        <w:rPr>
          <w:sz w:val="24"/>
        </w:rPr>
      </w:pPr>
      <w:r>
        <w:rPr>
          <w:rFonts w:hint="eastAsia"/>
          <w:sz w:val="24"/>
        </w:rPr>
        <w:t>4.5装机试剂一套（包括质控微球、鞘液、关机液、清洗液等）；</w:t>
      </w:r>
    </w:p>
    <w:p w14:paraId="0542A767">
      <w:pPr>
        <w:spacing w:line="360" w:lineRule="auto"/>
        <w:rPr>
          <w:sz w:val="24"/>
        </w:rPr>
      </w:pPr>
      <w:r>
        <w:rPr>
          <w:rFonts w:hint="eastAsia"/>
          <w:sz w:val="24"/>
        </w:rPr>
        <w:t>4.6电源线、数据线若干及其它配件。</w:t>
      </w:r>
    </w:p>
    <w:p w14:paraId="691CC01B">
      <w:pPr>
        <w:spacing w:line="360" w:lineRule="auto"/>
        <w:rPr>
          <w:b/>
          <w:sz w:val="24"/>
        </w:rPr>
      </w:pPr>
    </w:p>
    <w:p w14:paraId="0F02B3AA">
      <w:pPr>
        <w:spacing w:line="360" w:lineRule="auto"/>
        <w:rPr>
          <w:b/>
          <w:sz w:val="24"/>
        </w:rPr>
      </w:pPr>
      <w:r>
        <w:rPr>
          <w:rFonts w:hint="eastAsia"/>
          <w:b/>
          <w:sz w:val="24"/>
        </w:rPr>
        <w:t>（二）质保及售后服务：</w:t>
      </w:r>
    </w:p>
    <w:p w14:paraId="75B32ACA">
      <w:pPr>
        <w:spacing w:line="360" w:lineRule="auto"/>
        <w:rPr>
          <w:sz w:val="24"/>
          <w:lang w:val="zh-CN"/>
        </w:rPr>
      </w:pPr>
      <w:r>
        <w:rPr>
          <w:rFonts w:hint="eastAsia"/>
          <w:sz w:val="24"/>
          <w:lang w:val="zh-CN"/>
        </w:rPr>
        <w:t>1投标商应对任何由于不当包装或防护措施不利而导致的商品损坏、损失、锈蚀、费用增长等后果负责。</w:t>
      </w:r>
    </w:p>
    <w:p w14:paraId="757D83C3">
      <w:pPr>
        <w:spacing w:line="360" w:lineRule="auto"/>
        <w:rPr>
          <w:sz w:val="24"/>
        </w:rPr>
      </w:pPr>
      <w:r>
        <w:rPr>
          <w:rFonts w:hint="eastAsia"/>
          <w:sz w:val="24"/>
          <w:lang w:val="zh-CN"/>
        </w:rPr>
        <w:t>2</w:t>
      </w:r>
      <w:r>
        <w:rPr>
          <w:rFonts w:hint="eastAsia"/>
          <w:sz w:val="24"/>
        </w:rPr>
        <w:t>免费保修期要求在</w:t>
      </w:r>
      <w:r>
        <w:rPr>
          <w:rFonts w:hint="eastAsia"/>
          <w:sz w:val="24"/>
          <w:u w:val="single"/>
        </w:rPr>
        <w:t>1</w:t>
      </w:r>
      <w:r>
        <w:rPr>
          <w:rFonts w:hint="eastAsia"/>
          <w:sz w:val="24"/>
        </w:rPr>
        <w:t>年。保修期内，任何由制造商选材和制造不当引起的质量问题，</w:t>
      </w:r>
      <w:r>
        <w:rPr>
          <w:rFonts w:hint="eastAsia"/>
          <w:sz w:val="24"/>
          <w:lang w:val="zh-CN"/>
        </w:rPr>
        <w:t>厂家</w:t>
      </w:r>
      <w:r>
        <w:rPr>
          <w:rFonts w:hint="eastAsia"/>
          <w:sz w:val="24"/>
        </w:rPr>
        <w:t>负责免费维修。保修期自验收签字之日起计算。保修期满前1个月内</w:t>
      </w:r>
      <w:r>
        <w:rPr>
          <w:rFonts w:hint="eastAsia"/>
          <w:sz w:val="24"/>
          <w:lang w:val="zh-CN"/>
        </w:rPr>
        <w:t>卖方</w:t>
      </w:r>
      <w:r>
        <w:rPr>
          <w:rFonts w:hint="eastAsia"/>
          <w:sz w:val="24"/>
        </w:rPr>
        <w:t>应负责一次免费全面检查，并写出正式报告，如发现潜在问题，应负责排除。</w:t>
      </w:r>
    </w:p>
    <w:p w14:paraId="6B34BDC2">
      <w:pPr>
        <w:spacing w:line="360" w:lineRule="auto"/>
        <w:rPr>
          <w:sz w:val="24"/>
        </w:rPr>
      </w:pPr>
      <w:r>
        <w:rPr>
          <w:rFonts w:hint="eastAsia"/>
          <w:sz w:val="24"/>
        </w:rPr>
        <w:t>3维修响应时间：</w:t>
      </w:r>
      <w:r>
        <w:rPr>
          <w:rFonts w:hint="eastAsia"/>
          <w:sz w:val="24"/>
          <w:lang w:val="zh-CN"/>
        </w:rPr>
        <w:t>卖方</w:t>
      </w:r>
      <w:r>
        <w:rPr>
          <w:rFonts w:hint="eastAsia"/>
          <w:sz w:val="24"/>
        </w:rPr>
        <w:t>应在24小时内对</w:t>
      </w:r>
      <w:r>
        <w:rPr>
          <w:rFonts w:hint="eastAsia"/>
          <w:sz w:val="24"/>
          <w:lang w:val="zh-CN"/>
        </w:rPr>
        <w:t>用户</w:t>
      </w:r>
      <w:r>
        <w:rPr>
          <w:rFonts w:hint="eastAsia"/>
          <w:sz w:val="24"/>
        </w:rPr>
        <w:t>的服务要求做出响应，一般问题在48小时内解决，重大问题或其它无法立刻解决的问题应在一周内解决或提出明确的解决方案，否则</w:t>
      </w:r>
      <w:r>
        <w:rPr>
          <w:rFonts w:hint="eastAsia"/>
          <w:sz w:val="24"/>
          <w:lang w:val="zh-CN"/>
        </w:rPr>
        <w:t>卖方</w:t>
      </w:r>
      <w:r>
        <w:rPr>
          <w:rFonts w:hint="eastAsia"/>
          <w:sz w:val="24"/>
        </w:rPr>
        <w:t>应赔偿相应的损失。</w:t>
      </w:r>
    </w:p>
    <w:p w14:paraId="6160A74C">
      <w:pPr>
        <w:spacing w:line="360" w:lineRule="auto"/>
        <w:rPr>
          <w:sz w:val="24"/>
        </w:rPr>
      </w:pPr>
      <w:r>
        <w:rPr>
          <w:rFonts w:hint="eastAsia"/>
          <w:sz w:val="24"/>
        </w:rPr>
        <w:t>4</w:t>
      </w:r>
      <w:r>
        <w:rPr>
          <w:rFonts w:hint="eastAsia"/>
          <w:sz w:val="24"/>
          <w:lang w:val="zh-CN"/>
        </w:rPr>
        <w:t>厂商</w:t>
      </w:r>
      <w:r>
        <w:rPr>
          <w:rFonts w:hint="eastAsia"/>
          <w:sz w:val="24"/>
        </w:rPr>
        <w:t>需提供迅速优质的售后服务和技术支持。提供至少五年的免费技术支持和培训服务；</w:t>
      </w:r>
      <w:r>
        <w:rPr>
          <w:rFonts w:hint="eastAsia"/>
          <w:sz w:val="24"/>
          <w:lang w:val="zh-CN"/>
        </w:rPr>
        <w:t>合同期外</w:t>
      </w:r>
      <w:r>
        <w:rPr>
          <w:rFonts w:hint="eastAsia"/>
          <w:sz w:val="24"/>
        </w:rPr>
        <w:t>，需提供永久的保障性服务，以保障软件的正常使用。</w:t>
      </w:r>
    </w:p>
    <w:p w14:paraId="53FEF722">
      <w:pPr>
        <w:spacing w:line="360" w:lineRule="auto"/>
        <w:rPr>
          <w:sz w:val="24"/>
        </w:rPr>
      </w:pPr>
      <w:r>
        <w:rPr>
          <w:rFonts w:hint="eastAsia"/>
          <w:sz w:val="24"/>
        </w:rPr>
        <w:t>5到货安装调试完成后，有专业工程师现场提供一次系统的使用培训服务，直至</w:t>
      </w:r>
      <w:r>
        <w:rPr>
          <w:rFonts w:hint="eastAsia"/>
          <w:sz w:val="24"/>
          <w:lang w:val="zh-CN"/>
        </w:rPr>
        <w:t>采购人</w:t>
      </w:r>
      <w:r>
        <w:rPr>
          <w:rFonts w:hint="eastAsia"/>
          <w:sz w:val="24"/>
        </w:rPr>
        <w:t>相关人员熟练掌握为止。</w:t>
      </w:r>
    </w:p>
    <w:p w14:paraId="775BBC19">
      <w:pPr>
        <w:spacing w:line="360" w:lineRule="auto"/>
        <w:rPr>
          <w:bCs/>
          <w:sz w:val="24"/>
        </w:rPr>
      </w:pPr>
      <w:r>
        <w:rPr>
          <w:rFonts w:hint="eastAsia"/>
          <w:bCs/>
          <w:sz w:val="24"/>
        </w:rPr>
        <w:t>6. 交货地点：用户指定地点。</w:t>
      </w:r>
    </w:p>
    <w:p w14:paraId="154C08BD">
      <w:pPr>
        <w:spacing w:line="360" w:lineRule="auto"/>
        <w:rPr>
          <w:b/>
          <w:sz w:val="24"/>
        </w:rPr>
      </w:pPr>
    </w:p>
    <w:p w14:paraId="20F805AA">
      <w:pPr>
        <w:spacing w:line="360" w:lineRule="auto"/>
        <w:rPr>
          <w:b/>
          <w:sz w:val="24"/>
        </w:rPr>
      </w:pPr>
      <w:r>
        <w:rPr>
          <w:rFonts w:hint="eastAsia"/>
          <w:b/>
          <w:sz w:val="24"/>
        </w:rPr>
        <w:t>（三） 订货数量：</w:t>
      </w:r>
    </w:p>
    <w:p w14:paraId="65FE1DC7">
      <w:pPr>
        <w:spacing w:line="360" w:lineRule="auto"/>
        <w:rPr>
          <w:sz w:val="24"/>
        </w:rPr>
      </w:pPr>
      <w:r>
        <w:rPr>
          <w:sz w:val="24"/>
        </w:rPr>
        <w:t>1</w:t>
      </w:r>
      <w:r>
        <w:rPr>
          <w:rFonts w:hint="eastAsia"/>
          <w:sz w:val="24"/>
        </w:rPr>
        <w:t>台</w:t>
      </w:r>
    </w:p>
    <w:p w14:paraId="60C93F05">
      <w:pPr>
        <w:spacing w:line="360" w:lineRule="auto"/>
        <w:rPr>
          <w:b/>
          <w:sz w:val="24"/>
        </w:rPr>
      </w:pPr>
    </w:p>
    <w:p w14:paraId="238399F4">
      <w:pPr>
        <w:spacing w:line="360" w:lineRule="auto"/>
        <w:rPr>
          <w:b/>
          <w:sz w:val="24"/>
        </w:rPr>
      </w:pPr>
      <w:r>
        <w:rPr>
          <w:rFonts w:hint="eastAsia"/>
          <w:b/>
          <w:sz w:val="24"/>
        </w:rPr>
        <w:t>（四）交货日期和交货地点（项目现场）：</w:t>
      </w:r>
    </w:p>
    <w:p w14:paraId="0AB5F824">
      <w:pPr>
        <w:spacing w:line="360" w:lineRule="auto"/>
        <w:rPr>
          <w:bCs/>
          <w:sz w:val="24"/>
        </w:rPr>
      </w:pPr>
      <w:r>
        <w:rPr>
          <w:rFonts w:hint="eastAsia"/>
          <w:bCs/>
          <w:sz w:val="24"/>
        </w:rPr>
        <w:t>交货地点：</w:t>
      </w:r>
      <w:r>
        <w:rPr>
          <w:rFonts w:hint="eastAsia"/>
          <w:sz w:val="24"/>
        </w:rPr>
        <w:t>北京市海淀区香山南辛村20号中国科学院植物研究所</w:t>
      </w:r>
    </w:p>
    <w:p w14:paraId="01FD3009">
      <w:pPr>
        <w:spacing w:line="360" w:lineRule="auto"/>
        <w:rPr>
          <w:bCs/>
          <w:sz w:val="24"/>
        </w:rPr>
      </w:pPr>
      <w:r>
        <w:rPr>
          <w:rFonts w:hint="eastAsia"/>
          <w:bCs/>
          <w:sz w:val="24"/>
        </w:rPr>
        <w:t>交货期：合同签订后</w:t>
      </w:r>
      <w:r>
        <w:rPr>
          <w:rFonts w:hint="eastAsia"/>
          <w:bCs/>
          <w:sz w:val="24"/>
          <w:u w:val="single"/>
        </w:rPr>
        <w:t xml:space="preserve"> 30 </w:t>
      </w:r>
      <w:r>
        <w:rPr>
          <w:rFonts w:hint="eastAsia"/>
          <w:bCs/>
          <w:sz w:val="24"/>
        </w:rPr>
        <w:t>日内交货并安装完毕。</w:t>
      </w:r>
    </w:p>
    <w:p w14:paraId="69286A29">
      <w:pPr>
        <w:spacing w:line="360" w:lineRule="auto"/>
        <w:rPr>
          <w:sz w:val="24"/>
        </w:rPr>
      </w:pPr>
    </w:p>
    <w:p w14:paraId="4E7D9D22">
      <w:pPr>
        <w:spacing w:line="360" w:lineRule="auto"/>
        <w:rPr>
          <w:sz w:val="24"/>
        </w:rPr>
      </w:pPr>
      <w:r>
        <w:rPr>
          <w:rFonts w:hint="eastAsia"/>
          <w:b/>
          <w:bCs/>
          <w:sz w:val="24"/>
        </w:rPr>
        <w:t>（五）付款方式：</w:t>
      </w:r>
    </w:p>
    <w:p w14:paraId="1C5EA958">
      <w:pPr>
        <w:widowControl/>
        <w:autoSpaceDE w:val="0"/>
        <w:autoSpaceDN w:val="0"/>
        <w:spacing w:line="360" w:lineRule="exact"/>
        <w:ind w:firstLine="480" w:firstLineChars="200"/>
        <w:jc w:val="left"/>
        <w:textAlignment w:val="bottom"/>
        <w:rPr>
          <w:rFonts w:hint="eastAsia"/>
          <w:bCs/>
          <w:sz w:val="24"/>
        </w:rPr>
      </w:pPr>
      <w:r>
        <w:rPr>
          <w:bCs/>
          <w:sz w:val="24"/>
        </w:rPr>
        <w:t>合同签订后</w:t>
      </w:r>
      <w:r>
        <w:rPr>
          <w:bCs/>
          <w:sz w:val="24"/>
          <w:u w:val="single"/>
        </w:rPr>
        <w:t xml:space="preserve"> 10 </w:t>
      </w:r>
      <w:r>
        <w:rPr>
          <w:bCs/>
          <w:sz w:val="24"/>
        </w:rPr>
        <w:t>个工作日内甲方支付合同总价款的30%，设备安装调试完毕能正常投入使用</w:t>
      </w:r>
      <w:r>
        <w:rPr>
          <w:rFonts w:hint="eastAsia"/>
          <w:bCs/>
          <w:sz w:val="24"/>
        </w:rPr>
        <w:t>，</w:t>
      </w:r>
      <w:r>
        <w:rPr>
          <w:bCs/>
          <w:sz w:val="24"/>
        </w:rPr>
        <w:t xml:space="preserve">甲方验收合格后，乙方按合同总金额开具符合要求的等额发票，甲方收到发票后 </w:t>
      </w:r>
      <w:r>
        <w:rPr>
          <w:bCs/>
          <w:sz w:val="24"/>
          <w:u w:val="single"/>
        </w:rPr>
        <w:t>10</w:t>
      </w:r>
      <w:r>
        <w:rPr>
          <w:bCs/>
          <w:sz w:val="24"/>
        </w:rPr>
        <w:t xml:space="preserve"> 个工作日内支付剩余70%的款项。</w:t>
      </w:r>
    </w:p>
    <w:sectPr>
      <w:headerReference r:id="rId3" w:type="first"/>
      <w:footerReference r:id="rId5" w:type="first"/>
      <w:footerReference r:id="rId4" w:type="default"/>
      <w:pgSz w:w="11906" w:h="16838"/>
      <w:pgMar w:top="1418" w:right="1418" w:bottom="1418" w:left="1418" w:header="851" w:footer="992" w:gutter="0"/>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1"/>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w:panose1 w:val="020B0604020202020204"/>
    <w:charset w:val="00"/>
    <w:family w:val="swiss"/>
    <w:pitch w:val="default"/>
    <w:sig w:usb0="E0002EFF" w:usb1="C000785B" w:usb2="00000009" w:usb3="00000000" w:csb0="400001FF" w:csb1="FFFF0000"/>
  </w:font>
  <w:font w:name="Cambria">
    <w:panose1 w:val="02040503050406030204"/>
    <w:charset w:val="00"/>
    <w:family w:val="roman"/>
    <w:pitch w:val="default"/>
    <w:sig w:usb0="E00006FF" w:usb1="420024FF" w:usb2="02000000" w:usb3="00000000" w:csb0="2000019F" w:csb1="00000000"/>
  </w:font>
  <w:font w:name="Courier New">
    <w:panose1 w:val="02070309020205020404"/>
    <w:charset w:val="00"/>
    <w:family w:val="modern"/>
    <w:pitch w:val="default"/>
    <w:sig w:usb0="E0002EFF" w:usb1="C0007843" w:usb2="00000009" w:usb3="00000000" w:csb0="400001FF" w:csb1="FFFF0000"/>
  </w:font>
  <w:font w:name="仿宋_GB2312">
    <w:altName w:val="仿宋"/>
    <w:panose1 w:val="00000000000000000000"/>
    <w:charset w:val="86"/>
    <w:family w:val="modern"/>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Arial Unicode MS">
    <w:altName w:val="宋体"/>
    <w:panose1 w:val="020B0604020202020204"/>
    <w:charset w:val="86"/>
    <w:family w:val="swiss"/>
    <w:pitch w:val="default"/>
    <w:sig w:usb0="00000000" w:usb1="00000000" w:usb2="0000003F" w:usb3="00000000" w:csb0="003F01FF" w:csb1="00000000"/>
  </w:font>
  <w:font w:name="Tahoma">
    <w:panose1 w:val="020B0604030504040204"/>
    <w:charset w:val="00"/>
    <w:family w:val="swiss"/>
    <w:pitch w:val="default"/>
    <w:sig w:usb0="E1002EFF" w:usb1="C000605B" w:usb2="00000029" w:usb3="00000000" w:csb0="200101FF" w:csb1="20280000"/>
  </w:font>
  <w:font w:name="长城仿宋">
    <w:altName w:val="黑体"/>
    <w:panose1 w:val="00000000000000000000"/>
    <w:charset w:val="86"/>
    <w:family w:val="auto"/>
    <w:pitch w:val="default"/>
    <w:sig w:usb0="00000000" w:usb1="00000000" w:usb2="00000010" w:usb3="00000000" w:csb0="00040000" w:csb1="00000000"/>
  </w:font>
  <w:font w:name="Bookman Old Style">
    <w:panose1 w:val="02050604050505020204"/>
    <w:charset w:val="00"/>
    <w:family w:val="roman"/>
    <w:pitch w:val="default"/>
    <w:sig w:usb0="00000287" w:usb1="00000000" w:usb2="00000000" w:usb3="00000000" w:csb0="2000009F" w:csb1="DFD70000"/>
  </w:font>
  <w:font w:name="FZShuSong-Z01">
    <w:altName w:val="Segoe Print"/>
    <w:panose1 w:val="00000000000000000000"/>
    <w:charset w:val="00"/>
    <w:family w:val="auto"/>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DejaVuSans-Bold">
    <w:altName w:val="Segoe Print"/>
    <w:panose1 w:val="00000000000000000000"/>
    <w:charset w:val="00"/>
    <w:family w:val="auto"/>
    <w:pitch w:val="default"/>
    <w:sig w:usb0="00000000" w:usb1="00000000" w:usb2="00000000" w:usb3="00000000" w:csb0="00040001" w:csb1="00000000"/>
  </w:font>
  <w:font w:name="TimesNewRomanPSMT">
    <w:altName w:val="Times New Roman"/>
    <w:panose1 w:val="00000000000000000000"/>
    <w:charset w:val="00"/>
    <w:family w:val="swiss"/>
    <w:pitch w:val="default"/>
    <w:sig w:usb0="00000000" w:usb1="00000000" w:usb2="00000000" w:usb3="00000000" w:csb0="00000001" w:csb1="00000000"/>
  </w:font>
  <w:font w:name="DejaVuSans">
    <w:altName w:val="Segoe Print"/>
    <w:panose1 w:val="00000000000000000000"/>
    <w:charset w:val="00"/>
    <w:family w:val="auto"/>
    <w:pitch w:val="default"/>
    <w:sig w:usb0="00000000" w:usb1="00000000" w:usb2="00000000" w:usb3="00000000" w:csb0="00040001" w:csb1="00000000"/>
  </w:font>
  <w:font w:name="FZSONGS--GB1-5">
    <w:altName w:val="Segoe Print"/>
    <w:panose1 w:val="00000000000000000000"/>
    <w:charset w:val="00"/>
    <w:family w:val="auto"/>
    <w:pitch w:val="default"/>
    <w:sig w:usb0="00000000" w:usb1="00000000" w:usb2="00000000" w:usb3="00000000" w:csb0="00040001" w:csb1="00000000"/>
  </w:font>
  <w:font w:name="inherit">
    <w:altName w:val="Times New Roman"/>
    <w:panose1 w:val="00000000000000000000"/>
    <w:charset w:val="00"/>
    <w:family w:val="roman"/>
    <w:pitch w:val="default"/>
    <w:sig w:usb0="00000000" w:usb1="00000000" w:usb2="00000000" w:usb3="00000000" w:csb0="00040001" w:csb1="00000000"/>
  </w:font>
  <w:font w:name="time of new roman">
    <w:altName w:val="Times New Roman"/>
    <w:panose1 w:val="00000000000000000000"/>
    <w:charset w:val="00"/>
    <w:family w:val="roman"/>
    <w:pitch w:val="default"/>
    <w:sig w:usb0="00000000" w:usb1="00000000" w:usb2="00000000" w:usb3="00000000" w:csb0="00040001"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BE5003">
    <w:pPr>
      <w:pStyle w:val="25"/>
      <w:jc w:val="center"/>
    </w:pPr>
    <w:r>
      <w:fldChar w:fldCharType="begin"/>
    </w:r>
    <w:r>
      <w:instrText xml:space="preserve">PAGE   \* MERGEFORMAT</w:instrText>
    </w:r>
    <w:r>
      <w:fldChar w:fldCharType="separate"/>
    </w:r>
    <w:r>
      <w:rPr>
        <w:lang w:val="zh-CN"/>
      </w:rPr>
      <w:t>76</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D10847">
    <w:pPr>
      <w:pStyle w:val="25"/>
      <w:jc w:val="center"/>
    </w:pPr>
    <w:r>
      <w:fldChar w:fldCharType="begin"/>
    </w:r>
    <w:r>
      <w:instrText xml:space="preserve">PAGE   \* MERGEFORMAT</w:instrText>
    </w:r>
    <w:r>
      <w:fldChar w:fldCharType="separate"/>
    </w:r>
    <w:r>
      <w:rPr>
        <w:lang w:val="zh-CN"/>
      </w:rPr>
      <w:t>57</w:t>
    </w:r>
    <w: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39299D"/>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785B104"/>
    <w:multiLevelType w:val="singleLevel"/>
    <w:tmpl w:val="D785B104"/>
    <w:lvl w:ilvl="0" w:tentative="0">
      <w:start w:val="1"/>
      <w:numFmt w:val="chineseCounting"/>
      <w:suff w:val="nothing"/>
      <w:lvlText w:val="（%1）"/>
      <w:lvlJc w:val="left"/>
      <w:rPr>
        <w:rFonts w:hint="eastAsia"/>
      </w:rPr>
    </w:lvl>
  </w:abstractNum>
  <w:abstractNum w:abstractNumId="1">
    <w:nsid w:val="4E5B42B3"/>
    <w:multiLevelType w:val="multilevel"/>
    <w:tmpl w:val="4E5B42B3"/>
    <w:lvl w:ilvl="0" w:tentative="0">
      <w:start w:val="1"/>
      <w:numFmt w:val="decimal"/>
      <w:lvlText w:val="%1."/>
      <w:lvlJc w:val="left"/>
      <w:pPr>
        <w:tabs>
          <w:tab w:val="left" w:pos="360"/>
        </w:tabs>
        <w:ind w:left="360" w:hanging="36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mQ2ODBlYzc0NjRkMTZiZDAzOTQwZmVlNGQ5MmQwMDMifQ=="/>
  </w:docVars>
  <w:rsids>
    <w:rsidRoot w:val="00FA3835"/>
    <w:rsid w:val="000050A2"/>
    <w:rsid w:val="00027C8D"/>
    <w:rsid w:val="00040005"/>
    <w:rsid w:val="000543E7"/>
    <w:rsid w:val="0006010D"/>
    <w:rsid w:val="000668DC"/>
    <w:rsid w:val="00081ADD"/>
    <w:rsid w:val="000969BB"/>
    <w:rsid w:val="000973D2"/>
    <w:rsid w:val="000B12EC"/>
    <w:rsid w:val="000B636A"/>
    <w:rsid w:val="000C1F98"/>
    <w:rsid w:val="000C325D"/>
    <w:rsid w:val="000C505C"/>
    <w:rsid w:val="000D1A3C"/>
    <w:rsid w:val="000D280C"/>
    <w:rsid w:val="000D71CA"/>
    <w:rsid w:val="000E0B0C"/>
    <w:rsid w:val="000E17D4"/>
    <w:rsid w:val="000E4DA9"/>
    <w:rsid w:val="000F0512"/>
    <w:rsid w:val="000F4571"/>
    <w:rsid w:val="00103352"/>
    <w:rsid w:val="00103B7B"/>
    <w:rsid w:val="00105333"/>
    <w:rsid w:val="00107AF4"/>
    <w:rsid w:val="001139D5"/>
    <w:rsid w:val="001140D0"/>
    <w:rsid w:val="001235CA"/>
    <w:rsid w:val="00137D93"/>
    <w:rsid w:val="001437EA"/>
    <w:rsid w:val="001444BD"/>
    <w:rsid w:val="00144505"/>
    <w:rsid w:val="00144DDA"/>
    <w:rsid w:val="0014761F"/>
    <w:rsid w:val="00153F11"/>
    <w:rsid w:val="00154F47"/>
    <w:rsid w:val="00155A34"/>
    <w:rsid w:val="00162667"/>
    <w:rsid w:val="00164E27"/>
    <w:rsid w:val="001830D6"/>
    <w:rsid w:val="00186C85"/>
    <w:rsid w:val="001921CA"/>
    <w:rsid w:val="00194900"/>
    <w:rsid w:val="001A0E56"/>
    <w:rsid w:val="001A6E63"/>
    <w:rsid w:val="001B195C"/>
    <w:rsid w:val="001B62CC"/>
    <w:rsid w:val="001B66E1"/>
    <w:rsid w:val="001B6E57"/>
    <w:rsid w:val="001D5DC7"/>
    <w:rsid w:val="001D7301"/>
    <w:rsid w:val="001E1467"/>
    <w:rsid w:val="001E152C"/>
    <w:rsid w:val="001E3480"/>
    <w:rsid w:val="001E4B63"/>
    <w:rsid w:val="001F18B7"/>
    <w:rsid w:val="001F1D2B"/>
    <w:rsid w:val="001F5FAD"/>
    <w:rsid w:val="001F79B6"/>
    <w:rsid w:val="002024C7"/>
    <w:rsid w:val="00206639"/>
    <w:rsid w:val="0021259E"/>
    <w:rsid w:val="00213C28"/>
    <w:rsid w:val="00217282"/>
    <w:rsid w:val="00217358"/>
    <w:rsid w:val="00224FE7"/>
    <w:rsid w:val="00233C8A"/>
    <w:rsid w:val="00240E7B"/>
    <w:rsid w:val="00247ED0"/>
    <w:rsid w:val="00251DB7"/>
    <w:rsid w:val="002607D9"/>
    <w:rsid w:val="002672D1"/>
    <w:rsid w:val="00275598"/>
    <w:rsid w:val="002761A3"/>
    <w:rsid w:val="00280644"/>
    <w:rsid w:val="0028124D"/>
    <w:rsid w:val="00282A80"/>
    <w:rsid w:val="00282F14"/>
    <w:rsid w:val="00287DC0"/>
    <w:rsid w:val="00292E0B"/>
    <w:rsid w:val="002B2234"/>
    <w:rsid w:val="002B44BD"/>
    <w:rsid w:val="002B6E7A"/>
    <w:rsid w:val="002B7380"/>
    <w:rsid w:val="002C47B5"/>
    <w:rsid w:val="002D5C47"/>
    <w:rsid w:val="002E03AA"/>
    <w:rsid w:val="002E1044"/>
    <w:rsid w:val="002E5D96"/>
    <w:rsid w:val="002E6A76"/>
    <w:rsid w:val="002F1704"/>
    <w:rsid w:val="002F6755"/>
    <w:rsid w:val="002F6C2C"/>
    <w:rsid w:val="002F6DE0"/>
    <w:rsid w:val="002F6FCA"/>
    <w:rsid w:val="002F7EF8"/>
    <w:rsid w:val="00301191"/>
    <w:rsid w:val="00322611"/>
    <w:rsid w:val="003248D5"/>
    <w:rsid w:val="00326D72"/>
    <w:rsid w:val="0033189B"/>
    <w:rsid w:val="003442AE"/>
    <w:rsid w:val="0034443A"/>
    <w:rsid w:val="003474B8"/>
    <w:rsid w:val="00353E66"/>
    <w:rsid w:val="00357C16"/>
    <w:rsid w:val="003637C6"/>
    <w:rsid w:val="003732CC"/>
    <w:rsid w:val="00373B63"/>
    <w:rsid w:val="00374F9A"/>
    <w:rsid w:val="00382C0C"/>
    <w:rsid w:val="00392693"/>
    <w:rsid w:val="00397F24"/>
    <w:rsid w:val="003A298A"/>
    <w:rsid w:val="003B4F45"/>
    <w:rsid w:val="003B6193"/>
    <w:rsid w:val="003C172D"/>
    <w:rsid w:val="003C7092"/>
    <w:rsid w:val="003C785A"/>
    <w:rsid w:val="003D09FE"/>
    <w:rsid w:val="003D2B81"/>
    <w:rsid w:val="003D7892"/>
    <w:rsid w:val="003F3DB3"/>
    <w:rsid w:val="003F5F7A"/>
    <w:rsid w:val="004043A2"/>
    <w:rsid w:val="00404EA5"/>
    <w:rsid w:val="00415144"/>
    <w:rsid w:val="00420D92"/>
    <w:rsid w:val="0042297A"/>
    <w:rsid w:val="004362C7"/>
    <w:rsid w:val="0044106E"/>
    <w:rsid w:val="00446E68"/>
    <w:rsid w:val="00447503"/>
    <w:rsid w:val="00457522"/>
    <w:rsid w:val="0046038A"/>
    <w:rsid w:val="00471176"/>
    <w:rsid w:val="00484FF8"/>
    <w:rsid w:val="004A0EB1"/>
    <w:rsid w:val="004A3B49"/>
    <w:rsid w:val="004A5C14"/>
    <w:rsid w:val="004B3476"/>
    <w:rsid w:val="004B36B8"/>
    <w:rsid w:val="004C387C"/>
    <w:rsid w:val="004D064C"/>
    <w:rsid w:val="004D0AB9"/>
    <w:rsid w:val="004E042A"/>
    <w:rsid w:val="004E4504"/>
    <w:rsid w:val="004F0FDE"/>
    <w:rsid w:val="004F3E07"/>
    <w:rsid w:val="00503297"/>
    <w:rsid w:val="00504FD3"/>
    <w:rsid w:val="00507492"/>
    <w:rsid w:val="00512882"/>
    <w:rsid w:val="005143FF"/>
    <w:rsid w:val="00516FEB"/>
    <w:rsid w:val="005244F5"/>
    <w:rsid w:val="00524665"/>
    <w:rsid w:val="00543C0A"/>
    <w:rsid w:val="0054699B"/>
    <w:rsid w:val="005515EB"/>
    <w:rsid w:val="0055226E"/>
    <w:rsid w:val="00552E7C"/>
    <w:rsid w:val="005601D0"/>
    <w:rsid w:val="005613B2"/>
    <w:rsid w:val="0056304A"/>
    <w:rsid w:val="0057066D"/>
    <w:rsid w:val="00572671"/>
    <w:rsid w:val="00591688"/>
    <w:rsid w:val="005916DF"/>
    <w:rsid w:val="00595627"/>
    <w:rsid w:val="00595D3F"/>
    <w:rsid w:val="00595EAC"/>
    <w:rsid w:val="005A2F5B"/>
    <w:rsid w:val="005A52D6"/>
    <w:rsid w:val="005C574A"/>
    <w:rsid w:val="005D09A0"/>
    <w:rsid w:val="005D479D"/>
    <w:rsid w:val="005E416B"/>
    <w:rsid w:val="005E4A90"/>
    <w:rsid w:val="005E7A21"/>
    <w:rsid w:val="005F24B2"/>
    <w:rsid w:val="0060103A"/>
    <w:rsid w:val="00602911"/>
    <w:rsid w:val="00602A7A"/>
    <w:rsid w:val="0060509A"/>
    <w:rsid w:val="006125F5"/>
    <w:rsid w:val="00612A9B"/>
    <w:rsid w:val="0061367B"/>
    <w:rsid w:val="00614D00"/>
    <w:rsid w:val="006225E2"/>
    <w:rsid w:val="0062676A"/>
    <w:rsid w:val="0063345D"/>
    <w:rsid w:val="00640DB1"/>
    <w:rsid w:val="006416E9"/>
    <w:rsid w:val="0064545D"/>
    <w:rsid w:val="00646C82"/>
    <w:rsid w:val="0064747F"/>
    <w:rsid w:val="00647CD5"/>
    <w:rsid w:val="006548A6"/>
    <w:rsid w:val="00655478"/>
    <w:rsid w:val="00664D7F"/>
    <w:rsid w:val="00673641"/>
    <w:rsid w:val="00675D00"/>
    <w:rsid w:val="006858B6"/>
    <w:rsid w:val="0069729B"/>
    <w:rsid w:val="0069730F"/>
    <w:rsid w:val="006A310E"/>
    <w:rsid w:val="006A377B"/>
    <w:rsid w:val="006B0930"/>
    <w:rsid w:val="006B738E"/>
    <w:rsid w:val="006C4384"/>
    <w:rsid w:val="006C5135"/>
    <w:rsid w:val="006C546E"/>
    <w:rsid w:val="006D29F2"/>
    <w:rsid w:val="006E2DE0"/>
    <w:rsid w:val="006E5A8E"/>
    <w:rsid w:val="0070081C"/>
    <w:rsid w:val="00704016"/>
    <w:rsid w:val="0071653B"/>
    <w:rsid w:val="00721985"/>
    <w:rsid w:val="00724C84"/>
    <w:rsid w:val="007252A8"/>
    <w:rsid w:val="00725C0A"/>
    <w:rsid w:val="0073119D"/>
    <w:rsid w:val="0073199C"/>
    <w:rsid w:val="007376B0"/>
    <w:rsid w:val="00740508"/>
    <w:rsid w:val="00743776"/>
    <w:rsid w:val="00751428"/>
    <w:rsid w:val="00755D33"/>
    <w:rsid w:val="0075674B"/>
    <w:rsid w:val="00756CE6"/>
    <w:rsid w:val="00757190"/>
    <w:rsid w:val="00761F2B"/>
    <w:rsid w:val="00763B74"/>
    <w:rsid w:val="007731D0"/>
    <w:rsid w:val="00775B16"/>
    <w:rsid w:val="00785A0A"/>
    <w:rsid w:val="00787CED"/>
    <w:rsid w:val="00791195"/>
    <w:rsid w:val="007967F8"/>
    <w:rsid w:val="007A3772"/>
    <w:rsid w:val="007C2696"/>
    <w:rsid w:val="007C4C31"/>
    <w:rsid w:val="007C5EA5"/>
    <w:rsid w:val="007D381E"/>
    <w:rsid w:val="007D3EE2"/>
    <w:rsid w:val="007E03CA"/>
    <w:rsid w:val="007E6193"/>
    <w:rsid w:val="007E73FF"/>
    <w:rsid w:val="007F2F97"/>
    <w:rsid w:val="007F387D"/>
    <w:rsid w:val="007F7152"/>
    <w:rsid w:val="008203E6"/>
    <w:rsid w:val="00822633"/>
    <w:rsid w:val="00830107"/>
    <w:rsid w:val="00831B02"/>
    <w:rsid w:val="00833174"/>
    <w:rsid w:val="00846609"/>
    <w:rsid w:val="00852958"/>
    <w:rsid w:val="0085467F"/>
    <w:rsid w:val="00864F77"/>
    <w:rsid w:val="008661F8"/>
    <w:rsid w:val="008712FA"/>
    <w:rsid w:val="00876AA9"/>
    <w:rsid w:val="00876EFF"/>
    <w:rsid w:val="00882892"/>
    <w:rsid w:val="00883AB2"/>
    <w:rsid w:val="008861B2"/>
    <w:rsid w:val="00887A5A"/>
    <w:rsid w:val="00896377"/>
    <w:rsid w:val="008A09F5"/>
    <w:rsid w:val="008A4B18"/>
    <w:rsid w:val="008A504A"/>
    <w:rsid w:val="008A738C"/>
    <w:rsid w:val="008B2645"/>
    <w:rsid w:val="008C36D3"/>
    <w:rsid w:val="008D0675"/>
    <w:rsid w:val="008D1425"/>
    <w:rsid w:val="008D3BC8"/>
    <w:rsid w:val="008D6F23"/>
    <w:rsid w:val="008E5EB5"/>
    <w:rsid w:val="008F04C7"/>
    <w:rsid w:val="008F21A5"/>
    <w:rsid w:val="008F2440"/>
    <w:rsid w:val="00910E02"/>
    <w:rsid w:val="00914619"/>
    <w:rsid w:val="009202C8"/>
    <w:rsid w:val="009246BA"/>
    <w:rsid w:val="00930CDE"/>
    <w:rsid w:val="00935AA1"/>
    <w:rsid w:val="009451DC"/>
    <w:rsid w:val="009467F2"/>
    <w:rsid w:val="0095655E"/>
    <w:rsid w:val="009718ED"/>
    <w:rsid w:val="0097297B"/>
    <w:rsid w:val="0098154C"/>
    <w:rsid w:val="0098549E"/>
    <w:rsid w:val="009857EF"/>
    <w:rsid w:val="009941D8"/>
    <w:rsid w:val="009A2C18"/>
    <w:rsid w:val="009C0A0B"/>
    <w:rsid w:val="009C14BD"/>
    <w:rsid w:val="009D1AF8"/>
    <w:rsid w:val="009D32B1"/>
    <w:rsid w:val="009E1C84"/>
    <w:rsid w:val="009E32D4"/>
    <w:rsid w:val="009E4080"/>
    <w:rsid w:val="009E4DCB"/>
    <w:rsid w:val="009E580F"/>
    <w:rsid w:val="009F5A6A"/>
    <w:rsid w:val="00A01B3A"/>
    <w:rsid w:val="00A0205F"/>
    <w:rsid w:val="00A04DD4"/>
    <w:rsid w:val="00A04E9D"/>
    <w:rsid w:val="00A06893"/>
    <w:rsid w:val="00A21886"/>
    <w:rsid w:val="00A25682"/>
    <w:rsid w:val="00A2638C"/>
    <w:rsid w:val="00A27417"/>
    <w:rsid w:val="00A27AFD"/>
    <w:rsid w:val="00A354A8"/>
    <w:rsid w:val="00A4031E"/>
    <w:rsid w:val="00A44A2B"/>
    <w:rsid w:val="00A46F60"/>
    <w:rsid w:val="00A471B2"/>
    <w:rsid w:val="00A53234"/>
    <w:rsid w:val="00A57F47"/>
    <w:rsid w:val="00AA141A"/>
    <w:rsid w:val="00AA7A0D"/>
    <w:rsid w:val="00AB113B"/>
    <w:rsid w:val="00AD2FD2"/>
    <w:rsid w:val="00AD41E6"/>
    <w:rsid w:val="00AD4ECF"/>
    <w:rsid w:val="00AD70C8"/>
    <w:rsid w:val="00AF6067"/>
    <w:rsid w:val="00B04039"/>
    <w:rsid w:val="00B07AAD"/>
    <w:rsid w:val="00B103AD"/>
    <w:rsid w:val="00B15273"/>
    <w:rsid w:val="00B16887"/>
    <w:rsid w:val="00B1746F"/>
    <w:rsid w:val="00B26773"/>
    <w:rsid w:val="00B27A2B"/>
    <w:rsid w:val="00B31F00"/>
    <w:rsid w:val="00B351A2"/>
    <w:rsid w:val="00B41959"/>
    <w:rsid w:val="00B42C18"/>
    <w:rsid w:val="00B43CF7"/>
    <w:rsid w:val="00B44327"/>
    <w:rsid w:val="00B53944"/>
    <w:rsid w:val="00B55CEE"/>
    <w:rsid w:val="00B61FDD"/>
    <w:rsid w:val="00B758E7"/>
    <w:rsid w:val="00B75B80"/>
    <w:rsid w:val="00B81149"/>
    <w:rsid w:val="00B8672D"/>
    <w:rsid w:val="00B91207"/>
    <w:rsid w:val="00B94FB1"/>
    <w:rsid w:val="00B95DB9"/>
    <w:rsid w:val="00B97963"/>
    <w:rsid w:val="00BB53C9"/>
    <w:rsid w:val="00BC7FBC"/>
    <w:rsid w:val="00BD11D6"/>
    <w:rsid w:val="00BD2A3B"/>
    <w:rsid w:val="00BD646D"/>
    <w:rsid w:val="00BD6A33"/>
    <w:rsid w:val="00BD7ED0"/>
    <w:rsid w:val="00BE5E06"/>
    <w:rsid w:val="00BE643E"/>
    <w:rsid w:val="00BE7CED"/>
    <w:rsid w:val="00BF59BF"/>
    <w:rsid w:val="00C056B5"/>
    <w:rsid w:val="00C10630"/>
    <w:rsid w:val="00C12939"/>
    <w:rsid w:val="00C14E3B"/>
    <w:rsid w:val="00C23BA4"/>
    <w:rsid w:val="00C241B2"/>
    <w:rsid w:val="00C34485"/>
    <w:rsid w:val="00C40AB3"/>
    <w:rsid w:val="00C43805"/>
    <w:rsid w:val="00C43E24"/>
    <w:rsid w:val="00C45235"/>
    <w:rsid w:val="00C60EF2"/>
    <w:rsid w:val="00C615B2"/>
    <w:rsid w:val="00C702F0"/>
    <w:rsid w:val="00C74553"/>
    <w:rsid w:val="00C8112C"/>
    <w:rsid w:val="00C87EF4"/>
    <w:rsid w:val="00CA623E"/>
    <w:rsid w:val="00CA630F"/>
    <w:rsid w:val="00CB4EB2"/>
    <w:rsid w:val="00CB7A41"/>
    <w:rsid w:val="00CC7A0B"/>
    <w:rsid w:val="00CD0A52"/>
    <w:rsid w:val="00CD0EEF"/>
    <w:rsid w:val="00CD64CD"/>
    <w:rsid w:val="00CE2041"/>
    <w:rsid w:val="00CE3059"/>
    <w:rsid w:val="00CE4960"/>
    <w:rsid w:val="00CE56FA"/>
    <w:rsid w:val="00CF0912"/>
    <w:rsid w:val="00D0060C"/>
    <w:rsid w:val="00D027B8"/>
    <w:rsid w:val="00D04134"/>
    <w:rsid w:val="00D0571C"/>
    <w:rsid w:val="00D0679B"/>
    <w:rsid w:val="00D11879"/>
    <w:rsid w:val="00D12547"/>
    <w:rsid w:val="00D22D44"/>
    <w:rsid w:val="00D378BA"/>
    <w:rsid w:val="00D40668"/>
    <w:rsid w:val="00D6263A"/>
    <w:rsid w:val="00D778D7"/>
    <w:rsid w:val="00D83934"/>
    <w:rsid w:val="00D861C3"/>
    <w:rsid w:val="00D91A0C"/>
    <w:rsid w:val="00D9239C"/>
    <w:rsid w:val="00D95955"/>
    <w:rsid w:val="00D979AB"/>
    <w:rsid w:val="00DA590C"/>
    <w:rsid w:val="00DA703D"/>
    <w:rsid w:val="00DB54CF"/>
    <w:rsid w:val="00DB632E"/>
    <w:rsid w:val="00DC1546"/>
    <w:rsid w:val="00DC53B9"/>
    <w:rsid w:val="00DD2172"/>
    <w:rsid w:val="00DD4A09"/>
    <w:rsid w:val="00DD4C25"/>
    <w:rsid w:val="00DD6A1F"/>
    <w:rsid w:val="00DE4C00"/>
    <w:rsid w:val="00DE5C67"/>
    <w:rsid w:val="00DF2449"/>
    <w:rsid w:val="00DF7ACF"/>
    <w:rsid w:val="00E004CA"/>
    <w:rsid w:val="00E03391"/>
    <w:rsid w:val="00E0373B"/>
    <w:rsid w:val="00E07308"/>
    <w:rsid w:val="00E07C35"/>
    <w:rsid w:val="00E14474"/>
    <w:rsid w:val="00E179B5"/>
    <w:rsid w:val="00E26286"/>
    <w:rsid w:val="00E30AC2"/>
    <w:rsid w:val="00E337DD"/>
    <w:rsid w:val="00E33D84"/>
    <w:rsid w:val="00E34813"/>
    <w:rsid w:val="00E356D2"/>
    <w:rsid w:val="00E401B3"/>
    <w:rsid w:val="00E458DA"/>
    <w:rsid w:val="00E5687E"/>
    <w:rsid w:val="00E635C3"/>
    <w:rsid w:val="00E639CC"/>
    <w:rsid w:val="00E63D5B"/>
    <w:rsid w:val="00E671AD"/>
    <w:rsid w:val="00E83E40"/>
    <w:rsid w:val="00E857B8"/>
    <w:rsid w:val="00E907E5"/>
    <w:rsid w:val="00E943B8"/>
    <w:rsid w:val="00EA11F7"/>
    <w:rsid w:val="00EA20B9"/>
    <w:rsid w:val="00EA4549"/>
    <w:rsid w:val="00ED0B37"/>
    <w:rsid w:val="00ED22DF"/>
    <w:rsid w:val="00ED4C66"/>
    <w:rsid w:val="00ED6781"/>
    <w:rsid w:val="00EE4BD8"/>
    <w:rsid w:val="00EF5BA0"/>
    <w:rsid w:val="00F13600"/>
    <w:rsid w:val="00F1464C"/>
    <w:rsid w:val="00F15FC0"/>
    <w:rsid w:val="00F17042"/>
    <w:rsid w:val="00F175D1"/>
    <w:rsid w:val="00F21DA9"/>
    <w:rsid w:val="00F22A75"/>
    <w:rsid w:val="00F30C1E"/>
    <w:rsid w:val="00F3185D"/>
    <w:rsid w:val="00F35217"/>
    <w:rsid w:val="00F35C50"/>
    <w:rsid w:val="00F36EE0"/>
    <w:rsid w:val="00F42D68"/>
    <w:rsid w:val="00F436FE"/>
    <w:rsid w:val="00F500D2"/>
    <w:rsid w:val="00F51A9D"/>
    <w:rsid w:val="00F57792"/>
    <w:rsid w:val="00F60048"/>
    <w:rsid w:val="00F6185A"/>
    <w:rsid w:val="00F73FE2"/>
    <w:rsid w:val="00F74944"/>
    <w:rsid w:val="00F8497C"/>
    <w:rsid w:val="00F905BC"/>
    <w:rsid w:val="00F91E41"/>
    <w:rsid w:val="00FA238D"/>
    <w:rsid w:val="00FA3835"/>
    <w:rsid w:val="00FA6816"/>
    <w:rsid w:val="00FB5D79"/>
    <w:rsid w:val="00FE3D91"/>
    <w:rsid w:val="00FE55D2"/>
    <w:rsid w:val="00FF5179"/>
    <w:rsid w:val="00FF728E"/>
    <w:rsid w:val="017A1821"/>
    <w:rsid w:val="020B291A"/>
    <w:rsid w:val="053E2C54"/>
    <w:rsid w:val="06F02823"/>
    <w:rsid w:val="0762073E"/>
    <w:rsid w:val="09120680"/>
    <w:rsid w:val="09A45050"/>
    <w:rsid w:val="09FA1199"/>
    <w:rsid w:val="0A5B05D9"/>
    <w:rsid w:val="0AE0030A"/>
    <w:rsid w:val="0D6B0DE4"/>
    <w:rsid w:val="0D8A6F81"/>
    <w:rsid w:val="0E39045D"/>
    <w:rsid w:val="0E936CC2"/>
    <w:rsid w:val="0EE967FA"/>
    <w:rsid w:val="0F4075C9"/>
    <w:rsid w:val="0F4672D5"/>
    <w:rsid w:val="0F4E40DD"/>
    <w:rsid w:val="0F6F4465"/>
    <w:rsid w:val="10E279BE"/>
    <w:rsid w:val="122E6778"/>
    <w:rsid w:val="124949E7"/>
    <w:rsid w:val="15D708BB"/>
    <w:rsid w:val="15F52619"/>
    <w:rsid w:val="17CB6513"/>
    <w:rsid w:val="17E30CEE"/>
    <w:rsid w:val="185D6BC0"/>
    <w:rsid w:val="19706CFD"/>
    <w:rsid w:val="19AE7309"/>
    <w:rsid w:val="1A18361C"/>
    <w:rsid w:val="1A902BB0"/>
    <w:rsid w:val="1B9E3D36"/>
    <w:rsid w:val="1BBA3A2F"/>
    <w:rsid w:val="1C686EB5"/>
    <w:rsid w:val="1C8F2A04"/>
    <w:rsid w:val="1D8B6157"/>
    <w:rsid w:val="20365C75"/>
    <w:rsid w:val="203D5E30"/>
    <w:rsid w:val="20863AF3"/>
    <w:rsid w:val="20FD3BD3"/>
    <w:rsid w:val="214B42D7"/>
    <w:rsid w:val="218B2C39"/>
    <w:rsid w:val="22597BF6"/>
    <w:rsid w:val="227819CB"/>
    <w:rsid w:val="23256975"/>
    <w:rsid w:val="23423424"/>
    <w:rsid w:val="240C4724"/>
    <w:rsid w:val="243F7370"/>
    <w:rsid w:val="26053E04"/>
    <w:rsid w:val="26DD3CEE"/>
    <w:rsid w:val="27F05BD9"/>
    <w:rsid w:val="2A8E004C"/>
    <w:rsid w:val="2B6A1BE2"/>
    <w:rsid w:val="2BB70186"/>
    <w:rsid w:val="2CB90995"/>
    <w:rsid w:val="2D5179CF"/>
    <w:rsid w:val="2ED5581D"/>
    <w:rsid w:val="2F25260C"/>
    <w:rsid w:val="308A097E"/>
    <w:rsid w:val="319039E6"/>
    <w:rsid w:val="32085AE3"/>
    <w:rsid w:val="327F0D3B"/>
    <w:rsid w:val="331A4758"/>
    <w:rsid w:val="3369385E"/>
    <w:rsid w:val="33CA23C6"/>
    <w:rsid w:val="35073D21"/>
    <w:rsid w:val="35C0542C"/>
    <w:rsid w:val="372B2789"/>
    <w:rsid w:val="37B23E7A"/>
    <w:rsid w:val="384F06F9"/>
    <w:rsid w:val="38593326"/>
    <w:rsid w:val="395026E3"/>
    <w:rsid w:val="39A43A9C"/>
    <w:rsid w:val="3AE72E6B"/>
    <w:rsid w:val="3AFF33E8"/>
    <w:rsid w:val="3C2D3B80"/>
    <w:rsid w:val="3D476359"/>
    <w:rsid w:val="3D9A658C"/>
    <w:rsid w:val="3DE10046"/>
    <w:rsid w:val="3DEE1D80"/>
    <w:rsid w:val="3DF338D5"/>
    <w:rsid w:val="3EA378DA"/>
    <w:rsid w:val="3EF73899"/>
    <w:rsid w:val="3F651E10"/>
    <w:rsid w:val="426C16E4"/>
    <w:rsid w:val="430B16C1"/>
    <w:rsid w:val="43D85920"/>
    <w:rsid w:val="442F62DC"/>
    <w:rsid w:val="443B5FD6"/>
    <w:rsid w:val="44406D45"/>
    <w:rsid w:val="459220B9"/>
    <w:rsid w:val="46DB7A17"/>
    <w:rsid w:val="48333FF5"/>
    <w:rsid w:val="485E6BC5"/>
    <w:rsid w:val="49FA5FEB"/>
    <w:rsid w:val="4A3E0C6F"/>
    <w:rsid w:val="4B914BF5"/>
    <w:rsid w:val="4C7D3400"/>
    <w:rsid w:val="4C92075D"/>
    <w:rsid w:val="4CB230FF"/>
    <w:rsid w:val="4D413CB4"/>
    <w:rsid w:val="4EE564B0"/>
    <w:rsid w:val="4FFC159D"/>
    <w:rsid w:val="51CD3614"/>
    <w:rsid w:val="522400A9"/>
    <w:rsid w:val="531539E5"/>
    <w:rsid w:val="53D55AFF"/>
    <w:rsid w:val="53FC6986"/>
    <w:rsid w:val="54A60BE9"/>
    <w:rsid w:val="559A7000"/>
    <w:rsid w:val="5628185A"/>
    <w:rsid w:val="56770AFB"/>
    <w:rsid w:val="573C6F55"/>
    <w:rsid w:val="57D63A28"/>
    <w:rsid w:val="57F95C42"/>
    <w:rsid w:val="581B6CF3"/>
    <w:rsid w:val="58527420"/>
    <w:rsid w:val="585F0652"/>
    <w:rsid w:val="591A5625"/>
    <w:rsid w:val="5980136F"/>
    <w:rsid w:val="59DD58A1"/>
    <w:rsid w:val="5AE900E2"/>
    <w:rsid w:val="5C7F1F93"/>
    <w:rsid w:val="5D89084C"/>
    <w:rsid w:val="5E72647F"/>
    <w:rsid w:val="5E834DD9"/>
    <w:rsid w:val="5F236DE7"/>
    <w:rsid w:val="608E3660"/>
    <w:rsid w:val="617B7B59"/>
    <w:rsid w:val="620B4DE2"/>
    <w:rsid w:val="621505DC"/>
    <w:rsid w:val="625D22A8"/>
    <w:rsid w:val="63025693"/>
    <w:rsid w:val="639853EA"/>
    <w:rsid w:val="648D7D30"/>
    <w:rsid w:val="657340D8"/>
    <w:rsid w:val="65C0401D"/>
    <w:rsid w:val="662648F8"/>
    <w:rsid w:val="665F1537"/>
    <w:rsid w:val="67D85B6C"/>
    <w:rsid w:val="68ED6A71"/>
    <w:rsid w:val="69317B0A"/>
    <w:rsid w:val="69F67FAD"/>
    <w:rsid w:val="6A2808EB"/>
    <w:rsid w:val="6AA41376"/>
    <w:rsid w:val="6C67192F"/>
    <w:rsid w:val="6CE60189"/>
    <w:rsid w:val="6CF11780"/>
    <w:rsid w:val="6E04301E"/>
    <w:rsid w:val="6F135C55"/>
    <w:rsid w:val="6F215C44"/>
    <w:rsid w:val="6F5A2F04"/>
    <w:rsid w:val="732820F7"/>
    <w:rsid w:val="734D446A"/>
    <w:rsid w:val="740972B4"/>
    <w:rsid w:val="74C80B12"/>
    <w:rsid w:val="77FE4FE3"/>
    <w:rsid w:val="78C830A0"/>
    <w:rsid w:val="78D36201"/>
    <w:rsid w:val="792F1A3C"/>
    <w:rsid w:val="79B5177D"/>
    <w:rsid w:val="79CD520C"/>
    <w:rsid w:val="7A463EB9"/>
    <w:rsid w:val="7A8377B3"/>
    <w:rsid w:val="7D9D4043"/>
    <w:rsid w:val="7E110BB2"/>
    <w:rsid w:val="7E9D0BC6"/>
    <w:rsid w:val="7F8942DD"/>
    <w:rsid w:val="7FD20CF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qFormat="1" w:unhideWhenUsed="0" w:uiPriority="0" w:name="Document Map"/>
    <w:lsdException w:qFormat="1" w:unhideWhenUsed="0" w:uiPriority="99"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3">
    <w:name w:val="heading 2"/>
    <w:basedOn w:val="1"/>
    <w:next w:val="4"/>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5">
    <w:name w:val="heading 3"/>
    <w:basedOn w:val="1"/>
    <w:next w:val="1"/>
    <w:qFormat/>
    <w:uiPriority w:val="0"/>
    <w:pPr>
      <w:keepNext/>
      <w:keepLines/>
      <w:spacing w:before="260" w:after="260" w:line="416" w:lineRule="auto"/>
      <w:outlineLvl w:val="2"/>
    </w:pPr>
    <w:rPr>
      <w:b/>
      <w:bCs/>
      <w:sz w:val="32"/>
      <w:szCs w:val="32"/>
    </w:rPr>
  </w:style>
  <w:style w:type="paragraph" w:styleId="6">
    <w:name w:val="heading 4"/>
    <w:basedOn w:val="1"/>
    <w:next w:val="1"/>
    <w:qFormat/>
    <w:uiPriority w:val="0"/>
    <w:pPr>
      <w:keepNext/>
      <w:keepLines/>
      <w:spacing w:before="280" w:after="290" w:line="376" w:lineRule="auto"/>
      <w:outlineLvl w:val="3"/>
    </w:pPr>
    <w:rPr>
      <w:rFonts w:ascii="Arial" w:hAnsi="Arial" w:eastAsia="黑体"/>
      <w:b/>
      <w:bCs/>
      <w:sz w:val="28"/>
      <w:szCs w:val="28"/>
    </w:rPr>
  </w:style>
  <w:style w:type="paragraph" w:styleId="7">
    <w:name w:val="heading 5"/>
    <w:basedOn w:val="1"/>
    <w:next w:val="4"/>
    <w:qFormat/>
    <w:uiPriority w:val="0"/>
    <w:pPr>
      <w:keepNext/>
      <w:keepLines/>
      <w:spacing w:before="280" w:after="290" w:line="376" w:lineRule="auto"/>
      <w:outlineLvl w:val="4"/>
    </w:pPr>
    <w:rPr>
      <w:b/>
      <w:sz w:val="28"/>
      <w:szCs w:val="20"/>
    </w:rPr>
  </w:style>
  <w:style w:type="paragraph" w:styleId="8">
    <w:name w:val="heading 6"/>
    <w:basedOn w:val="1"/>
    <w:next w:val="4"/>
    <w:qFormat/>
    <w:uiPriority w:val="0"/>
    <w:pPr>
      <w:keepNext/>
      <w:keepLines/>
      <w:spacing w:before="240" w:after="64" w:line="320" w:lineRule="auto"/>
      <w:outlineLvl w:val="5"/>
    </w:pPr>
    <w:rPr>
      <w:rFonts w:ascii="Arial" w:hAnsi="Arial" w:eastAsia="黑体"/>
      <w:b/>
      <w:sz w:val="24"/>
      <w:szCs w:val="20"/>
    </w:rPr>
  </w:style>
  <w:style w:type="paragraph" w:styleId="9">
    <w:name w:val="heading 7"/>
    <w:basedOn w:val="1"/>
    <w:next w:val="4"/>
    <w:qFormat/>
    <w:uiPriority w:val="0"/>
    <w:pPr>
      <w:keepNext/>
      <w:keepLines/>
      <w:spacing w:before="240" w:after="64" w:line="320" w:lineRule="auto"/>
      <w:outlineLvl w:val="6"/>
    </w:pPr>
    <w:rPr>
      <w:b/>
      <w:sz w:val="24"/>
      <w:szCs w:val="20"/>
    </w:rPr>
  </w:style>
  <w:style w:type="paragraph" w:styleId="10">
    <w:name w:val="heading 8"/>
    <w:basedOn w:val="1"/>
    <w:next w:val="4"/>
    <w:qFormat/>
    <w:uiPriority w:val="0"/>
    <w:pPr>
      <w:keepNext/>
      <w:keepLines/>
      <w:spacing w:before="240" w:after="64" w:line="320" w:lineRule="auto"/>
      <w:outlineLvl w:val="7"/>
    </w:pPr>
    <w:rPr>
      <w:rFonts w:ascii="Arial" w:hAnsi="Arial" w:eastAsia="黑体"/>
      <w:sz w:val="24"/>
      <w:szCs w:val="20"/>
    </w:rPr>
  </w:style>
  <w:style w:type="paragraph" w:styleId="11">
    <w:name w:val="heading 9"/>
    <w:basedOn w:val="1"/>
    <w:next w:val="4"/>
    <w:qFormat/>
    <w:uiPriority w:val="0"/>
    <w:pPr>
      <w:keepNext/>
      <w:keepLines/>
      <w:spacing w:before="240" w:after="64" w:line="320" w:lineRule="auto"/>
      <w:outlineLvl w:val="8"/>
    </w:pPr>
    <w:rPr>
      <w:rFonts w:ascii="Arial" w:hAnsi="Arial" w:eastAsia="黑体"/>
      <w:szCs w:val="20"/>
    </w:rPr>
  </w:style>
  <w:style w:type="character" w:default="1" w:styleId="40">
    <w:name w:val="Default Paragraph Font"/>
    <w:semiHidden/>
    <w:unhideWhenUsed/>
    <w:uiPriority w:val="1"/>
  </w:style>
  <w:style w:type="table" w:default="1" w:styleId="38">
    <w:name w:val="Normal Table"/>
    <w:semiHidden/>
    <w:unhideWhenUsed/>
    <w:qFormat/>
    <w:uiPriority w:val="99"/>
    <w:tblPr>
      <w:tblCellMar>
        <w:top w:w="0" w:type="dxa"/>
        <w:left w:w="108" w:type="dxa"/>
        <w:bottom w:w="0" w:type="dxa"/>
        <w:right w:w="108" w:type="dxa"/>
      </w:tblCellMar>
    </w:tblPr>
  </w:style>
  <w:style w:type="paragraph" w:styleId="4">
    <w:name w:val="Normal Indent"/>
    <w:basedOn w:val="1"/>
    <w:qFormat/>
    <w:uiPriority w:val="0"/>
    <w:pPr>
      <w:autoSpaceDE w:val="0"/>
      <w:autoSpaceDN w:val="0"/>
      <w:adjustRightInd w:val="0"/>
      <w:ind w:firstLine="420"/>
      <w:jc w:val="left"/>
    </w:pPr>
    <w:rPr>
      <w:rFonts w:ascii="宋体"/>
      <w:kern w:val="0"/>
      <w:sz w:val="24"/>
      <w:szCs w:val="20"/>
    </w:rPr>
  </w:style>
  <w:style w:type="paragraph" w:styleId="12">
    <w:name w:val="toc 7"/>
    <w:basedOn w:val="1"/>
    <w:next w:val="1"/>
    <w:qFormat/>
    <w:uiPriority w:val="0"/>
    <w:pPr>
      <w:ind w:left="2520" w:leftChars="1200"/>
    </w:pPr>
    <w:rPr>
      <w:rFonts w:ascii="Cambria" w:hAnsi="Cambria"/>
      <w:szCs w:val="21"/>
    </w:rPr>
  </w:style>
  <w:style w:type="paragraph" w:styleId="13">
    <w:name w:val="Document Map"/>
    <w:basedOn w:val="1"/>
    <w:semiHidden/>
    <w:qFormat/>
    <w:uiPriority w:val="0"/>
    <w:pPr>
      <w:shd w:val="clear" w:color="auto" w:fill="000080"/>
    </w:pPr>
  </w:style>
  <w:style w:type="paragraph" w:styleId="14">
    <w:name w:val="annotation text"/>
    <w:basedOn w:val="1"/>
    <w:link w:val="47"/>
    <w:qFormat/>
    <w:uiPriority w:val="99"/>
    <w:pPr>
      <w:jc w:val="left"/>
    </w:pPr>
    <w:rPr>
      <w:rFonts w:ascii="Cambria" w:hAnsi="Cambria"/>
      <w:szCs w:val="21"/>
    </w:rPr>
  </w:style>
  <w:style w:type="paragraph" w:styleId="15">
    <w:name w:val="Body Text 3"/>
    <w:basedOn w:val="1"/>
    <w:qFormat/>
    <w:uiPriority w:val="0"/>
    <w:pPr>
      <w:widowControl/>
      <w:ind w:right="720"/>
      <w:jc w:val="left"/>
    </w:pPr>
    <w:rPr>
      <w:kern w:val="0"/>
      <w:sz w:val="20"/>
      <w:szCs w:val="20"/>
      <w:lang w:eastAsia="en-US"/>
    </w:rPr>
  </w:style>
  <w:style w:type="paragraph" w:styleId="16">
    <w:name w:val="Body Text"/>
    <w:basedOn w:val="1"/>
    <w:qFormat/>
    <w:uiPriority w:val="0"/>
    <w:pPr>
      <w:tabs>
        <w:tab w:val="left" w:pos="567"/>
      </w:tabs>
      <w:spacing w:before="120" w:line="22" w:lineRule="atLeast"/>
    </w:pPr>
    <w:rPr>
      <w:rFonts w:ascii="宋体" w:hAnsi="宋体"/>
      <w:sz w:val="24"/>
    </w:rPr>
  </w:style>
  <w:style w:type="paragraph" w:styleId="17">
    <w:name w:val="Body Text Indent"/>
    <w:basedOn w:val="1"/>
    <w:qFormat/>
    <w:uiPriority w:val="0"/>
    <w:pPr>
      <w:spacing w:after="120"/>
      <w:ind w:left="420" w:leftChars="200"/>
    </w:pPr>
  </w:style>
  <w:style w:type="paragraph" w:styleId="18">
    <w:name w:val="toc 5"/>
    <w:basedOn w:val="1"/>
    <w:next w:val="1"/>
    <w:qFormat/>
    <w:uiPriority w:val="0"/>
    <w:pPr>
      <w:ind w:left="1680" w:leftChars="800"/>
    </w:pPr>
    <w:rPr>
      <w:rFonts w:ascii="Cambria" w:hAnsi="Cambria"/>
      <w:szCs w:val="21"/>
    </w:rPr>
  </w:style>
  <w:style w:type="paragraph" w:styleId="19">
    <w:name w:val="toc 3"/>
    <w:basedOn w:val="1"/>
    <w:next w:val="1"/>
    <w:qFormat/>
    <w:uiPriority w:val="0"/>
    <w:pPr>
      <w:ind w:left="840" w:leftChars="400"/>
    </w:pPr>
    <w:rPr>
      <w:rFonts w:ascii="Cambria" w:hAnsi="Cambria"/>
      <w:szCs w:val="21"/>
    </w:rPr>
  </w:style>
  <w:style w:type="paragraph" w:styleId="20">
    <w:name w:val="Plain Text"/>
    <w:basedOn w:val="1"/>
    <w:link w:val="48"/>
    <w:qFormat/>
    <w:uiPriority w:val="99"/>
    <w:rPr>
      <w:rFonts w:ascii="宋体" w:hAnsi="Courier New"/>
      <w:szCs w:val="20"/>
    </w:rPr>
  </w:style>
  <w:style w:type="paragraph" w:styleId="21">
    <w:name w:val="toc 8"/>
    <w:basedOn w:val="1"/>
    <w:next w:val="1"/>
    <w:qFormat/>
    <w:uiPriority w:val="0"/>
    <w:pPr>
      <w:ind w:left="2940" w:leftChars="1400"/>
    </w:pPr>
    <w:rPr>
      <w:rFonts w:ascii="Cambria" w:hAnsi="Cambria"/>
      <w:szCs w:val="21"/>
    </w:rPr>
  </w:style>
  <w:style w:type="paragraph" w:styleId="22">
    <w:name w:val="Date"/>
    <w:basedOn w:val="1"/>
    <w:next w:val="1"/>
    <w:link w:val="49"/>
    <w:qFormat/>
    <w:uiPriority w:val="0"/>
    <w:rPr>
      <w:szCs w:val="20"/>
    </w:rPr>
  </w:style>
  <w:style w:type="paragraph" w:styleId="23">
    <w:name w:val="Body Text Indent 2"/>
    <w:basedOn w:val="1"/>
    <w:qFormat/>
    <w:uiPriority w:val="0"/>
    <w:pPr>
      <w:ind w:firstLine="480" w:firstLineChars="200"/>
    </w:pPr>
    <w:rPr>
      <w:rFonts w:ascii="仿宋_GB2312" w:eastAsia="仿宋_GB2312"/>
      <w:sz w:val="24"/>
    </w:rPr>
  </w:style>
  <w:style w:type="paragraph" w:styleId="24">
    <w:name w:val="Balloon Text"/>
    <w:basedOn w:val="1"/>
    <w:semiHidden/>
    <w:qFormat/>
    <w:uiPriority w:val="0"/>
    <w:rPr>
      <w:sz w:val="18"/>
      <w:szCs w:val="18"/>
    </w:rPr>
  </w:style>
  <w:style w:type="paragraph" w:styleId="25">
    <w:name w:val="footer"/>
    <w:basedOn w:val="1"/>
    <w:link w:val="50"/>
    <w:qFormat/>
    <w:uiPriority w:val="99"/>
    <w:pPr>
      <w:tabs>
        <w:tab w:val="center" w:pos="4153"/>
        <w:tab w:val="right" w:pos="8306"/>
      </w:tabs>
      <w:snapToGrid w:val="0"/>
      <w:jc w:val="left"/>
    </w:pPr>
    <w:rPr>
      <w:sz w:val="18"/>
      <w:szCs w:val="18"/>
    </w:rPr>
  </w:style>
  <w:style w:type="paragraph" w:styleId="26">
    <w:name w:val="header"/>
    <w:basedOn w:val="1"/>
    <w:link w:val="51"/>
    <w:qFormat/>
    <w:uiPriority w:val="0"/>
    <w:pPr>
      <w:pBdr>
        <w:bottom w:val="single" w:color="auto" w:sz="6" w:space="1"/>
      </w:pBdr>
      <w:tabs>
        <w:tab w:val="center" w:pos="4153"/>
        <w:tab w:val="right" w:pos="8306"/>
      </w:tabs>
      <w:snapToGrid w:val="0"/>
      <w:jc w:val="center"/>
    </w:pPr>
    <w:rPr>
      <w:sz w:val="18"/>
      <w:szCs w:val="18"/>
    </w:rPr>
  </w:style>
  <w:style w:type="paragraph" w:styleId="27">
    <w:name w:val="toc 1"/>
    <w:basedOn w:val="1"/>
    <w:next w:val="1"/>
    <w:qFormat/>
    <w:uiPriority w:val="39"/>
    <w:pPr>
      <w:tabs>
        <w:tab w:val="right" w:leader="dot" w:pos="9061"/>
      </w:tabs>
    </w:pPr>
    <w:rPr>
      <w:rFonts w:ascii="仿宋_GB2312" w:hAnsi="宋体" w:eastAsia="仿宋_GB2312" w:cs="仿宋_GB2312"/>
      <w:color w:val="000000"/>
      <w:szCs w:val="21"/>
    </w:rPr>
  </w:style>
  <w:style w:type="paragraph" w:styleId="28">
    <w:name w:val="toc 4"/>
    <w:basedOn w:val="1"/>
    <w:next w:val="1"/>
    <w:qFormat/>
    <w:uiPriority w:val="0"/>
    <w:pPr>
      <w:ind w:left="1260" w:leftChars="600"/>
    </w:pPr>
    <w:rPr>
      <w:rFonts w:ascii="Cambria" w:hAnsi="Cambria"/>
      <w:szCs w:val="21"/>
    </w:rPr>
  </w:style>
  <w:style w:type="paragraph" w:styleId="29">
    <w:name w:val="toc 6"/>
    <w:basedOn w:val="1"/>
    <w:next w:val="1"/>
    <w:qFormat/>
    <w:uiPriority w:val="0"/>
    <w:pPr>
      <w:ind w:left="2100" w:leftChars="1000"/>
    </w:pPr>
    <w:rPr>
      <w:rFonts w:ascii="Cambria" w:hAnsi="Cambria"/>
      <w:szCs w:val="21"/>
    </w:rPr>
  </w:style>
  <w:style w:type="paragraph" w:styleId="30">
    <w:name w:val="Body Text Indent 3"/>
    <w:basedOn w:val="1"/>
    <w:link w:val="52"/>
    <w:qFormat/>
    <w:uiPriority w:val="0"/>
    <w:pPr>
      <w:autoSpaceDE w:val="0"/>
      <w:autoSpaceDN w:val="0"/>
      <w:adjustRightInd w:val="0"/>
      <w:spacing w:before="120" w:line="22" w:lineRule="atLeast"/>
      <w:ind w:left="720" w:firstLine="480"/>
      <w:jc w:val="left"/>
    </w:pPr>
    <w:rPr>
      <w:rFonts w:ascii="宋体" w:hAnsi="Cambria" w:cs="宋体"/>
      <w:kern w:val="0"/>
      <w:sz w:val="24"/>
    </w:rPr>
  </w:style>
  <w:style w:type="paragraph" w:styleId="31">
    <w:name w:val="toc 2"/>
    <w:basedOn w:val="1"/>
    <w:next w:val="1"/>
    <w:qFormat/>
    <w:uiPriority w:val="0"/>
    <w:pPr>
      <w:spacing w:before="120" w:line="360" w:lineRule="auto"/>
    </w:pPr>
    <w:rPr>
      <w:rFonts w:ascii="仿宋_GB2312" w:hAnsi="宋体" w:eastAsia="仿宋_GB2312" w:cs="仿宋_GB2312"/>
      <w:b/>
      <w:bCs/>
      <w:sz w:val="24"/>
    </w:rPr>
  </w:style>
  <w:style w:type="paragraph" w:styleId="32">
    <w:name w:val="toc 9"/>
    <w:basedOn w:val="1"/>
    <w:next w:val="1"/>
    <w:qFormat/>
    <w:uiPriority w:val="0"/>
    <w:pPr>
      <w:ind w:left="3360" w:leftChars="1600"/>
    </w:pPr>
    <w:rPr>
      <w:rFonts w:ascii="Cambria" w:hAnsi="Cambria"/>
      <w:szCs w:val="21"/>
    </w:rPr>
  </w:style>
  <w:style w:type="paragraph" w:styleId="33">
    <w:name w:val="Body Text 2"/>
    <w:basedOn w:val="1"/>
    <w:qFormat/>
    <w:uiPriority w:val="0"/>
    <w:pPr>
      <w:widowControl/>
    </w:pPr>
    <w:rPr>
      <w:kern w:val="0"/>
      <w:sz w:val="20"/>
      <w:szCs w:val="20"/>
      <w:lang w:eastAsia="en-US"/>
    </w:rPr>
  </w:style>
  <w:style w:type="paragraph" w:styleId="34">
    <w:name w:val="Normal (Web)"/>
    <w:basedOn w:val="1"/>
    <w:qFormat/>
    <w:uiPriority w:val="99"/>
    <w:pPr>
      <w:widowControl/>
      <w:spacing w:before="100" w:beforeAutospacing="1" w:after="100" w:afterAutospacing="1"/>
      <w:jc w:val="left"/>
    </w:pPr>
    <w:rPr>
      <w:rFonts w:ascii="Arial Unicode MS" w:hAnsi="Arial Unicode MS" w:eastAsia="Arial Unicode MS" w:cs="Arial Unicode MS"/>
      <w:kern w:val="0"/>
      <w:sz w:val="24"/>
    </w:rPr>
  </w:style>
  <w:style w:type="paragraph" w:styleId="35">
    <w:name w:val="index 1"/>
    <w:basedOn w:val="1"/>
    <w:next w:val="1"/>
    <w:qFormat/>
    <w:uiPriority w:val="0"/>
    <w:rPr>
      <w:rFonts w:ascii="Cambria" w:hAnsi="Cambria"/>
      <w:szCs w:val="21"/>
    </w:rPr>
  </w:style>
  <w:style w:type="paragraph" w:styleId="36">
    <w:name w:val="Title"/>
    <w:basedOn w:val="1"/>
    <w:qFormat/>
    <w:uiPriority w:val="0"/>
    <w:pPr>
      <w:jc w:val="center"/>
    </w:pPr>
    <w:rPr>
      <w:sz w:val="30"/>
    </w:rPr>
  </w:style>
  <w:style w:type="paragraph" w:styleId="37">
    <w:name w:val="annotation subject"/>
    <w:basedOn w:val="14"/>
    <w:next w:val="14"/>
    <w:link w:val="71"/>
    <w:qFormat/>
    <w:uiPriority w:val="0"/>
    <w:rPr>
      <w:rFonts w:ascii="Times New Roman" w:hAnsi="Times New Roman"/>
      <w:b/>
      <w:bCs/>
      <w:szCs w:val="24"/>
    </w:rPr>
  </w:style>
  <w:style w:type="table" w:styleId="39">
    <w:name w:val="Table Grid"/>
    <w:basedOn w:val="3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1">
    <w:name w:val="Strong"/>
    <w:qFormat/>
    <w:uiPriority w:val="22"/>
    <w:rPr>
      <w:b/>
      <w:bCs/>
    </w:rPr>
  </w:style>
  <w:style w:type="character" w:styleId="42">
    <w:name w:val="page number"/>
    <w:qFormat/>
    <w:uiPriority w:val="0"/>
  </w:style>
  <w:style w:type="character" w:styleId="43">
    <w:name w:val="FollowedHyperlink"/>
    <w:qFormat/>
    <w:uiPriority w:val="0"/>
    <w:rPr>
      <w:color w:val="800080"/>
      <w:u w:val="single"/>
    </w:rPr>
  </w:style>
  <w:style w:type="character" w:styleId="44">
    <w:name w:val="Emphasis"/>
    <w:qFormat/>
    <w:uiPriority w:val="20"/>
    <w:rPr>
      <w:i/>
      <w:iCs/>
    </w:rPr>
  </w:style>
  <w:style w:type="character" w:styleId="45">
    <w:name w:val="Hyperlink"/>
    <w:qFormat/>
    <w:uiPriority w:val="99"/>
    <w:rPr>
      <w:color w:val="0000FF"/>
      <w:u w:val="single"/>
    </w:rPr>
  </w:style>
  <w:style w:type="character" w:styleId="46">
    <w:name w:val="annotation reference"/>
    <w:basedOn w:val="40"/>
    <w:qFormat/>
    <w:uiPriority w:val="99"/>
    <w:rPr>
      <w:sz w:val="21"/>
      <w:szCs w:val="21"/>
    </w:rPr>
  </w:style>
  <w:style w:type="character" w:customStyle="1" w:styleId="47">
    <w:name w:val="批注文字 字符"/>
    <w:link w:val="14"/>
    <w:qFormat/>
    <w:uiPriority w:val="99"/>
    <w:rPr>
      <w:rFonts w:ascii="Cambria" w:hAnsi="Cambria"/>
      <w:kern w:val="2"/>
      <w:sz w:val="21"/>
      <w:szCs w:val="21"/>
    </w:rPr>
  </w:style>
  <w:style w:type="character" w:customStyle="1" w:styleId="48">
    <w:name w:val="纯文本 字符"/>
    <w:link w:val="20"/>
    <w:qFormat/>
    <w:uiPriority w:val="99"/>
    <w:rPr>
      <w:rFonts w:ascii="宋体" w:hAnsi="Courier New"/>
      <w:kern w:val="2"/>
      <w:sz w:val="21"/>
    </w:rPr>
  </w:style>
  <w:style w:type="character" w:customStyle="1" w:styleId="49">
    <w:name w:val="日期 字符"/>
    <w:link w:val="22"/>
    <w:qFormat/>
    <w:uiPriority w:val="0"/>
    <w:rPr>
      <w:rFonts w:eastAsia="宋体"/>
      <w:kern w:val="2"/>
      <w:sz w:val="21"/>
      <w:lang w:val="en-US" w:eastAsia="zh-CN" w:bidi="ar-SA"/>
    </w:rPr>
  </w:style>
  <w:style w:type="character" w:customStyle="1" w:styleId="50">
    <w:name w:val="页脚 字符"/>
    <w:link w:val="25"/>
    <w:qFormat/>
    <w:uiPriority w:val="99"/>
    <w:rPr>
      <w:kern w:val="2"/>
      <w:sz w:val="18"/>
      <w:szCs w:val="18"/>
    </w:rPr>
  </w:style>
  <w:style w:type="character" w:customStyle="1" w:styleId="51">
    <w:name w:val="页眉 字符"/>
    <w:link w:val="26"/>
    <w:qFormat/>
    <w:uiPriority w:val="0"/>
    <w:rPr>
      <w:kern w:val="2"/>
      <w:sz w:val="18"/>
      <w:szCs w:val="18"/>
    </w:rPr>
  </w:style>
  <w:style w:type="character" w:customStyle="1" w:styleId="52">
    <w:name w:val="正文文本缩进 3 字符"/>
    <w:link w:val="30"/>
    <w:qFormat/>
    <w:uiPriority w:val="0"/>
    <w:rPr>
      <w:rFonts w:ascii="宋体" w:hAnsi="Cambria" w:cs="宋体"/>
      <w:sz w:val="24"/>
      <w:szCs w:val="24"/>
    </w:rPr>
  </w:style>
  <w:style w:type="character" w:customStyle="1" w:styleId="53">
    <w:name w:val="Char"/>
    <w:qFormat/>
    <w:uiPriority w:val="0"/>
    <w:rPr>
      <w:rFonts w:ascii="宋体" w:hAnsi="Courier New" w:eastAsia="宋体"/>
      <w:kern w:val="2"/>
      <w:sz w:val="21"/>
      <w:lang w:val="en-US" w:eastAsia="zh-CN" w:bidi="ar-SA"/>
    </w:rPr>
  </w:style>
  <w:style w:type="paragraph" w:customStyle="1" w:styleId="54">
    <w:name w:val="Char1"/>
    <w:basedOn w:val="1"/>
    <w:qFormat/>
    <w:uiPriority w:val="0"/>
    <w:rPr>
      <w:rFonts w:ascii="Tahoma" w:hAnsi="Tahoma"/>
      <w:sz w:val="24"/>
      <w:szCs w:val="20"/>
    </w:rPr>
  </w:style>
  <w:style w:type="paragraph" w:customStyle="1" w:styleId="55">
    <w:name w:val="彩色列表 - 强调文字颜色 11"/>
    <w:basedOn w:val="1"/>
    <w:qFormat/>
    <w:uiPriority w:val="34"/>
    <w:pPr>
      <w:ind w:firstLine="420" w:firstLineChars="200"/>
    </w:pPr>
    <w:rPr>
      <w:rFonts w:ascii="Calibri" w:hAnsi="Calibri"/>
      <w:szCs w:val="22"/>
    </w:rPr>
  </w:style>
  <w:style w:type="paragraph" w:customStyle="1" w:styleId="56">
    <w:name w:val="正文文本 21"/>
    <w:basedOn w:val="1"/>
    <w:qFormat/>
    <w:uiPriority w:val="0"/>
    <w:pPr>
      <w:adjustRightInd w:val="0"/>
      <w:spacing w:before="120" w:line="360" w:lineRule="auto"/>
      <w:ind w:firstLine="480"/>
      <w:textAlignment w:val="baseline"/>
    </w:pPr>
    <w:rPr>
      <w:sz w:val="24"/>
      <w:szCs w:val="20"/>
    </w:rPr>
  </w:style>
  <w:style w:type="paragraph" w:customStyle="1" w:styleId="57">
    <w:name w:val="文档正文"/>
    <w:basedOn w:val="1"/>
    <w:qFormat/>
    <w:uiPriority w:val="0"/>
    <w:pPr>
      <w:adjustRightInd w:val="0"/>
      <w:spacing w:line="480" w:lineRule="atLeast"/>
      <w:ind w:firstLine="567"/>
      <w:textAlignment w:val="baseline"/>
    </w:pPr>
    <w:rPr>
      <w:rFonts w:ascii="长城仿宋"/>
      <w:kern w:val="0"/>
      <w:sz w:val="24"/>
      <w:szCs w:val="20"/>
    </w:rPr>
  </w:style>
  <w:style w:type="paragraph" w:customStyle="1" w:styleId="58">
    <w:name w:val="正文文本缩进 21"/>
    <w:basedOn w:val="1"/>
    <w:qFormat/>
    <w:uiPriority w:val="0"/>
    <w:pPr>
      <w:adjustRightInd w:val="0"/>
      <w:spacing w:before="120"/>
      <w:ind w:firstLine="420"/>
      <w:textAlignment w:val="baseline"/>
    </w:pPr>
    <w:rPr>
      <w:sz w:val="24"/>
      <w:szCs w:val="20"/>
    </w:rPr>
  </w:style>
  <w:style w:type="character" w:customStyle="1" w:styleId="59">
    <w:name w:val="Char2"/>
    <w:qFormat/>
    <w:uiPriority w:val="0"/>
    <w:rPr>
      <w:rFonts w:ascii="宋体" w:hAnsi="Courier New" w:eastAsia="宋体" w:cs="宋体"/>
      <w:kern w:val="2"/>
      <w:sz w:val="21"/>
      <w:szCs w:val="21"/>
      <w:lang w:val="en-US" w:eastAsia="zh-CN"/>
    </w:rPr>
  </w:style>
  <w:style w:type="paragraph" w:customStyle="1" w:styleId="60">
    <w:name w:val="标题1"/>
    <w:basedOn w:val="36"/>
    <w:qFormat/>
    <w:uiPriority w:val="0"/>
    <w:pPr>
      <w:spacing w:before="240" w:after="240"/>
      <w:outlineLvl w:val="0"/>
    </w:pPr>
    <w:rPr>
      <w:rFonts w:ascii="Arial" w:hAnsi="Arial" w:cs="Arial"/>
      <w:b/>
      <w:bCs/>
      <w:spacing w:val="2"/>
      <w:sz w:val="44"/>
      <w:szCs w:val="44"/>
    </w:rPr>
  </w:style>
  <w:style w:type="paragraph" w:customStyle="1" w:styleId="61">
    <w:name w:val="附录标题3"/>
    <w:basedOn w:val="1"/>
    <w:next w:val="4"/>
    <w:qFormat/>
    <w:uiPriority w:val="0"/>
    <w:pPr>
      <w:tabs>
        <w:tab w:val="left" w:pos="1080"/>
        <w:tab w:val="left" w:pos="2880"/>
      </w:tabs>
      <w:ind w:left="2880" w:hanging="720"/>
      <w:outlineLvl w:val="0"/>
    </w:pPr>
    <w:rPr>
      <w:rFonts w:ascii="Arial" w:hAnsi="Arial" w:cs="Arial"/>
      <w:sz w:val="24"/>
    </w:rPr>
  </w:style>
  <w:style w:type="paragraph" w:customStyle="1" w:styleId="62">
    <w:name w:val="样式"/>
    <w:basedOn w:val="1"/>
    <w:next w:val="20"/>
    <w:qFormat/>
    <w:uiPriority w:val="0"/>
    <w:rPr>
      <w:rFonts w:ascii="宋体" w:hAnsi="Courier New" w:cs="宋体"/>
      <w:szCs w:val="21"/>
    </w:rPr>
  </w:style>
  <w:style w:type="paragraph" w:customStyle="1" w:styleId="63">
    <w:name w:val="Char11"/>
    <w:basedOn w:val="1"/>
    <w:qFormat/>
    <w:uiPriority w:val="0"/>
    <w:rPr>
      <w:rFonts w:ascii="Tahoma" w:hAnsi="Tahoma"/>
      <w:sz w:val="24"/>
      <w:szCs w:val="20"/>
    </w:rPr>
  </w:style>
  <w:style w:type="paragraph" w:customStyle="1" w:styleId="64">
    <w:name w:val="Char Char Char Char"/>
    <w:basedOn w:val="1"/>
    <w:qFormat/>
    <w:uiPriority w:val="0"/>
    <w:pPr>
      <w:spacing w:after="160" w:line="240" w:lineRule="exact"/>
    </w:pPr>
    <w:rPr>
      <w:rFonts w:ascii="Cambria" w:hAnsi="Cambria"/>
      <w:szCs w:val="21"/>
    </w:rPr>
  </w:style>
  <w:style w:type="paragraph" w:customStyle="1" w:styleId="65">
    <w:name w:val="trs_editor"/>
    <w:basedOn w:val="1"/>
    <w:qFormat/>
    <w:uiPriority w:val="0"/>
    <w:pPr>
      <w:widowControl/>
      <w:spacing w:before="100" w:beforeAutospacing="1" w:after="100" w:afterAutospacing="1"/>
      <w:jc w:val="left"/>
    </w:pPr>
    <w:rPr>
      <w:rFonts w:ascii="宋体" w:hAnsi="宋体" w:cs="宋体"/>
      <w:kern w:val="0"/>
      <w:sz w:val="24"/>
    </w:rPr>
  </w:style>
  <w:style w:type="paragraph" w:styleId="66">
    <w:name w:val="List Paragraph"/>
    <w:basedOn w:val="1"/>
    <w:qFormat/>
    <w:uiPriority w:val="34"/>
    <w:pPr>
      <w:ind w:left="205" w:right="169" w:firstLine="655"/>
    </w:pPr>
    <w:rPr>
      <w:rFonts w:ascii="Cambria" w:hAnsi="Cambria"/>
      <w:szCs w:val="21"/>
    </w:rPr>
  </w:style>
  <w:style w:type="table" w:customStyle="1" w:styleId="67">
    <w:name w:val="Table Normal"/>
    <w:unhideWhenUsed/>
    <w:qFormat/>
    <w:uiPriority w:val="2"/>
    <w:pPr>
      <w:widowControl w:val="0"/>
      <w:autoSpaceDE w:val="0"/>
      <w:autoSpaceDN w:val="0"/>
    </w:pPr>
    <w:rPr>
      <w:rFonts w:ascii="Cambria" w:hAnsi="Cambria"/>
      <w:sz w:val="22"/>
      <w:szCs w:val="22"/>
      <w:lang w:eastAsia="en-US"/>
    </w:rPr>
    <w:tblPr>
      <w:tblCellMar>
        <w:top w:w="0" w:type="dxa"/>
        <w:left w:w="0" w:type="dxa"/>
        <w:bottom w:w="0" w:type="dxa"/>
        <w:right w:w="0" w:type="dxa"/>
      </w:tblCellMar>
    </w:tblPr>
  </w:style>
  <w:style w:type="paragraph" w:customStyle="1" w:styleId="68">
    <w:name w:val="Table Paragraph"/>
    <w:basedOn w:val="1"/>
    <w:qFormat/>
    <w:uiPriority w:val="1"/>
    <w:pPr>
      <w:autoSpaceDE w:val="0"/>
      <w:autoSpaceDN w:val="0"/>
      <w:jc w:val="left"/>
    </w:pPr>
    <w:rPr>
      <w:rFonts w:ascii="宋体" w:hAnsi="宋体" w:cs="宋体"/>
      <w:kern w:val="0"/>
      <w:sz w:val="22"/>
      <w:szCs w:val="22"/>
      <w:lang w:eastAsia="en-US"/>
    </w:rPr>
  </w:style>
  <w:style w:type="paragraph" w:customStyle="1" w:styleId="69">
    <w:name w:val="xl25"/>
    <w:basedOn w:val="1"/>
    <w:qFormat/>
    <w:uiPriority w:val="0"/>
    <w:pPr>
      <w:widowControl/>
      <w:pBdr>
        <w:bottom w:val="single" w:color="auto" w:sz="4" w:space="0"/>
        <w:right w:val="single" w:color="auto" w:sz="4" w:space="0"/>
      </w:pBdr>
      <w:spacing w:before="100" w:beforeAutospacing="1" w:after="100" w:afterAutospacing="1"/>
      <w:jc w:val="center"/>
    </w:pPr>
    <w:rPr>
      <w:rFonts w:ascii="宋体" w:hAnsi="宋体"/>
      <w:kern w:val="0"/>
      <w:szCs w:val="21"/>
    </w:rPr>
  </w:style>
  <w:style w:type="paragraph" w:customStyle="1" w:styleId="70">
    <w:name w:val="_Style 68"/>
    <w:basedOn w:val="1"/>
    <w:next w:val="66"/>
    <w:qFormat/>
    <w:uiPriority w:val="34"/>
    <w:pPr>
      <w:widowControl/>
      <w:spacing w:after="200" w:line="276" w:lineRule="auto"/>
      <w:ind w:left="720"/>
      <w:contextualSpacing/>
      <w:jc w:val="left"/>
    </w:pPr>
    <w:rPr>
      <w:rFonts w:ascii="Calibri" w:hAnsi="Calibri"/>
      <w:kern w:val="0"/>
      <w:sz w:val="22"/>
      <w:szCs w:val="22"/>
    </w:rPr>
  </w:style>
  <w:style w:type="character" w:customStyle="1" w:styleId="71">
    <w:name w:val="批注主题 字符"/>
    <w:basedOn w:val="47"/>
    <w:link w:val="37"/>
    <w:qFormat/>
    <w:uiPriority w:val="0"/>
    <w:rPr>
      <w:rFonts w:ascii="Cambria" w:hAnsi="Cambria"/>
      <w:b/>
      <w:bCs/>
      <w:kern w:val="2"/>
      <w:sz w:val="21"/>
      <w:szCs w:val="24"/>
    </w:rPr>
  </w:style>
  <w:style w:type="paragraph" w:customStyle="1" w:styleId="72">
    <w:name w:val="修订1"/>
    <w:hidden/>
    <w:unhideWhenUsed/>
    <w:qFormat/>
    <w:uiPriority w:val="99"/>
    <w:rPr>
      <w:rFonts w:ascii="Times New Roman" w:hAnsi="Times New Roman" w:eastAsia="宋体" w:cs="Times New Roman"/>
      <w:kern w:val="2"/>
      <w:sz w:val="21"/>
      <w:szCs w:val="24"/>
      <w:lang w:val="en-US" w:eastAsia="zh-CN" w:bidi="ar-SA"/>
    </w:rPr>
  </w:style>
  <w:style w:type="paragraph" w:customStyle="1" w:styleId="73">
    <w:name w:val="Revision"/>
    <w:hidden/>
    <w:unhideWhenUsed/>
    <w:qFormat/>
    <w:uiPriority w:val="99"/>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Lenovo</Company>
  <Pages>7</Pages>
  <Words>25818</Words>
  <Characters>27615</Characters>
  <Lines>1441</Lines>
  <Paragraphs>1351</Paragraphs>
  <TotalTime>0</TotalTime>
  <ScaleCrop>false</ScaleCrop>
  <LinksUpToDate>false</LinksUpToDate>
  <CharactersWithSpaces>28930</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2025-09-11T02:17:00Z</dcterms:created>
  <dc:creator>caowuning</dc:creator>
  <cp:lastModifiedBy>冀松阳</cp:lastModifiedBy>
  <cp:lastPrinted>2025-08-18T02:12:00Z</cp:lastPrinted>
  <dcterms:modified xsi:type="dcterms:W3CDTF">2025-09-24T09:45:05Z</dcterms:modified>
  <dc:title>北 京 市 政 府 采 购</dc:title>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64C3AE7C5DC34CD585CEF9DA61C170B1_13</vt:lpwstr>
  </property>
  <property fmtid="{D5CDD505-2E9C-101B-9397-08002B2CF9AE}" pid="4" name="KSOTemplateDocerSaveRecord">
    <vt:lpwstr>eyJoZGlkIjoiNTI5ZmZjMjA2MjdiMDFiYzZmZWIzNjQ5YThhMzQxMzIiLCJ1c2VySWQiOiIxMDI1MTk0NTMzIn0=</vt:lpwstr>
  </property>
</Properties>
</file>