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pPr>
        <w:adjustRightInd w:val="0"/>
        <w:snapToGrid w:val="0"/>
        <w:jc w:val="center"/>
        <w:rPr>
          <w:rFonts w:hint="eastAsia" w:ascii="宋体" w:hAnsi="宋体"/>
          <w:b/>
          <w:sz w:val="30"/>
          <w:szCs w:val="30"/>
        </w:rPr>
      </w:pPr>
    </w:p>
    <w:tbl>
      <w:tblPr>
        <w:tblStyle w:val="3"/>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359"/>
        <w:gridCol w:w="916"/>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ascii="宋体" w:hAnsi="Bookman Old Style"/>
                <w:sz w:val="24"/>
              </w:rPr>
            </w:pPr>
            <w:r>
              <w:rPr>
                <w:rFonts w:hint="eastAsia" w:ascii="宋体" w:hAnsi="Bookman Old Style"/>
                <w:sz w:val="24"/>
              </w:rPr>
              <w:t>包号</w:t>
            </w:r>
          </w:p>
        </w:tc>
        <w:tc>
          <w:tcPr>
            <w:tcW w:w="2359" w:type="dxa"/>
            <w:noWrap w:val="0"/>
            <w:vAlign w:val="center"/>
          </w:tcPr>
          <w:p>
            <w:pPr>
              <w:jc w:val="center"/>
              <w:rPr>
                <w:rFonts w:ascii="宋体" w:hAnsi="Bookman Old Style"/>
                <w:sz w:val="24"/>
              </w:rPr>
            </w:pPr>
            <w:r>
              <w:rPr>
                <w:rFonts w:hint="eastAsia" w:ascii="宋体" w:hAnsi="Bookman Old Style"/>
                <w:sz w:val="24"/>
              </w:rPr>
              <w:t>货物名称</w:t>
            </w:r>
          </w:p>
        </w:tc>
        <w:tc>
          <w:tcPr>
            <w:tcW w:w="916" w:type="dxa"/>
            <w:noWrap w:val="0"/>
            <w:vAlign w:val="center"/>
          </w:tcPr>
          <w:p>
            <w:pPr>
              <w:jc w:val="center"/>
              <w:rPr>
                <w:rFonts w:ascii="宋体" w:hAnsi="Bookman Old Style"/>
                <w:sz w:val="24"/>
              </w:rPr>
            </w:pPr>
            <w:r>
              <w:rPr>
                <w:rFonts w:hint="eastAsia" w:ascii="宋体" w:hAnsi="Bookman Old Style"/>
                <w:sz w:val="24"/>
              </w:rPr>
              <w:t>数量</w:t>
            </w:r>
          </w:p>
        </w:tc>
        <w:tc>
          <w:tcPr>
            <w:tcW w:w="1320" w:type="dxa"/>
            <w:noWrap w:val="0"/>
            <w:vAlign w:val="center"/>
          </w:tcPr>
          <w:p>
            <w:pPr>
              <w:jc w:val="center"/>
              <w:rPr>
                <w:rFonts w:ascii="宋体" w:hAnsi="Bookman Old Style"/>
                <w:sz w:val="24"/>
              </w:rPr>
            </w:pPr>
            <w:r>
              <w:rPr>
                <w:rFonts w:hint="eastAsia" w:ascii="宋体" w:hAnsi="Bookman Old Style"/>
                <w:sz w:val="24"/>
              </w:rPr>
              <w:t>交货期</w:t>
            </w:r>
          </w:p>
        </w:tc>
        <w:tc>
          <w:tcPr>
            <w:tcW w:w="1765" w:type="dxa"/>
            <w:noWrap w:val="0"/>
            <w:vAlign w:val="center"/>
          </w:tcPr>
          <w:p>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sz w:val="24"/>
              </w:rPr>
            </w:pPr>
            <w:r>
              <w:rPr>
                <w:rFonts w:hint="eastAsia" w:ascii="宋体"/>
                <w:sz w:val="24"/>
              </w:rPr>
              <w:t>1</w:t>
            </w:r>
          </w:p>
        </w:tc>
        <w:tc>
          <w:tcPr>
            <w:tcW w:w="2359" w:type="dxa"/>
            <w:noWrap w:val="0"/>
            <w:vAlign w:val="center"/>
          </w:tcPr>
          <w:p>
            <w:pPr>
              <w:jc w:val="center"/>
              <w:rPr>
                <w:rFonts w:hint="eastAsia" w:ascii="Bookman Old Style" w:hAnsi="Bookman Old Style"/>
                <w:sz w:val="24"/>
              </w:rPr>
            </w:pPr>
            <w:r>
              <w:rPr>
                <w:rFonts w:hint="eastAsia" w:ascii="宋体" w:hAnsi="宋体"/>
                <w:sz w:val="24"/>
              </w:rPr>
              <w:t>溅射离子泵</w:t>
            </w:r>
          </w:p>
        </w:tc>
        <w:tc>
          <w:tcPr>
            <w:tcW w:w="916" w:type="dxa"/>
            <w:noWrap w:val="0"/>
            <w:vAlign w:val="center"/>
          </w:tcPr>
          <w:p>
            <w:pPr>
              <w:jc w:val="center"/>
              <w:rPr>
                <w:rFonts w:hint="eastAsia" w:ascii="宋体" w:hAnsi="Bookman Old Style"/>
                <w:sz w:val="24"/>
              </w:rPr>
            </w:pPr>
            <w:r>
              <w:rPr>
                <w:rFonts w:ascii="宋体" w:hAnsi="宋体"/>
                <w:sz w:val="24"/>
              </w:rPr>
              <w:t>122</w:t>
            </w:r>
            <w:r>
              <w:rPr>
                <w:rFonts w:hint="eastAsia" w:ascii="宋体" w:hAnsi="宋体"/>
                <w:sz w:val="24"/>
              </w:rPr>
              <w:t>套</w:t>
            </w:r>
          </w:p>
        </w:tc>
        <w:tc>
          <w:tcPr>
            <w:tcW w:w="1320" w:type="dxa"/>
            <w:noWrap w:val="0"/>
            <w:vAlign w:val="center"/>
          </w:tcPr>
          <w:p>
            <w:pPr>
              <w:jc w:val="center"/>
              <w:rPr>
                <w:rFonts w:hint="eastAsia" w:ascii="宋体" w:hAnsi="Bookman Old Style"/>
                <w:sz w:val="24"/>
              </w:rPr>
            </w:pPr>
            <w:r>
              <w:rPr>
                <w:rFonts w:hint="eastAsia" w:ascii="宋体" w:hAnsi="Bookman Old Style"/>
                <w:sz w:val="24"/>
              </w:rPr>
              <w:t>签订合同后，接到甲方正式通知后8个月内，可分批交货</w:t>
            </w:r>
          </w:p>
        </w:tc>
        <w:tc>
          <w:tcPr>
            <w:tcW w:w="1765" w:type="dxa"/>
            <w:noWrap w:val="0"/>
            <w:vAlign w:val="center"/>
          </w:tcPr>
          <w:p>
            <w:pPr>
              <w:jc w:val="center"/>
              <w:rPr>
                <w:rFonts w:hint="eastAsia"/>
                <w:sz w:val="24"/>
              </w:rPr>
            </w:pPr>
            <w:r>
              <w:rPr>
                <w:rFonts w:hint="eastAsia"/>
                <w:sz w:val="24"/>
              </w:rPr>
              <w:t>/</w:t>
            </w:r>
          </w:p>
        </w:tc>
        <w:tc>
          <w:tcPr>
            <w:tcW w:w="2520" w:type="dxa"/>
            <w:noWrap w:val="0"/>
            <w:vAlign w:val="center"/>
          </w:tcPr>
          <w:p>
            <w:pPr>
              <w:jc w:val="center"/>
              <w:rPr>
                <w:rFonts w:hint="eastAsia" w:ascii="宋体" w:hAnsi="Bookman Old Style"/>
                <w:sz w:val="24"/>
              </w:rPr>
            </w:pPr>
            <w:r>
              <w:rPr>
                <w:rFonts w:hint="eastAsia" w:ascii="宋体" w:hAnsi="Bookman Old Style"/>
                <w:sz w:val="24"/>
              </w:rPr>
              <w:t>中国科学院近代物理研究所或甲方指定地点</w:t>
            </w:r>
          </w:p>
        </w:tc>
      </w:tr>
    </w:tbl>
    <w:p>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b/>
          <w:sz w:val="30"/>
          <w:szCs w:val="30"/>
        </w:rPr>
      </w:pPr>
      <w:r>
        <w:rPr>
          <w:rFonts w:ascii="宋体" w:hAnsi="宋体"/>
          <w:b/>
          <w:sz w:val="30"/>
          <w:szCs w:val="30"/>
        </w:rPr>
        <w:br w:type="page"/>
      </w:r>
    </w:p>
    <w:p>
      <w:pPr>
        <w:numPr>
          <w:ilvl w:val="2"/>
          <w:numId w:val="1"/>
        </w:numPr>
        <w:tabs>
          <w:tab w:val="left" w:pos="720"/>
          <w:tab w:val="clear" w:pos="1560"/>
        </w:tabs>
        <w:adjustRightInd w:val="0"/>
        <w:snapToGrid w:val="0"/>
        <w:ind w:hanging="1560"/>
        <w:jc w:val="center"/>
        <w:rPr>
          <w:rFonts w:ascii="宋体" w:hAnsi="宋体"/>
          <w:b/>
          <w:sz w:val="30"/>
          <w:szCs w:val="30"/>
        </w:rPr>
      </w:pPr>
      <w:r>
        <w:rPr>
          <w:rFonts w:hint="eastAsia" w:ascii="宋体" w:hAnsi="宋体"/>
          <w:b/>
          <w:sz w:val="30"/>
          <w:szCs w:val="30"/>
        </w:rPr>
        <w:t>技术规格</w:t>
      </w:r>
    </w:p>
    <w:p>
      <w:pPr>
        <w:spacing w:line="360" w:lineRule="auto"/>
        <w:ind w:left="600" w:hanging="600"/>
        <w:rPr>
          <w:rFonts w:hint="eastAsia" w:ascii="宋体" w:hAnsi="宋体"/>
          <w:b/>
          <w:sz w:val="30"/>
          <w:szCs w:val="30"/>
        </w:rPr>
      </w:pPr>
      <w:r>
        <w:rPr>
          <w:rFonts w:hint="eastAsia" w:ascii="宋体" w:hAnsi="宋体"/>
          <w:b/>
          <w:sz w:val="30"/>
          <w:szCs w:val="30"/>
        </w:rPr>
        <w:t>一、总</w:t>
      </w:r>
      <w:r>
        <w:rPr>
          <w:rFonts w:ascii="宋体" w:hAnsi="宋体"/>
          <w:b/>
          <w:sz w:val="30"/>
          <w:szCs w:val="30"/>
        </w:rPr>
        <w:t xml:space="preserve">  </w:t>
      </w:r>
      <w:r>
        <w:rPr>
          <w:rFonts w:hint="eastAsia" w:ascii="宋体" w:hAnsi="宋体"/>
          <w:b/>
          <w:sz w:val="30"/>
          <w:szCs w:val="30"/>
        </w:rPr>
        <w:t>则</w:t>
      </w:r>
    </w:p>
    <w:p>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hAns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 xml:space="preserve">6  </w:t>
      </w:r>
      <w:r>
        <w:rPr>
          <w:rFonts w:hint="eastAsia"/>
          <w:sz w:val="24"/>
        </w:rPr>
        <w:t>在评标过程中，买方有权向投标人索取任何与评标有关的资料，投标人务必在接到此类要求后，在规定时间内予以答复。对于无答复的投标人，买方有权拒绝其投标。</w:t>
      </w:r>
    </w:p>
    <w:p>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pPr>
        <w:rPr>
          <w:rFonts w:hint="eastAsia" w:eastAsia="黑体"/>
          <w:b/>
          <w:bCs/>
          <w:kern w:val="44"/>
          <w:sz w:val="24"/>
        </w:rPr>
      </w:pPr>
    </w:p>
    <w:p>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sz w:val="24"/>
          <w:szCs w:val="24"/>
        </w:rPr>
      </w:pPr>
    </w:p>
    <w:p>
      <w:pPr>
        <w:pStyle w:val="2"/>
        <w:spacing w:line="360" w:lineRule="auto"/>
        <w:ind w:left="410" w:hanging="410" w:hangingChars="170"/>
        <w:rPr>
          <w:rFonts w:hint="eastAsia" w:hAnsi="宋体"/>
          <w:b/>
          <w:sz w:val="24"/>
          <w:szCs w:val="24"/>
        </w:rPr>
      </w:pPr>
      <w:r>
        <w:rPr>
          <w:rFonts w:hint="eastAsia" w:hAnsi="宋体"/>
          <w:b/>
          <w:sz w:val="24"/>
          <w:szCs w:val="24"/>
        </w:rPr>
        <w:t>5、本技术规格书中标注“*”号的为关键技术参数，对这些关键技术参数的任何负偏离将导致废标。</w:t>
      </w:r>
    </w:p>
    <w:p>
      <w:pPr>
        <w:pStyle w:val="2"/>
        <w:spacing w:line="360" w:lineRule="auto"/>
        <w:rPr>
          <w:rFonts w:hint="eastAsia" w:hAnsi="宋体"/>
          <w:b/>
          <w:sz w:val="24"/>
          <w:szCs w:val="24"/>
        </w:rPr>
      </w:pPr>
    </w:p>
    <w:p>
      <w:pPr>
        <w:pStyle w:val="2"/>
        <w:spacing w:line="360" w:lineRule="auto"/>
        <w:rPr>
          <w:rFonts w:hint="eastAsia" w:hAnsi="宋体"/>
          <w:b/>
          <w:sz w:val="24"/>
          <w:szCs w:val="24"/>
        </w:rPr>
      </w:pPr>
      <w:r>
        <w:rPr>
          <w:rFonts w:hint="eastAsia" w:hAnsi="宋体"/>
          <w:b/>
          <w:sz w:val="24"/>
          <w:szCs w:val="24"/>
        </w:rPr>
        <w:t>6、如在具体技术规格中有本总则不一致之处，以具体技术规格中的要求为准。</w:t>
      </w:r>
    </w:p>
    <w:p>
      <w:pPr>
        <w:spacing w:after="156" w:afterLines="50"/>
        <w:ind w:left="601" w:hanging="601"/>
        <w:rPr>
          <w:rFonts w:ascii="宋体" w:hAnsi="宋体" w:cs="宋体"/>
          <w:b/>
          <w:sz w:val="28"/>
        </w:rPr>
      </w:pPr>
      <w:r>
        <w:rPr>
          <w:rFonts w:ascii="宋体" w:hAnsi="宋体"/>
          <w:b/>
          <w:sz w:val="28"/>
        </w:rPr>
        <w:br w:type="page"/>
      </w:r>
      <w:r>
        <w:rPr>
          <w:rFonts w:hint="eastAsia" w:ascii="宋体" w:hAnsi="宋体" w:cs="宋体"/>
          <w:b/>
          <w:sz w:val="28"/>
        </w:rPr>
        <w:t>二、具体技术规格</w:t>
      </w:r>
    </w:p>
    <w:p>
      <w:pPr>
        <w:pStyle w:val="5"/>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采购项目简介（内容、用途、数量等）</w:t>
      </w:r>
    </w:p>
    <w:p>
      <w:pPr>
        <w:spacing w:line="360" w:lineRule="auto"/>
        <w:ind w:firstLine="480" w:firstLineChars="200"/>
        <w:rPr>
          <w:sz w:val="24"/>
          <w:u w:val="single"/>
        </w:rPr>
      </w:pPr>
      <w:r>
        <w:rPr>
          <w:rFonts w:hint="eastAsia"/>
          <w:sz w:val="24"/>
          <w:u w:val="single"/>
        </w:rPr>
        <w:t>本采购项目的HIAF溅射离子泵为强流重离子加速器常温束流输运线（BRing注入线、BRing引出线、SRing注入线、低能综合终端以及HFRS）真空系统的主要真空获得设备。溅射离子泵非烘烤时极限真空度应达到1</w:t>
      </w:r>
      <w:r>
        <w:rPr>
          <w:sz w:val="24"/>
          <w:u w:val="single"/>
        </w:rPr>
        <w:t>0</w:t>
      </w:r>
      <w:r>
        <w:rPr>
          <w:sz w:val="24"/>
          <w:u w:val="single"/>
          <w:vertAlign w:val="superscript"/>
        </w:rPr>
        <w:t>-7</w:t>
      </w:r>
      <w:r>
        <w:rPr>
          <w:sz w:val="24"/>
          <w:u w:val="single"/>
        </w:rPr>
        <w:t xml:space="preserve"> </w:t>
      </w:r>
      <w:r>
        <w:rPr>
          <w:rFonts w:hint="eastAsia"/>
          <w:sz w:val="24"/>
          <w:u w:val="single"/>
        </w:rPr>
        <w:t>Pa，在1</w:t>
      </w:r>
      <w:r>
        <w:rPr>
          <w:sz w:val="24"/>
          <w:u w:val="single"/>
        </w:rPr>
        <w:t>0</w:t>
      </w:r>
      <w:r>
        <w:rPr>
          <w:sz w:val="24"/>
          <w:u w:val="single"/>
          <w:vertAlign w:val="superscript"/>
        </w:rPr>
        <w:t>-5</w:t>
      </w:r>
      <w:r>
        <w:rPr>
          <w:sz w:val="24"/>
          <w:u w:val="single"/>
        </w:rPr>
        <w:t xml:space="preserve"> </w:t>
      </w:r>
      <w:r>
        <w:rPr>
          <w:rFonts w:hint="eastAsia"/>
          <w:sz w:val="24"/>
          <w:u w:val="single"/>
        </w:rPr>
        <w:t>Pa至1</w:t>
      </w:r>
      <w:r>
        <w:rPr>
          <w:sz w:val="24"/>
          <w:u w:val="single"/>
        </w:rPr>
        <w:t>0</w:t>
      </w:r>
      <w:r>
        <w:rPr>
          <w:sz w:val="24"/>
          <w:u w:val="single"/>
          <w:vertAlign w:val="superscript"/>
        </w:rPr>
        <w:t>-6</w:t>
      </w:r>
      <w:r>
        <w:rPr>
          <w:sz w:val="24"/>
          <w:u w:val="single"/>
        </w:rPr>
        <w:t xml:space="preserve"> </w:t>
      </w:r>
      <w:r>
        <w:rPr>
          <w:rFonts w:hint="eastAsia"/>
          <w:sz w:val="24"/>
          <w:u w:val="single"/>
        </w:rPr>
        <w:t>Pa范围内应保持其相应的名义抽速。根据软件模拟计算以及HIRFL运行经验和运行状况综合分析，满足满足HIAF大科学工程装置的超高真空溅射离子泵须满足以上要求。HIAF装置中束流输运线真空系统中此次共购置</w:t>
      </w:r>
      <w:r>
        <w:rPr>
          <w:sz w:val="24"/>
          <w:u w:val="single"/>
        </w:rPr>
        <w:t>1</w:t>
      </w:r>
      <w:r>
        <w:rPr>
          <w:rFonts w:hint="eastAsia"/>
          <w:sz w:val="24"/>
          <w:u w:val="single"/>
        </w:rPr>
        <w:t>2</w:t>
      </w:r>
      <w:r>
        <w:rPr>
          <w:sz w:val="24"/>
          <w:u w:val="single"/>
        </w:rPr>
        <w:t>2</w:t>
      </w:r>
      <w:r>
        <w:rPr>
          <w:rFonts w:hint="eastAsia"/>
          <w:sz w:val="24"/>
          <w:u w:val="single"/>
        </w:rPr>
        <w:t>套国产溅射离子泵，其中名义抽速为4</w:t>
      </w:r>
      <w:r>
        <w:rPr>
          <w:sz w:val="24"/>
          <w:u w:val="single"/>
        </w:rPr>
        <w:t>00</w:t>
      </w:r>
      <w:r>
        <w:rPr>
          <w:rFonts w:hint="eastAsia"/>
          <w:sz w:val="24"/>
          <w:u w:val="single"/>
        </w:rPr>
        <w:t>l/s的数量为8</w:t>
      </w:r>
      <w:r>
        <w:rPr>
          <w:sz w:val="24"/>
          <w:u w:val="single"/>
        </w:rPr>
        <w:t>8</w:t>
      </w:r>
      <w:r>
        <w:rPr>
          <w:rFonts w:hint="eastAsia"/>
          <w:sz w:val="24"/>
          <w:u w:val="single"/>
        </w:rPr>
        <w:t>台，名义抽速为6</w:t>
      </w:r>
      <w:r>
        <w:rPr>
          <w:sz w:val="24"/>
          <w:u w:val="single"/>
        </w:rPr>
        <w:t>00</w:t>
      </w:r>
      <w:r>
        <w:rPr>
          <w:rFonts w:hint="eastAsia"/>
          <w:sz w:val="24"/>
          <w:u w:val="single"/>
        </w:rPr>
        <w:t>l/s的数量为3</w:t>
      </w:r>
      <w:r>
        <w:rPr>
          <w:sz w:val="24"/>
          <w:u w:val="single"/>
        </w:rPr>
        <w:t>4</w:t>
      </w:r>
      <w:r>
        <w:rPr>
          <w:rFonts w:hint="eastAsia"/>
          <w:sz w:val="24"/>
          <w:u w:val="single"/>
        </w:rPr>
        <w:t>台。</w:t>
      </w:r>
    </w:p>
    <w:p>
      <w:pPr>
        <w:pStyle w:val="5"/>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采购项目规格、参数及技术方案</w:t>
      </w:r>
    </w:p>
    <w:p>
      <w:pPr>
        <w:numPr>
          <w:ilvl w:val="0"/>
          <w:numId w:val="3"/>
        </w:numPr>
        <w:spacing w:line="360" w:lineRule="auto"/>
        <w:rPr>
          <w:b/>
          <w:sz w:val="24"/>
        </w:rPr>
      </w:pPr>
      <w:r>
        <w:rPr>
          <w:b/>
          <w:sz w:val="24"/>
        </w:rPr>
        <w:t>规格及参数</w:t>
      </w:r>
    </w:p>
    <w:p>
      <w:pPr>
        <w:numPr>
          <w:ilvl w:val="0"/>
          <w:numId w:val="3"/>
        </w:numPr>
        <w:spacing w:line="360" w:lineRule="auto"/>
        <w:rPr>
          <w:rFonts w:hint="eastAsia"/>
          <w:b/>
          <w:sz w:val="24"/>
        </w:rPr>
      </w:pPr>
    </w:p>
    <w:p>
      <w:pPr>
        <w:spacing w:line="360" w:lineRule="auto"/>
        <w:ind w:left="480"/>
        <w:rPr>
          <w:bCs/>
          <w:sz w:val="24"/>
        </w:rPr>
      </w:pPr>
      <w:r>
        <w:rPr>
          <w:rFonts w:hint="eastAsia"/>
          <w:bCs/>
          <w:sz w:val="24"/>
        </w:rPr>
        <w:t>HIAF溅射离子泵主要技术参数要求如表1、表</w:t>
      </w:r>
      <w:r>
        <w:rPr>
          <w:bCs/>
          <w:sz w:val="24"/>
        </w:rPr>
        <w:t>2</w:t>
      </w:r>
      <w:r>
        <w:rPr>
          <w:rFonts w:hint="eastAsia"/>
          <w:bCs/>
          <w:sz w:val="24"/>
        </w:rPr>
        <w:t>所示。</w:t>
      </w:r>
    </w:p>
    <w:p>
      <w:pPr>
        <w:spacing w:line="360" w:lineRule="auto"/>
        <w:jc w:val="center"/>
        <w:rPr>
          <w:bCs/>
          <w:sz w:val="24"/>
        </w:rPr>
      </w:pPr>
      <w:r>
        <w:rPr>
          <w:rFonts w:hint="eastAsia"/>
          <w:bCs/>
          <w:sz w:val="24"/>
        </w:rPr>
        <w:t>表</w:t>
      </w:r>
      <w:r>
        <w:rPr>
          <w:bCs/>
          <w:sz w:val="24"/>
        </w:rPr>
        <w:t xml:space="preserve">1 </w:t>
      </w:r>
      <w:r>
        <w:rPr>
          <w:rFonts w:hint="eastAsia"/>
          <w:bCs/>
          <w:sz w:val="24"/>
        </w:rPr>
        <w:t>溅射离子泵主要技术参数</w:t>
      </w:r>
    </w:p>
    <w:tbl>
      <w:tblPr>
        <w:tblStyle w:val="3"/>
        <w:tblW w:w="9220"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15" w:type="dxa"/>
          <w:left w:w="15" w:type="dxa"/>
          <w:bottom w:w="15" w:type="dxa"/>
          <w:right w:w="15" w:type="dxa"/>
        </w:tblCellMar>
      </w:tblPr>
      <w:tblGrid>
        <w:gridCol w:w="3194"/>
        <w:gridCol w:w="1276"/>
        <w:gridCol w:w="2409"/>
        <w:gridCol w:w="2341"/>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cantSplit/>
          <w:trHeight w:val="78" w:hRule="atLeast"/>
          <w:jc w:val="center"/>
        </w:trPr>
        <w:tc>
          <w:tcPr>
            <w:tcW w:w="3194"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参数</w:t>
            </w:r>
          </w:p>
        </w:tc>
        <w:tc>
          <w:tcPr>
            <w:tcW w:w="1276"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单位</w:t>
            </w:r>
          </w:p>
        </w:tc>
        <w:tc>
          <w:tcPr>
            <w:tcW w:w="4750" w:type="dxa"/>
            <w:gridSpan w:val="2"/>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指标</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cantSplit/>
          <w:trHeight w:val="78" w:hRule="atLeast"/>
          <w:jc w:val="center"/>
        </w:trPr>
        <w:tc>
          <w:tcPr>
            <w:tcW w:w="3194"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名义抽速（命名抽速）</w:t>
            </w:r>
          </w:p>
        </w:tc>
        <w:tc>
          <w:tcPr>
            <w:tcW w:w="1276"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L/s</w:t>
            </w:r>
          </w:p>
        </w:tc>
        <w:tc>
          <w:tcPr>
            <w:tcW w:w="2409"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400</w:t>
            </w:r>
          </w:p>
        </w:tc>
        <w:tc>
          <w:tcPr>
            <w:tcW w:w="2341"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int="eastAsia"/>
                <w:sz w:val="24"/>
                <w:szCs w:val="21"/>
              </w:rPr>
            </w:pPr>
            <w:r>
              <w:rPr>
                <w:rFonts w:hint="eastAsia"/>
                <w:sz w:val="24"/>
                <w:szCs w:val="21"/>
              </w:rPr>
              <w:t>600</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cantSplit/>
          <w:trHeight w:val="78" w:hRule="atLeast"/>
          <w:jc w:val="center"/>
        </w:trPr>
        <w:tc>
          <w:tcPr>
            <w:tcW w:w="3194"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w:t>
            </w:r>
            <w:r>
              <w:rPr>
                <w:sz w:val="24"/>
                <w:szCs w:val="21"/>
              </w:rPr>
              <w:t xml:space="preserve"> </w:t>
            </w:r>
            <w:r>
              <w:rPr>
                <w:rFonts w:hint="eastAsia"/>
                <w:sz w:val="24"/>
                <w:szCs w:val="21"/>
              </w:rPr>
              <w:t>接口规格</w:t>
            </w:r>
          </w:p>
        </w:tc>
        <w:tc>
          <w:tcPr>
            <w:tcW w:w="1276"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p>
        </w:tc>
        <w:tc>
          <w:tcPr>
            <w:tcW w:w="2409"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DN160-CF（CF150）</w:t>
            </w:r>
          </w:p>
        </w:tc>
        <w:tc>
          <w:tcPr>
            <w:tcW w:w="2341"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int="eastAsia"/>
                <w:sz w:val="24"/>
                <w:szCs w:val="21"/>
              </w:rPr>
            </w:pPr>
            <w:r>
              <w:rPr>
                <w:rFonts w:hint="eastAsia"/>
                <w:sz w:val="24"/>
                <w:szCs w:val="21"/>
              </w:rPr>
              <w:t>DN160-CF（CF200）</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cantSplit/>
          <w:trHeight w:val="78" w:hRule="atLeast"/>
          <w:jc w:val="center"/>
        </w:trPr>
        <w:tc>
          <w:tcPr>
            <w:tcW w:w="3194"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w:t>
            </w:r>
            <w:r>
              <w:rPr>
                <w:sz w:val="24"/>
                <w:szCs w:val="21"/>
              </w:rPr>
              <w:t xml:space="preserve"> </w:t>
            </w:r>
            <w:r>
              <w:rPr>
                <w:rFonts w:hint="eastAsia"/>
                <w:sz w:val="24"/>
                <w:szCs w:val="21"/>
              </w:rPr>
              <w:t>抽速（对氮气）</w:t>
            </w:r>
          </w:p>
        </w:tc>
        <w:tc>
          <w:tcPr>
            <w:tcW w:w="1276"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L/s</w:t>
            </w:r>
          </w:p>
        </w:tc>
        <w:tc>
          <w:tcPr>
            <w:tcW w:w="2409"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w:t>
            </w:r>
            <w:r>
              <w:rPr>
                <w:sz w:val="24"/>
                <w:szCs w:val="21"/>
              </w:rPr>
              <w:t>3</w:t>
            </w:r>
            <w:r>
              <w:rPr>
                <w:rFonts w:hint="eastAsia"/>
                <w:sz w:val="24"/>
                <w:szCs w:val="21"/>
              </w:rPr>
              <w:t>6</w:t>
            </w:r>
            <w:r>
              <w:rPr>
                <w:sz w:val="24"/>
                <w:szCs w:val="21"/>
              </w:rPr>
              <w:t>0</w:t>
            </w:r>
          </w:p>
        </w:tc>
        <w:tc>
          <w:tcPr>
            <w:tcW w:w="2341"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int="eastAsia"/>
                <w:sz w:val="24"/>
                <w:szCs w:val="21"/>
              </w:rPr>
            </w:pPr>
            <w:r>
              <w:rPr>
                <w:rFonts w:hint="eastAsia"/>
                <w:sz w:val="24"/>
                <w:szCs w:val="21"/>
              </w:rPr>
              <w:t>≥</w:t>
            </w:r>
            <w:r>
              <w:rPr>
                <w:sz w:val="24"/>
                <w:szCs w:val="21"/>
              </w:rPr>
              <w:t>5</w:t>
            </w:r>
            <w:r>
              <w:rPr>
                <w:rFonts w:hint="eastAsia"/>
                <w:sz w:val="24"/>
                <w:szCs w:val="21"/>
              </w:rPr>
              <w:t>0</w:t>
            </w:r>
            <w:r>
              <w:rPr>
                <w:sz w:val="24"/>
                <w:szCs w:val="21"/>
              </w:rPr>
              <w:t>0</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cantSplit/>
          <w:trHeight w:val="78" w:hRule="atLeast"/>
          <w:jc w:val="center"/>
        </w:trPr>
        <w:tc>
          <w:tcPr>
            <w:tcW w:w="3194"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w:t>
            </w:r>
            <w:r>
              <w:rPr>
                <w:sz w:val="24"/>
                <w:szCs w:val="21"/>
              </w:rPr>
              <w:t xml:space="preserve"> </w:t>
            </w:r>
            <w:r>
              <w:rPr>
                <w:rFonts w:hint="eastAsia"/>
                <w:sz w:val="24"/>
                <w:szCs w:val="21"/>
              </w:rPr>
              <w:t>极限压力（不烘烤，48h后）</w:t>
            </w:r>
          </w:p>
        </w:tc>
        <w:tc>
          <w:tcPr>
            <w:tcW w:w="1276"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Pa</w:t>
            </w:r>
          </w:p>
        </w:tc>
        <w:tc>
          <w:tcPr>
            <w:tcW w:w="2409"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≤1×</w:t>
            </w:r>
            <w:r>
              <w:rPr>
                <w:sz w:val="24"/>
                <w:szCs w:val="21"/>
              </w:rPr>
              <w:t>10</w:t>
            </w:r>
            <w:r>
              <w:rPr>
                <w:sz w:val="24"/>
                <w:szCs w:val="21"/>
                <w:vertAlign w:val="superscript"/>
              </w:rPr>
              <w:t>-</w:t>
            </w:r>
            <w:r>
              <w:rPr>
                <w:rFonts w:hint="eastAsia"/>
                <w:sz w:val="24"/>
                <w:szCs w:val="21"/>
                <w:vertAlign w:val="superscript"/>
              </w:rPr>
              <w:t>7</w:t>
            </w:r>
          </w:p>
        </w:tc>
        <w:tc>
          <w:tcPr>
            <w:tcW w:w="2341"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int="eastAsia"/>
                <w:sz w:val="24"/>
                <w:szCs w:val="21"/>
              </w:rPr>
            </w:pPr>
            <w:r>
              <w:rPr>
                <w:rFonts w:hint="eastAsia"/>
                <w:sz w:val="24"/>
                <w:szCs w:val="21"/>
              </w:rPr>
              <w:t>≤1×</w:t>
            </w:r>
            <w:r>
              <w:rPr>
                <w:sz w:val="24"/>
                <w:szCs w:val="21"/>
              </w:rPr>
              <w:t>10</w:t>
            </w:r>
            <w:r>
              <w:rPr>
                <w:sz w:val="24"/>
                <w:szCs w:val="21"/>
                <w:vertAlign w:val="superscript"/>
              </w:rPr>
              <w:t>-</w:t>
            </w:r>
            <w:r>
              <w:rPr>
                <w:rFonts w:hint="eastAsia"/>
                <w:sz w:val="24"/>
                <w:szCs w:val="21"/>
                <w:vertAlign w:val="superscript"/>
              </w:rPr>
              <w:t>7</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cantSplit/>
          <w:trHeight w:val="78" w:hRule="atLeast"/>
          <w:jc w:val="center"/>
        </w:trPr>
        <w:tc>
          <w:tcPr>
            <w:tcW w:w="3194"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w:t>
            </w:r>
            <w:r>
              <w:rPr>
                <w:sz w:val="24"/>
                <w:szCs w:val="21"/>
              </w:rPr>
              <w:t xml:space="preserve"> </w:t>
            </w:r>
            <w:r>
              <w:rPr>
                <w:rFonts w:hint="eastAsia"/>
                <w:sz w:val="24"/>
                <w:szCs w:val="21"/>
              </w:rPr>
              <w:t>极限压力（烘烤，48h后）</w:t>
            </w:r>
          </w:p>
        </w:tc>
        <w:tc>
          <w:tcPr>
            <w:tcW w:w="1276"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sz w:val="24"/>
                <w:szCs w:val="21"/>
              </w:rPr>
              <w:t>P</w:t>
            </w:r>
            <w:r>
              <w:rPr>
                <w:rFonts w:hint="eastAsia"/>
                <w:sz w:val="24"/>
                <w:szCs w:val="21"/>
              </w:rPr>
              <w:t>a</w:t>
            </w:r>
          </w:p>
        </w:tc>
        <w:tc>
          <w:tcPr>
            <w:tcW w:w="2409"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≤5×</w:t>
            </w:r>
            <w:r>
              <w:rPr>
                <w:sz w:val="24"/>
                <w:szCs w:val="21"/>
              </w:rPr>
              <w:t>10</w:t>
            </w:r>
            <w:r>
              <w:rPr>
                <w:sz w:val="24"/>
                <w:szCs w:val="21"/>
                <w:vertAlign w:val="superscript"/>
              </w:rPr>
              <w:t>-</w:t>
            </w:r>
            <w:r>
              <w:rPr>
                <w:rFonts w:hint="eastAsia"/>
                <w:sz w:val="24"/>
                <w:szCs w:val="21"/>
                <w:vertAlign w:val="superscript"/>
              </w:rPr>
              <w:t>9</w:t>
            </w:r>
          </w:p>
        </w:tc>
        <w:tc>
          <w:tcPr>
            <w:tcW w:w="2341"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int="eastAsia"/>
                <w:sz w:val="24"/>
                <w:szCs w:val="21"/>
              </w:rPr>
            </w:pPr>
            <w:r>
              <w:rPr>
                <w:rFonts w:hint="eastAsia"/>
                <w:sz w:val="24"/>
                <w:szCs w:val="21"/>
              </w:rPr>
              <w:t>≤5×</w:t>
            </w:r>
            <w:r>
              <w:rPr>
                <w:sz w:val="24"/>
                <w:szCs w:val="21"/>
              </w:rPr>
              <w:t>10</w:t>
            </w:r>
            <w:r>
              <w:rPr>
                <w:sz w:val="24"/>
                <w:szCs w:val="21"/>
                <w:vertAlign w:val="superscript"/>
              </w:rPr>
              <w:t>-</w:t>
            </w:r>
            <w:r>
              <w:rPr>
                <w:rFonts w:hint="eastAsia"/>
                <w:sz w:val="24"/>
                <w:szCs w:val="21"/>
                <w:vertAlign w:val="superscript"/>
              </w:rPr>
              <w:t>9</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cantSplit/>
          <w:trHeight w:val="78" w:hRule="atLeast"/>
          <w:jc w:val="center"/>
        </w:trPr>
        <w:tc>
          <w:tcPr>
            <w:tcW w:w="3194"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可烘烤温度</w:t>
            </w:r>
          </w:p>
        </w:tc>
        <w:tc>
          <w:tcPr>
            <w:tcW w:w="1276"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w:t>
            </w:r>
          </w:p>
        </w:tc>
        <w:tc>
          <w:tcPr>
            <w:tcW w:w="2409"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≥250</w:t>
            </w:r>
          </w:p>
        </w:tc>
        <w:tc>
          <w:tcPr>
            <w:tcW w:w="2341"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int="eastAsia"/>
                <w:sz w:val="24"/>
                <w:szCs w:val="21"/>
              </w:rPr>
            </w:pPr>
            <w:r>
              <w:rPr>
                <w:rFonts w:hint="eastAsia"/>
                <w:sz w:val="24"/>
                <w:szCs w:val="21"/>
              </w:rPr>
              <w:t>≥250</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cantSplit/>
          <w:trHeight w:val="73" w:hRule="atLeast"/>
          <w:jc w:val="center"/>
        </w:trPr>
        <w:tc>
          <w:tcPr>
            <w:tcW w:w="3194"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w:t>
            </w:r>
            <w:r>
              <w:rPr>
                <w:sz w:val="24"/>
                <w:szCs w:val="21"/>
              </w:rPr>
              <w:t xml:space="preserve"> </w:t>
            </w:r>
            <w:r>
              <w:rPr>
                <w:rFonts w:hint="eastAsia"/>
                <w:sz w:val="24"/>
                <w:szCs w:val="21"/>
              </w:rPr>
              <w:t>最大启动压力</w:t>
            </w:r>
          </w:p>
        </w:tc>
        <w:tc>
          <w:tcPr>
            <w:tcW w:w="1276"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Pa</w:t>
            </w:r>
          </w:p>
        </w:tc>
        <w:tc>
          <w:tcPr>
            <w:tcW w:w="2409"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≤1×</w:t>
            </w:r>
            <w:r>
              <w:rPr>
                <w:sz w:val="24"/>
                <w:szCs w:val="21"/>
              </w:rPr>
              <w:t>10</w:t>
            </w:r>
            <w:r>
              <w:rPr>
                <w:sz w:val="24"/>
                <w:szCs w:val="21"/>
                <w:vertAlign w:val="superscript"/>
              </w:rPr>
              <w:t>-</w:t>
            </w:r>
            <w:r>
              <w:rPr>
                <w:rFonts w:hint="eastAsia"/>
                <w:sz w:val="24"/>
                <w:szCs w:val="21"/>
                <w:vertAlign w:val="superscript"/>
              </w:rPr>
              <w:t>2</w:t>
            </w:r>
          </w:p>
        </w:tc>
        <w:tc>
          <w:tcPr>
            <w:tcW w:w="2341"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int="eastAsia"/>
                <w:sz w:val="24"/>
                <w:szCs w:val="21"/>
              </w:rPr>
            </w:pPr>
            <w:r>
              <w:rPr>
                <w:rFonts w:hint="eastAsia"/>
                <w:sz w:val="24"/>
                <w:szCs w:val="21"/>
              </w:rPr>
              <w:t>≤1×</w:t>
            </w:r>
            <w:r>
              <w:rPr>
                <w:sz w:val="24"/>
                <w:szCs w:val="21"/>
              </w:rPr>
              <w:t>10</w:t>
            </w:r>
            <w:r>
              <w:rPr>
                <w:sz w:val="24"/>
                <w:szCs w:val="21"/>
                <w:vertAlign w:val="superscript"/>
              </w:rPr>
              <w:t>-</w:t>
            </w:r>
            <w:r>
              <w:rPr>
                <w:rFonts w:hint="eastAsia"/>
                <w:sz w:val="24"/>
                <w:szCs w:val="21"/>
                <w:vertAlign w:val="superscript"/>
              </w:rPr>
              <w:t>2</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cantSplit/>
          <w:trHeight w:val="73" w:hRule="atLeast"/>
          <w:jc w:val="center"/>
        </w:trPr>
        <w:tc>
          <w:tcPr>
            <w:tcW w:w="3194"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w:t>
            </w:r>
            <w:r>
              <w:rPr>
                <w:sz w:val="24"/>
                <w:szCs w:val="21"/>
              </w:rPr>
              <w:t xml:space="preserve"> </w:t>
            </w:r>
            <w:r>
              <w:rPr>
                <w:rFonts w:hint="eastAsia"/>
                <w:sz w:val="24"/>
                <w:szCs w:val="21"/>
              </w:rPr>
              <w:t>供电电源电压</w:t>
            </w:r>
          </w:p>
        </w:tc>
        <w:tc>
          <w:tcPr>
            <w:tcW w:w="1276"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V</w:t>
            </w:r>
          </w:p>
        </w:tc>
        <w:tc>
          <w:tcPr>
            <w:tcW w:w="2409"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2</w:t>
            </w:r>
            <w:r>
              <w:rPr>
                <w:sz w:val="24"/>
                <w:szCs w:val="21"/>
              </w:rPr>
              <w:t>20</w:t>
            </w:r>
            <w:r>
              <w:rPr>
                <w:rFonts w:hint="eastAsia"/>
                <w:sz w:val="24"/>
                <w:szCs w:val="21"/>
              </w:rPr>
              <w:t>V，50</w:t>
            </w:r>
            <w:r>
              <w:rPr>
                <w:sz w:val="24"/>
                <w:szCs w:val="21"/>
              </w:rPr>
              <w:t>H</w:t>
            </w:r>
            <w:r>
              <w:rPr>
                <w:rFonts w:hint="eastAsia"/>
                <w:sz w:val="24"/>
                <w:szCs w:val="21"/>
              </w:rPr>
              <w:t>z</w:t>
            </w:r>
          </w:p>
        </w:tc>
        <w:tc>
          <w:tcPr>
            <w:tcW w:w="2341"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int="eastAsia"/>
                <w:sz w:val="24"/>
                <w:szCs w:val="21"/>
              </w:rPr>
            </w:pPr>
            <w:r>
              <w:rPr>
                <w:rFonts w:hint="eastAsia"/>
                <w:sz w:val="24"/>
                <w:szCs w:val="21"/>
              </w:rPr>
              <w:t>2</w:t>
            </w:r>
            <w:r>
              <w:rPr>
                <w:sz w:val="24"/>
                <w:szCs w:val="21"/>
              </w:rPr>
              <w:t>20</w:t>
            </w:r>
            <w:r>
              <w:rPr>
                <w:rFonts w:hint="eastAsia"/>
                <w:sz w:val="24"/>
                <w:szCs w:val="21"/>
              </w:rPr>
              <w:t>V，50</w:t>
            </w:r>
            <w:r>
              <w:rPr>
                <w:sz w:val="24"/>
                <w:szCs w:val="21"/>
              </w:rPr>
              <w:t>H</w:t>
            </w:r>
            <w:r>
              <w:rPr>
                <w:rFonts w:hint="eastAsia"/>
                <w:sz w:val="24"/>
                <w:szCs w:val="21"/>
              </w:rPr>
              <w:t>z</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cantSplit/>
          <w:trHeight w:val="73" w:hRule="atLeast"/>
          <w:jc w:val="center"/>
        </w:trPr>
        <w:tc>
          <w:tcPr>
            <w:tcW w:w="3194"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w:t>
            </w:r>
            <w:r>
              <w:rPr>
                <w:sz w:val="24"/>
                <w:szCs w:val="21"/>
              </w:rPr>
              <w:t xml:space="preserve"> </w:t>
            </w:r>
            <w:r>
              <w:rPr>
                <w:rFonts w:hint="eastAsia"/>
                <w:sz w:val="24"/>
                <w:szCs w:val="21"/>
              </w:rPr>
              <w:t>通讯协议</w:t>
            </w:r>
          </w:p>
        </w:tc>
        <w:tc>
          <w:tcPr>
            <w:tcW w:w="1276"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p>
        </w:tc>
        <w:tc>
          <w:tcPr>
            <w:tcW w:w="4750" w:type="dxa"/>
            <w:gridSpan w:val="2"/>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配置R</w:t>
            </w:r>
            <w:r>
              <w:rPr>
                <w:sz w:val="24"/>
                <w:szCs w:val="21"/>
              </w:rPr>
              <w:t>S232/485</w:t>
            </w:r>
            <w:r>
              <w:rPr>
                <w:rFonts w:hint="eastAsia"/>
                <w:sz w:val="24"/>
                <w:szCs w:val="21"/>
              </w:rPr>
              <w:t>通讯接口，可采集离子泵电流、电压</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cantSplit/>
          <w:trHeight w:val="73" w:hRule="atLeast"/>
          <w:jc w:val="center"/>
        </w:trPr>
        <w:tc>
          <w:tcPr>
            <w:tcW w:w="3194"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w:t>
            </w:r>
            <w:r>
              <w:rPr>
                <w:sz w:val="24"/>
                <w:szCs w:val="21"/>
              </w:rPr>
              <w:t xml:space="preserve"> </w:t>
            </w:r>
            <w:r>
              <w:rPr>
                <w:rFonts w:hint="eastAsia"/>
                <w:sz w:val="24"/>
                <w:szCs w:val="21"/>
              </w:rPr>
              <w:t>线缆长度</w:t>
            </w:r>
          </w:p>
        </w:tc>
        <w:tc>
          <w:tcPr>
            <w:tcW w:w="1276"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sz w:val="24"/>
                <w:szCs w:val="21"/>
              </w:rPr>
            </w:pPr>
            <w:r>
              <w:rPr>
                <w:rFonts w:hint="eastAsia"/>
                <w:sz w:val="24"/>
                <w:szCs w:val="21"/>
              </w:rPr>
              <w:t>m</w:t>
            </w:r>
          </w:p>
        </w:tc>
        <w:tc>
          <w:tcPr>
            <w:tcW w:w="4750" w:type="dxa"/>
            <w:gridSpan w:val="2"/>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总长约3660m（实际根据现场情况布置）</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cantSplit/>
          <w:trHeight w:val="73" w:hRule="atLeast"/>
          <w:jc w:val="center"/>
        </w:trPr>
        <w:tc>
          <w:tcPr>
            <w:tcW w:w="3194"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保护功能</w:t>
            </w:r>
          </w:p>
        </w:tc>
        <w:tc>
          <w:tcPr>
            <w:tcW w:w="1276" w:type="dxa"/>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p>
        </w:tc>
        <w:tc>
          <w:tcPr>
            <w:tcW w:w="4750" w:type="dxa"/>
            <w:gridSpan w:val="2"/>
            <w:tcBorders>
              <w:top w:val="single" w:color="auto" w:sz="6" w:space="0"/>
              <w:left w:val="single" w:color="auto" w:sz="6" w:space="0"/>
              <w:bottom w:val="single" w:color="auto" w:sz="6" w:space="0"/>
              <w:right w:val="single" w:color="auto" w:sz="6" w:space="0"/>
            </w:tcBorders>
            <w:noWrap w:val="0"/>
            <w:tcMar>
              <w:top w:w="75" w:type="dxa"/>
              <w:left w:w="75" w:type="dxa"/>
              <w:bottom w:w="75" w:type="dxa"/>
              <w:right w:w="75" w:type="dxa"/>
            </w:tcMar>
            <w:vAlign w:val="center"/>
          </w:tcPr>
          <w:p>
            <w:pPr>
              <w:spacing w:line="360" w:lineRule="auto"/>
              <w:jc w:val="center"/>
              <w:rPr>
                <w:rFonts w:hint="eastAsia"/>
                <w:sz w:val="24"/>
                <w:szCs w:val="21"/>
              </w:rPr>
            </w:pPr>
            <w:r>
              <w:rPr>
                <w:rFonts w:hint="eastAsia"/>
                <w:sz w:val="24"/>
                <w:szCs w:val="21"/>
              </w:rPr>
              <w:t>具有短路、过流、过热保护功能</w:t>
            </w:r>
          </w:p>
        </w:tc>
      </w:tr>
    </w:tbl>
    <w:p>
      <w:pPr>
        <w:spacing w:line="360" w:lineRule="auto"/>
        <w:ind w:firstLine="482" w:firstLineChars="200"/>
        <w:rPr>
          <w:b/>
          <w:sz w:val="24"/>
        </w:rPr>
      </w:pPr>
      <w:r>
        <w:rPr>
          <w:b/>
          <w:sz w:val="24"/>
        </w:rPr>
        <w:t>2、技术方案</w:t>
      </w:r>
    </w:p>
    <w:p>
      <w:pPr>
        <w:spacing w:line="360" w:lineRule="auto"/>
        <w:ind w:firstLine="480" w:firstLineChars="200"/>
        <w:rPr>
          <w:sz w:val="24"/>
          <w:u w:val="single"/>
        </w:rPr>
      </w:pPr>
      <w:r>
        <w:rPr>
          <w:sz w:val="24"/>
          <w:u w:val="single"/>
        </w:rPr>
        <w:t>由于</w:t>
      </w:r>
      <w:r>
        <w:rPr>
          <w:rFonts w:hint="eastAsia"/>
          <w:sz w:val="24"/>
          <w:u w:val="single"/>
        </w:rPr>
        <w:t>常温段</w:t>
      </w:r>
      <w:r>
        <w:rPr>
          <w:sz w:val="24"/>
          <w:u w:val="single"/>
        </w:rPr>
        <w:t>真空系统的工作范围在</w:t>
      </w:r>
      <w:r>
        <w:rPr>
          <w:rFonts w:hint="eastAsia"/>
          <w:sz w:val="24"/>
          <w:u w:val="single"/>
        </w:rPr>
        <w:t>1</w:t>
      </w:r>
      <w:r>
        <w:rPr>
          <w:sz w:val="24"/>
          <w:u w:val="single"/>
        </w:rPr>
        <w:t>0</w:t>
      </w:r>
      <w:r>
        <w:rPr>
          <w:sz w:val="24"/>
          <w:u w:val="single"/>
          <w:vertAlign w:val="superscript"/>
        </w:rPr>
        <w:t>-5</w:t>
      </w:r>
      <w:r>
        <w:rPr>
          <w:rFonts w:hint="eastAsia"/>
          <w:sz w:val="24"/>
          <w:u w:val="single"/>
        </w:rPr>
        <w:t>Pa~</w:t>
      </w:r>
      <w:r>
        <w:rPr>
          <w:sz w:val="24"/>
          <w:u w:val="single"/>
        </w:rPr>
        <w:t>10</w:t>
      </w:r>
      <w:r>
        <w:rPr>
          <w:sz w:val="24"/>
          <w:u w:val="single"/>
          <w:vertAlign w:val="superscript"/>
        </w:rPr>
        <w:t>-7</w:t>
      </w:r>
      <w:r>
        <w:rPr>
          <w:rFonts w:hint="eastAsia"/>
          <w:sz w:val="24"/>
          <w:u w:val="single"/>
        </w:rPr>
        <w:t>Pa，</w:t>
      </w:r>
      <w:r>
        <w:rPr>
          <w:sz w:val="24"/>
          <w:u w:val="single"/>
        </w:rPr>
        <w:t>因此要求离子泵在超高真空区域有较大的抽速。</w:t>
      </w:r>
      <w:r>
        <w:rPr>
          <w:rFonts w:hint="eastAsia"/>
          <w:sz w:val="24"/>
          <w:u w:val="single"/>
        </w:rPr>
        <w:t>同时在1</w:t>
      </w:r>
      <w:r>
        <w:rPr>
          <w:sz w:val="24"/>
          <w:u w:val="single"/>
        </w:rPr>
        <w:t>0</w:t>
      </w:r>
      <w:r>
        <w:rPr>
          <w:sz w:val="24"/>
          <w:u w:val="single"/>
          <w:vertAlign w:val="superscript"/>
        </w:rPr>
        <w:t>-5</w:t>
      </w:r>
      <w:r>
        <w:rPr>
          <w:rFonts w:hint="eastAsia"/>
          <w:sz w:val="24"/>
          <w:u w:val="single"/>
        </w:rPr>
        <w:t>Pa量级范围内溅射离子泵的饱和容量和使用寿命较大。</w:t>
      </w:r>
      <w:r>
        <w:rPr>
          <w:sz w:val="24"/>
          <w:u w:val="single"/>
        </w:rPr>
        <w:t>为</w:t>
      </w:r>
      <w:r>
        <w:rPr>
          <w:rFonts w:hint="eastAsia"/>
          <w:sz w:val="24"/>
          <w:u w:val="single"/>
        </w:rPr>
        <w:t>了</w:t>
      </w:r>
      <w:r>
        <w:rPr>
          <w:sz w:val="24"/>
          <w:u w:val="single"/>
        </w:rPr>
        <w:t>不</w:t>
      </w:r>
      <w:r>
        <w:rPr>
          <w:rFonts w:hint="eastAsia"/>
          <w:sz w:val="24"/>
          <w:u w:val="single"/>
        </w:rPr>
        <w:t>让</w:t>
      </w:r>
      <w:r>
        <w:rPr>
          <w:sz w:val="24"/>
          <w:u w:val="single"/>
        </w:rPr>
        <w:t>作为主泵之一的溅射离子泵自身在系统抽极限时成为负载，要求溅射离子泵极限真空度达到10</w:t>
      </w:r>
      <w:r>
        <w:rPr>
          <w:sz w:val="24"/>
          <w:u w:val="single"/>
          <w:vertAlign w:val="superscript"/>
        </w:rPr>
        <w:t>-</w:t>
      </w:r>
      <w:r>
        <w:rPr>
          <w:rFonts w:hint="eastAsia"/>
          <w:sz w:val="24"/>
          <w:u w:val="single"/>
          <w:vertAlign w:val="superscript"/>
        </w:rPr>
        <w:t>7</w:t>
      </w:r>
      <w:r>
        <w:rPr>
          <w:rFonts w:hint="eastAsia"/>
          <w:sz w:val="24"/>
          <w:u w:val="single"/>
        </w:rPr>
        <w:t>Pa</w:t>
      </w:r>
      <w:r>
        <w:rPr>
          <w:sz w:val="24"/>
          <w:u w:val="single"/>
        </w:rPr>
        <w:t>。</w:t>
      </w:r>
    </w:p>
    <w:p>
      <w:pPr>
        <w:spacing w:line="360" w:lineRule="auto"/>
        <w:ind w:firstLine="480" w:firstLineChars="200"/>
        <w:rPr>
          <w:sz w:val="24"/>
          <w:u w:val="single"/>
        </w:rPr>
      </w:pPr>
      <w:r>
        <w:rPr>
          <w:rFonts w:hint="eastAsia"/>
          <w:sz w:val="24"/>
          <w:u w:val="single"/>
        </w:rPr>
        <w:t>由于束线的辐射特性，需要将溅射离子泵控制器放置在屏蔽微迷宫内，因此需要根据桥架及每台泵与控制器的距离差异性情况进行现场布置高压电缆线，并现场制作高压接头，完成相应的接线任务。</w:t>
      </w:r>
    </w:p>
    <w:p>
      <w:pPr>
        <w:spacing w:line="360" w:lineRule="auto"/>
        <w:ind w:firstLine="482" w:firstLineChars="200"/>
        <w:rPr>
          <w:b/>
          <w:sz w:val="24"/>
        </w:rPr>
      </w:pPr>
      <w:r>
        <w:rPr>
          <w:b/>
          <w:sz w:val="24"/>
        </w:rPr>
        <w:t>3、其他工艺要求</w:t>
      </w:r>
    </w:p>
    <w:p>
      <w:pPr>
        <w:spacing w:line="360" w:lineRule="auto"/>
        <w:ind w:firstLine="480" w:firstLineChars="200"/>
        <w:rPr>
          <w:bCs/>
          <w:sz w:val="24"/>
        </w:rPr>
      </w:pPr>
      <w:r>
        <w:rPr>
          <w:rFonts w:hint="eastAsia"/>
          <w:sz w:val="24"/>
          <w:u w:val="single"/>
        </w:rPr>
        <w:t>溅射离子泵属于精密设备，尤其对真空卫生有极高的要求，设备在加工、运输、拆封等过程中必须遵守超高真空卫生的相关规定；其包装必须真空封装以避免溅射离子泵的核心部件长期接触空气降低性能。</w:t>
      </w:r>
    </w:p>
    <w:p>
      <w:pPr>
        <w:pStyle w:val="5"/>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采购项目测试验收标准</w:t>
      </w:r>
    </w:p>
    <w:p>
      <w:pPr>
        <w:spacing w:line="360" w:lineRule="auto"/>
        <w:ind w:firstLine="482" w:firstLineChars="200"/>
        <w:rPr>
          <w:sz w:val="24"/>
          <w:u w:val="single"/>
        </w:rPr>
      </w:pPr>
      <w:r>
        <w:rPr>
          <w:rFonts w:hint="eastAsia"/>
          <w:b/>
          <w:sz w:val="24"/>
        </w:rPr>
        <w:t>1、</w:t>
      </w:r>
      <w:bookmarkStart w:id="0" w:name="_Hlk104802460"/>
      <w:r>
        <w:rPr>
          <w:b/>
          <w:sz w:val="24"/>
        </w:rPr>
        <w:t>过程检验</w:t>
      </w:r>
    </w:p>
    <w:tbl>
      <w:tblPr>
        <w:tblStyle w:val="3"/>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9"/>
        <w:gridCol w:w="1771"/>
        <w:gridCol w:w="4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9" w:type="dxa"/>
            <w:shd w:val="clear" w:color="auto" w:fill="auto"/>
            <w:noWrap w:val="0"/>
            <w:vAlign w:val="top"/>
          </w:tcPr>
          <w:p>
            <w:pPr>
              <w:spacing w:line="360" w:lineRule="auto"/>
              <w:rPr>
                <w:sz w:val="24"/>
              </w:rPr>
            </w:pPr>
            <w:r>
              <w:rPr>
                <w:rFonts w:hint="eastAsia"/>
                <w:sz w:val="24"/>
              </w:rPr>
              <w:t>验收指标</w:t>
            </w:r>
          </w:p>
        </w:tc>
        <w:tc>
          <w:tcPr>
            <w:tcW w:w="1842" w:type="dxa"/>
            <w:shd w:val="clear" w:color="auto" w:fill="auto"/>
            <w:noWrap w:val="0"/>
            <w:vAlign w:val="top"/>
          </w:tcPr>
          <w:p>
            <w:pPr>
              <w:spacing w:line="360" w:lineRule="auto"/>
              <w:rPr>
                <w:sz w:val="24"/>
              </w:rPr>
            </w:pPr>
            <w:r>
              <w:rPr>
                <w:rFonts w:hint="eastAsia"/>
                <w:sz w:val="24"/>
              </w:rPr>
              <w:t>验收内容</w:t>
            </w:r>
          </w:p>
        </w:tc>
        <w:tc>
          <w:tcPr>
            <w:tcW w:w="4395" w:type="dxa"/>
            <w:shd w:val="clear" w:color="auto" w:fill="auto"/>
            <w:noWrap w:val="0"/>
            <w:vAlign w:val="top"/>
          </w:tcPr>
          <w:p>
            <w:pPr>
              <w:spacing w:line="360" w:lineRule="auto"/>
              <w:rPr>
                <w:sz w:val="24"/>
              </w:rPr>
            </w:pPr>
            <w:r>
              <w:rPr>
                <w:rFonts w:hint="eastAsia"/>
                <w:sz w:val="24"/>
              </w:rPr>
              <w:t>验收方法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9" w:type="dxa"/>
            <w:shd w:val="clear" w:color="auto" w:fill="auto"/>
            <w:noWrap w:val="0"/>
            <w:vAlign w:val="top"/>
          </w:tcPr>
          <w:p>
            <w:pPr>
              <w:spacing w:line="360" w:lineRule="auto"/>
              <w:rPr>
                <w:sz w:val="24"/>
              </w:rPr>
            </w:pPr>
            <w:r>
              <w:rPr>
                <w:rFonts w:hint="eastAsia"/>
                <w:sz w:val="24"/>
              </w:rPr>
              <w:t>加工过程关键参数及</w:t>
            </w:r>
            <w:r>
              <w:rPr>
                <w:sz w:val="24"/>
              </w:rPr>
              <w:t>工艺</w:t>
            </w:r>
          </w:p>
        </w:tc>
        <w:tc>
          <w:tcPr>
            <w:tcW w:w="1842" w:type="dxa"/>
            <w:shd w:val="clear" w:color="auto" w:fill="auto"/>
            <w:noWrap w:val="0"/>
            <w:vAlign w:val="top"/>
          </w:tcPr>
          <w:p>
            <w:pPr>
              <w:spacing w:line="360" w:lineRule="auto"/>
              <w:rPr>
                <w:sz w:val="24"/>
              </w:rPr>
            </w:pPr>
            <w:r>
              <w:rPr>
                <w:rFonts w:hint="eastAsia"/>
                <w:sz w:val="24"/>
              </w:rPr>
              <w:t>《质量跟踪卡》</w:t>
            </w:r>
          </w:p>
        </w:tc>
        <w:tc>
          <w:tcPr>
            <w:tcW w:w="4395" w:type="dxa"/>
            <w:shd w:val="clear" w:color="auto" w:fill="auto"/>
            <w:noWrap w:val="0"/>
            <w:vAlign w:val="top"/>
          </w:tcPr>
          <w:p>
            <w:pPr>
              <w:spacing w:line="360" w:lineRule="auto"/>
              <w:rPr>
                <w:sz w:val="24"/>
              </w:rPr>
            </w:pPr>
            <w:r>
              <w:rPr>
                <w:rFonts w:hint="eastAsia"/>
                <w:sz w:val="24"/>
              </w:rPr>
              <w:t>乙方对加工过程的关键参数完成测试与记录，并形成《质量跟踪卡》，甲方参与关键参数测试及</w:t>
            </w:r>
            <w:r>
              <w:rPr>
                <w:sz w:val="24"/>
              </w:rPr>
              <w:t>关键工艺</w:t>
            </w:r>
            <w:r>
              <w:rPr>
                <w:rFonts w:hint="eastAsia"/>
                <w:sz w:val="24"/>
              </w:rPr>
              <w:t>见证</w:t>
            </w:r>
          </w:p>
        </w:tc>
      </w:tr>
    </w:tbl>
    <w:p>
      <w:pPr>
        <w:spacing w:line="360" w:lineRule="auto"/>
        <w:ind w:firstLine="482" w:firstLineChars="200"/>
        <w:rPr>
          <w:sz w:val="24"/>
          <w:u w:val="single"/>
        </w:rPr>
      </w:pPr>
      <w:r>
        <w:rPr>
          <w:rFonts w:hint="eastAsia"/>
          <w:b/>
          <w:sz w:val="24"/>
        </w:rPr>
        <w:t>2、出厂测试验收</w:t>
      </w:r>
    </w:p>
    <w:bookmarkEnd w:id="0"/>
    <w:tbl>
      <w:tblPr>
        <w:tblStyle w:val="3"/>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3"/>
        <w:gridCol w:w="2937"/>
        <w:gridCol w:w="2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9" w:type="dxa"/>
            <w:shd w:val="clear" w:color="auto" w:fill="auto"/>
            <w:noWrap w:val="0"/>
            <w:vAlign w:val="top"/>
          </w:tcPr>
          <w:p>
            <w:pPr>
              <w:spacing w:line="360" w:lineRule="auto"/>
              <w:rPr>
                <w:sz w:val="24"/>
              </w:rPr>
            </w:pPr>
            <w:r>
              <w:rPr>
                <w:rFonts w:hint="eastAsia"/>
                <w:sz w:val="24"/>
              </w:rPr>
              <w:t>验收指标</w:t>
            </w:r>
          </w:p>
        </w:tc>
        <w:tc>
          <w:tcPr>
            <w:tcW w:w="3089" w:type="dxa"/>
            <w:shd w:val="clear" w:color="auto" w:fill="auto"/>
            <w:noWrap w:val="0"/>
            <w:vAlign w:val="top"/>
          </w:tcPr>
          <w:p>
            <w:pPr>
              <w:spacing w:line="360" w:lineRule="auto"/>
              <w:rPr>
                <w:sz w:val="24"/>
              </w:rPr>
            </w:pPr>
            <w:r>
              <w:rPr>
                <w:rFonts w:hint="eastAsia"/>
                <w:sz w:val="24"/>
              </w:rPr>
              <w:t>验收内容</w:t>
            </w:r>
          </w:p>
        </w:tc>
        <w:tc>
          <w:tcPr>
            <w:tcW w:w="3148" w:type="dxa"/>
            <w:shd w:val="clear" w:color="auto" w:fill="auto"/>
            <w:noWrap w:val="0"/>
            <w:vAlign w:val="top"/>
          </w:tcPr>
          <w:p>
            <w:pPr>
              <w:spacing w:line="360" w:lineRule="auto"/>
              <w:rPr>
                <w:sz w:val="24"/>
              </w:rPr>
            </w:pPr>
            <w:r>
              <w:rPr>
                <w:rFonts w:hint="eastAsia"/>
                <w:sz w:val="24"/>
              </w:rPr>
              <w:t>验收方法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9" w:type="dxa"/>
            <w:shd w:val="clear" w:color="auto" w:fill="auto"/>
            <w:noWrap w:val="0"/>
            <w:vAlign w:val="top"/>
          </w:tcPr>
          <w:p>
            <w:pPr>
              <w:spacing w:line="360" w:lineRule="auto"/>
              <w:rPr>
                <w:sz w:val="24"/>
              </w:rPr>
            </w:pPr>
            <w:r>
              <w:rPr>
                <w:rFonts w:hint="eastAsia"/>
                <w:sz w:val="24"/>
              </w:rPr>
              <w:t>离子泵泵体、电源、电缆线等配件数量</w:t>
            </w:r>
          </w:p>
        </w:tc>
        <w:tc>
          <w:tcPr>
            <w:tcW w:w="3089" w:type="dxa"/>
            <w:shd w:val="clear" w:color="auto" w:fill="auto"/>
            <w:noWrap w:val="0"/>
            <w:vAlign w:val="top"/>
          </w:tcPr>
          <w:p>
            <w:pPr>
              <w:spacing w:line="360" w:lineRule="auto"/>
              <w:rPr>
                <w:sz w:val="24"/>
              </w:rPr>
            </w:pPr>
            <w:r>
              <w:rPr>
                <w:rFonts w:hint="eastAsia"/>
                <w:sz w:val="24"/>
              </w:rPr>
              <w:t>数量一一对应，不允许缺少配件情况</w:t>
            </w:r>
          </w:p>
        </w:tc>
        <w:tc>
          <w:tcPr>
            <w:tcW w:w="3148" w:type="dxa"/>
            <w:shd w:val="clear" w:color="auto" w:fill="auto"/>
            <w:noWrap w:val="0"/>
            <w:vAlign w:val="top"/>
          </w:tcPr>
          <w:p>
            <w:pPr>
              <w:spacing w:line="360" w:lineRule="auto"/>
              <w:rPr>
                <w:sz w:val="24"/>
              </w:rPr>
            </w:pPr>
            <w:r>
              <w:rPr>
                <w:rFonts w:hint="eastAsia"/>
                <w:sz w:val="24"/>
              </w:rPr>
              <w:t>厂家提供清单并由乙方人员清点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9" w:type="dxa"/>
            <w:shd w:val="clear" w:color="auto" w:fill="auto"/>
            <w:noWrap w:val="0"/>
            <w:vAlign w:val="top"/>
          </w:tcPr>
          <w:p>
            <w:pPr>
              <w:spacing w:line="360" w:lineRule="auto"/>
              <w:rPr>
                <w:sz w:val="24"/>
              </w:rPr>
            </w:pPr>
            <w:r>
              <w:rPr>
                <w:rFonts w:hint="eastAsia"/>
                <w:sz w:val="24"/>
              </w:rPr>
              <w:t>极限真空度和抽速</w:t>
            </w:r>
          </w:p>
        </w:tc>
        <w:tc>
          <w:tcPr>
            <w:tcW w:w="3089" w:type="dxa"/>
            <w:shd w:val="clear" w:color="auto" w:fill="auto"/>
            <w:noWrap w:val="0"/>
            <w:vAlign w:val="top"/>
          </w:tcPr>
          <w:p>
            <w:pPr>
              <w:spacing w:line="360" w:lineRule="auto"/>
              <w:rPr>
                <w:sz w:val="24"/>
              </w:rPr>
            </w:pPr>
            <w:r>
              <w:rPr>
                <w:rFonts w:hint="eastAsia"/>
                <w:sz w:val="24"/>
              </w:rPr>
              <w:t>极限真空度和抽速达到技术参数要求</w:t>
            </w:r>
          </w:p>
        </w:tc>
        <w:tc>
          <w:tcPr>
            <w:tcW w:w="3148" w:type="dxa"/>
            <w:shd w:val="clear" w:color="auto" w:fill="auto"/>
            <w:noWrap w:val="0"/>
            <w:vAlign w:val="top"/>
          </w:tcPr>
          <w:p>
            <w:pPr>
              <w:spacing w:line="360" w:lineRule="auto"/>
              <w:rPr>
                <w:sz w:val="24"/>
              </w:rPr>
            </w:pPr>
            <w:r>
              <w:rPr>
                <w:rFonts w:hint="eastAsia"/>
                <w:sz w:val="24"/>
              </w:rPr>
              <w:t>厂家提供抽检测试报告，甲方人员现场查看测试过程</w:t>
            </w:r>
          </w:p>
        </w:tc>
      </w:tr>
    </w:tbl>
    <w:p>
      <w:pPr>
        <w:spacing w:line="360" w:lineRule="auto"/>
        <w:ind w:firstLine="482" w:firstLineChars="200"/>
        <w:rPr>
          <w:sz w:val="24"/>
          <w:u w:val="single"/>
        </w:rPr>
      </w:pPr>
      <w:r>
        <w:rPr>
          <w:rFonts w:hint="eastAsia"/>
          <w:b/>
          <w:sz w:val="24"/>
        </w:rPr>
        <w:t>3</w:t>
      </w:r>
      <w:r>
        <w:rPr>
          <w:b/>
          <w:sz w:val="24"/>
        </w:rPr>
        <w:t>、</w:t>
      </w:r>
      <w:r>
        <w:rPr>
          <w:rFonts w:hint="eastAsia"/>
          <w:b/>
          <w:sz w:val="24"/>
        </w:rPr>
        <w:t>到货测试验收</w:t>
      </w:r>
    </w:p>
    <w:tbl>
      <w:tblPr>
        <w:tblStyle w:val="3"/>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5"/>
        <w:gridCol w:w="3908"/>
        <w:gridCol w:w="2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9" w:type="dxa"/>
            <w:shd w:val="clear" w:color="auto" w:fill="auto"/>
            <w:noWrap w:val="0"/>
            <w:vAlign w:val="top"/>
          </w:tcPr>
          <w:p>
            <w:pPr>
              <w:spacing w:line="360" w:lineRule="auto"/>
              <w:rPr>
                <w:sz w:val="24"/>
              </w:rPr>
            </w:pPr>
            <w:r>
              <w:rPr>
                <w:rFonts w:hint="eastAsia"/>
                <w:sz w:val="24"/>
              </w:rPr>
              <w:t>验收指标</w:t>
            </w:r>
          </w:p>
        </w:tc>
        <w:tc>
          <w:tcPr>
            <w:tcW w:w="4110" w:type="dxa"/>
            <w:shd w:val="clear" w:color="auto" w:fill="auto"/>
            <w:noWrap w:val="0"/>
            <w:vAlign w:val="top"/>
          </w:tcPr>
          <w:p>
            <w:pPr>
              <w:spacing w:line="360" w:lineRule="auto"/>
              <w:rPr>
                <w:sz w:val="24"/>
              </w:rPr>
            </w:pPr>
            <w:r>
              <w:rPr>
                <w:rFonts w:hint="eastAsia"/>
                <w:sz w:val="24"/>
              </w:rPr>
              <w:t>验收内容</w:t>
            </w:r>
          </w:p>
        </w:tc>
        <w:tc>
          <w:tcPr>
            <w:tcW w:w="2127" w:type="dxa"/>
            <w:shd w:val="clear" w:color="auto" w:fill="auto"/>
            <w:noWrap w:val="0"/>
            <w:vAlign w:val="top"/>
          </w:tcPr>
          <w:p>
            <w:pPr>
              <w:spacing w:line="360" w:lineRule="auto"/>
              <w:rPr>
                <w:sz w:val="24"/>
              </w:rPr>
            </w:pPr>
            <w:r>
              <w:rPr>
                <w:rFonts w:hint="eastAsia"/>
                <w:sz w:val="24"/>
              </w:rPr>
              <w:t>验收方法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9" w:type="dxa"/>
            <w:shd w:val="clear" w:color="auto" w:fill="auto"/>
            <w:noWrap w:val="0"/>
            <w:vAlign w:val="top"/>
          </w:tcPr>
          <w:p>
            <w:pPr>
              <w:spacing w:line="360" w:lineRule="auto"/>
              <w:rPr>
                <w:sz w:val="24"/>
              </w:rPr>
            </w:pPr>
            <w:r>
              <w:rPr>
                <w:rFonts w:hint="eastAsia"/>
                <w:sz w:val="24"/>
              </w:rPr>
              <w:t>包装</w:t>
            </w:r>
          </w:p>
        </w:tc>
        <w:tc>
          <w:tcPr>
            <w:tcW w:w="4110" w:type="dxa"/>
            <w:shd w:val="clear" w:color="auto" w:fill="auto"/>
            <w:noWrap w:val="0"/>
            <w:vAlign w:val="top"/>
          </w:tcPr>
          <w:p>
            <w:pPr>
              <w:spacing w:line="360" w:lineRule="auto"/>
              <w:rPr>
                <w:sz w:val="24"/>
              </w:rPr>
            </w:pPr>
            <w:r>
              <w:rPr>
                <w:rFonts w:hint="eastAsia"/>
                <w:sz w:val="24"/>
              </w:rPr>
              <w:t>包装无损坏，采取防潮、防震等保护措施，法兰必须进行真空缝装</w:t>
            </w:r>
          </w:p>
        </w:tc>
        <w:tc>
          <w:tcPr>
            <w:tcW w:w="2127" w:type="dxa"/>
            <w:shd w:val="clear" w:color="auto" w:fill="auto"/>
            <w:noWrap w:val="0"/>
            <w:vAlign w:val="top"/>
          </w:tcPr>
          <w:p>
            <w:pPr>
              <w:spacing w:line="360" w:lineRule="auto"/>
              <w:rPr>
                <w:sz w:val="24"/>
              </w:rPr>
            </w:pPr>
            <w:r>
              <w:rPr>
                <w:rFonts w:hint="eastAsia"/>
                <w:sz w:val="24"/>
              </w:rPr>
              <w:t>组织有关部门验收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9" w:type="dxa"/>
            <w:shd w:val="clear" w:color="auto" w:fill="auto"/>
            <w:noWrap w:val="0"/>
            <w:vAlign w:val="top"/>
          </w:tcPr>
          <w:p>
            <w:pPr>
              <w:spacing w:line="360" w:lineRule="auto"/>
              <w:rPr>
                <w:sz w:val="24"/>
              </w:rPr>
            </w:pPr>
            <w:r>
              <w:rPr>
                <w:rFonts w:hint="eastAsia"/>
                <w:sz w:val="24"/>
              </w:rPr>
              <w:t>随箱资料</w:t>
            </w:r>
          </w:p>
        </w:tc>
        <w:tc>
          <w:tcPr>
            <w:tcW w:w="4110" w:type="dxa"/>
            <w:shd w:val="clear" w:color="auto" w:fill="auto"/>
            <w:noWrap w:val="0"/>
            <w:vAlign w:val="top"/>
          </w:tcPr>
          <w:p>
            <w:pPr>
              <w:spacing w:line="360" w:lineRule="auto"/>
              <w:rPr>
                <w:sz w:val="24"/>
              </w:rPr>
            </w:pPr>
            <w:r>
              <w:rPr>
                <w:rFonts w:hint="eastAsia"/>
                <w:sz w:val="24"/>
              </w:rPr>
              <w:t>随货必须附有合格证，货物清单，清单附有产品序列号；随货必须附有泵体和电源说明书；质量认证等文件</w:t>
            </w:r>
          </w:p>
        </w:tc>
        <w:tc>
          <w:tcPr>
            <w:tcW w:w="2127" w:type="dxa"/>
            <w:shd w:val="clear" w:color="auto" w:fill="auto"/>
            <w:noWrap w:val="0"/>
            <w:vAlign w:val="top"/>
          </w:tcPr>
          <w:p>
            <w:pPr>
              <w:spacing w:line="360" w:lineRule="auto"/>
              <w:rPr>
                <w:sz w:val="24"/>
              </w:rPr>
            </w:pPr>
            <w:r>
              <w:rPr>
                <w:rFonts w:hint="eastAsia"/>
                <w:sz w:val="24"/>
              </w:rPr>
              <w:t>组织有关部门到货开箱验收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9" w:type="dxa"/>
            <w:shd w:val="clear" w:color="auto" w:fill="auto"/>
            <w:noWrap w:val="0"/>
            <w:vAlign w:val="top"/>
          </w:tcPr>
          <w:p>
            <w:pPr>
              <w:spacing w:line="360" w:lineRule="auto"/>
              <w:rPr>
                <w:sz w:val="24"/>
              </w:rPr>
            </w:pPr>
            <w:r>
              <w:rPr>
                <w:rFonts w:hint="eastAsia"/>
                <w:sz w:val="24"/>
              </w:rPr>
              <w:t>原装产品</w:t>
            </w:r>
          </w:p>
        </w:tc>
        <w:tc>
          <w:tcPr>
            <w:tcW w:w="4110" w:type="dxa"/>
            <w:shd w:val="clear" w:color="auto" w:fill="auto"/>
            <w:noWrap w:val="0"/>
            <w:vAlign w:val="top"/>
          </w:tcPr>
          <w:p>
            <w:pPr>
              <w:spacing w:line="360" w:lineRule="auto"/>
              <w:rPr>
                <w:sz w:val="24"/>
              </w:rPr>
            </w:pPr>
            <w:r>
              <w:rPr>
                <w:rFonts w:hint="eastAsia"/>
                <w:sz w:val="24"/>
              </w:rPr>
              <w:t>商品须提供原产地证明文件</w:t>
            </w:r>
          </w:p>
        </w:tc>
        <w:tc>
          <w:tcPr>
            <w:tcW w:w="2127" w:type="dxa"/>
            <w:shd w:val="clear" w:color="auto" w:fill="auto"/>
            <w:noWrap w:val="0"/>
            <w:vAlign w:val="top"/>
          </w:tcPr>
          <w:p>
            <w:pPr>
              <w:spacing w:line="360" w:lineRule="auto"/>
              <w:rPr>
                <w:sz w:val="24"/>
              </w:rPr>
            </w:pPr>
            <w:r>
              <w:rPr>
                <w:rFonts w:hint="eastAsia"/>
                <w:sz w:val="24"/>
              </w:rPr>
              <w:t>组织有关部门验收文件</w:t>
            </w:r>
          </w:p>
        </w:tc>
      </w:tr>
    </w:tbl>
    <w:p>
      <w:pPr>
        <w:spacing w:line="360" w:lineRule="auto"/>
        <w:ind w:firstLine="482" w:firstLineChars="200"/>
        <w:rPr>
          <w:sz w:val="24"/>
          <w:u w:val="single"/>
        </w:rPr>
      </w:pPr>
      <w:r>
        <w:rPr>
          <w:rFonts w:hint="eastAsia"/>
          <w:b/>
          <w:sz w:val="24"/>
        </w:rPr>
        <w:t>4、安装现场测试验收</w:t>
      </w:r>
    </w:p>
    <w:tbl>
      <w:tblPr>
        <w:tblStyle w:val="3"/>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2"/>
        <w:gridCol w:w="2437"/>
        <w:gridCol w:w="35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9" w:type="dxa"/>
            <w:shd w:val="clear" w:color="auto" w:fill="auto"/>
            <w:noWrap w:val="0"/>
            <w:vAlign w:val="top"/>
          </w:tcPr>
          <w:p>
            <w:pPr>
              <w:spacing w:line="360" w:lineRule="auto"/>
              <w:rPr>
                <w:sz w:val="24"/>
              </w:rPr>
            </w:pPr>
            <w:r>
              <w:rPr>
                <w:rFonts w:hint="eastAsia"/>
                <w:sz w:val="24"/>
              </w:rPr>
              <w:t>验收指标</w:t>
            </w:r>
          </w:p>
        </w:tc>
        <w:tc>
          <w:tcPr>
            <w:tcW w:w="2551" w:type="dxa"/>
            <w:shd w:val="clear" w:color="auto" w:fill="auto"/>
            <w:noWrap w:val="0"/>
            <w:vAlign w:val="top"/>
          </w:tcPr>
          <w:p>
            <w:pPr>
              <w:spacing w:line="360" w:lineRule="auto"/>
              <w:rPr>
                <w:sz w:val="24"/>
              </w:rPr>
            </w:pPr>
            <w:r>
              <w:rPr>
                <w:rFonts w:hint="eastAsia"/>
                <w:sz w:val="24"/>
              </w:rPr>
              <w:t>验收内容</w:t>
            </w:r>
          </w:p>
        </w:tc>
        <w:tc>
          <w:tcPr>
            <w:tcW w:w="3686" w:type="dxa"/>
            <w:shd w:val="clear" w:color="auto" w:fill="auto"/>
            <w:noWrap w:val="0"/>
            <w:vAlign w:val="top"/>
          </w:tcPr>
          <w:p>
            <w:pPr>
              <w:spacing w:line="360" w:lineRule="auto"/>
              <w:rPr>
                <w:sz w:val="24"/>
              </w:rPr>
            </w:pPr>
            <w:r>
              <w:rPr>
                <w:rFonts w:hint="eastAsia"/>
                <w:sz w:val="24"/>
              </w:rPr>
              <w:t>验收方法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9" w:type="dxa"/>
            <w:shd w:val="clear" w:color="auto" w:fill="auto"/>
            <w:noWrap w:val="0"/>
            <w:vAlign w:val="top"/>
          </w:tcPr>
          <w:p>
            <w:pPr>
              <w:spacing w:line="360" w:lineRule="auto"/>
              <w:rPr>
                <w:sz w:val="24"/>
              </w:rPr>
            </w:pPr>
            <w:r>
              <w:rPr>
                <w:rFonts w:hint="eastAsia"/>
                <w:sz w:val="24"/>
              </w:rPr>
              <w:t>现场安装</w:t>
            </w:r>
          </w:p>
        </w:tc>
        <w:tc>
          <w:tcPr>
            <w:tcW w:w="2551" w:type="dxa"/>
            <w:shd w:val="clear" w:color="auto" w:fill="auto"/>
            <w:noWrap w:val="0"/>
            <w:vAlign w:val="top"/>
          </w:tcPr>
          <w:p>
            <w:pPr>
              <w:spacing w:line="360" w:lineRule="auto"/>
              <w:rPr>
                <w:sz w:val="24"/>
              </w:rPr>
            </w:pPr>
            <w:r>
              <w:rPr>
                <w:rFonts w:hint="eastAsia"/>
                <w:sz w:val="24"/>
              </w:rPr>
              <w:t>高压线缆布置、高压接头制作</w:t>
            </w:r>
          </w:p>
        </w:tc>
        <w:tc>
          <w:tcPr>
            <w:tcW w:w="3686" w:type="dxa"/>
            <w:shd w:val="clear" w:color="auto" w:fill="auto"/>
            <w:noWrap w:val="0"/>
            <w:vAlign w:val="top"/>
          </w:tcPr>
          <w:p>
            <w:pPr>
              <w:spacing w:line="360" w:lineRule="auto"/>
              <w:rPr>
                <w:sz w:val="24"/>
              </w:rPr>
            </w:pPr>
            <w:r>
              <w:rPr>
                <w:rFonts w:hint="eastAsia"/>
                <w:bCs/>
                <w:sz w:val="24"/>
              </w:rPr>
              <w:t>检查线缆数量、位置以及高压头的导电、绝缘性能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9" w:type="dxa"/>
            <w:shd w:val="clear" w:color="auto" w:fill="auto"/>
            <w:noWrap w:val="0"/>
            <w:vAlign w:val="top"/>
          </w:tcPr>
          <w:p>
            <w:pPr>
              <w:spacing w:line="360" w:lineRule="auto"/>
              <w:rPr>
                <w:sz w:val="24"/>
              </w:rPr>
            </w:pPr>
            <w:r>
              <w:rPr>
                <w:rFonts w:hint="eastAsia"/>
                <w:sz w:val="24"/>
              </w:rPr>
              <w:t>现场测试</w:t>
            </w:r>
          </w:p>
        </w:tc>
        <w:tc>
          <w:tcPr>
            <w:tcW w:w="2551" w:type="dxa"/>
            <w:shd w:val="clear" w:color="auto" w:fill="auto"/>
            <w:noWrap w:val="0"/>
            <w:vAlign w:val="top"/>
          </w:tcPr>
          <w:p>
            <w:pPr>
              <w:spacing w:line="360" w:lineRule="auto"/>
              <w:rPr>
                <w:sz w:val="24"/>
              </w:rPr>
            </w:pPr>
            <w:r>
              <w:rPr>
                <w:rFonts w:hint="eastAsia"/>
                <w:sz w:val="24"/>
              </w:rPr>
              <w:t>高压加电测试、真空运行测试、远程通讯测试</w:t>
            </w:r>
          </w:p>
        </w:tc>
        <w:tc>
          <w:tcPr>
            <w:tcW w:w="3686" w:type="dxa"/>
            <w:shd w:val="clear" w:color="auto" w:fill="auto"/>
            <w:noWrap w:val="0"/>
            <w:vAlign w:val="top"/>
          </w:tcPr>
          <w:p>
            <w:pPr>
              <w:spacing w:line="360" w:lineRule="auto"/>
              <w:rPr>
                <w:sz w:val="24"/>
              </w:rPr>
            </w:pPr>
            <w:r>
              <w:rPr>
                <w:rFonts w:hint="eastAsia"/>
                <w:bCs/>
                <w:sz w:val="24"/>
              </w:rPr>
              <w:t>空载电压加载无误；真空启动正常；远程通讯控制正常</w:t>
            </w:r>
          </w:p>
        </w:tc>
      </w:tr>
    </w:tbl>
    <w:p>
      <w:pPr>
        <w:pStyle w:val="5"/>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采购项目售后服务要求（包括质保期、维修响应时间等）</w:t>
      </w:r>
    </w:p>
    <w:p>
      <w:pPr>
        <w:spacing w:line="360" w:lineRule="auto"/>
        <w:ind w:firstLine="480" w:firstLineChars="200"/>
        <w:rPr>
          <w:sz w:val="24"/>
          <w:u w:val="single"/>
        </w:rPr>
      </w:pPr>
      <w:r>
        <w:rPr>
          <w:rFonts w:hint="eastAsia"/>
          <w:sz w:val="24"/>
          <w:u w:val="single"/>
        </w:rPr>
        <w:t>商品到货后，完成甲方测试验收之日起至少保修1年。保修期内，供应商应承担溅射离子泵及其部分元件以恢复其原始性能所产生的任何费用。供应商应确保在保修期结束之日起至少5年内出售给买方的消耗品和备件价格合理（不超过投标价格）。</w:t>
      </w:r>
    </w:p>
    <w:p>
      <w:pPr>
        <w:pStyle w:val="5"/>
        <w:numPr>
          <w:ilvl w:val="0"/>
          <w:numId w:val="2"/>
        </w:numPr>
        <w:spacing w:before="156" w:beforeLines="50" w:after="156" w:afterLines="50" w:line="360" w:lineRule="auto"/>
        <w:ind w:firstLineChars="0"/>
        <w:rPr>
          <w:rFonts w:ascii="Times New Roman" w:hAnsi="Times New Roman"/>
          <w:b/>
          <w:sz w:val="24"/>
        </w:rPr>
      </w:pPr>
      <w:r>
        <w:rPr>
          <w:rFonts w:ascii="Times New Roman" w:hAnsi="Times New Roman"/>
          <w:b/>
          <w:sz w:val="24"/>
        </w:rPr>
        <w:t>采购项目交货要求</w:t>
      </w:r>
    </w:p>
    <w:p>
      <w:pPr>
        <w:pStyle w:val="5"/>
        <w:spacing w:line="360" w:lineRule="auto"/>
        <w:ind w:left="420" w:firstLine="0" w:firstLineChars="0"/>
        <w:rPr>
          <w:rFonts w:ascii="Times New Roman" w:hAnsi="Times New Roman"/>
          <w:sz w:val="24"/>
          <w:u w:val="single"/>
        </w:rPr>
      </w:pPr>
      <w:r>
        <w:rPr>
          <w:rFonts w:ascii="Times New Roman" w:hAnsi="Times New Roman"/>
          <w:b/>
          <w:sz w:val="24"/>
        </w:rPr>
        <w:t>1、交货时间：</w:t>
      </w:r>
      <w:r>
        <w:rPr>
          <w:rFonts w:ascii="Times New Roman" w:hAnsi="Times New Roman"/>
          <w:sz w:val="24"/>
          <w:u w:val="single"/>
        </w:rPr>
        <w:t xml:space="preserve">  </w:t>
      </w:r>
      <w:r>
        <w:rPr>
          <w:rFonts w:hint="eastAsia" w:ascii="Times New Roman" w:hAnsi="Times New Roman"/>
          <w:bCs/>
          <w:sz w:val="24"/>
          <w:u w:val="single"/>
        </w:rPr>
        <w:t xml:space="preserve">签订合同后，接到甲方正式通知后8个月内，可分批交货 </w:t>
      </w:r>
      <w:r>
        <w:rPr>
          <w:rFonts w:ascii="Times New Roman" w:hAnsi="Times New Roman"/>
          <w:bCs/>
          <w:sz w:val="24"/>
          <w:u w:val="single"/>
        </w:rPr>
        <w:t xml:space="preserve"> </w:t>
      </w:r>
      <w:r>
        <w:rPr>
          <w:rFonts w:ascii="Times New Roman" w:hAnsi="Times New Roman"/>
          <w:sz w:val="24"/>
          <w:u w:val="single"/>
        </w:rPr>
        <w:t xml:space="preserve">    </w:t>
      </w:r>
    </w:p>
    <w:p>
      <w:pPr>
        <w:pStyle w:val="5"/>
        <w:spacing w:line="360" w:lineRule="auto"/>
        <w:ind w:left="420" w:firstLine="0" w:firstLineChars="0"/>
        <w:rPr>
          <w:rFonts w:ascii="Times New Roman" w:hAnsi="Times New Roman"/>
          <w:b/>
          <w:sz w:val="24"/>
          <w:u w:val="single"/>
        </w:rPr>
      </w:pPr>
      <w:r>
        <w:rPr>
          <w:rFonts w:ascii="Times New Roman" w:hAnsi="Times New Roman"/>
          <w:b/>
          <w:sz w:val="24"/>
        </w:rPr>
        <w:t>2、交货地点：</w:t>
      </w:r>
      <w:r>
        <w:rPr>
          <w:rFonts w:ascii="Times New Roman" w:hAnsi="Times New Roman"/>
          <w:sz w:val="24"/>
          <w:u w:val="single"/>
        </w:rPr>
        <w:t xml:space="preserve">   </w:t>
      </w:r>
      <w:r>
        <w:rPr>
          <w:rFonts w:hint="eastAsia" w:ascii="Times New Roman" w:hAnsi="Times New Roman"/>
          <w:sz w:val="24"/>
          <w:u w:val="single"/>
        </w:rPr>
        <w:t>中国科学院近代物理研究所</w:t>
      </w:r>
      <w:r>
        <w:rPr>
          <w:rFonts w:hint="eastAsia" w:ascii="Times New Roman" w:hAnsi="Times New Roman"/>
          <w:bCs/>
          <w:sz w:val="24"/>
          <w:u w:val="single"/>
        </w:rPr>
        <w:t>或甲方指定地点</w:t>
      </w:r>
      <w:r>
        <w:rPr>
          <w:rFonts w:ascii="Times New Roman" w:hAnsi="Times New Roman"/>
          <w:sz w:val="24"/>
          <w:u w:val="single"/>
        </w:rPr>
        <w:t xml:space="preserve">                 </w:t>
      </w:r>
    </w:p>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B57DD0"/>
    <w:multiLevelType w:val="multilevel"/>
    <w:tmpl w:val="41B57DD0"/>
    <w:lvl w:ilvl="0" w:tentative="0">
      <w:start w:val="1"/>
      <w:numFmt w:val="decimal"/>
      <w:lvlText w:val="%1、"/>
      <w:lvlJc w:val="left"/>
      <w:pPr>
        <w:ind w:left="850" w:hanging="368"/>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7E41517D"/>
    <w:multiLevelType w:val="multilevel"/>
    <w:tmpl w:val="7E41517D"/>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hmMzJiZDczMmJlZGExNjNkMzQwMmVkYWFmOTdhMjcifQ=="/>
  </w:docVars>
  <w:rsids>
    <w:rsidRoot w:val="59693DCB"/>
    <w:rsid w:val="59693D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5">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2022-08-31T08:29:00Z</dcterms:created>
  <dc:creator>Robin</dc:creator>
  <cp:lastModifiedBy>Robin</cp:lastModifiedBy>
  <dcterms:modified xsi:type="dcterms:W3CDTF">2022-08-31T08:29:59Z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8018B7461B2549DCB8495A67817CA9C7</vt:lpwstr>
  </property>
</Properties>
</file>