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120" w:after="120" w:line="360" w:lineRule="auto"/>
        <w:jc w:val="center"/>
        <w:rPr>
          <w:rFonts w:hint="eastAsia" w:ascii="宋体" w:hAnsi="宋体"/>
          <w:kern w:val="2"/>
          <w:sz w:val="32"/>
          <w:lang w:eastAsia="zh-CN"/>
        </w:rPr>
      </w:pPr>
      <w:bookmarkStart w:id="0" w:name="_Toc31601"/>
      <w:bookmarkStart w:id="1" w:name="_Toc88807246"/>
      <w:bookmarkStart w:id="2" w:name="_Toc6058"/>
      <w:bookmarkStart w:id="3" w:name="_Toc2795"/>
      <w:bookmarkStart w:id="4" w:name="_Toc18999"/>
      <w:bookmarkStart w:id="5" w:name="_Toc2318"/>
      <w:bookmarkStart w:id="6" w:name="_Toc796"/>
      <w:r>
        <w:rPr>
          <w:rFonts w:hint="eastAsia" w:ascii="宋体" w:hAnsi="宋体"/>
          <w:kern w:val="2"/>
          <w:sz w:val="32"/>
          <w:lang w:eastAsia="zh-CN"/>
        </w:rPr>
        <w:t>中国海洋大学双前端高分辨质谱系统采购项目</w:t>
      </w:r>
    </w:p>
    <w:p>
      <w:pPr>
        <w:pStyle w:val="3"/>
        <w:spacing w:before="120" w:after="120" w:line="360" w:lineRule="auto"/>
        <w:jc w:val="center"/>
        <w:rPr>
          <w:rFonts w:ascii="宋体" w:hAnsi="宋体"/>
          <w:kern w:val="2"/>
          <w:sz w:val="32"/>
        </w:rPr>
      </w:pPr>
      <w:bookmarkStart w:id="8" w:name="_GoBack"/>
      <w:bookmarkEnd w:id="8"/>
      <w:r>
        <w:rPr>
          <w:rFonts w:hint="eastAsia" w:ascii="宋体" w:hAnsi="宋体"/>
          <w:kern w:val="2"/>
          <w:sz w:val="32"/>
        </w:rPr>
        <w:t>采购</w:t>
      </w:r>
      <w:r>
        <w:rPr>
          <w:rFonts w:hint="eastAsia" w:ascii="宋体" w:hAnsi="宋体"/>
          <w:kern w:val="2"/>
          <w:sz w:val="32"/>
          <w:lang w:eastAsia="zh-CN"/>
        </w:rPr>
        <w:t>需</w:t>
      </w:r>
      <w:r>
        <w:rPr>
          <w:rFonts w:hint="eastAsia" w:ascii="宋体" w:hAnsi="宋体"/>
          <w:kern w:val="2"/>
          <w:sz w:val="32"/>
        </w:rPr>
        <w:t>求</w:t>
      </w:r>
      <w:bookmarkEnd w:id="0"/>
      <w:bookmarkEnd w:id="1"/>
      <w:bookmarkEnd w:id="2"/>
      <w:bookmarkEnd w:id="3"/>
      <w:bookmarkEnd w:id="4"/>
      <w:bookmarkEnd w:id="5"/>
      <w:bookmarkEnd w:id="6"/>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bookmarkStart w:id="7" w:name="_Toc88807247"/>
      <w:r>
        <w:rPr>
          <w:rFonts w:hint="eastAsia" w:ascii="宋体" w:hAnsi="宋体"/>
          <w:b/>
          <w:bCs w:val="0"/>
          <w:kern w:val="2"/>
          <w:szCs w:val="24"/>
        </w:rPr>
        <w:t>1.交货期及交货地点</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1.1签订合同后按采购人要求供货，技术要求中有明确要求的执行技术要求中的交货期，投标人可根据自身情况自报最快交货时间。</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1.2采购人指定地点。</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r>
        <w:rPr>
          <w:rFonts w:hint="eastAsia" w:ascii="宋体" w:hAnsi="宋体"/>
          <w:b/>
          <w:bCs w:val="0"/>
          <w:kern w:val="2"/>
          <w:szCs w:val="24"/>
        </w:rPr>
        <w:t>2.质量保证期</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2.1质量保证期：国产设备自验收合格之日起3年，进口设备自验收合格之日起1年，技术要求中有明确要求的执行技术要求中的质保期。国家主管部门或者行业标准对货物本身有更高要求的，从其规定并在合同中约定，投标人亦可提报更长的质保期。</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r>
        <w:rPr>
          <w:rFonts w:hint="eastAsia" w:ascii="宋体" w:hAnsi="宋体"/>
          <w:b/>
          <w:bCs w:val="0"/>
          <w:kern w:val="2"/>
          <w:szCs w:val="24"/>
        </w:rPr>
        <w:t>3.付款方式</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内贸货物：货物验收合格后，合同金额在十万人民币及以上，乙方需按照合同额5%付给甲方质保金，甲方100%支付给乙方设备款。质保期满后无质量问题及其他争议，经乙方申请，甲方</w:t>
      </w:r>
      <w:r>
        <w:rPr>
          <w:rFonts w:hint="eastAsia" w:ascii="宋体" w:hAnsi="宋体"/>
          <w:bCs/>
          <w:kern w:val="2"/>
          <w:szCs w:val="24"/>
          <w:lang w:eastAsia="zh-Hans"/>
        </w:rPr>
        <w:t>在扣除相关费用后</w:t>
      </w:r>
      <w:r>
        <w:rPr>
          <w:rFonts w:hint="eastAsia" w:ascii="宋体" w:hAnsi="宋体"/>
          <w:bCs/>
          <w:kern w:val="2"/>
          <w:szCs w:val="24"/>
        </w:rPr>
        <w:t>将质保金</w:t>
      </w:r>
      <w:r>
        <w:rPr>
          <w:rFonts w:hint="eastAsia" w:ascii="宋体" w:hAnsi="宋体"/>
          <w:bCs/>
          <w:kern w:val="2"/>
          <w:szCs w:val="24"/>
          <w:lang w:eastAsia="zh-Hans"/>
        </w:rPr>
        <w:t>无息</w:t>
      </w:r>
      <w:r>
        <w:rPr>
          <w:rFonts w:hint="eastAsia" w:ascii="宋体" w:hAnsi="宋体"/>
          <w:bCs/>
          <w:kern w:val="2"/>
          <w:szCs w:val="24"/>
        </w:rPr>
        <w:t>返还乙方。合同金额在十万人民币以下的，甲方100%支付给乙方设备款。乙方于甲方付款之前须向甲方开具增值税专用发票/增值税普通发票，如为增值税专用发票需向甲方提供抵扣联。</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外贸货物：货物办理完免税手续后支付合同的80%，验收合格后</w:t>
      </w:r>
      <w:r>
        <w:rPr>
          <w:rFonts w:hint="eastAsia" w:ascii="宋体" w:hAnsi="宋体"/>
          <w:bCs/>
          <w:kern w:val="2"/>
          <w:szCs w:val="24"/>
          <w:lang w:eastAsia="zh-Hans"/>
        </w:rPr>
        <w:t>支付</w:t>
      </w:r>
      <w:r>
        <w:rPr>
          <w:rFonts w:hint="eastAsia" w:ascii="宋体" w:hAnsi="宋体"/>
          <w:bCs/>
          <w:kern w:val="2"/>
          <w:szCs w:val="24"/>
        </w:rPr>
        <w:t>20%。</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r>
        <w:rPr>
          <w:rFonts w:hint="eastAsia" w:ascii="宋体" w:hAnsi="宋体"/>
          <w:b/>
          <w:bCs w:val="0"/>
          <w:kern w:val="2"/>
          <w:szCs w:val="24"/>
        </w:rPr>
        <w:t>4.安装调试验收</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4.1中标人须保证所提供的产品能满足主管部门的验收要求，并保证通过验收。</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4.2采购人将对货物数量、质量、规格等进行检验。如发现货物和规格或者两者都与招标文件、投标文件、合同不符，采购人有权限根据检验结果要求中标人立即更换或者提出索赔要求。</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2" w:firstLineChars="200"/>
        <w:textAlignment w:val="auto"/>
        <w:rPr>
          <w:rFonts w:ascii="宋体" w:hAnsi="宋体"/>
          <w:b/>
          <w:bCs w:val="0"/>
          <w:kern w:val="2"/>
          <w:szCs w:val="24"/>
        </w:rPr>
      </w:pPr>
      <w:r>
        <w:rPr>
          <w:rFonts w:hint="eastAsia" w:ascii="宋体" w:hAnsi="宋体"/>
          <w:b/>
          <w:bCs w:val="0"/>
          <w:kern w:val="2"/>
          <w:szCs w:val="24"/>
        </w:rPr>
        <w:t>5.售后服务培训</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5.2质保期内中标人应提供及时周到的售后服务，在接到采购人通知2小时内做出响应并到达现场，24小时内维修完毕，不能在规定时间内修好的要免费提供备品（机）备件。</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5.3中标人免费为采购人提供中文操作手册并培训操作人员，其中包括讲解产品的结构以及原理、产品的使用以及维护保养，直至操作人员能够独立的操作使用。</w:t>
      </w:r>
    </w:p>
    <w:p>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right="0" w:firstLine="480" w:firstLineChars="200"/>
        <w:textAlignment w:val="auto"/>
        <w:rPr>
          <w:rFonts w:ascii="宋体" w:hAnsi="宋体"/>
          <w:bCs/>
          <w:kern w:val="2"/>
          <w:szCs w:val="24"/>
        </w:rPr>
      </w:pPr>
      <w:r>
        <w:rPr>
          <w:rFonts w:hint="eastAsia" w:ascii="宋体" w:hAnsi="宋体"/>
          <w:bCs/>
          <w:kern w:val="2"/>
          <w:szCs w:val="24"/>
        </w:rPr>
        <w:t>5.4质保期内，中标人应按照采购人要求无偿协助采购人开展设备调试，直至可实现设备的正常使用。</w:t>
      </w:r>
    </w:p>
    <w:p>
      <w:pPr>
        <w:spacing w:line="360" w:lineRule="auto"/>
        <w:rPr>
          <w:rFonts w:ascii="宋体" w:hAnsi="宋体" w:cs="宋体"/>
          <w:b/>
          <w:bCs/>
        </w:rPr>
      </w:pPr>
      <w:r>
        <w:rPr>
          <w:rFonts w:hint="eastAsia" w:ascii="宋体" w:hAnsi="宋体" w:cs="宋体"/>
          <w:b/>
          <w:bCs/>
        </w:rPr>
        <w:br w:type="page"/>
      </w:r>
    </w:p>
    <w:p>
      <w:pPr>
        <w:pStyle w:val="4"/>
        <w:numPr>
          <w:ilvl w:val="0"/>
          <w:numId w:val="1"/>
        </w:numPr>
        <w:spacing w:after="0" w:line="360" w:lineRule="auto"/>
        <w:ind w:firstLine="566" w:firstLineChars="235"/>
        <w:rPr>
          <w:rFonts w:ascii="宋体" w:hAnsi="宋体" w:cs="宋体"/>
          <w:b/>
          <w:bCs/>
        </w:rPr>
      </w:pPr>
      <w:r>
        <w:rPr>
          <w:rFonts w:hint="eastAsia" w:ascii="宋体" w:hAnsi="宋体" w:cs="宋体"/>
          <w:b/>
          <w:bCs/>
        </w:rPr>
        <w:t>采购内容</w:t>
      </w:r>
    </w:p>
    <w:bookmarkEnd w:id="7"/>
    <w:tbl>
      <w:tblPr>
        <w:tblStyle w:val="5"/>
        <w:tblW w:w="9138" w:type="dxa"/>
        <w:tblInd w:w="91" w:type="dxa"/>
        <w:tblLayout w:type="fixed"/>
        <w:tblCellMar>
          <w:top w:w="0" w:type="dxa"/>
          <w:left w:w="108" w:type="dxa"/>
          <w:bottom w:w="0" w:type="dxa"/>
          <w:right w:w="108" w:type="dxa"/>
        </w:tblCellMar>
      </w:tblPr>
      <w:tblGrid>
        <w:gridCol w:w="959"/>
        <w:gridCol w:w="1629"/>
        <w:gridCol w:w="5579"/>
        <w:gridCol w:w="971"/>
      </w:tblGrid>
      <w:tr>
        <w:tblPrEx>
          <w:tblCellMar>
            <w:top w:w="0" w:type="dxa"/>
            <w:left w:w="108" w:type="dxa"/>
            <w:bottom w:w="0" w:type="dxa"/>
            <w:right w:w="108" w:type="dxa"/>
          </w:tblCellMar>
        </w:tblPrEx>
        <w:trPr>
          <w:trHeight w:val="446" w:hRule="atLeast"/>
        </w:trPr>
        <w:tc>
          <w:tcPr>
            <w:tcW w:w="959"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Style w:val="7"/>
                <w:rFonts w:hint="default"/>
                <w:b w:val="0"/>
                <w:bCs w:val="0"/>
                <w:color w:val="auto"/>
                <w:sz w:val="24"/>
                <w:szCs w:val="24"/>
              </w:rPr>
            </w:pPr>
            <w:r>
              <w:rPr>
                <w:rStyle w:val="7"/>
                <w:rFonts w:hint="default"/>
                <w:b w:val="0"/>
                <w:bCs w:val="0"/>
                <w:color w:val="auto"/>
                <w:sz w:val="24"/>
                <w:szCs w:val="24"/>
              </w:rPr>
              <w:t>序号</w:t>
            </w:r>
          </w:p>
        </w:tc>
        <w:tc>
          <w:tcPr>
            <w:tcW w:w="1629"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Style w:val="7"/>
                <w:rFonts w:hint="default"/>
                <w:b w:val="0"/>
                <w:bCs w:val="0"/>
                <w:color w:val="auto"/>
                <w:sz w:val="24"/>
                <w:szCs w:val="24"/>
              </w:rPr>
              <w:t>设备名称</w:t>
            </w:r>
          </w:p>
        </w:tc>
        <w:tc>
          <w:tcPr>
            <w:tcW w:w="5579"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center"/>
              <w:textAlignment w:val="center"/>
              <w:rPr>
                <w:rFonts w:ascii="宋体" w:hAnsi="宋体" w:cs="宋体"/>
                <w:sz w:val="24"/>
              </w:rPr>
            </w:pPr>
            <w:r>
              <w:rPr>
                <w:rFonts w:hint="eastAsia" w:ascii="宋体" w:hAnsi="宋体" w:cs="宋体"/>
                <w:kern w:val="0"/>
                <w:sz w:val="24"/>
              </w:rPr>
              <w:t>技术需求</w:t>
            </w:r>
          </w:p>
        </w:tc>
        <w:tc>
          <w:tcPr>
            <w:tcW w:w="971"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ascii="宋体" w:hAnsi="宋体" w:cs="宋体"/>
                <w:kern w:val="0"/>
                <w:sz w:val="24"/>
              </w:rPr>
            </w:pPr>
            <w:r>
              <w:rPr>
                <w:rFonts w:hint="eastAsia" w:ascii="宋体" w:hAnsi="宋体" w:cs="宋体"/>
                <w:kern w:val="0"/>
                <w:sz w:val="24"/>
              </w:rPr>
              <w:t>数量</w:t>
            </w:r>
          </w:p>
        </w:tc>
      </w:tr>
      <w:tr>
        <w:tblPrEx>
          <w:tblCellMar>
            <w:top w:w="0" w:type="dxa"/>
            <w:left w:w="108" w:type="dxa"/>
            <w:bottom w:w="0" w:type="dxa"/>
            <w:right w:w="108" w:type="dxa"/>
          </w:tblCellMar>
        </w:tblPrEx>
        <w:trPr>
          <w:trHeight w:val="2817" w:hRule="atLeast"/>
        </w:trPr>
        <w:tc>
          <w:tcPr>
            <w:tcW w:w="959"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ascii="宋体" w:hAnsi="宋体" w:cs="宋体"/>
                <w:sz w:val="24"/>
              </w:rPr>
            </w:pPr>
            <w:r>
              <w:rPr>
                <w:rFonts w:hint="eastAsia" w:ascii="宋体" w:hAnsi="宋体" w:cs="宋体"/>
                <w:sz w:val="24"/>
              </w:rPr>
              <w:t>1</w:t>
            </w:r>
          </w:p>
        </w:tc>
        <w:tc>
          <w:tcPr>
            <w:tcW w:w="1629" w:type="dxa"/>
            <w:tcBorders>
              <w:top w:val="single" w:color="000000" w:sz="4" w:space="0"/>
              <w:left w:val="single" w:color="000000" w:sz="4" w:space="0"/>
              <w:bottom w:val="single" w:color="000000" w:sz="4" w:space="0"/>
              <w:right w:val="nil"/>
            </w:tcBorders>
            <w:vAlign w:val="center"/>
          </w:tcPr>
          <w:p>
            <w:pPr>
              <w:widowControl/>
              <w:spacing w:line="360" w:lineRule="auto"/>
              <w:jc w:val="center"/>
              <w:textAlignment w:val="center"/>
              <w:rPr>
                <w:rFonts w:hint="eastAsia" w:ascii="宋体" w:hAnsi="宋体" w:eastAsia="宋体" w:cs="宋体"/>
                <w:sz w:val="24"/>
                <w:lang w:eastAsia="zh-CN"/>
              </w:rPr>
            </w:pPr>
            <w:r>
              <w:rPr>
                <w:rFonts w:hint="eastAsia" w:ascii="宋体" w:hAnsi="宋体" w:eastAsia="宋体" w:cs="宋体"/>
                <w:sz w:val="24"/>
                <w:lang w:eastAsia="zh-CN"/>
              </w:rPr>
              <w:t>双前端高分辨质谱系统</w:t>
            </w:r>
          </w:p>
        </w:tc>
        <w:tc>
          <w:tcPr>
            <w:tcW w:w="5579" w:type="dxa"/>
            <w:tcBorders>
              <w:top w:val="single" w:color="000000" w:sz="4" w:space="0"/>
              <w:left w:val="single" w:color="000000" w:sz="4" w:space="0"/>
              <w:bottom w:val="single" w:color="000000" w:sz="4" w:space="0"/>
              <w:right w:val="single" w:color="auto" w:sz="4" w:space="0"/>
            </w:tcBorders>
            <w:vAlign w:val="center"/>
          </w:tcPr>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一、</w:t>
            </w:r>
            <w:r>
              <w:rPr>
                <w:rFonts w:hint="eastAsia" w:ascii="宋体" w:hAnsi="宋体" w:eastAsia="宋体" w:cs="宋体"/>
                <w:sz w:val="24"/>
                <w:lang w:eastAsia="zh-CN"/>
              </w:rPr>
              <w:t>设备参数</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w:t>
            </w:r>
            <w:r>
              <w:rPr>
                <w:rFonts w:hint="eastAsia" w:ascii="宋体" w:hAnsi="宋体" w:eastAsia="宋体" w:cs="宋体"/>
                <w:sz w:val="24"/>
                <w:lang w:eastAsia="zh-CN"/>
              </w:rPr>
              <w:t>质谱部分</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1.1</w:t>
            </w:r>
            <w:r>
              <w:rPr>
                <w:rFonts w:hint="eastAsia" w:ascii="宋体" w:hAnsi="宋体" w:eastAsia="宋体" w:cs="宋体"/>
                <w:sz w:val="24"/>
                <w:lang w:eastAsia="zh-CN"/>
              </w:rPr>
              <w:t>离子源</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1.1.1</w:t>
            </w:r>
            <w:r>
              <w:rPr>
                <w:rFonts w:hint="eastAsia" w:ascii="宋体" w:hAnsi="宋体" w:eastAsia="宋体" w:cs="宋体"/>
                <w:sz w:val="24"/>
                <w:lang w:eastAsia="zh-CN"/>
              </w:rPr>
              <w:t>独立的可加热电喷雾离子源，集成式气路电路设计，自动识别；</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1.1.2</w:t>
            </w:r>
            <w:r>
              <w:rPr>
                <w:rFonts w:hint="eastAsia" w:ascii="宋体" w:hAnsi="宋体" w:eastAsia="宋体" w:cs="宋体"/>
                <w:sz w:val="24"/>
                <w:lang w:eastAsia="zh-CN"/>
              </w:rPr>
              <w:t>喷针小于70度喷雾设计，前后，左右，上下可调，正对废液出口；</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1.1.3</w:t>
            </w:r>
            <w:r>
              <w:rPr>
                <w:rFonts w:hint="eastAsia" w:ascii="宋体" w:hAnsi="宋体" w:eastAsia="宋体" w:cs="宋体"/>
                <w:sz w:val="24"/>
                <w:lang w:eastAsia="zh-CN"/>
              </w:rPr>
              <w:t>具有雾化气和辅助雾化气；</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1.1.4</w:t>
            </w:r>
            <w:r>
              <w:rPr>
                <w:rFonts w:hint="eastAsia" w:ascii="宋体" w:hAnsi="宋体" w:eastAsia="宋体" w:cs="宋体"/>
                <w:sz w:val="24"/>
                <w:lang w:eastAsia="zh-CN"/>
              </w:rPr>
              <w:t>离子源加热温度最高≥550℃；</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1.1.5</w:t>
            </w:r>
            <w:r>
              <w:rPr>
                <w:rFonts w:hint="eastAsia" w:ascii="宋体" w:hAnsi="宋体" w:eastAsia="宋体" w:cs="宋体"/>
                <w:sz w:val="24"/>
                <w:lang w:eastAsia="zh-CN"/>
              </w:rPr>
              <w:t>全自动注射泵实现质谱直接进样，自动调谐和校正；</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1.1.6</w:t>
            </w:r>
            <w:r>
              <w:rPr>
                <w:rFonts w:hint="eastAsia" w:ascii="宋体" w:hAnsi="宋体" w:eastAsia="宋体" w:cs="宋体"/>
                <w:sz w:val="24"/>
                <w:lang w:eastAsia="zh-CN"/>
              </w:rPr>
              <w:t>具备实时监控并反馈喷雾稳定性功能；</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1.1.7</w:t>
            </w:r>
            <w:r>
              <w:rPr>
                <w:rFonts w:hint="eastAsia" w:ascii="宋体" w:hAnsi="宋体" w:eastAsia="宋体" w:cs="宋体"/>
                <w:sz w:val="24"/>
                <w:lang w:eastAsia="zh-CN"/>
              </w:rPr>
              <w:t>具有观察窗口，可以直接观察喷雾效果以及离子源腔体洁净程度。</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1.2</w:t>
            </w:r>
            <w:r>
              <w:rPr>
                <w:rFonts w:hint="eastAsia" w:ascii="宋体" w:hAnsi="宋体" w:eastAsia="宋体" w:cs="宋体"/>
                <w:sz w:val="24"/>
                <w:lang w:eastAsia="zh-CN"/>
              </w:rPr>
              <w:t>离子传输系统</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1.2.1</w:t>
            </w:r>
            <w:r>
              <w:rPr>
                <w:rFonts w:hint="eastAsia" w:ascii="宋体" w:hAnsi="宋体" w:eastAsia="宋体" w:cs="宋体"/>
                <w:sz w:val="24"/>
                <w:lang w:eastAsia="zh-CN"/>
              </w:rPr>
              <w:t>离子传输系统必须配有离子传输管设计；</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1.2.2</w:t>
            </w:r>
            <w:r>
              <w:rPr>
                <w:rFonts w:hint="eastAsia" w:ascii="宋体" w:hAnsi="宋体" w:eastAsia="宋体" w:cs="宋体"/>
                <w:sz w:val="24"/>
                <w:lang w:eastAsia="zh-CN"/>
              </w:rPr>
              <w:t>离子传输管独立加热，最高温度≥400℃；</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1.2.3</w:t>
            </w:r>
            <w:r>
              <w:rPr>
                <w:rFonts w:hint="eastAsia" w:ascii="宋体" w:hAnsi="宋体" w:eastAsia="宋体" w:cs="宋体"/>
                <w:sz w:val="24"/>
                <w:lang w:eastAsia="zh-CN"/>
              </w:rPr>
              <w:t>具有真空隔断阀设计。</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1.3质量分析器部分</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1.3.1</w:t>
            </w:r>
            <w:r>
              <w:rPr>
                <w:rFonts w:hint="eastAsia" w:ascii="宋体" w:hAnsi="宋体" w:eastAsia="宋体" w:cs="宋体"/>
                <w:sz w:val="24"/>
                <w:lang w:eastAsia="zh-CN"/>
              </w:rPr>
              <w:t>质量分析器采用四极杆与高分辨串联的组合，质量范围40~6000m/z；</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1.3.2</w:t>
            </w:r>
            <w:r>
              <w:rPr>
                <w:rFonts w:hint="eastAsia" w:ascii="宋体" w:hAnsi="宋体" w:eastAsia="宋体" w:cs="宋体"/>
                <w:sz w:val="24"/>
                <w:lang w:eastAsia="zh-CN"/>
              </w:rPr>
              <w:t>仪器分辨率：≥400000FWHM（m/z≤200）；≥4档可调；</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1.3.3</w:t>
            </w:r>
            <w:r>
              <w:rPr>
                <w:rFonts w:hint="eastAsia" w:ascii="宋体" w:hAnsi="宋体" w:eastAsia="宋体" w:cs="宋体"/>
                <w:sz w:val="24"/>
                <w:lang w:eastAsia="zh-CN"/>
              </w:rPr>
              <w:t>双曲面分段四极杆，分辨率可到≤0.4Da；</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1.3.4</w:t>
            </w:r>
            <w:r>
              <w:rPr>
                <w:rFonts w:hint="eastAsia" w:ascii="宋体" w:hAnsi="宋体" w:eastAsia="宋体" w:cs="宋体"/>
                <w:sz w:val="24"/>
                <w:lang w:eastAsia="zh-CN"/>
              </w:rPr>
              <w:t>谱内动态范围：≥5000；</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1.3.5</w:t>
            </w:r>
            <w:r>
              <w:rPr>
                <w:rFonts w:hint="eastAsia" w:ascii="宋体" w:hAnsi="宋体" w:eastAsia="宋体" w:cs="宋体"/>
                <w:sz w:val="24"/>
                <w:lang w:eastAsia="zh-CN"/>
              </w:rPr>
              <w:t>质谱采集速率：≥40Hz；</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1.3.6</w:t>
            </w:r>
            <w:r>
              <w:rPr>
                <w:rFonts w:hint="eastAsia" w:ascii="宋体" w:hAnsi="宋体" w:eastAsia="宋体" w:cs="宋体"/>
                <w:sz w:val="24"/>
                <w:lang w:eastAsia="zh-CN"/>
              </w:rPr>
              <w:t>正负离子切换速度：一个完整周期采集速度≥1.4Hz，一个完整周期即在分辨率60,000下获得正负离子谱图各1张；</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1.3.7</w:t>
            </w:r>
            <w:r>
              <w:rPr>
                <w:rFonts w:hint="eastAsia" w:ascii="宋体" w:hAnsi="宋体" w:eastAsia="宋体" w:cs="宋体"/>
                <w:sz w:val="24"/>
                <w:lang w:eastAsia="zh-CN"/>
              </w:rPr>
              <w:t>灵敏度：</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）MS/MS灵敏度：≤50fg利血平进样，S/N100:1；</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）选择离子扫描SIM灵敏度：≤50fg利血平进样，S/N</w:t>
            </w:r>
            <w:r>
              <w:rPr>
                <w:rFonts w:hint="eastAsia" w:ascii="宋体" w:hAnsi="宋体" w:eastAsia="宋体" w:cs="宋体"/>
                <w:sz w:val="24"/>
                <w:lang w:val="en-US" w:eastAsia="zh-CN"/>
              </w:rPr>
              <w:t>-</w:t>
            </w:r>
            <w:r>
              <w:rPr>
                <w:rFonts w:hint="eastAsia" w:ascii="宋体" w:hAnsi="宋体" w:eastAsia="宋体" w:cs="宋体"/>
                <w:sz w:val="24"/>
                <w:lang w:eastAsia="zh-CN"/>
              </w:rPr>
              <w:t>150:1；</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1.3.8质量准确度：外标法≤3ppm RMS，内标法≤1ppm；</w:t>
            </w:r>
          </w:p>
          <w:p>
            <w:pPr>
              <w:widowControl/>
              <w:spacing w:line="360" w:lineRule="auto"/>
              <w:jc w:val="left"/>
              <w:textAlignment w:val="center"/>
              <w:rPr>
                <w:rFonts w:hint="default" w:ascii="宋体" w:hAnsi="宋体" w:eastAsia="宋体" w:cs="宋体"/>
                <w:sz w:val="24"/>
                <w:lang w:val="en-US" w:eastAsia="zh-CN"/>
              </w:rPr>
            </w:pPr>
            <w:r>
              <w:rPr>
                <w:rFonts w:hint="eastAsia" w:ascii="宋体" w:hAnsi="宋体" w:eastAsia="宋体" w:cs="宋体"/>
                <w:sz w:val="24"/>
                <w:lang w:eastAsia="zh-CN"/>
              </w:rPr>
              <w:t>1.3.9扫描模式：</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）高分辨全扫描MS和MS/MS；</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）高分辨选择离子扫描；</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3</w:t>
            </w:r>
            <w:r>
              <w:rPr>
                <w:rFonts w:hint="eastAsia" w:ascii="宋体" w:hAnsi="宋体" w:eastAsia="宋体" w:cs="宋体"/>
                <w:sz w:val="24"/>
                <w:lang w:eastAsia="zh-CN"/>
              </w:rPr>
              <w:t>）高分辨全子离子碰撞碎裂扫描；</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4</w:t>
            </w:r>
            <w:r>
              <w:rPr>
                <w:rFonts w:hint="eastAsia" w:ascii="宋体" w:hAnsi="宋体" w:eastAsia="宋体" w:cs="宋体"/>
                <w:sz w:val="24"/>
                <w:lang w:eastAsia="zh-CN"/>
              </w:rPr>
              <w:t>）高分辨正负离子切换扫描；</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5</w:t>
            </w:r>
            <w:r>
              <w:rPr>
                <w:rFonts w:hint="eastAsia" w:ascii="宋体" w:hAnsi="宋体" w:eastAsia="宋体" w:cs="宋体"/>
                <w:sz w:val="24"/>
                <w:lang w:eastAsia="zh-CN"/>
              </w:rPr>
              <w:t>）高分辨数据依赖子离子扫描；</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6</w:t>
            </w:r>
            <w:r>
              <w:rPr>
                <w:rFonts w:hint="eastAsia" w:ascii="宋体" w:hAnsi="宋体" w:eastAsia="宋体" w:cs="宋体"/>
                <w:sz w:val="24"/>
                <w:lang w:eastAsia="zh-CN"/>
              </w:rPr>
              <w:t>）高分辨数据非依赖扫描（DIA-MS/MS）；</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7</w:t>
            </w:r>
            <w:r>
              <w:rPr>
                <w:rFonts w:hint="eastAsia" w:ascii="宋体" w:hAnsi="宋体" w:eastAsia="宋体" w:cs="宋体"/>
                <w:sz w:val="24"/>
                <w:lang w:eastAsia="zh-CN"/>
              </w:rPr>
              <w:t>）高分辨平行反应监测子离子扫描；</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1.3.10检测器:无损检测器或消耗性检测器；质谱如果采用微通道板（MCP）或电子倍增器等消耗型检测器，须额外提供相应备用检测器≥20个。</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2</w:t>
            </w:r>
            <w:r>
              <w:rPr>
                <w:rFonts w:hint="eastAsia" w:ascii="宋体" w:hAnsi="宋体" w:eastAsia="宋体" w:cs="宋体"/>
                <w:sz w:val="24"/>
                <w:lang w:val="en-US" w:eastAsia="zh-CN"/>
              </w:rPr>
              <w:t>.</w:t>
            </w:r>
            <w:r>
              <w:rPr>
                <w:rFonts w:hint="eastAsia" w:ascii="宋体" w:hAnsi="宋体" w:eastAsia="宋体" w:cs="宋体"/>
                <w:sz w:val="24"/>
                <w:lang w:eastAsia="zh-CN"/>
              </w:rPr>
              <w:t>数据处理系统</w:t>
            </w:r>
          </w:p>
          <w:p>
            <w:pPr>
              <w:widowControl/>
              <w:spacing w:line="360" w:lineRule="auto"/>
              <w:jc w:val="left"/>
              <w:textAlignment w:val="center"/>
              <w:rPr>
                <w:rFonts w:hint="eastAsia"/>
                <w:lang w:eastAsia="zh-CN"/>
              </w:rPr>
            </w:pPr>
            <w:r>
              <w:rPr>
                <w:rFonts w:hint="eastAsia" w:ascii="宋体" w:hAnsi="宋体" w:eastAsia="宋体" w:cs="宋体"/>
                <w:sz w:val="24"/>
                <w:lang w:eastAsia="zh-CN"/>
              </w:rPr>
              <w:t>2.1工作站：处理器</w:t>
            </w:r>
            <w:r>
              <w:rPr>
                <w:rFonts w:hint="eastAsia" w:ascii="宋体" w:hAnsi="宋体" w:cs="宋体"/>
                <w:sz w:val="24"/>
                <w:lang w:eastAsia="zh-CN"/>
              </w:rPr>
              <w:t>i</w:t>
            </w:r>
            <w:r>
              <w:rPr>
                <w:rFonts w:hint="eastAsia" w:ascii="宋体" w:hAnsi="宋体" w:eastAsia="宋体" w:cs="宋体"/>
                <w:sz w:val="24"/>
                <w:lang w:eastAsia="zh-CN"/>
              </w:rPr>
              <w:t>7</w:t>
            </w:r>
            <w:r>
              <w:rPr>
                <w:rFonts w:hint="eastAsia" w:ascii="宋体" w:hAnsi="宋体" w:cs="宋体"/>
                <w:sz w:val="24"/>
                <w:lang w:eastAsia="zh-CN"/>
              </w:rPr>
              <w:t>九代及</w:t>
            </w:r>
            <w:r>
              <w:rPr>
                <w:rFonts w:hint="eastAsia" w:ascii="宋体" w:hAnsi="宋体" w:eastAsia="宋体" w:cs="宋体"/>
                <w:sz w:val="24"/>
                <w:lang w:eastAsia="zh-CN"/>
              </w:rPr>
              <w:t>以上级别CPU；内存≥32GB；固态硬盘≥500G，机械硬盘≥1TB；Windows 10 Enterprise LTSC x64以上操作系统；双网卡（主板网卡+独立网卡），液晶显示器≥32英寸；</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2.2</w:t>
            </w:r>
            <w:r>
              <w:rPr>
                <w:rFonts w:hint="eastAsia" w:ascii="宋体" w:hAnsi="宋体" w:eastAsia="宋体" w:cs="宋体"/>
                <w:sz w:val="24"/>
                <w:lang w:eastAsia="zh-CN"/>
              </w:rPr>
              <w:t>工作站及软件具备数据采集、数据处理、定性定量分析、建立数据库、谱库检索等功能；</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2.3</w:t>
            </w:r>
            <w:r>
              <w:rPr>
                <w:rFonts w:hint="eastAsia" w:ascii="宋体" w:hAnsi="宋体" w:eastAsia="宋体" w:cs="宋体"/>
                <w:sz w:val="24"/>
                <w:lang w:eastAsia="zh-CN"/>
              </w:rPr>
              <w:t>提供LC和MS/MS的全自动控制；</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2.</w:t>
            </w:r>
            <w:r>
              <w:rPr>
                <w:rFonts w:hint="eastAsia" w:ascii="宋体" w:hAnsi="宋体" w:eastAsia="宋体" w:cs="宋体"/>
                <w:sz w:val="24"/>
                <w:lang w:val="en-US" w:eastAsia="zh-CN"/>
              </w:rPr>
              <w:t>4</w:t>
            </w:r>
            <w:r>
              <w:rPr>
                <w:rFonts w:hint="eastAsia" w:ascii="宋体" w:hAnsi="宋体" w:eastAsia="宋体" w:cs="宋体"/>
                <w:sz w:val="24"/>
                <w:lang w:eastAsia="zh-CN"/>
              </w:rPr>
              <w:t>可以实现高效的仪器调谐和方法优化，方法优化还包括碰撞气压力以及碰撞能量的自动优化，并可利用优化后的参数快速便捷地建立分析方法；</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2.</w:t>
            </w:r>
            <w:r>
              <w:rPr>
                <w:rFonts w:hint="eastAsia" w:ascii="宋体" w:hAnsi="宋体" w:eastAsia="宋体" w:cs="宋体"/>
                <w:sz w:val="24"/>
                <w:lang w:val="en-US" w:eastAsia="zh-CN"/>
              </w:rPr>
              <w:t>5</w:t>
            </w:r>
            <w:r>
              <w:rPr>
                <w:rFonts w:hint="eastAsia" w:ascii="宋体" w:hAnsi="宋体" w:eastAsia="宋体" w:cs="宋体"/>
                <w:sz w:val="24"/>
                <w:lang w:eastAsia="zh-CN"/>
              </w:rPr>
              <w:t>具备实验室数据管理自动备份系统，可对实验数据进行备份；</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w:t>
            </w:r>
            <w:r>
              <w:rPr>
                <w:rFonts w:hint="eastAsia" w:ascii="宋体" w:hAnsi="宋体" w:eastAsia="宋体" w:cs="宋体"/>
                <w:sz w:val="24"/>
                <w:lang w:val="en-US" w:eastAsia="zh-CN"/>
              </w:rPr>
              <w:t>.</w:t>
            </w:r>
            <w:r>
              <w:rPr>
                <w:rFonts w:hint="eastAsia" w:ascii="宋体" w:hAnsi="宋体" w:eastAsia="宋体" w:cs="宋体"/>
                <w:sz w:val="24"/>
                <w:lang w:eastAsia="zh-CN"/>
              </w:rPr>
              <w:t>配置清单</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3.1高分辨率质谱仪主机1套；</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3.2高效液相色谱仪1套；</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3.3纳升液相色谱仪1套；</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3.4软件1套；</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3.5氮气发生器1套；</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3.6UPS（10KVA，延迟1小时）1套；</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3.7隔离变压器（10KVA）1套；</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3.8配套工作站1套。</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4</w:t>
            </w:r>
            <w:r>
              <w:rPr>
                <w:rFonts w:hint="eastAsia" w:ascii="宋体" w:hAnsi="宋体" w:eastAsia="宋体" w:cs="宋体"/>
                <w:sz w:val="24"/>
                <w:lang w:val="en-US" w:eastAsia="zh-CN"/>
              </w:rPr>
              <w:t>.</w:t>
            </w:r>
            <w:r>
              <w:rPr>
                <w:rFonts w:hint="eastAsia" w:ascii="宋体" w:hAnsi="宋体" w:eastAsia="宋体" w:cs="宋体"/>
                <w:sz w:val="24"/>
                <w:lang w:eastAsia="zh-CN"/>
              </w:rPr>
              <w:t>售后服务：仪器到货后10个工作日内，专职工程师上门安装、调试，并在现场为用户提供上机操作培训。</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val="en-US" w:eastAsia="zh-CN"/>
              </w:rPr>
              <w:t>二</w:t>
            </w:r>
            <w:r>
              <w:rPr>
                <w:rFonts w:hint="eastAsia" w:ascii="宋体" w:hAnsi="宋体" w:eastAsia="宋体" w:cs="宋体"/>
                <w:sz w:val="24"/>
                <w:lang w:eastAsia="zh-CN"/>
              </w:rPr>
              <w:t>、质保及其他要求</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1</w:t>
            </w:r>
            <w:r>
              <w:rPr>
                <w:rFonts w:hint="eastAsia" w:ascii="宋体" w:hAnsi="宋体" w:eastAsia="宋体" w:cs="宋体"/>
                <w:sz w:val="24"/>
                <w:lang w:val="en-US" w:eastAsia="zh-CN"/>
              </w:rPr>
              <w:t>.</w:t>
            </w:r>
            <w:r>
              <w:rPr>
                <w:rFonts w:hint="eastAsia" w:ascii="宋体" w:hAnsi="宋体" w:eastAsia="宋体" w:cs="宋体"/>
                <w:sz w:val="24"/>
                <w:lang w:eastAsia="zh-CN"/>
              </w:rPr>
              <w:t>为保证售后服务质量，投标时，进口设备需提供厂家或总代理商授权证书以及售后服务承诺书、彩页资料，并加盖公章。</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2</w:t>
            </w:r>
            <w:r>
              <w:rPr>
                <w:rFonts w:hint="eastAsia" w:ascii="宋体" w:hAnsi="宋体" w:eastAsia="宋体" w:cs="宋体"/>
                <w:sz w:val="24"/>
                <w:lang w:val="en-US" w:eastAsia="zh-CN"/>
              </w:rPr>
              <w:t>.</w:t>
            </w:r>
            <w:r>
              <w:rPr>
                <w:rFonts w:hint="eastAsia" w:ascii="宋体" w:hAnsi="宋体" w:eastAsia="宋体" w:cs="宋体"/>
                <w:sz w:val="24"/>
                <w:lang w:eastAsia="zh-CN"/>
              </w:rPr>
              <w:t>总代理商或厂家提供现场免费安装、调试设备，进行操作试验，直至运行正常，并在现场为至少3名仪器操作人员提供免费的操作及维护培训。</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3</w:t>
            </w:r>
            <w:r>
              <w:rPr>
                <w:rFonts w:hint="eastAsia" w:ascii="宋体" w:hAnsi="宋体" w:eastAsia="宋体" w:cs="宋体"/>
                <w:sz w:val="24"/>
                <w:lang w:val="en-US" w:eastAsia="zh-CN"/>
              </w:rPr>
              <w:t>.</w:t>
            </w:r>
            <w:r>
              <w:rPr>
                <w:rFonts w:hint="eastAsia" w:ascii="宋体" w:hAnsi="宋体" w:eastAsia="宋体" w:cs="宋体"/>
                <w:sz w:val="24"/>
                <w:lang w:eastAsia="zh-CN"/>
              </w:rPr>
              <w:t>安装调试过程中产生的所有费用，包括且不限于环境改造、配件、试剂、耗材、人工等均由中标人承担，即交钥匙工程</w:t>
            </w:r>
            <w:r>
              <w:rPr>
                <w:rFonts w:hint="eastAsia" w:ascii="宋体" w:hAnsi="宋体" w:cs="宋体"/>
                <w:b/>
                <w:bCs/>
                <w:sz w:val="24"/>
                <w:lang w:eastAsia="zh-CN"/>
              </w:rPr>
              <w:t>（</w:t>
            </w:r>
            <w:r>
              <w:rPr>
                <w:rFonts w:hint="eastAsia" w:ascii="宋体" w:hAnsi="宋体" w:cs="宋体"/>
                <w:b/>
                <w:bCs/>
                <w:sz w:val="24"/>
                <w:lang w:val="en-US" w:eastAsia="zh-CN"/>
              </w:rPr>
              <w:t>投标人须在投标文件中提供能满足上述要求的承诺函</w:t>
            </w:r>
            <w:r>
              <w:rPr>
                <w:rFonts w:hint="eastAsia" w:ascii="宋体" w:hAnsi="宋体" w:cs="宋体"/>
                <w:b/>
                <w:bCs/>
                <w:sz w:val="24"/>
                <w:lang w:eastAsia="zh-CN"/>
              </w:rPr>
              <w:t>）</w:t>
            </w:r>
            <w:r>
              <w:rPr>
                <w:rFonts w:hint="eastAsia" w:ascii="宋体" w:hAnsi="宋体" w:eastAsia="宋体" w:cs="宋体"/>
                <w:sz w:val="24"/>
                <w:lang w:eastAsia="zh-CN"/>
              </w:rPr>
              <w:t>。</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4</w:t>
            </w:r>
            <w:r>
              <w:rPr>
                <w:rFonts w:hint="eastAsia" w:ascii="宋体" w:hAnsi="宋体" w:eastAsia="宋体" w:cs="宋体"/>
                <w:sz w:val="24"/>
                <w:lang w:val="en-US" w:eastAsia="zh-CN"/>
              </w:rPr>
              <w:t>.</w:t>
            </w:r>
            <w:r>
              <w:rPr>
                <w:rFonts w:hint="eastAsia" w:ascii="宋体" w:hAnsi="宋体" w:eastAsia="宋体" w:cs="宋体"/>
                <w:sz w:val="24"/>
                <w:lang w:eastAsia="zh-CN"/>
              </w:rPr>
              <w:t>仪器设备或随机软件需要配套计算机的，由中标人免费提供主流品牌主流配置计算机，除非特别注明的，配置需完全满足仪器设备或随机软件运行要求。</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5</w:t>
            </w:r>
            <w:r>
              <w:rPr>
                <w:rFonts w:hint="eastAsia" w:ascii="宋体" w:hAnsi="宋体" w:eastAsia="宋体" w:cs="宋体"/>
                <w:sz w:val="24"/>
                <w:lang w:val="en-US" w:eastAsia="zh-CN"/>
              </w:rPr>
              <w:t>.</w:t>
            </w:r>
            <w:r>
              <w:rPr>
                <w:rFonts w:hint="eastAsia" w:ascii="宋体" w:hAnsi="宋体" w:eastAsia="宋体" w:cs="宋体"/>
                <w:sz w:val="24"/>
                <w:lang w:eastAsia="zh-CN"/>
              </w:rPr>
              <w:t>除非特别注明的，仪器设备质保期为测试验收合格后至少1年；质保期内维修及更换配件均免费，质保期内维修或更换同一配件次数累计超过3次的或者质保期内维修或更换不同配件次数累计超过6次的，免费更换整机。</w:t>
            </w:r>
          </w:p>
          <w:p>
            <w:pPr>
              <w:widowControl/>
              <w:spacing w:line="360" w:lineRule="auto"/>
              <w:jc w:val="left"/>
              <w:textAlignment w:val="center"/>
              <w:rPr>
                <w:rFonts w:hint="eastAsia" w:ascii="宋体" w:hAnsi="宋体" w:eastAsia="宋体" w:cs="宋体"/>
                <w:sz w:val="24"/>
                <w:lang w:eastAsia="zh-CN"/>
              </w:rPr>
            </w:pPr>
            <w:r>
              <w:rPr>
                <w:rFonts w:hint="eastAsia" w:ascii="宋体" w:hAnsi="宋体" w:eastAsia="宋体" w:cs="宋体"/>
                <w:sz w:val="24"/>
                <w:lang w:eastAsia="zh-CN"/>
              </w:rPr>
              <w:t>6</w:t>
            </w:r>
            <w:r>
              <w:rPr>
                <w:rFonts w:hint="eastAsia" w:ascii="宋体" w:hAnsi="宋体" w:eastAsia="宋体" w:cs="宋体"/>
                <w:sz w:val="24"/>
                <w:lang w:val="en-US" w:eastAsia="zh-CN"/>
              </w:rPr>
              <w:t>.</w:t>
            </w:r>
            <w:r>
              <w:rPr>
                <w:rFonts w:hint="eastAsia" w:ascii="宋体" w:hAnsi="宋体" w:eastAsia="宋体" w:cs="宋体"/>
                <w:sz w:val="24"/>
                <w:lang w:eastAsia="zh-CN"/>
              </w:rPr>
              <w:t>中标人提供1次仪器搬迁服务，具体搬迁时间地点由用户指定且不受质保期限制，中标人须在接到用户通知后5个工作日内完成仪器搬迁，搬迁过程中产生的所有费用，包括且不限于环境改造、配件、试剂、耗材、人工等均由中标人承担，即交钥匙工程</w:t>
            </w:r>
            <w:r>
              <w:rPr>
                <w:rFonts w:hint="eastAsia" w:ascii="宋体" w:hAnsi="宋体" w:cs="宋体"/>
                <w:b/>
                <w:bCs/>
                <w:sz w:val="24"/>
                <w:lang w:eastAsia="zh-CN"/>
              </w:rPr>
              <w:t>（</w:t>
            </w:r>
            <w:r>
              <w:rPr>
                <w:rFonts w:hint="eastAsia" w:ascii="宋体" w:hAnsi="宋体" w:cs="宋体"/>
                <w:b/>
                <w:bCs/>
                <w:sz w:val="24"/>
                <w:lang w:val="en-US" w:eastAsia="zh-CN"/>
              </w:rPr>
              <w:t>投标人须在投标文件中提供能满足上述要求的承诺函</w:t>
            </w:r>
            <w:r>
              <w:rPr>
                <w:rFonts w:hint="eastAsia" w:ascii="宋体" w:hAnsi="宋体" w:cs="宋体"/>
                <w:b/>
                <w:bCs/>
                <w:sz w:val="24"/>
                <w:lang w:eastAsia="zh-CN"/>
              </w:rPr>
              <w:t>）</w:t>
            </w:r>
            <w:r>
              <w:rPr>
                <w:rFonts w:hint="eastAsia" w:ascii="宋体" w:hAnsi="宋体" w:eastAsia="宋体" w:cs="宋体"/>
                <w:sz w:val="24"/>
                <w:lang w:eastAsia="zh-CN"/>
              </w:rPr>
              <w:t>。</w:t>
            </w:r>
          </w:p>
        </w:tc>
        <w:tc>
          <w:tcPr>
            <w:tcW w:w="971" w:type="dxa"/>
            <w:tcBorders>
              <w:top w:val="single" w:color="000000" w:sz="4" w:space="0"/>
              <w:left w:val="single" w:color="auto" w:sz="4" w:space="0"/>
              <w:bottom w:val="single" w:color="000000" w:sz="4" w:space="0"/>
              <w:right w:val="single" w:color="000000" w:sz="4" w:space="0"/>
            </w:tcBorders>
            <w:vAlign w:val="center"/>
          </w:tcPr>
          <w:p>
            <w:pPr>
              <w:widowControl/>
              <w:spacing w:line="360" w:lineRule="auto"/>
              <w:jc w:val="center"/>
              <w:textAlignment w:val="center"/>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val="en-US" w:eastAsia="zh-CN"/>
              </w:rPr>
              <w:t>套</w:t>
            </w:r>
          </w:p>
        </w:tc>
      </w:tr>
    </w:tbl>
    <w:p>
      <w:pPr>
        <w:pStyle w:val="2"/>
        <w:spacing w:before="0" w:after="0" w:line="360" w:lineRule="auto"/>
        <w:ind w:firstLine="482" w:firstLineChars="200"/>
        <w:rPr>
          <w:rFonts w:ascii="宋体" w:hAnsi="宋体"/>
          <w:caps w:val="0"/>
          <w:kern w:val="0"/>
          <w:sz w:val="24"/>
        </w:rPr>
      </w:pPr>
      <w:r>
        <w:rPr>
          <w:rFonts w:hint="eastAsia" w:ascii="宋体" w:hAnsi="宋体"/>
          <w:caps w:val="0"/>
          <w:kern w:val="0"/>
          <w:sz w:val="24"/>
        </w:rPr>
        <w:t>注：</w:t>
      </w:r>
    </w:p>
    <w:p>
      <w:pPr>
        <w:pStyle w:val="2"/>
        <w:spacing w:before="0" w:after="0" w:line="360" w:lineRule="auto"/>
        <w:ind w:firstLine="482" w:firstLineChars="200"/>
        <w:rPr>
          <w:rFonts w:ascii="宋体" w:hAnsi="宋体"/>
          <w:caps w:val="0"/>
          <w:kern w:val="0"/>
          <w:sz w:val="24"/>
        </w:rPr>
      </w:pPr>
      <w:r>
        <w:rPr>
          <w:rFonts w:hint="eastAsia" w:ascii="宋体" w:hAnsi="宋体"/>
          <w:caps w:val="0"/>
          <w:kern w:val="0"/>
          <w:sz w:val="24"/>
        </w:rPr>
        <w:t>1.投标人须提供所投产品的彩页或产品说明书或厂家出具的技术支撑材料（须加盖厂商公章）或有资质的第三方检测机构出具的产品检测报告或官网截图并加盖投标人公章（须体现产品的技术参数）。</w:t>
      </w:r>
    </w:p>
    <w:p>
      <w:r>
        <w:rPr>
          <w:rFonts w:hint="eastAsia" w:ascii="宋体" w:hAnsi="宋体"/>
          <w:caps w:val="0"/>
          <w:kern w:val="0"/>
          <w:sz w:val="24"/>
        </w:rPr>
        <w:t>2.所投产品参数必须与供货产品实际指标完全一致，如果验收不通过投标人需承担相关责任和损失。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A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8E9FA4"/>
    <w:multiLevelType w:val="singleLevel"/>
    <w:tmpl w:val="9F8E9FA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xNDIzZmVjMWVkYjMzNjM3MWE2NDc1NjBiMDZkYzUifQ=="/>
  </w:docVars>
  <w:rsids>
    <w:rsidRoot w:val="00000000"/>
    <w:rsid w:val="1191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spacing w:before="340" w:after="330" w:line="578" w:lineRule="auto"/>
      <w:outlineLvl w:val="0"/>
    </w:pPr>
    <w:rPr>
      <w:b/>
      <w:kern w:val="44"/>
      <w:sz w:val="44"/>
      <w:szCs w:val="20"/>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b/>
      <w:bCs/>
      <w:caps/>
      <w:sz w:val="20"/>
      <w:szCs w:val="20"/>
    </w:rPr>
  </w:style>
  <w:style w:type="paragraph" w:styleId="4">
    <w:name w:val="Body Text"/>
    <w:basedOn w:val="1"/>
    <w:next w:val="1"/>
    <w:qFormat/>
    <w:uiPriority w:val="1"/>
    <w:pPr>
      <w:spacing w:after="120"/>
    </w:pPr>
    <w:rPr>
      <w:kern w:val="0"/>
      <w:sz w:val="24"/>
      <w:szCs w:val="20"/>
    </w:rPr>
  </w:style>
  <w:style w:type="character" w:customStyle="1" w:styleId="7">
    <w:name w:val="font11"/>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2023-08-14T03:18:59Z</dcterms:created>
  <dc:creator>Administrator</dc:creator>
  <cp:lastModifiedBy>离悸</cp:lastModifiedBy>
  <dcterms:modified xsi:type="dcterms:W3CDTF">2023-08-14T03:19:40Z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2D4A74E061FC40049CAD9C44783C5FF3_12</vt:lpwstr>
  </property>
</Properties>
</file>