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7"/>
        <w:jc w:val="center"/>
        <w:rPr>
          <w:rFonts w:hAnsi="宋体"/>
          <w:b/>
          <w:color w:val="000000" w:themeColor="text1"/>
          <w:sz w:val="84"/>
          <w:szCs w:val="84"/>
          <w:highlight w:val="none"/>
          <w14:textFill>
            <w14:solidFill>
              <w14:schemeClr w14:val="tx1"/>
            </w14:solidFill>
          </w14:textFill>
        </w:rPr>
      </w:pPr>
    </w:p>
    <w:p>
      <w:pPr>
        <w:pStyle w:val="47"/>
        <w:jc w:val="center"/>
        <w:rPr>
          <w:rFonts w:hAnsi="宋体"/>
          <w:b/>
          <w:color w:val="000000" w:themeColor="text1"/>
          <w:sz w:val="84"/>
          <w:szCs w:val="84"/>
          <w:highlight w:val="none"/>
          <w14:textFill>
            <w14:solidFill>
              <w14:schemeClr w14:val="tx1"/>
            </w14:solidFill>
          </w14:textFill>
        </w:rPr>
      </w:pPr>
      <w:r>
        <w:rPr>
          <w:rFonts w:hint="eastAsia" w:hAnsi="宋体"/>
          <w:b/>
          <w:color w:val="000000" w:themeColor="text1"/>
          <w:sz w:val="84"/>
          <w:szCs w:val="84"/>
          <w:highlight w:val="none"/>
          <w14:textFill>
            <w14:solidFill>
              <w14:schemeClr w14:val="tx1"/>
            </w14:solidFill>
          </w14:textFill>
        </w:rPr>
        <w:t>政府采购</w:t>
      </w:r>
    </w:p>
    <w:p>
      <w:pPr>
        <w:pStyle w:val="47"/>
        <w:jc w:val="center"/>
        <w:rPr>
          <w:rFonts w:hAnsi="宋体"/>
          <w:b/>
          <w:bCs/>
          <w:color w:val="000000" w:themeColor="text1"/>
          <w:sz w:val="84"/>
          <w:szCs w:val="84"/>
          <w:highlight w:val="none"/>
          <w14:textFill>
            <w14:solidFill>
              <w14:schemeClr w14:val="tx1"/>
            </w14:solidFill>
          </w14:textFill>
        </w:rPr>
      </w:pPr>
    </w:p>
    <w:p>
      <w:pPr>
        <w:pStyle w:val="47"/>
        <w:adjustRightInd w:val="0"/>
        <w:snapToGrid w:val="0"/>
        <w:spacing w:line="360" w:lineRule="auto"/>
        <w:jc w:val="center"/>
        <w:rPr>
          <w:rFonts w:hAnsi="宋体"/>
          <w:b/>
          <w:color w:val="000000" w:themeColor="text1"/>
          <w:sz w:val="84"/>
          <w:szCs w:val="84"/>
          <w:highlight w:val="none"/>
          <w14:textFill>
            <w14:solidFill>
              <w14:schemeClr w14:val="tx1"/>
            </w14:solidFill>
          </w14:textFill>
        </w:rPr>
      </w:pPr>
      <w:r>
        <w:rPr>
          <w:rFonts w:hint="eastAsia" w:hAnsi="宋体"/>
          <w:b/>
          <w:color w:val="000000" w:themeColor="text1"/>
          <w:sz w:val="84"/>
          <w:szCs w:val="84"/>
          <w:highlight w:val="none"/>
          <w14:textFill>
            <w14:solidFill>
              <w14:schemeClr w14:val="tx1"/>
            </w14:solidFill>
          </w14:textFill>
        </w:rPr>
        <w:t>竞争性磋商文件</w:t>
      </w:r>
    </w:p>
    <w:p>
      <w:pPr>
        <w:spacing w:line="360" w:lineRule="auto"/>
        <w:jc w:val="center"/>
        <w:rPr>
          <w:rFonts w:ascii="宋体" w:hAnsi="宋体"/>
          <w:color w:val="000000" w:themeColor="text1"/>
          <w:sz w:val="32"/>
          <w:szCs w:val="32"/>
          <w:highlight w:val="none"/>
          <w14:textFill>
            <w14:solidFill>
              <w14:schemeClr w14:val="tx1"/>
            </w14:solidFill>
          </w14:textFill>
        </w:rPr>
      </w:pPr>
    </w:p>
    <w:p>
      <w:pPr>
        <w:spacing w:line="360" w:lineRule="auto"/>
        <w:jc w:val="center"/>
        <w:rPr>
          <w:rFonts w:ascii="宋体" w:hAnsi="宋体"/>
          <w:color w:val="000000" w:themeColor="text1"/>
          <w:sz w:val="32"/>
          <w:szCs w:val="32"/>
          <w:highlight w:val="none"/>
          <w14:textFill>
            <w14:solidFill>
              <w14:schemeClr w14:val="tx1"/>
            </w14:solidFill>
          </w14:textFill>
        </w:rPr>
      </w:pPr>
    </w:p>
    <w:p>
      <w:pPr>
        <w:spacing w:line="360" w:lineRule="auto"/>
        <w:jc w:val="center"/>
        <w:rPr>
          <w:rFonts w:ascii="宋体" w:hAnsi="宋体"/>
          <w:color w:val="000000" w:themeColor="text1"/>
          <w:sz w:val="32"/>
          <w:szCs w:val="32"/>
          <w:highlight w:val="none"/>
          <w14:textFill>
            <w14:solidFill>
              <w14:schemeClr w14:val="tx1"/>
            </w14:solidFill>
          </w14:textFill>
        </w:rPr>
      </w:pPr>
    </w:p>
    <w:p>
      <w:pPr>
        <w:wordWrap w:val="0"/>
        <w:spacing w:line="360" w:lineRule="auto"/>
        <w:ind w:left="4164" w:leftChars="912" w:hanging="2249" w:hangingChars="700"/>
        <w:jc w:val="lef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采购项目名称：</w:t>
      </w:r>
      <w:r>
        <w:rPr>
          <w:rFonts w:hint="eastAsia"/>
          <w:b/>
          <w:color w:val="000000" w:themeColor="text1"/>
          <w:spacing w:val="-11"/>
          <w:sz w:val="32"/>
          <w:szCs w:val="32"/>
          <w:highlight w:val="none"/>
          <w14:textFill>
            <w14:solidFill>
              <w14:schemeClr w14:val="tx1"/>
            </w14:solidFill>
          </w14:textFill>
        </w:rPr>
        <w:t>中南大学湘雅二医院疑难病症诊治能力提升工程（心血管方向）业务用房改造标段七：心血管领域洁净手术室6-13间相关配套用房改造工程</w:t>
      </w:r>
    </w:p>
    <w:p>
      <w:pPr>
        <w:spacing w:line="360" w:lineRule="auto"/>
        <w:ind w:firstLine="1928" w:firstLineChars="600"/>
        <w:jc w:val="left"/>
        <w:rPr>
          <w:rFonts w:hAnsi="宋体"/>
          <w:b/>
          <w:color w:val="000000" w:themeColor="text1"/>
          <w:sz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采</w:t>
      </w:r>
      <w:r>
        <w:rPr>
          <w:rFonts w:ascii="宋体" w:hAnsi="宋体"/>
          <w:b/>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购</w:t>
      </w:r>
      <w:r>
        <w:rPr>
          <w:rFonts w:ascii="宋体" w:hAnsi="宋体"/>
          <w:b/>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人：</w:t>
      </w:r>
      <w:r>
        <w:rPr>
          <w:rFonts w:hint="eastAsia" w:hAnsi="宋体"/>
          <w:b/>
          <w:color w:val="000000" w:themeColor="text1"/>
          <w:sz w:val="32"/>
          <w:highlight w:val="none"/>
          <w14:textFill>
            <w14:solidFill>
              <w14:schemeClr w14:val="tx1"/>
            </w14:solidFill>
          </w14:textFill>
        </w:rPr>
        <w:t>中南大学湘雅二医院</w:t>
      </w:r>
      <w:r>
        <w:rPr>
          <w:rFonts w:hAnsi="宋体"/>
          <w:b/>
          <w:color w:val="000000" w:themeColor="text1"/>
          <w:sz w:val="32"/>
          <w:highlight w:val="none"/>
          <w14:textFill>
            <w14:solidFill>
              <w14:schemeClr w14:val="tx1"/>
            </w14:solidFill>
          </w14:textFill>
        </w:rPr>
        <w:t xml:space="preserve"> </w:t>
      </w:r>
    </w:p>
    <w:p>
      <w:pPr>
        <w:spacing w:line="360" w:lineRule="auto"/>
        <w:ind w:firstLine="1928" w:firstLineChars="600"/>
        <w:jc w:val="left"/>
        <w:rPr>
          <w:rFonts w:hAnsi="宋体"/>
          <w:b/>
          <w:color w:val="000000" w:themeColor="text1"/>
          <w:sz w:val="32"/>
          <w:highlight w:val="none"/>
          <w14:textFill>
            <w14:solidFill>
              <w14:schemeClr w14:val="tx1"/>
            </w14:solidFill>
          </w14:textFill>
        </w:rPr>
      </w:pPr>
      <w:r>
        <w:rPr>
          <w:rFonts w:hint="eastAsia" w:hAnsi="宋体"/>
          <w:b/>
          <w:color w:val="000000" w:themeColor="text1"/>
          <w:sz w:val="32"/>
          <w:highlight w:val="none"/>
          <w14:textFill>
            <w14:solidFill>
              <w14:schemeClr w14:val="tx1"/>
            </w14:solidFill>
          </w14:textFill>
        </w:rPr>
        <w:t>采购代理机构编号：HNZJC2022-GC(C2)-760</w:t>
      </w:r>
      <w:r>
        <w:rPr>
          <w:rFonts w:hAnsi="宋体"/>
          <w:b/>
          <w:color w:val="000000" w:themeColor="text1"/>
          <w:sz w:val="32"/>
          <w:highlight w:val="none"/>
          <w14:textFill>
            <w14:solidFill>
              <w14:schemeClr w14:val="tx1"/>
            </w14:solidFill>
          </w14:textFill>
        </w:rPr>
        <w:t xml:space="preserve"> </w:t>
      </w:r>
    </w:p>
    <w:p>
      <w:pPr>
        <w:spacing w:line="360" w:lineRule="auto"/>
        <w:ind w:firstLine="1928" w:firstLineChars="600"/>
        <w:jc w:val="lef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采购代理机构：中技建设咨询有限公司</w:t>
      </w:r>
    </w:p>
    <w:p>
      <w:pPr>
        <w:pStyle w:val="47"/>
        <w:adjustRightInd w:val="0"/>
        <w:snapToGrid w:val="0"/>
        <w:spacing w:line="360" w:lineRule="auto"/>
        <w:ind w:firstLine="944" w:firstLineChars="295"/>
        <w:rPr>
          <w:rFonts w:hAnsi="宋体"/>
          <w:color w:val="000000" w:themeColor="text1"/>
          <w:sz w:val="32"/>
          <w:szCs w:val="32"/>
          <w:highlight w:val="none"/>
          <w:u w:val="single"/>
          <w14:textFill>
            <w14:solidFill>
              <w14:schemeClr w14:val="tx1"/>
            </w14:solidFill>
          </w14:textFill>
        </w:rPr>
      </w:pPr>
    </w:p>
    <w:p>
      <w:pPr>
        <w:pStyle w:val="47"/>
        <w:adjustRightInd w:val="0"/>
        <w:snapToGrid w:val="0"/>
        <w:spacing w:line="360" w:lineRule="auto"/>
        <w:jc w:val="center"/>
        <w:rPr>
          <w:rFonts w:hAnsi="宋体"/>
          <w:b/>
          <w:color w:val="000000" w:themeColor="text1"/>
          <w:sz w:val="32"/>
          <w:highlight w:val="none"/>
          <w14:textFill>
            <w14:solidFill>
              <w14:schemeClr w14:val="tx1"/>
            </w14:solidFill>
          </w14:textFill>
        </w:rPr>
      </w:pPr>
    </w:p>
    <w:p>
      <w:pPr>
        <w:pStyle w:val="47"/>
        <w:adjustRightInd w:val="0"/>
        <w:snapToGrid w:val="0"/>
        <w:spacing w:line="360" w:lineRule="auto"/>
        <w:jc w:val="center"/>
        <w:rPr>
          <w:rFonts w:hAnsi="宋体"/>
          <w:b/>
          <w:color w:val="000000" w:themeColor="text1"/>
          <w:sz w:val="32"/>
          <w:highlight w:val="none"/>
          <w14:textFill>
            <w14:solidFill>
              <w14:schemeClr w14:val="tx1"/>
            </w14:solidFill>
          </w14:textFill>
        </w:rPr>
      </w:pPr>
    </w:p>
    <w:p>
      <w:pPr>
        <w:pStyle w:val="47"/>
        <w:adjustRightInd w:val="0"/>
        <w:snapToGrid w:val="0"/>
        <w:spacing w:line="360" w:lineRule="auto"/>
        <w:jc w:val="center"/>
        <w:rPr>
          <w:rFonts w:hAnsi="宋体"/>
          <w:b/>
          <w:color w:val="000000" w:themeColor="text1"/>
          <w:sz w:val="32"/>
          <w:highlight w:val="none"/>
          <w14:textFill>
            <w14:solidFill>
              <w14:schemeClr w14:val="tx1"/>
            </w14:solidFill>
          </w14:textFill>
        </w:rPr>
      </w:pPr>
    </w:p>
    <w:p>
      <w:pPr>
        <w:pStyle w:val="47"/>
        <w:adjustRightInd w:val="0"/>
        <w:snapToGrid w:val="0"/>
        <w:spacing w:line="240" w:lineRule="exact"/>
        <w:jc w:val="center"/>
        <w:rPr>
          <w:rFonts w:hAnsi="宋体"/>
          <w:b/>
          <w:color w:val="000000" w:themeColor="text1"/>
          <w:sz w:val="32"/>
          <w:highlight w:val="none"/>
          <w14:textFill>
            <w14:solidFill>
              <w14:schemeClr w14:val="tx1"/>
            </w14:solidFill>
          </w14:textFill>
        </w:rPr>
      </w:pP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2022年11月</w:t>
      </w:r>
    </w:p>
    <w:p>
      <w:pPr>
        <w:rPr>
          <w:rFonts w:ascii="宋体" w:hAnsi="宋体" w:cs="宋体"/>
          <w:color w:val="000000" w:themeColor="text1"/>
          <w:highlight w:val="none"/>
          <w14:textFill>
            <w14:solidFill>
              <w14:schemeClr w14:val="tx1"/>
            </w14:solidFill>
          </w14:textFill>
        </w:rPr>
        <w:sectPr>
          <w:headerReference r:id="rId4" w:type="first"/>
          <w:footerReference r:id="rId5" w:type="first"/>
          <w:headerReference r:id="rId3" w:type="default"/>
          <w:pgSz w:w="11906" w:h="16838"/>
          <w:pgMar w:top="1021" w:right="1474" w:bottom="1191" w:left="1474" w:header="510" w:footer="624" w:gutter="0"/>
          <w:cols w:space="720" w:num="1"/>
          <w:rtlGutter w:val="1"/>
          <w:docGrid w:linePitch="312" w:charSpace="0"/>
        </w:sectPr>
      </w:pPr>
    </w:p>
    <w:p>
      <w:pPr>
        <w:pStyle w:val="47"/>
        <w:adjustRightInd w:val="0"/>
        <w:snapToGrid w:val="0"/>
        <w:jc w:val="center"/>
        <w:rPr>
          <w:rFonts w:hAnsi="宋体"/>
          <w:color w:val="000000" w:themeColor="text1"/>
          <w:spacing w:val="160"/>
          <w:sz w:val="36"/>
          <w:szCs w:val="36"/>
          <w:highlight w:val="none"/>
          <w14:textFill>
            <w14:solidFill>
              <w14:schemeClr w14:val="tx1"/>
            </w14:solidFill>
          </w14:textFill>
        </w:rPr>
      </w:pPr>
    </w:p>
    <w:p>
      <w:pPr>
        <w:pStyle w:val="47"/>
        <w:adjustRightInd w:val="0"/>
        <w:snapToGrid w:val="0"/>
        <w:spacing w:line="360" w:lineRule="auto"/>
        <w:jc w:val="center"/>
        <w:rPr>
          <w:rFonts w:hAnsi="宋体"/>
          <w:color w:val="000000" w:themeColor="text1"/>
          <w:spacing w:val="160"/>
          <w:sz w:val="36"/>
          <w:szCs w:val="36"/>
          <w:highlight w:val="none"/>
          <w14:textFill>
            <w14:solidFill>
              <w14:schemeClr w14:val="tx1"/>
            </w14:solidFill>
          </w14:textFill>
        </w:rPr>
      </w:pPr>
      <w:r>
        <w:rPr>
          <w:rFonts w:hint="eastAsia" w:hAnsi="宋体"/>
          <w:color w:val="000000" w:themeColor="text1"/>
          <w:spacing w:val="160"/>
          <w:sz w:val="36"/>
          <w:szCs w:val="36"/>
          <w:highlight w:val="none"/>
          <w14:textFill>
            <w14:solidFill>
              <w14:schemeClr w14:val="tx1"/>
            </w14:solidFill>
          </w14:textFill>
        </w:rPr>
        <w:t>目录</w:t>
      </w:r>
    </w:p>
    <w:p>
      <w:pPr>
        <w:pStyle w:val="47"/>
        <w:adjustRightInd w:val="0"/>
        <w:snapToGrid w:val="0"/>
        <w:spacing w:line="360" w:lineRule="auto"/>
        <w:ind w:firstLine="2549" w:firstLineChars="1058"/>
        <w:rPr>
          <w:rFonts w:hAnsi="宋体"/>
          <w:b/>
          <w:color w:val="000000" w:themeColor="text1"/>
          <w:sz w:val="24"/>
          <w:szCs w:val="24"/>
          <w:highlight w:val="none"/>
          <w14:textFill>
            <w14:solidFill>
              <w14:schemeClr w14:val="tx1"/>
            </w14:solidFill>
          </w14:textFill>
        </w:rPr>
      </w:pPr>
    </w:p>
    <w:p>
      <w:pPr>
        <w:pStyle w:val="47"/>
        <w:adjustRightInd w:val="0"/>
        <w:snapToGrid w:val="0"/>
        <w:spacing w:line="360" w:lineRule="auto"/>
        <w:ind w:firstLine="1048" w:firstLineChars="435"/>
        <w:jc w:val="lef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第一章  磋商邀请</w:t>
      </w:r>
    </w:p>
    <w:p>
      <w:pPr>
        <w:pStyle w:val="47"/>
        <w:adjustRightInd w:val="0"/>
        <w:snapToGrid w:val="0"/>
        <w:spacing w:line="360" w:lineRule="auto"/>
        <w:ind w:firstLine="1048" w:firstLineChars="435"/>
        <w:jc w:val="lef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第二章  磋商须知</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磋商须知前附表</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磋商须知正文</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一、说明</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二、磋商文件</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三、响应文件</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四、响应文件的递交</w:t>
      </w:r>
    </w:p>
    <w:p>
      <w:pPr>
        <w:tabs>
          <w:tab w:val="left" w:pos="1440"/>
        </w:tabs>
        <w:adjustRightInd w:val="0"/>
        <w:snapToGrid w:val="0"/>
        <w:spacing w:line="360" w:lineRule="auto"/>
        <w:ind w:firstLine="1543" w:firstLineChars="735"/>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五、</w:t>
      </w:r>
      <w:r>
        <w:rPr>
          <w:rFonts w:hint="eastAsia" w:ascii="宋体" w:hAnsi="宋体"/>
          <w:color w:val="000000" w:themeColor="text1"/>
          <w:szCs w:val="21"/>
          <w:highlight w:val="none"/>
          <w14:textFill>
            <w14:solidFill>
              <w14:schemeClr w14:val="tx1"/>
            </w14:solidFill>
          </w14:textFill>
        </w:rPr>
        <w:t>响应文件</w:t>
      </w:r>
      <w:r>
        <w:rPr>
          <w:rFonts w:hint="eastAsia" w:ascii="宋体" w:hAnsi="宋体"/>
          <w:bCs/>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磋商与评审</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六、成交结果信息公布与授予合同</w:t>
      </w:r>
    </w:p>
    <w:p>
      <w:pPr>
        <w:tabs>
          <w:tab w:val="left" w:pos="1440"/>
        </w:tabs>
        <w:adjustRightInd w:val="0"/>
        <w:snapToGrid w:val="0"/>
        <w:spacing w:line="360" w:lineRule="auto"/>
        <w:ind w:firstLine="1543" w:firstLineChars="735"/>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七、其他规定</w:t>
      </w:r>
    </w:p>
    <w:p>
      <w:pPr>
        <w:adjustRightInd w:val="0"/>
        <w:snapToGrid w:val="0"/>
        <w:spacing w:line="360" w:lineRule="auto"/>
        <w:ind w:firstLine="1048" w:firstLineChars="435"/>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第三章  政府采购合同格式</w:t>
      </w:r>
    </w:p>
    <w:p>
      <w:pPr>
        <w:adjustRightInd w:val="0"/>
        <w:snapToGrid w:val="0"/>
        <w:spacing w:line="360" w:lineRule="auto"/>
        <w:ind w:firstLine="1048" w:firstLineChars="435"/>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第四章  采购需求</w:t>
      </w:r>
    </w:p>
    <w:p>
      <w:pPr>
        <w:pStyle w:val="47"/>
        <w:adjustRightInd w:val="0"/>
        <w:snapToGrid w:val="0"/>
        <w:spacing w:line="360" w:lineRule="auto"/>
        <w:ind w:firstLine="1048" w:firstLineChars="435"/>
        <w:jc w:val="lef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第五章  </w:t>
      </w:r>
      <w:r>
        <w:rPr>
          <w:rFonts w:hint="eastAsia" w:hAnsi="宋体"/>
          <w:b/>
          <w:color w:val="000000" w:themeColor="text1"/>
          <w:sz w:val="24"/>
          <w:highlight w:val="none"/>
          <w14:textFill>
            <w14:solidFill>
              <w14:schemeClr w14:val="tx1"/>
            </w14:solidFill>
          </w14:textFill>
        </w:rPr>
        <w:t>响应文件组成</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6" w:type="default"/>
          <w:footerReference r:id="rId7" w:type="default"/>
          <w:pgSz w:w="11906" w:h="16838"/>
          <w:pgMar w:top="1021" w:right="1474" w:bottom="1191" w:left="1474" w:header="510" w:footer="624" w:gutter="0"/>
          <w:pgNumType w:fmt="upperRoman" w:start="1"/>
          <w:cols w:space="720" w:num="1"/>
          <w:rtlGutter w:val="1"/>
          <w:docGrid w:linePitch="312" w:charSpace="0"/>
        </w:sectPr>
      </w:pPr>
    </w:p>
    <w:p>
      <w:pPr>
        <w:numPr>
          <w:ilvl w:val="0"/>
          <w:numId w:val="1"/>
        </w:numPr>
        <w:tabs>
          <w:tab w:val="left" w:pos="0"/>
        </w:tabs>
        <w:spacing w:before="156" w:beforeLines="50" w:after="312" w:afterLines="100" w:line="440" w:lineRule="atLeast"/>
        <w:jc w:val="center"/>
        <w:outlineLvl w:val="0"/>
        <w:rPr>
          <w:rFonts w:ascii="宋体" w:hAnsi="宋体" w:cs="宋体"/>
          <w:b/>
          <w:color w:val="000000" w:themeColor="text1"/>
          <w:sz w:val="32"/>
          <w:szCs w:val="32"/>
          <w:highlight w:val="none"/>
          <w14:textFill>
            <w14:solidFill>
              <w14:schemeClr w14:val="tx1"/>
            </w14:solidFill>
          </w14:textFill>
        </w:rPr>
      </w:pPr>
      <w:bookmarkStart w:id="0" w:name="_Toc42325154"/>
      <w:r>
        <w:rPr>
          <w:rFonts w:ascii="宋体" w:hAnsi="宋体" w:cs="宋体"/>
          <w:b/>
          <w:color w:val="000000" w:themeColor="text1"/>
          <w:sz w:val="32"/>
          <w:szCs w:val="32"/>
          <w:highlight w:val="none"/>
          <w14:textFill>
            <w14:solidFill>
              <w14:schemeClr w14:val="tx1"/>
            </w14:solidFill>
          </w14:textFill>
        </w:rPr>
        <w:t xml:space="preserve"> </w:t>
      </w:r>
      <w:bookmarkStart w:id="1" w:name="_Toc7749"/>
      <w:r>
        <w:rPr>
          <w:rFonts w:hint="eastAsia" w:ascii="宋体" w:hAnsi="宋体" w:cs="宋体"/>
          <w:b/>
          <w:color w:val="000000" w:themeColor="text1"/>
          <w:sz w:val="32"/>
          <w:szCs w:val="32"/>
          <w:highlight w:val="none"/>
          <w14:textFill>
            <w14:solidFill>
              <w14:schemeClr w14:val="tx1"/>
            </w14:solidFill>
          </w14:textFill>
        </w:rPr>
        <w:t>磋商邀请</w:t>
      </w:r>
      <w:bookmarkEnd w:id="0"/>
      <w:bookmarkEnd w:id="1"/>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中技建设咨询有限公司</w:t>
      </w:r>
      <w:r>
        <w:rPr>
          <w:rFonts w:hint="eastAsia" w:ascii="宋体" w:hAnsi="宋体" w:cs="宋体"/>
          <w:color w:val="000000" w:themeColor="text1"/>
          <w:szCs w:val="21"/>
          <w:highlight w:val="none"/>
          <w14:textFill>
            <w14:solidFill>
              <w14:schemeClr w14:val="tx1"/>
            </w14:solidFill>
          </w14:textFill>
        </w:rPr>
        <w:t>受</w:t>
      </w:r>
      <w:r>
        <w:rPr>
          <w:rFonts w:hint="eastAsia" w:ascii="宋体" w:hAnsi="宋体" w:cs="宋体"/>
          <w:color w:val="000000" w:themeColor="text1"/>
          <w:szCs w:val="21"/>
          <w:highlight w:val="none"/>
          <w:u w:val="single"/>
          <w14:textFill>
            <w14:solidFill>
              <w14:schemeClr w14:val="tx1"/>
            </w14:solidFill>
          </w14:textFill>
        </w:rPr>
        <w:t>中南大学湘雅二医院</w:t>
      </w:r>
      <w:r>
        <w:rPr>
          <w:rFonts w:hint="eastAsia" w:ascii="宋体" w:hAnsi="宋体" w:cs="宋体"/>
          <w:color w:val="000000" w:themeColor="text1"/>
          <w:szCs w:val="21"/>
          <w:highlight w:val="none"/>
          <w14:textFill>
            <w14:solidFill>
              <w14:schemeClr w14:val="tx1"/>
            </w14:solidFill>
          </w14:textFill>
        </w:rPr>
        <w:t>的委托，对</w:t>
      </w:r>
      <w:r>
        <w:rPr>
          <w:rFonts w:hint="eastAsia" w:ascii="宋体" w:hAnsi="宋体" w:cs="宋体"/>
          <w:color w:val="000000" w:themeColor="text1"/>
          <w:szCs w:val="21"/>
          <w:highlight w:val="none"/>
          <w:u w:val="single"/>
          <w14:textFill>
            <w14:solidFill>
              <w14:schemeClr w14:val="tx1"/>
            </w14:solidFill>
          </w14:textFill>
        </w:rPr>
        <w:t>中南大学湘雅二医院疑难病症诊治能力提升工程（心血管方向）业务用房改造标段七：心血管领域洁净手术室6-13间相关配套用房改造工程</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进行竞争性磋商采购，现采用</w:t>
      </w:r>
      <w:r>
        <w:rPr>
          <w:rFonts w:hint="eastAsia" w:ascii="宋体" w:hAnsi="宋体" w:cs="宋体"/>
          <w:color w:val="000000" w:themeColor="text1"/>
          <w:szCs w:val="21"/>
          <w:highlight w:val="none"/>
          <w:u w:val="single"/>
          <w14:textFill>
            <w14:solidFill>
              <w14:schemeClr w14:val="tx1"/>
            </w14:solidFill>
          </w14:textFill>
        </w:rPr>
        <w:t>网上公告征集的</w:t>
      </w:r>
      <w:r>
        <w:rPr>
          <w:rFonts w:hint="eastAsia" w:ascii="宋体" w:hAnsi="宋体" w:cs="宋体"/>
          <w:color w:val="000000" w:themeColor="text1"/>
          <w:szCs w:val="21"/>
          <w:highlight w:val="none"/>
          <w14:textFill>
            <w14:solidFill>
              <w14:schemeClr w14:val="tx1"/>
            </w14:solidFill>
          </w14:textFill>
        </w:rPr>
        <w:t>方式，接受符合资格条件的供应商参与竞争性磋商采购活动。</w:t>
      </w:r>
    </w:p>
    <w:p>
      <w:pPr>
        <w:adjustRightInd w:val="0"/>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一、采购项目基本概况</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1、采购项目名称：</w:t>
      </w:r>
      <w:r>
        <w:rPr>
          <w:rFonts w:hint="eastAsia" w:ascii="宋体" w:hAnsi="宋体" w:cs="宋体"/>
          <w:color w:val="000000" w:themeColor="text1"/>
          <w:szCs w:val="21"/>
          <w:highlight w:val="none"/>
          <w14:textFill>
            <w14:solidFill>
              <w14:schemeClr w14:val="tx1"/>
            </w14:solidFill>
          </w14:textFill>
        </w:rPr>
        <w:t>中南大学湘雅二医院疑难病症诊治能力提升工程（心血管方向）业务用房改造标段七：心血管领域洁净手术室6-13间相关配套用房改造工程</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2、委托代理编号： </w:t>
      </w:r>
      <w:r>
        <w:rPr>
          <w:rFonts w:hint="eastAsia" w:ascii="宋体" w:hAnsi="宋体" w:cs="宋体"/>
          <w:color w:val="000000" w:themeColor="text1"/>
          <w:szCs w:val="21"/>
          <w:highlight w:val="none"/>
          <w14:textFill>
            <w14:solidFill>
              <w14:schemeClr w14:val="tx1"/>
            </w14:solidFill>
          </w14:textFill>
        </w:rPr>
        <w:t>HNZJC2022-GC(C2)-760</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3、计划工期：</w:t>
      </w:r>
      <w:r>
        <w:rPr>
          <w:rFonts w:hint="eastAsia" w:ascii="宋体" w:hAnsi="宋体" w:cs="宋体"/>
          <w:color w:val="000000" w:themeColor="text1"/>
          <w:szCs w:val="21"/>
          <w:highlight w:val="none"/>
          <w:u w:val="single"/>
          <w14:textFill>
            <w14:solidFill>
              <w14:schemeClr w14:val="tx1"/>
            </w14:solidFill>
          </w14:textFill>
        </w:rPr>
        <w:t>120</w:t>
      </w:r>
      <w:r>
        <w:rPr>
          <w:rFonts w:hint="eastAsia" w:ascii="宋体" w:hAnsi="宋体" w:cs="宋体"/>
          <w:color w:val="000000" w:themeColor="text1"/>
          <w:szCs w:val="21"/>
          <w:highlight w:val="none"/>
          <w14:textFill>
            <w14:solidFill>
              <w14:schemeClr w14:val="tx1"/>
            </w14:solidFill>
          </w14:textFill>
        </w:rPr>
        <w:t>日历天（不包括施工过程中手术间腾挪，搬迁，清空等间歇时间）</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4、采购预算：</w:t>
      </w:r>
      <w:r>
        <w:rPr>
          <w:rFonts w:ascii="宋体" w:hAnsi="宋体" w:cs="宋体"/>
          <w:color w:val="000000" w:themeColor="text1"/>
          <w:szCs w:val="21"/>
          <w:highlight w:val="none"/>
          <w14:textFill>
            <w14:solidFill>
              <w14:schemeClr w14:val="tx1"/>
            </w14:solidFill>
          </w14:textFill>
        </w:rPr>
        <w:t>11908236.79</w:t>
      </w:r>
      <w:r>
        <w:rPr>
          <w:rFonts w:hint="eastAsia" w:ascii="宋体" w:hAnsi="宋体" w:cs="宋体"/>
          <w:color w:val="000000" w:themeColor="text1"/>
          <w:szCs w:val="21"/>
          <w:highlight w:val="none"/>
          <w14:textFill>
            <w14:solidFill>
              <w14:schemeClr w14:val="tx1"/>
            </w14:solidFill>
          </w14:textFill>
        </w:rPr>
        <w:t>元</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5、招标范围：中南大学湘雅二医院疑难病症诊治能力提升工程（心血管方向）业务用房改造标段七：心血管领域洁净手术室6-13间相关配套用房改造工程，具体以施工图及工程量清单为准。</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6、工程质量标准：按《医院洁净手术部建筑技术规范》G</w:t>
      </w:r>
      <w:r>
        <w:rPr>
          <w:rFonts w:ascii="宋体" w:hAnsi="宋体" w:cs="宋体"/>
          <w:color w:val="000000" w:themeColor="text1"/>
          <w:szCs w:val="21"/>
          <w:highlight w:val="none"/>
          <w14:textFill>
            <w14:solidFill>
              <w14:schemeClr w14:val="tx1"/>
            </w14:solidFill>
          </w14:textFill>
        </w:rPr>
        <w:t>B</w:t>
      </w:r>
      <w:r>
        <w:rPr>
          <w:rFonts w:hint="eastAsia" w:ascii="宋体" w:hAnsi="宋体" w:cs="宋体"/>
          <w:color w:val="000000" w:themeColor="text1"/>
          <w:szCs w:val="21"/>
          <w:highlight w:val="none"/>
          <w14:textFill>
            <w14:solidFill>
              <w14:schemeClr w14:val="tx1"/>
            </w14:solidFill>
          </w14:textFill>
        </w:rPr>
        <w:t>50333-2013、《洁净室施工及验收规范》GB50591-2010及《工程施工质量验收规范》等要求，验收合格。</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7、采购方式：竞争性磋商</w:t>
      </w:r>
    </w:p>
    <w:p>
      <w:pPr>
        <w:adjustRightInd w:val="0"/>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二、供应商资格条件：</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1、供应商基本资格条件：</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符合《中华人民共和国政府采购法》第二十二条规定的供应商条件。</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2、供应商特定资格条件：</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具有独立法人资格并依法取得企业营业执照，营业执照处于有效期；湖南省外企业须按照湘建建【2015】190号文件要求办理省外入湘企业基本情况登记（以“湖南省住房和城乡建设网”查询为准）或具有入湘施工登记证（处于有效期内）；</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须具备建筑装修装饰工程专业承包贰级及以上（或建筑装饰装修工程设计与施工贰级及以上资质）、建筑机电安装工程专业承包贰级及以上（或机电工程施工总承包叁级及以上）、电子与智能化工程专业承包贰级及以上资质，安全生产许可证在有效期内。</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项目负责人具有机电工程专业贰级及以上注册建造师资格及B类安全生产考核合格证。（提供资质证书复印件并加盖公章），项目岗位人员配备按湘建建（2020）208号文规定不少于4人，其中项目负责人1人，项目技术负责人1人，施工员不少于1人，专职安全员不少于1人，质量员不少于1人（施工员可由技术负责人兼任）；</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（4）供应商须具有医疗器械经营企业许可证或医疗器械经营备案凭证； </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（5）供应商近三年有独立承接过一个洁净手术室工程项目，需提供竣工验收证明（时间以竣工验收证明中的建设单位签字时间为准）、合同（或中标通知书）；</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（6）单位负责人为同一人或者存在直接控股、管理关系的不同供应商，不得参加本项目同一合同项下的政府采购活动；</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（7）为本采购项目提供整体设计、规范编制或者项目管理、监理、检测等服务的，不得再参加本项目的其他招标采购活动。</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列入失信被执行人、重大税收违法案件当事人名单，列入政府采购严重违法失信行为记录名单的，拒绝其参与政府采购活动(供应商在参加政府采购活动前3年内因违法经营被禁止在一定期限内参加政府采购活动，期限届满的除外)。采购人通过信用中国网站（www.creditchina.gov.cn）和中国政府采购网（www.ccgp.gov.cn）查询供应商是否存在不良信用记录。</w:t>
      </w:r>
    </w:p>
    <w:p>
      <w:pPr>
        <w:adjustRightInd w:val="0"/>
        <w:snapToGrid w:val="0"/>
        <w:spacing w:line="360" w:lineRule="auto"/>
        <w:ind w:firstLine="525" w:firstLineChars="25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3、本次磋商不接受为联合体形式的供应商。</w:t>
      </w:r>
    </w:p>
    <w:p>
      <w:pPr>
        <w:adjustRightInd w:val="0"/>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三、获取磋商文件的时间、地点、方式及磋商文件售价</w:t>
      </w:r>
    </w:p>
    <w:p>
      <w:pPr>
        <w:tabs>
          <w:tab w:val="left" w:pos="360"/>
        </w:tabs>
        <w:adjustRightInd w:val="0"/>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1、凡有意参加磋商采购活动的，请于</w:t>
      </w:r>
      <w:r>
        <w:rPr>
          <w:rFonts w:ascii="宋体" w:hAnsi="宋体" w:cs="宋体"/>
          <w:color w:val="000000" w:themeColor="text1"/>
          <w:szCs w:val="21"/>
          <w:highlight w:val="none"/>
          <w:u w:val="single"/>
          <w14:textFill>
            <w14:solidFill>
              <w14:schemeClr w14:val="tx1"/>
            </w14:solidFill>
          </w14:textFill>
        </w:rPr>
        <w:t>2022年</w:t>
      </w:r>
      <w:r>
        <w:rPr>
          <w:rFonts w:hint="eastAsia" w:ascii="宋体" w:hAnsi="宋体" w:cs="宋体"/>
          <w:color w:val="000000" w:themeColor="text1"/>
          <w:szCs w:val="21"/>
          <w:highlight w:val="none"/>
          <w:u w:val="single"/>
          <w:lang w:val="en-US" w:eastAsia="zh-CN"/>
          <w14:textFill>
            <w14:solidFill>
              <w14:schemeClr w14:val="tx1"/>
            </w14:solidFill>
          </w14:textFill>
        </w:rPr>
        <w:t>11</w:t>
      </w:r>
      <w:r>
        <w:rPr>
          <w:rFonts w:ascii="宋体" w:hAnsi="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15</w:t>
      </w:r>
      <w:r>
        <w:rPr>
          <w:rFonts w:hint="eastAsia" w:ascii="宋体" w:hAnsi="宋体" w:cs="宋体"/>
          <w:color w:val="000000" w:themeColor="text1"/>
          <w:szCs w:val="21"/>
          <w:highlight w:val="none"/>
          <w:u w:val="single"/>
          <w14:textFill>
            <w14:solidFill>
              <w14:schemeClr w14:val="tx1"/>
            </w14:solidFill>
          </w14:textFill>
        </w:rPr>
        <w:t>日</w:t>
      </w:r>
      <w:r>
        <w:rPr>
          <w:rFonts w:hint="eastAsia" w:ascii="宋体" w:hAnsi="宋体" w:cs="宋体"/>
          <w:color w:val="000000" w:themeColor="text1"/>
          <w:szCs w:val="21"/>
          <w:highlight w:val="none"/>
          <w14:textFill>
            <w14:solidFill>
              <w14:schemeClr w14:val="tx1"/>
            </w14:solidFill>
          </w14:textFill>
        </w:rPr>
        <w:t>起至</w:t>
      </w:r>
      <w:r>
        <w:rPr>
          <w:rFonts w:ascii="宋体" w:hAnsi="宋体" w:cs="宋体"/>
          <w:color w:val="000000" w:themeColor="text1"/>
          <w:szCs w:val="21"/>
          <w:highlight w:val="none"/>
          <w:u w:val="single"/>
          <w14:textFill>
            <w14:solidFill>
              <w14:schemeClr w14:val="tx1"/>
            </w14:solidFill>
          </w14:textFill>
        </w:rPr>
        <w:t>2022年</w:t>
      </w:r>
      <w:r>
        <w:rPr>
          <w:rFonts w:hint="eastAsia" w:ascii="宋体" w:hAnsi="宋体" w:cs="宋体"/>
          <w:color w:val="000000" w:themeColor="text1"/>
          <w:szCs w:val="21"/>
          <w:highlight w:val="none"/>
          <w:u w:val="single"/>
          <w:lang w:val="en-US" w:eastAsia="zh-CN"/>
          <w14:textFill>
            <w14:solidFill>
              <w14:schemeClr w14:val="tx1"/>
            </w14:solidFill>
          </w14:textFill>
        </w:rPr>
        <w:t>11</w:t>
      </w:r>
      <w:r>
        <w:rPr>
          <w:rFonts w:ascii="宋体" w:hAnsi="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22</w:t>
      </w:r>
      <w:r>
        <w:rPr>
          <w:rFonts w:hint="eastAsia" w:ascii="宋体" w:hAnsi="宋体" w:cs="宋体"/>
          <w:color w:val="000000" w:themeColor="text1"/>
          <w:szCs w:val="21"/>
          <w:highlight w:val="none"/>
          <w:u w:val="single"/>
          <w14:textFill>
            <w14:solidFill>
              <w14:schemeClr w14:val="tx1"/>
            </w14:solidFill>
          </w14:textFill>
        </w:rPr>
        <w:t>日</w:t>
      </w:r>
      <w:r>
        <w:rPr>
          <w:rFonts w:ascii="宋体" w:hAnsi="宋体" w:cs="宋体"/>
          <w:color w:val="000000" w:themeColor="text1"/>
          <w:szCs w:val="21"/>
          <w:highlight w:val="none"/>
          <w14:textFill>
            <w14:solidFill>
              <w14:schemeClr w14:val="tx1"/>
            </w14:solidFill>
          </w14:textFill>
        </w:rPr>
        <w:t>(节假日除外)，每日上午</w:t>
      </w:r>
      <w:r>
        <w:rPr>
          <w:rFonts w:ascii="宋体" w:hAnsi="宋体" w:cs="宋体"/>
          <w:color w:val="000000" w:themeColor="text1"/>
          <w:szCs w:val="21"/>
          <w:highlight w:val="none"/>
          <w:u w:val="single"/>
          <w14:textFill>
            <w14:solidFill>
              <w14:schemeClr w14:val="tx1"/>
            </w14:solidFill>
          </w14:textFill>
        </w:rPr>
        <w:t>8：30</w:t>
      </w:r>
      <w:r>
        <w:rPr>
          <w:rFonts w:hint="eastAsia" w:ascii="宋体" w:hAnsi="宋体" w:cs="宋体"/>
          <w:color w:val="000000" w:themeColor="text1"/>
          <w:szCs w:val="21"/>
          <w:highlight w:val="none"/>
          <w14:textFill>
            <w14:solidFill>
              <w14:schemeClr w14:val="tx1"/>
            </w14:solidFill>
          </w14:textFill>
        </w:rPr>
        <w:t>至</w:t>
      </w:r>
      <w:r>
        <w:rPr>
          <w:rFonts w:ascii="宋体" w:hAnsi="宋体" w:cs="宋体"/>
          <w:color w:val="000000" w:themeColor="text1"/>
          <w:szCs w:val="21"/>
          <w:highlight w:val="none"/>
          <w:u w:val="single"/>
          <w14:textFill>
            <w14:solidFill>
              <w14:schemeClr w14:val="tx1"/>
            </w14:solidFill>
          </w14:textFill>
        </w:rPr>
        <w:t>11：30</w:t>
      </w:r>
      <w:r>
        <w:rPr>
          <w:rFonts w:hint="eastAsia" w:ascii="宋体" w:hAnsi="宋体" w:cs="宋体"/>
          <w:color w:val="000000" w:themeColor="text1"/>
          <w:szCs w:val="21"/>
          <w:highlight w:val="none"/>
          <w14:textFill>
            <w14:solidFill>
              <w14:schemeClr w14:val="tx1"/>
            </w14:solidFill>
          </w14:textFill>
        </w:rPr>
        <w:t>、下午</w:t>
      </w:r>
      <w:r>
        <w:rPr>
          <w:rFonts w:ascii="宋体" w:hAnsi="宋体" w:cs="宋体"/>
          <w:color w:val="000000" w:themeColor="text1"/>
          <w:szCs w:val="21"/>
          <w:highlight w:val="none"/>
          <w:u w:val="single"/>
          <w14:textFill>
            <w14:solidFill>
              <w14:schemeClr w14:val="tx1"/>
            </w14:solidFill>
          </w14:textFill>
        </w:rPr>
        <w:t>14：00</w:t>
      </w:r>
      <w:r>
        <w:rPr>
          <w:rFonts w:hint="eastAsia" w:ascii="宋体" w:hAnsi="宋体" w:cs="宋体"/>
          <w:color w:val="000000" w:themeColor="text1"/>
          <w:szCs w:val="21"/>
          <w:highlight w:val="none"/>
          <w14:textFill>
            <w14:solidFill>
              <w14:schemeClr w14:val="tx1"/>
            </w14:solidFill>
          </w14:textFill>
        </w:rPr>
        <w:t>至</w:t>
      </w:r>
      <w:r>
        <w:rPr>
          <w:rFonts w:ascii="宋体" w:hAnsi="宋体" w:cs="宋体"/>
          <w:color w:val="000000" w:themeColor="text1"/>
          <w:szCs w:val="21"/>
          <w:highlight w:val="none"/>
          <w:u w:val="single"/>
          <w14:textFill>
            <w14:solidFill>
              <w14:schemeClr w14:val="tx1"/>
            </w14:solidFill>
          </w14:textFill>
        </w:rPr>
        <w:t>17：00</w:t>
      </w:r>
      <w:r>
        <w:rPr>
          <w:rFonts w:ascii="宋体" w:hAnsi="宋体" w:cs="宋体"/>
          <w:color w:val="000000" w:themeColor="text1"/>
          <w:szCs w:val="21"/>
          <w:highlight w:val="none"/>
          <w14:textFill>
            <w14:solidFill>
              <w14:schemeClr w14:val="tx1"/>
            </w14:solidFill>
          </w14:textFill>
        </w:rPr>
        <w:t>(北京时间)，持</w:t>
      </w:r>
      <w:r>
        <w:rPr>
          <w:rFonts w:hint="eastAsia" w:ascii="宋体" w:hAnsi="宋体" w:cs="宋体"/>
          <w:color w:val="000000" w:themeColor="text1"/>
          <w:szCs w:val="21"/>
          <w:highlight w:val="none"/>
          <w14:textFill>
            <w14:solidFill>
              <w14:schemeClr w14:val="tx1"/>
            </w14:solidFill>
          </w14:textFill>
        </w:rPr>
        <w:t>单位介绍信、法定代表人身份证明或授权委托书(附法定代表人身份证明)、个人身份证</w:t>
      </w:r>
      <w:r>
        <w:rPr>
          <w:rFonts w:ascii="宋体" w:hAnsi="宋体" w:cs="宋体"/>
          <w:color w:val="000000" w:themeColor="text1"/>
          <w:szCs w:val="21"/>
          <w:highlight w:val="none"/>
          <w14:textFill>
            <w14:solidFill>
              <w14:schemeClr w14:val="tx1"/>
            </w14:solidFill>
          </w14:textFill>
        </w:rPr>
        <w:t>到</w:t>
      </w:r>
      <w:r>
        <w:rPr>
          <w:rFonts w:hint="eastAsia" w:ascii="宋体" w:hAnsi="宋体" w:cs="宋体"/>
          <w:color w:val="000000" w:themeColor="text1"/>
          <w:highlight w:val="none"/>
          <w:u w:val="single"/>
          <w14:textFill>
            <w14:solidFill>
              <w14:schemeClr w14:val="tx1"/>
            </w14:solidFill>
          </w14:textFill>
        </w:rPr>
        <w:t>中技建设咨询有限公司（长沙市雨花区湘府中路</w:t>
      </w:r>
      <w:r>
        <w:rPr>
          <w:rFonts w:ascii="宋体" w:hAnsi="宋体" w:cs="宋体"/>
          <w:color w:val="000000" w:themeColor="text1"/>
          <w:highlight w:val="none"/>
          <w:u w:val="single"/>
          <w14:textFill>
            <w14:solidFill>
              <w14:schemeClr w14:val="tx1"/>
            </w14:solidFill>
          </w14:textFill>
        </w:rPr>
        <w:t>117号高升金典商务楼12层）</w:t>
      </w:r>
      <w:r>
        <w:rPr>
          <w:rFonts w:hint="eastAsia" w:ascii="宋体" w:hAnsi="宋体" w:cs="宋体"/>
          <w:color w:val="000000" w:themeColor="text1"/>
          <w:szCs w:val="21"/>
          <w:highlight w:val="none"/>
          <w14:textFill>
            <w14:solidFill>
              <w14:schemeClr w14:val="tx1"/>
            </w14:solidFill>
          </w14:textFill>
        </w:rPr>
        <w:t>购买磋商文件。</w:t>
      </w:r>
      <w:r>
        <w:rPr>
          <w:rFonts w:ascii="宋体" w:hAnsi="宋体" w:cs="宋体"/>
          <w:color w:val="000000" w:themeColor="text1"/>
          <w:szCs w:val="21"/>
          <w:highlight w:val="none"/>
          <w14:textFill>
            <w14:solidFill>
              <w14:schemeClr w14:val="tx1"/>
            </w14:solidFill>
          </w14:textFill>
        </w:rPr>
        <w:t xml:space="preserve"> </w:t>
      </w:r>
    </w:p>
    <w:p>
      <w:pPr>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2、磋商文件每份人民币</w:t>
      </w:r>
      <w:r>
        <w:rPr>
          <w:rFonts w:ascii="宋体" w:hAnsi="宋体" w:cs="宋体"/>
          <w:color w:val="000000" w:themeColor="text1"/>
          <w:szCs w:val="21"/>
          <w:highlight w:val="none"/>
          <w:u w:val="single"/>
          <w14:textFill>
            <w14:solidFill>
              <w14:schemeClr w14:val="tx1"/>
            </w14:solidFill>
          </w14:textFill>
        </w:rPr>
        <w:t>400</w:t>
      </w:r>
      <w:r>
        <w:rPr>
          <w:rFonts w:hint="eastAsia" w:ascii="宋体" w:hAnsi="宋体" w:cs="宋体"/>
          <w:color w:val="000000" w:themeColor="text1"/>
          <w:szCs w:val="21"/>
          <w:highlight w:val="none"/>
          <w14:textFill>
            <w14:solidFill>
              <w14:schemeClr w14:val="tx1"/>
            </w14:solidFill>
          </w14:textFill>
        </w:rPr>
        <w:t>元，售后不退。</w:t>
      </w:r>
    </w:p>
    <w:p>
      <w:pPr>
        <w:adjustRightInd w:val="0"/>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四、响应文件提交的截止时间、开启时间及地点</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1、提交首次响应文件的截止时间为</w:t>
      </w:r>
      <w:r>
        <w:rPr>
          <w:rFonts w:ascii="宋体" w:hAnsi="宋体" w:cs="宋体"/>
          <w:color w:val="000000" w:themeColor="text1"/>
          <w:szCs w:val="21"/>
          <w:highlight w:val="none"/>
          <w:u w:val="single"/>
          <w14:textFill>
            <w14:solidFill>
              <w14:schemeClr w14:val="tx1"/>
            </w14:solidFill>
          </w14:textFill>
        </w:rPr>
        <w:t>2022年</w:t>
      </w:r>
      <w:r>
        <w:rPr>
          <w:rFonts w:hint="eastAsia" w:ascii="宋体" w:hAnsi="宋体" w:cs="宋体"/>
          <w:color w:val="000000" w:themeColor="text1"/>
          <w:szCs w:val="21"/>
          <w:highlight w:val="none"/>
          <w:u w:val="single"/>
          <w:lang w:val="en-US" w:eastAsia="zh-CN"/>
          <w14:textFill>
            <w14:solidFill>
              <w14:schemeClr w14:val="tx1"/>
            </w14:solidFill>
          </w14:textFill>
        </w:rPr>
        <w:t>12</w:t>
      </w:r>
      <w:r>
        <w:rPr>
          <w:rFonts w:ascii="宋体" w:hAnsi="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02</w:t>
      </w:r>
      <w:r>
        <w:rPr>
          <w:rFonts w:hint="eastAsia" w:ascii="宋体" w:hAnsi="宋体" w:cs="宋体"/>
          <w:color w:val="000000" w:themeColor="text1"/>
          <w:szCs w:val="21"/>
          <w:highlight w:val="none"/>
          <w:u w:val="single"/>
          <w14:textFill>
            <w14:solidFill>
              <w14:schemeClr w14:val="tx1"/>
            </w14:solidFill>
          </w14:textFill>
        </w:rPr>
        <w:t>日</w:t>
      </w:r>
      <w:r>
        <w:rPr>
          <w:rFonts w:hint="eastAsia" w:ascii="宋体" w:hAnsi="宋体" w:cs="宋体"/>
          <w:color w:val="000000" w:themeColor="text1"/>
          <w:szCs w:val="21"/>
          <w:highlight w:val="none"/>
          <w:u w:val="single"/>
          <w:lang w:val="en-US" w:eastAsia="zh-CN"/>
          <w14:textFill>
            <w14:solidFill>
              <w14:schemeClr w14:val="tx1"/>
            </w14:solidFill>
          </w14:textFill>
        </w:rPr>
        <w:t>15</w:t>
      </w:r>
      <w:r>
        <w:rPr>
          <w:rFonts w:hint="eastAsia" w:ascii="宋体" w:hAnsi="宋体" w:cs="宋体"/>
          <w:color w:val="000000" w:themeColor="text1"/>
          <w:szCs w:val="21"/>
          <w:highlight w:val="none"/>
          <w14:textFill>
            <w14:solidFill>
              <w14:schemeClr w14:val="tx1"/>
            </w14:solidFill>
          </w14:textFill>
        </w:rPr>
        <w:t>时</w:t>
      </w:r>
      <w:r>
        <w:rPr>
          <w:rFonts w:hint="eastAsia" w:ascii="宋体" w:hAnsi="宋体" w:cs="宋体"/>
          <w:color w:val="000000" w:themeColor="text1"/>
          <w:szCs w:val="21"/>
          <w:highlight w:val="none"/>
          <w:u w:val="single"/>
          <w:lang w:val="en-US" w:eastAsia="zh-CN"/>
          <w14:textFill>
            <w14:solidFill>
              <w14:schemeClr w14:val="tx1"/>
            </w14:solidFill>
          </w14:textFill>
        </w:rPr>
        <w:t>0</w:t>
      </w:r>
      <w:r>
        <w:rPr>
          <w:rFonts w:ascii="宋体" w:hAnsi="宋体" w:cs="宋体"/>
          <w:color w:val="000000" w:themeColor="text1"/>
          <w:szCs w:val="21"/>
          <w:highlight w:val="none"/>
          <w:u w:val="single"/>
          <w14:textFill>
            <w14:solidFill>
              <w14:schemeClr w14:val="tx1"/>
            </w14:solidFill>
          </w14:textFill>
        </w:rPr>
        <w:t xml:space="preserve">0 </w:t>
      </w:r>
      <w:r>
        <w:rPr>
          <w:rFonts w:hint="eastAsia" w:ascii="宋体" w:hAnsi="宋体" w:cs="宋体"/>
          <w:color w:val="000000" w:themeColor="text1"/>
          <w:szCs w:val="21"/>
          <w:highlight w:val="none"/>
          <w14:textFill>
            <w14:solidFill>
              <w14:schemeClr w14:val="tx1"/>
            </w14:solidFill>
          </w14:textFill>
        </w:rPr>
        <w:t>分（北京时间），地点为</w:t>
      </w:r>
      <w:r>
        <w:rPr>
          <w:rFonts w:hint="eastAsia" w:ascii="宋体" w:hAnsi="宋体" w:cs="宋体"/>
          <w:color w:val="000000" w:themeColor="text1"/>
          <w:highlight w:val="none"/>
          <w:u w:val="single"/>
          <w14:textFill>
            <w14:solidFill>
              <w14:schemeClr w14:val="tx1"/>
            </w14:solidFill>
          </w14:textFill>
        </w:rPr>
        <w:t>中技建设咨询有限公司（长沙市雨花区湘府中路</w:t>
      </w:r>
      <w:r>
        <w:rPr>
          <w:rFonts w:ascii="宋体" w:hAnsi="宋体" w:cs="宋体"/>
          <w:color w:val="000000" w:themeColor="text1"/>
          <w:highlight w:val="none"/>
          <w:u w:val="single"/>
          <w14:textFill>
            <w14:solidFill>
              <w14:schemeClr w14:val="tx1"/>
            </w14:solidFill>
          </w14:textFill>
        </w:rPr>
        <w:t>117号高升金典商务楼18层）</w:t>
      </w:r>
      <w:r>
        <w:rPr>
          <w:rFonts w:hint="eastAsia" w:ascii="宋体" w:hAnsi="宋体" w:cs="宋体"/>
          <w:color w:val="000000" w:themeColor="text1"/>
          <w:szCs w:val="21"/>
          <w:highlight w:val="none"/>
          <w14:textFill>
            <w14:solidFill>
              <w14:schemeClr w14:val="tx1"/>
            </w14:solidFill>
          </w14:textFill>
        </w:rPr>
        <w:t>。在截止时间后送达的响应文件为无效文件，采购人、采购代理机构或者磋商小组应当拒收。</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2、首次响应文件的开启时间及地点与提交首次响应文件的截止时间及地点为同一时间及地点。</w:t>
      </w:r>
    </w:p>
    <w:p>
      <w:pPr>
        <w:adjustRightInd w:val="0"/>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五、采购项目联系人姓名和电话</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1、采购人</w:t>
      </w:r>
      <w:r>
        <w:rPr>
          <w:rFonts w:hint="eastAsia" w:ascii="宋体" w:hAnsi="宋体" w:cs="宋体"/>
          <w:color w:val="000000" w:themeColor="text1"/>
          <w:szCs w:val="21"/>
          <w:highlight w:val="none"/>
          <w14:textFill>
            <w14:solidFill>
              <w14:schemeClr w14:val="tx1"/>
            </w14:solidFill>
          </w14:textFill>
        </w:rPr>
        <w:t>：中南大学湘雅二医院</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w:t>
      </w:r>
      <w:r>
        <w:rPr>
          <w:rFonts w:ascii="宋体" w:hAnsi="宋体" w:cs="宋体"/>
          <w:color w:val="000000" w:themeColor="text1"/>
          <w:szCs w:val="21"/>
          <w:highlight w:val="none"/>
          <w14:textFill>
            <w14:solidFill>
              <w14:schemeClr w14:val="tx1"/>
            </w14:solidFill>
          </w14:textFill>
        </w:rPr>
        <w:t xml:space="preserve">  址：</w:t>
      </w:r>
      <w:r>
        <w:rPr>
          <w:rFonts w:hint="eastAsia" w:ascii="宋体" w:hAnsi="宋体" w:cs="宋体"/>
          <w:color w:val="000000" w:themeColor="text1"/>
          <w:szCs w:val="21"/>
          <w:highlight w:val="none"/>
          <w14:textFill>
            <w14:solidFill>
              <w14:schemeClr w14:val="tx1"/>
            </w14:solidFill>
          </w14:textFill>
        </w:rPr>
        <w:t>长沙市芙蓉区人民中路139号</w:t>
      </w:r>
      <w:r>
        <w:rPr>
          <w:rFonts w:ascii="宋体" w:hAnsi="宋体" w:cs="宋体"/>
          <w:color w:val="000000" w:themeColor="text1"/>
          <w:szCs w:val="21"/>
          <w:highlight w:val="none"/>
          <w14:textFill>
            <w14:solidFill>
              <w14:schemeClr w14:val="tx1"/>
            </w14:solidFill>
          </w14:textFill>
        </w:rPr>
        <w:t xml:space="preserve">   </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联系人：陈老师、李老师</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电话：0731-85294138</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2、采购代理机构</w:t>
      </w:r>
      <w:r>
        <w:rPr>
          <w:rFonts w:hint="eastAsia" w:ascii="宋体" w:hAnsi="宋体" w:cs="宋体"/>
          <w:color w:val="000000" w:themeColor="text1"/>
          <w:szCs w:val="21"/>
          <w:highlight w:val="none"/>
          <w14:textFill>
            <w14:solidFill>
              <w14:schemeClr w14:val="tx1"/>
            </w14:solidFill>
          </w14:textFill>
        </w:rPr>
        <w:t>：中技建设咨询有限公司</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址：长沙市雨花区湘府中路</w:t>
      </w:r>
      <w:r>
        <w:rPr>
          <w:rFonts w:ascii="宋体" w:hAnsi="宋体" w:cs="宋体"/>
          <w:color w:val="000000" w:themeColor="text1"/>
          <w:szCs w:val="21"/>
          <w:highlight w:val="none"/>
          <w14:textFill>
            <w14:solidFill>
              <w14:schemeClr w14:val="tx1"/>
            </w14:solidFill>
          </w14:textFill>
        </w:rPr>
        <w:t>117号高升金典商务楼12层</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联系人：金弦、李勤、粟智超</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邮编：</w:t>
      </w:r>
      <w:r>
        <w:rPr>
          <w:rFonts w:ascii="宋体" w:hAnsi="宋体" w:cs="宋体"/>
          <w:color w:val="000000" w:themeColor="text1"/>
          <w:szCs w:val="21"/>
          <w:highlight w:val="none"/>
          <w14:textFill>
            <w14:solidFill>
              <w14:schemeClr w14:val="tx1"/>
            </w14:solidFill>
          </w14:textFill>
        </w:rPr>
        <w:t>410000</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w:t>
      </w:r>
      <w:r>
        <w:rPr>
          <w:rFonts w:ascii="宋体" w:hAnsi="宋体" w:cs="宋体"/>
          <w:color w:val="000000" w:themeColor="text1"/>
          <w:szCs w:val="21"/>
          <w:highlight w:val="none"/>
          <w14:textFill>
            <w14:solidFill>
              <w14:schemeClr w14:val="tx1"/>
            </w14:solidFill>
          </w14:textFill>
        </w:rPr>
        <w:t xml:space="preserve">  话：0731-84169659 </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ascii="宋体" w:hAnsi="宋体" w:cs="宋体"/>
          <w:color w:val="000000" w:themeColor="text1"/>
          <w:szCs w:val="21"/>
          <w:highlight w:val="none"/>
          <w14:textFill>
            <w14:solidFill>
              <w14:schemeClr w14:val="tx1"/>
            </w14:solidFill>
          </w14:textFill>
        </w:rPr>
        <w:t>0731-84169656</w:t>
      </w:r>
    </w:p>
    <w:p>
      <w:pPr>
        <w:tabs>
          <w:tab w:val="left" w:pos="360"/>
        </w:tabs>
        <w:adjustRightInd w:val="0"/>
        <w:snapToGrid w:val="0"/>
        <w:spacing w:line="360" w:lineRule="auto"/>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r>
        <w:rPr>
          <w:rFonts w:ascii="宋体" w:hAnsi="宋体" w:cs="宋体"/>
          <w:b/>
          <w:color w:val="000000" w:themeColor="text1"/>
          <w:szCs w:val="21"/>
          <w:highlight w:val="none"/>
          <w14:textFill>
            <w14:solidFill>
              <w14:schemeClr w14:val="tx1"/>
            </w14:solidFill>
          </w14:textFill>
        </w:rPr>
        <w:t>投标保证金</w:t>
      </w:r>
    </w:p>
    <w:p>
      <w:pPr>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投标保证金账户：中技建设咨询有限公司</w:t>
      </w:r>
    </w:p>
    <w:p>
      <w:pPr>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开户银行：兴业银行长沙湘府路支行</w:t>
      </w:r>
    </w:p>
    <w:p>
      <w:pPr>
        <w:adjustRightInd w:val="0"/>
        <w:snapToGrid w:val="0"/>
        <w:spacing w:line="360" w:lineRule="auto"/>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帐　</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号：</w:t>
      </w:r>
      <w:r>
        <w:rPr>
          <w:rFonts w:ascii="宋体" w:hAnsi="宋体" w:cs="宋体"/>
          <w:color w:val="000000" w:themeColor="text1"/>
          <w:szCs w:val="21"/>
          <w:highlight w:val="none"/>
          <w14:textFill>
            <w14:solidFill>
              <w14:schemeClr w14:val="tx1"/>
            </w14:solidFill>
          </w14:textFill>
        </w:rPr>
        <w:t xml:space="preserve">3682 5010 0100 0044 51 </w:t>
      </w:r>
    </w:p>
    <w:p>
      <w:pPr>
        <w:tabs>
          <w:tab w:val="left" w:pos="360"/>
        </w:tabs>
        <w:adjustRightInd w:val="0"/>
        <w:snapToGrid w:val="0"/>
        <w:spacing w:line="360" w:lineRule="auto"/>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ascii="宋体" w:hAnsi="宋体" w:cs="宋体"/>
          <w:b/>
          <w:color w:val="000000" w:themeColor="text1"/>
          <w:szCs w:val="21"/>
          <w:highlight w:val="none"/>
          <w14:textFill>
            <w14:solidFill>
              <w14:schemeClr w14:val="tx1"/>
            </w14:solidFill>
          </w14:textFill>
        </w:rPr>
        <w:t>购</w:t>
      </w:r>
      <w:r>
        <w:rPr>
          <w:rFonts w:hint="eastAsia" w:ascii="宋体" w:hAnsi="宋体" w:cs="宋体"/>
          <w:b/>
          <w:color w:val="000000" w:themeColor="text1"/>
          <w:szCs w:val="21"/>
          <w:highlight w:val="none"/>
          <w14:textFill>
            <w14:solidFill>
              <w14:schemeClr w14:val="tx1"/>
            </w14:solidFill>
          </w14:textFill>
        </w:rPr>
        <w:t>磋商</w:t>
      </w:r>
      <w:r>
        <w:rPr>
          <w:rFonts w:ascii="宋体" w:hAnsi="宋体" w:cs="宋体"/>
          <w:b/>
          <w:color w:val="000000" w:themeColor="text1"/>
          <w:szCs w:val="21"/>
          <w:highlight w:val="none"/>
          <w14:textFill>
            <w14:solidFill>
              <w14:schemeClr w14:val="tx1"/>
            </w14:solidFill>
          </w14:textFill>
        </w:rPr>
        <w:t>文件款、招标代理服务费</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开户名称：中技建设咨询有限公司</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开 户 行：兴业银行长沙湘府路支行 </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银行账号：3682 5010 0100 0044 51   </w:t>
      </w:r>
    </w:p>
    <w:p>
      <w:pPr>
        <w:tabs>
          <w:tab w:val="left" w:pos="360"/>
        </w:tabs>
        <w:adjustRightInd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公告网址：http://www.ccgp.gov.cn/</w:t>
      </w:r>
      <w:r>
        <w:rPr>
          <w:rFonts w:ascii="宋体" w:hAnsi="宋体"/>
          <w:color w:val="000000" w:themeColor="text1"/>
          <w:highlight w:val="none"/>
          <w14:textFill>
            <w14:solidFill>
              <w14:schemeClr w14:val="tx1"/>
            </w14:solidFill>
          </w14:textFill>
        </w:rPr>
        <w:br w:type="page"/>
      </w:r>
    </w:p>
    <w:p>
      <w:pPr>
        <w:numPr>
          <w:ilvl w:val="0"/>
          <w:numId w:val="1"/>
        </w:numPr>
        <w:tabs>
          <w:tab w:val="left" w:pos="0"/>
        </w:tabs>
        <w:spacing w:before="156" w:beforeLines="50" w:after="312" w:afterLines="100" w:line="440" w:lineRule="atLeast"/>
        <w:jc w:val="center"/>
        <w:outlineLvl w:val="0"/>
        <w:rPr>
          <w:rFonts w:ascii="宋体" w:hAnsi="宋体" w:cs="宋体"/>
          <w:b/>
          <w:color w:val="000000" w:themeColor="text1"/>
          <w:sz w:val="32"/>
          <w:szCs w:val="32"/>
          <w:highlight w:val="none"/>
          <w14:textFill>
            <w14:solidFill>
              <w14:schemeClr w14:val="tx1"/>
            </w14:solidFill>
          </w14:textFill>
        </w:rPr>
      </w:pPr>
      <w:bookmarkStart w:id="2" w:name="_Toc27978"/>
      <w:bookmarkStart w:id="3" w:name="_Toc489882257"/>
      <w:r>
        <w:rPr>
          <w:rFonts w:hint="eastAsia" w:ascii="宋体" w:hAnsi="宋体" w:cs="宋体"/>
          <w:b/>
          <w:color w:val="000000" w:themeColor="text1"/>
          <w:sz w:val="32"/>
          <w:szCs w:val="32"/>
          <w:highlight w:val="none"/>
          <w14:textFill>
            <w14:solidFill>
              <w14:schemeClr w14:val="tx1"/>
            </w14:solidFill>
          </w14:textFill>
        </w:rPr>
        <w:t>磋商须知</w:t>
      </w:r>
      <w:bookmarkEnd w:id="2"/>
      <w:bookmarkEnd w:id="3"/>
    </w:p>
    <w:p>
      <w:pPr>
        <w:spacing w:after="156" w:afterLines="50" w:line="400" w:lineRule="exact"/>
        <w:jc w:val="center"/>
        <w:outlineLvl w:val="1"/>
        <w:rPr>
          <w:color w:val="000000" w:themeColor="text1"/>
          <w:highlight w:val="none"/>
          <w14:textFill>
            <w14:solidFill>
              <w14:schemeClr w14:val="tx1"/>
            </w14:solidFill>
          </w14:textFill>
        </w:rPr>
      </w:pPr>
      <w:bookmarkStart w:id="4" w:name="_Toc12832"/>
      <w:bookmarkStart w:id="5" w:name="_Toc489882258"/>
      <w:r>
        <w:rPr>
          <w:rFonts w:hint="eastAsia" w:ascii="宋体" w:hAnsi="宋体"/>
          <w:b/>
          <w:color w:val="000000" w:themeColor="text1"/>
          <w:sz w:val="30"/>
          <w:szCs w:val="30"/>
          <w:highlight w:val="none"/>
          <w14:textFill>
            <w14:solidFill>
              <w14:schemeClr w14:val="tx1"/>
            </w14:solidFill>
          </w14:textFill>
        </w:rPr>
        <w:t>磋商须知前附表</w:t>
      </w:r>
      <w:bookmarkEnd w:id="4"/>
      <w:bookmarkEnd w:id="5"/>
    </w:p>
    <w:tbl>
      <w:tblPr>
        <w:tblStyle w:val="90"/>
        <w:tblW w:w="922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2150"/>
        <w:gridCol w:w="554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blHeader/>
          <w:jc w:val="center"/>
        </w:trPr>
        <w:tc>
          <w:tcPr>
            <w:tcW w:w="1529" w:type="dxa"/>
            <w:vAlign w:val="center"/>
          </w:tcPr>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条款号</w:t>
            </w:r>
          </w:p>
        </w:tc>
        <w:tc>
          <w:tcPr>
            <w:tcW w:w="2150" w:type="dxa"/>
            <w:vAlign w:val="center"/>
          </w:tcPr>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条款名称</w:t>
            </w:r>
          </w:p>
        </w:tc>
        <w:tc>
          <w:tcPr>
            <w:tcW w:w="5548" w:type="dxa"/>
            <w:vAlign w:val="center"/>
          </w:tcPr>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编列内容规定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227" w:type="dxa"/>
            <w:gridSpan w:val="3"/>
            <w:vAlign w:val="center"/>
          </w:tcPr>
          <w:p>
            <w:pPr>
              <w:adjustRightInd w:val="0"/>
              <w:snapToGrid w:val="0"/>
              <w:jc w:val="center"/>
              <w:rPr>
                <w:rFonts w:ascii="宋体" w:hAnsi="宋体"/>
                <w:b/>
                <w:color w:val="000000" w:themeColor="text1"/>
                <w:szCs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一、说明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1.1款</w:t>
            </w:r>
          </w:p>
        </w:tc>
        <w:tc>
          <w:tcPr>
            <w:tcW w:w="2150" w:type="dxa"/>
            <w:vAlign w:val="center"/>
          </w:tcPr>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采购项目</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中南大学湘雅二医院疑难病症诊治能力提升工程（心血管方向）业务用房改造标段七：心血管领域洁净手术室6-13间相关配套用房改造工程</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2.1款</w:t>
            </w:r>
          </w:p>
        </w:tc>
        <w:tc>
          <w:tcPr>
            <w:tcW w:w="2150" w:type="dxa"/>
            <w:vAlign w:val="center"/>
          </w:tcPr>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采购人：中南大学湘雅二医院</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址：长沙市芙蓉区人民中路139号</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联系人：陈老师、李老师</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电话：0731-85294138</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2.2款</w:t>
            </w:r>
          </w:p>
        </w:tc>
        <w:tc>
          <w:tcPr>
            <w:tcW w:w="2150" w:type="dxa"/>
            <w:vAlign w:val="center"/>
          </w:tcPr>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采购代理机构</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称：中技建设咨询有限公司</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址：</w:t>
            </w:r>
            <w:r>
              <w:rPr>
                <w:rFonts w:hint="eastAsia" w:ascii="宋体" w:hAnsi="宋体"/>
                <w:color w:val="000000" w:themeColor="text1"/>
                <w:spacing w:val="-10"/>
                <w:szCs w:val="21"/>
                <w:highlight w:val="none"/>
                <w14:textFill>
                  <w14:solidFill>
                    <w14:schemeClr w14:val="tx1"/>
                  </w14:solidFill>
                </w14:textFill>
              </w:rPr>
              <w:t>长沙市雨花区湘府中路</w:t>
            </w:r>
            <w:r>
              <w:rPr>
                <w:rFonts w:ascii="宋体" w:hAnsi="宋体"/>
                <w:color w:val="000000" w:themeColor="text1"/>
                <w:spacing w:val="-10"/>
                <w:szCs w:val="21"/>
                <w:highlight w:val="none"/>
                <w14:textFill>
                  <w14:solidFill>
                    <w14:schemeClr w14:val="tx1"/>
                  </w14:solidFill>
                </w14:textFill>
              </w:rPr>
              <w:t>117号高升金典商务楼12层</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话：</w:t>
            </w:r>
            <w:r>
              <w:rPr>
                <w:rFonts w:ascii="宋体" w:hAnsi="宋体"/>
                <w:color w:val="000000" w:themeColor="text1"/>
                <w:szCs w:val="21"/>
                <w:highlight w:val="none"/>
                <w14:textFill>
                  <w14:solidFill>
                    <w14:schemeClr w14:val="tx1"/>
                  </w14:solidFill>
                </w14:textFill>
              </w:rPr>
              <w:t>0731-84169659</w:t>
            </w:r>
          </w:p>
          <w:p>
            <w:pPr>
              <w:adjustRightInd w:val="0"/>
              <w:snapToGrid w:val="0"/>
              <w:spacing w:line="360" w:lineRule="exact"/>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14:textFill>
                  <w14:solidFill>
                    <w14:schemeClr w14:val="tx1"/>
                  </w14:solidFill>
                </w14:textFill>
              </w:rPr>
              <w:t>金弦、李勤、粟智超</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2.3款</w:t>
            </w:r>
          </w:p>
        </w:tc>
        <w:tc>
          <w:tcPr>
            <w:tcW w:w="2150" w:type="dxa"/>
            <w:vAlign w:val="center"/>
          </w:tcPr>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供应商的</w:t>
            </w:r>
            <w:r>
              <w:rPr>
                <w:rFonts w:hint="eastAsia" w:ascii="宋体" w:hAnsi="宋体"/>
                <w:color w:val="000000" w:themeColor="text1"/>
                <w:szCs w:val="21"/>
                <w:highlight w:val="none"/>
                <w14:textFill>
                  <w14:solidFill>
                    <w14:schemeClr w14:val="tx1"/>
                  </w14:solidFill>
                </w14:textFill>
              </w:rPr>
              <w:t>邀请方式</w:t>
            </w:r>
          </w:p>
        </w:tc>
        <w:tc>
          <w:tcPr>
            <w:tcW w:w="5548" w:type="dxa"/>
            <w:vAlign w:val="center"/>
          </w:tcPr>
          <w:p>
            <w:pPr>
              <w:adjustRightInd w:val="0"/>
              <w:snapToGrid w:val="0"/>
              <w:spacing w:before="93" w:beforeLines="30" w:after="93" w:afterLines="30" w:line="360" w:lineRule="exact"/>
              <w:rPr>
                <w:rFonts w:ascii="宋体" w:hAnsi="宋体"/>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1）发布公告     </w:t>
            </w:r>
          </w:p>
          <w:p>
            <w:pPr>
              <w:adjustRightInd w:val="0"/>
              <w:snapToGrid w:val="0"/>
              <w:spacing w:before="93" w:beforeLines="30" w:after="93" w:afterLines="30"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2）采购人和评审专家分别书面推荐的方式邀请不少于3家符合相应资格条件的供应商</w:t>
            </w:r>
          </w:p>
          <w:p>
            <w:pPr>
              <w:adjustRightInd w:val="0"/>
              <w:snapToGrid w:val="0"/>
              <w:spacing w:before="93" w:beforeLines="30" w:after="93" w:afterLines="30"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3）随机从省级财政部门建立的供应商库中抽取</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3.1款</w:t>
            </w:r>
          </w:p>
        </w:tc>
        <w:tc>
          <w:tcPr>
            <w:tcW w:w="2150" w:type="dxa"/>
            <w:vAlign w:val="center"/>
          </w:tcPr>
          <w:p>
            <w:pPr>
              <w:adjustRightInd w:val="0"/>
              <w:snapToGrid w:val="0"/>
              <w:spacing w:line="3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资格条件</w:t>
            </w:r>
          </w:p>
        </w:tc>
        <w:tc>
          <w:tcPr>
            <w:tcW w:w="5548" w:type="dxa"/>
            <w:vAlign w:val="center"/>
          </w:tcPr>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1.满足《中华人民共和国政府采购法》第二十二条规定；且：</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 报价不能超过采购项目预算金额或最高限价；</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 供应商按磋商文件要求的时间、金额提交磋商保证金，磋商保证金应从供应商基本账户转出；</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 法定代表人参加的提交法定代表人身份证明原件；授权人参加的提交法定代表人授权委托书原件及双方身份证复印件（并附法定代表人身份证明原件）；</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 法人或者其他组织的营业执照等主体资格证明文件，自然人的身份证明；</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 供应商磋商响应声明（格式）；</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 供应商在提交首次响应文件的截止时间前六个月任意三个月依法缴纳税收的凭证复印件（“三证合一”或“五证合一”可不提供）；</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 供应商在提交首次响应文件的截止时间前六个月任意三个月依法缴纳社会保险的凭证复印件（“五证合一”可不提供）；</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 响应文件的装订、签署、盖章应符合采购文件要求；</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 提供2021年度经会计师事务所审计的财务报告复印件或银行出具的资信证明；</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（10）联合体协议书（接受联合体形式投标的提供）；</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（11）法律、行政法规规定的其他条件。</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2.供应商特定资格条件：</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具有独立法人资格并依法取得企业营业执照，营业执照处于有效期；湖南省外企业须按照湘建建【2015】190号文件要求办理省外入湘企业基本情况登记（以“湖南省住房和城乡建设网”查询为准）或具有入湘施工登记证（处于有效期内）；</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供应商须具备建筑装修装饰工程专业承包贰级及以上（或建筑装饰装修工程设计与施工贰级及以上资质）、建筑机电安装工程专业承包贰级及以上（或机电工程施工总承包叁级及以上）、电子与智能化工程专业承包贰级及以上资质，安全生产许可证在有效期内；</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项目负责人具有机电工程专业贰级及以上注册建造师资格及B类安全生产考核合格证。（提供资质证书复印件并加盖公章），项目岗位人员配备按湘建建（2020）208号文规定不少于4人，其中项目负责人1人，项目技术负责人1人，施工员不少于1人，专职安全员不少于1人，质量员不少于1人（施工员可由技术负责人兼任）；</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（4）供应商须具有医疗器械经营企业许可证或医疗器械经营备案凭证；</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（5）供应商近三年有独立承接过一个洁净手术室工程项目，需提供竣工验收证明（时间以竣工验收证明中的建设单位签字时间为准）、合同（或中标通知书）。</w:t>
            </w:r>
          </w:p>
          <w:p>
            <w:pPr>
              <w:adjustRightInd w:val="0"/>
              <w:snapToGrid w:val="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供应商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供应商如为“三证合一”或“五证合一”。请务必注明清楚，未自行注明或者说明的，资格审查主体不予以认定或澄清，因此造成资格审查不合格的，由供应商自行负责。</w:t>
            </w:r>
          </w:p>
          <w:p>
            <w:pPr>
              <w:pStyle w:val="2"/>
              <w:wordWrap w:val="0"/>
              <w:spacing w:before="0" w:beforeAutospacing="0" w:after="0" w:line="360" w:lineRule="auto"/>
              <w:ind w:left="0" w:leftChars="0" w:firstLine="0" w:firstLineChars="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（6）单位负责人为同一人或者存在直接控股、管理关系的不同供应商，不得参加本项目同一合同项下的政府采购活动；</w:t>
            </w:r>
          </w:p>
          <w:p>
            <w:pPr>
              <w:pStyle w:val="2"/>
              <w:wordWrap w:val="0"/>
              <w:spacing w:before="0" w:beforeAutospacing="0" w:after="0" w:line="360" w:lineRule="auto"/>
              <w:ind w:left="0" w:leftChars="0" w:firstLine="0" w:firstLineChars="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（7）为本采购项目提供整体设计、规范编制或者项目管理、监理、检测等服务的，不得再参加本项目的其他招标采购活动。</w:t>
            </w:r>
          </w:p>
          <w:p>
            <w:pPr>
              <w:pStyle w:val="2"/>
              <w:wordWrap w:val="0"/>
              <w:spacing w:before="0" w:beforeAutospacing="0" w:after="0" w:line="360" w:lineRule="auto"/>
              <w:ind w:left="0" w:leftChars="0" w:firstLine="0" w:firstLineChars="0"/>
              <w:rPr>
                <w:color w:val="000000" w:themeColor="text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8）列入失信被执行人、重大税收违法案件当事人名单，列入政府采购严重违法失信行为记录名单的，拒绝其参与政府采购活动(供应商在参加政府采购活动前3年内因违法经营被禁止在一定期限内参加政府采购活动，期限届满的除外)。采购人通过信用中国网站（www.creditchina.gov.cn）和中国政府采购网（www.ccgp.gov.cn）查询供应商是否存在不良信用记录。</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6.1款</w:t>
            </w:r>
          </w:p>
        </w:tc>
        <w:tc>
          <w:tcPr>
            <w:tcW w:w="2150" w:type="dxa"/>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联合体形式</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不接受</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接受</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6.2（3）款</w:t>
            </w:r>
          </w:p>
        </w:tc>
        <w:tc>
          <w:tcPr>
            <w:tcW w:w="2150" w:type="dxa"/>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对联合体各方的要求</w:t>
            </w:r>
          </w:p>
        </w:tc>
        <w:tc>
          <w:tcPr>
            <w:tcW w:w="5548" w:type="dxa"/>
            <w:vAlign w:val="center"/>
          </w:tcPr>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7.1款</w:t>
            </w:r>
          </w:p>
        </w:tc>
        <w:tc>
          <w:tcPr>
            <w:tcW w:w="2150" w:type="dxa"/>
            <w:vAlign w:val="center"/>
          </w:tcPr>
          <w:p>
            <w:pPr>
              <w:adjustRightInd w:val="0"/>
              <w:snapToGrid w:val="0"/>
              <w:spacing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现场勘察</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采购人不统一组织现场踏勘，各供应商可自行对项目现场及周围环境进行踏勘，以便获取有关编制投标文件和签署合同所涉及现场的资料。采购人不承担供应商踏勘现场所发生的任何费用、责任和风险。</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8.1款</w:t>
            </w:r>
          </w:p>
        </w:tc>
        <w:tc>
          <w:tcPr>
            <w:tcW w:w="2150" w:type="dxa"/>
            <w:vAlign w:val="center"/>
          </w:tcPr>
          <w:p>
            <w:pPr>
              <w:adjustRightInd w:val="0"/>
              <w:snapToGrid w:val="0"/>
              <w:spacing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采购进口产品</w:t>
            </w:r>
          </w:p>
        </w:tc>
        <w:tc>
          <w:tcPr>
            <w:tcW w:w="5548" w:type="dxa"/>
            <w:vAlign w:val="center"/>
          </w:tcPr>
          <w:p>
            <w:pPr>
              <w:adjustRightInd w:val="0"/>
              <w:snapToGrid w:val="0"/>
              <w:spacing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该条款不适用本项目</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第9.1款</w:t>
            </w:r>
          </w:p>
        </w:tc>
        <w:tc>
          <w:tcPr>
            <w:tcW w:w="2150"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政府采购强制采购</w:t>
            </w:r>
          </w:p>
        </w:tc>
        <w:tc>
          <w:tcPr>
            <w:tcW w:w="5548"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该条款不适用本项目</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9" w:type="dxa"/>
            <w:vMerge w:val="restart"/>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第9.2款</w:t>
            </w:r>
          </w:p>
        </w:tc>
        <w:tc>
          <w:tcPr>
            <w:tcW w:w="2150"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价格评审优惠</w:t>
            </w:r>
          </w:p>
        </w:tc>
        <w:tc>
          <w:tcPr>
            <w:tcW w:w="5548"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□专门面向中小企业采购（应同时在招标公告中注明）。</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■非专门面向中小企业采购：</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①符合《政府采购促进中小企业发展管理办法》(财库〔2020〕46号)及《关于进一步加大政府采购支持中小企业力度的通知》(财库〔2022〕19号)价格评审优惠政策的，本项目小微企业给予投标报价</w:t>
            </w:r>
            <w:r>
              <w:rPr>
                <w:rFonts w:hint="eastAsia" w:ascii="宋体" w:hAnsi="宋体"/>
                <w:b/>
                <w:bCs/>
                <w:color w:val="000000" w:themeColor="text1"/>
                <w:szCs w:val="21"/>
                <w:highlight w:val="none"/>
                <w:u w:val="singl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的价格扣除，用扣除后的价格参与评审。</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②联合体：联合协议中约定，小型、微型企业的协议合同金额占到联合体协议合同总金额30%以上的,给予联合体1%-2%的价格扣除。</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9" w:type="dxa"/>
            <w:vMerge w:val="continue"/>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2150" w:type="dxa"/>
            <w:vMerge w:val="restart"/>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优先采购</w:t>
            </w:r>
          </w:p>
        </w:tc>
        <w:tc>
          <w:tcPr>
            <w:tcW w:w="5548"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优先采购：对列入财政部、国家发展改革委发布的《节能产品政府采购品目清单》的非强制采购节能产品，财政部、生态环境保护部发布的《环境标志产品政府采购品目清单》的环境标志产品，实行优先采购。本项目不适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529" w:type="dxa"/>
            <w:vMerge w:val="continue"/>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2150" w:type="dxa"/>
            <w:vMerge w:val="continue"/>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5548"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采购产品为《节能产品政府采购清单》(有效期)内非标记★符号的，对于技术分，</w:t>
            </w:r>
            <w:r>
              <w:rPr>
                <w:rFonts w:hint="eastAsia" w:ascii="宋体" w:hAnsi="宋体"/>
                <w:b/>
                <w:bCs/>
                <w:color w:val="000000" w:themeColor="text1"/>
                <w:szCs w:val="21"/>
                <w:highlight w:val="none"/>
                <w14:textFill>
                  <w14:solidFill>
                    <w14:schemeClr w14:val="tx1"/>
                  </w14:solidFill>
                </w14:textFill>
              </w:rPr>
              <w:t>本项目不加分。</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对于价格分，应给予价格总分值4%-8%的加分。本项目具体加分比例为：</w:t>
            </w:r>
            <w:r>
              <w:rPr>
                <w:rFonts w:hint="eastAsia" w:ascii="宋体" w:hAnsi="宋体"/>
                <w:b/>
                <w:bCs/>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。具体加分计算公式为：</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价格加分＝价格分值×加分比例×（节能产品报价÷总报价）</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注：非强制采购节能产品：提供国家确定的认证机构出具的、处于有效期之内的节能产品认证证书（复印件）。</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9" w:type="dxa"/>
            <w:vMerge w:val="continue"/>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2150" w:type="dxa"/>
            <w:vMerge w:val="continue"/>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5548"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采购产品为《环境标志产品政府采购清单》(有效期)内的，对于技术分，本项目不加分。</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对于价格分，应给予价格总分值4%-8%的加分。本项目具体加分比例为：</w:t>
            </w:r>
            <w:r>
              <w:rPr>
                <w:rFonts w:hint="eastAsia" w:ascii="宋体" w:hAnsi="宋体"/>
                <w:b/>
                <w:bCs/>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。具体加分计算公式为：</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价格加分＝价格分值×加分比例×（环境标志产品报价÷总报价）。</w:t>
            </w:r>
          </w:p>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注：环境标志产品：提供国家确定的认证机构出具的、处于有效期之内的环境标志产品证书（复印件）。</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2150"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p>
        </w:tc>
        <w:tc>
          <w:tcPr>
            <w:tcW w:w="5548"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同一产品同时属于上述两类或三类产品的，只取其中一类进行加分。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9.3款</w:t>
            </w:r>
          </w:p>
        </w:tc>
        <w:tc>
          <w:tcPr>
            <w:tcW w:w="2150"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中小企业融资、信用担保</w:t>
            </w:r>
          </w:p>
        </w:tc>
        <w:tc>
          <w:tcPr>
            <w:tcW w:w="5548" w:type="dxa"/>
            <w:vAlign w:val="center"/>
          </w:tcPr>
          <w:p>
            <w:pPr>
              <w:adjustRightInd w:val="0"/>
              <w:snapToGrid w:val="0"/>
              <w:spacing w:before="156" w:beforeLines="5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有融资、信用担保需求的，可登陆中国政府采购网查询。</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227" w:type="dxa"/>
            <w:gridSpan w:val="3"/>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二、磋商文件</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第10.2</w:t>
            </w:r>
            <w:r>
              <w:rPr>
                <w:rFonts w:ascii="宋体" w:hAnsi="宋体"/>
                <w:color w:val="000000" w:themeColor="text1"/>
                <w:szCs w:val="21"/>
                <w:highlight w:val="none"/>
                <w14:textFill>
                  <w14:solidFill>
                    <w14:schemeClr w14:val="tx1"/>
                  </w14:solidFill>
                </w14:textFill>
              </w:rPr>
              <w:t>款</w:t>
            </w:r>
          </w:p>
        </w:tc>
        <w:tc>
          <w:tcPr>
            <w:tcW w:w="2150" w:type="dxa"/>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磋商文件的可能实质性变动内容</w:t>
            </w:r>
          </w:p>
        </w:tc>
        <w:tc>
          <w:tcPr>
            <w:tcW w:w="5548" w:type="dxa"/>
            <w:vAlign w:val="center"/>
          </w:tcPr>
          <w:p>
            <w:pPr>
              <w:rPr>
                <w:rFonts w:ascii="宋体" w:hAnsi="宋体"/>
                <w:b/>
                <w:i/>
                <w:color w:val="000000" w:themeColor="text1"/>
                <w:szCs w:val="21"/>
                <w:highlight w:val="none"/>
                <w14:textFill>
                  <w14:solidFill>
                    <w14:schemeClr w14:val="tx1"/>
                  </w14:solidFill>
                </w14:textFill>
              </w:rPr>
            </w:pPr>
            <w:r>
              <w:rPr>
                <w:rFonts w:hint="eastAsia" w:ascii="宋体" w:hAnsi="宋体"/>
                <w:b/>
                <w:i/>
                <w:color w:val="000000" w:themeColor="text1"/>
                <w:szCs w:val="21"/>
                <w:highlight w:val="none"/>
                <w14:textFill>
                  <w14:solidFill>
                    <w14:schemeClr w14:val="tx1"/>
                  </w14:solidFill>
                </w14:textFill>
              </w:rPr>
              <w:t>技术、服务要求以及合同专用条款</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11.1款</w:t>
            </w:r>
          </w:p>
        </w:tc>
        <w:tc>
          <w:tcPr>
            <w:tcW w:w="2150" w:type="dxa"/>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提交首次响应文件的截止时间</w:t>
            </w:r>
          </w:p>
        </w:tc>
        <w:tc>
          <w:tcPr>
            <w:tcW w:w="5548" w:type="dxa"/>
            <w:vAlign w:val="center"/>
          </w:tcPr>
          <w:p>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详见</w:t>
            </w:r>
            <w:r>
              <w:rPr>
                <w:rFonts w:hint="eastAsia"/>
                <w:color w:val="000000" w:themeColor="text1"/>
                <w:highlight w:val="none"/>
                <w14:textFill>
                  <w14:solidFill>
                    <w14:schemeClr w14:val="tx1"/>
                  </w14:solidFill>
                </w14:textFill>
              </w:rPr>
              <w:t>第一章</w:t>
            </w:r>
            <w:r>
              <w:rPr>
                <w:rFonts w:hint="eastAsia" w:ascii="宋体" w:hAnsi="宋体"/>
                <w:color w:val="000000" w:themeColor="text1"/>
                <w:szCs w:val="21"/>
                <w:highlight w:val="none"/>
                <w14:textFill>
                  <w14:solidFill>
                    <w14:schemeClr w14:val="tx1"/>
                  </w14:solidFill>
                </w14:textFill>
              </w:rPr>
              <w:t>磋商邀请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227" w:type="dxa"/>
            <w:gridSpan w:val="3"/>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三、响应文件的编写</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15.4款</w:t>
            </w:r>
          </w:p>
        </w:tc>
        <w:tc>
          <w:tcPr>
            <w:tcW w:w="2150" w:type="dxa"/>
            <w:vAlign w:val="center"/>
          </w:tcPr>
          <w:p>
            <w:pPr>
              <w:adjustRightInd w:val="0"/>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采购项目预算</w:t>
            </w:r>
          </w:p>
        </w:tc>
        <w:tc>
          <w:tcPr>
            <w:tcW w:w="5548" w:type="dxa"/>
            <w:vAlign w:val="center"/>
          </w:tcPr>
          <w:p>
            <w:pPr>
              <w:adjustRightInd w:val="0"/>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采购项目预算：</w:t>
            </w:r>
            <w:r>
              <w:rPr>
                <w:rFonts w:ascii="宋体" w:hAnsi="宋体" w:cs="宋体"/>
                <w:b/>
                <w:color w:val="000000" w:themeColor="text1"/>
                <w:szCs w:val="21"/>
                <w:highlight w:val="none"/>
                <w14:textFill>
                  <w14:solidFill>
                    <w14:schemeClr w14:val="tx1"/>
                  </w14:solidFill>
                </w14:textFill>
              </w:rPr>
              <w:t>11908236.79元</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line="36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6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17.1款</w:t>
            </w:r>
          </w:p>
        </w:tc>
        <w:tc>
          <w:tcPr>
            <w:tcW w:w="2150" w:type="dxa"/>
            <w:vAlign w:val="center"/>
          </w:tcPr>
          <w:p>
            <w:pPr>
              <w:adjustRightInd w:val="0"/>
              <w:snapToGrid w:val="0"/>
              <w:spacing w:line="360" w:lineRule="exact"/>
              <w:ind w:left="-533" w:leftChars="-254" w:firstLine="533" w:firstLineChars="254"/>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保证金</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不要求提供</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 要求提供：</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1、保证金数额：</w:t>
            </w:r>
            <w:r>
              <w:rPr>
                <w:rFonts w:hint="eastAsia" w:ascii="宋体" w:hAnsi="宋体"/>
                <w:color w:val="000000" w:themeColor="text1"/>
                <w:szCs w:val="21"/>
                <w:highlight w:val="none"/>
                <w:u w:val="single"/>
                <w14:textFill>
                  <w14:solidFill>
                    <w14:schemeClr w14:val="tx1"/>
                  </w14:solidFill>
                </w14:textFill>
              </w:rPr>
              <w:t>230000</w:t>
            </w:r>
            <w:r>
              <w:rPr>
                <w:rFonts w:ascii="宋体" w:hAnsi="宋体"/>
                <w:color w:val="000000" w:themeColor="text1"/>
                <w:szCs w:val="21"/>
                <w:highlight w:val="none"/>
                <w:u w:val="single"/>
                <w14:textFill>
                  <w14:solidFill>
                    <w14:schemeClr w14:val="tx1"/>
                  </w14:solidFill>
                </w14:textFill>
              </w:rPr>
              <w:t xml:space="preserve">.00 </w:t>
            </w:r>
            <w:r>
              <w:rPr>
                <w:rFonts w:hint="eastAsia" w:ascii="宋体" w:hAnsi="宋体"/>
                <w:color w:val="000000" w:themeColor="text1"/>
                <w:szCs w:val="21"/>
                <w:highlight w:val="none"/>
                <w14:textFill>
                  <w14:solidFill>
                    <w14:schemeClr w14:val="tx1"/>
                  </w14:solidFill>
                </w14:textFill>
              </w:rPr>
              <w:t>元</w:t>
            </w:r>
            <w:r>
              <w:rPr>
                <w:rFonts w:ascii="宋体" w:hAnsi="宋体"/>
                <w:color w:val="000000" w:themeColor="text1"/>
                <w:szCs w:val="21"/>
                <w:highlight w:val="none"/>
                <w14:textFill>
                  <w14:solidFill>
                    <w14:schemeClr w14:val="tx1"/>
                  </w14:solidFill>
                </w14:textFill>
              </w:rPr>
              <w:t>(人民币)</w:t>
            </w:r>
          </w:p>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2、缴纳方式：以支票、汇票、本票等形式从供应商的基本账户缴入如下账户，查询已经到账，视为已缴纳。</w:t>
            </w:r>
          </w:p>
          <w:p>
            <w:pPr>
              <w:adjustRightInd w:val="0"/>
              <w:snapToGrid w:val="0"/>
              <w:spacing w:line="360" w:lineRule="exact"/>
              <w:ind w:left="1365" w:hanging="1365" w:hangingChars="65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3、缴纳时间：提交首次响应文件的截止时间前到账。</w:t>
            </w:r>
          </w:p>
          <w:p>
            <w:pPr>
              <w:adjustRightInd w:val="0"/>
              <w:snapToGrid w:val="0"/>
              <w:spacing w:line="360" w:lineRule="exact"/>
              <w:ind w:left="1365" w:leftChars="150" w:hanging="1050" w:hanging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投标保证金账户：中技建设咨询有限公司</w:t>
            </w:r>
          </w:p>
          <w:p>
            <w:pPr>
              <w:adjustRightInd w:val="0"/>
              <w:snapToGrid w:val="0"/>
              <w:spacing w:line="360" w:lineRule="exact"/>
              <w:ind w:left="1365" w:leftChars="150" w:hanging="1050" w:hanging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开户银行：兴业银行长沙湘府路支行</w:t>
            </w:r>
          </w:p>
          <w:p>
            <w:pPr>
              <w:adjustRightInd w:val="0"/>
              <w:snapToGrid w:val="0"/>
              <w:spacing w:line="360" w:lineRule="exact"/>
              <w:ind w:left="630" w:leftChars="150" w:hanging="315" w:hanging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帐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号：</w:t>
            </w:r>
            <w:r>
              <w:rPr>
                <w:rFonts w:ascii="宋体" w:hAnsi="宋体"/>
                <w:color w:val="000000" w:themeColor="text1"/>
                <w:szCs w:val="21"/>
                <w:highlight w:val="none"/>
                <w14:textFill>
                  <w14:solidFill>
                    <w14:schemeClr w14:val="tx1"/>
                  </w14:solidFill>
                </w14:textFill>
              </w:rPr>
              <w:t>3682 5010 0100 0044 51</w:t>
            </w:r>
          </w:p>
          <w:p>
            <w:pPr>
              <w:adjustRightInd w:val="0"/>
              <w:snapToGrid w:val="0"/>
              <w:spacing w:before="30" w:after="93" w:afterLines="30" w:line="360" w:lineRule="exact"/>
              <w:ind w:left="630" w:hanging="630" w:hanging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备注：须在进账单“款项来源”栏注明“2022-760”。</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18.1款</w:t>
            </w:r>
          </w:p>
        </w:tc>
        <w:tc>
          <w:tcPr>
            <w:tcW w:w="2150" w:type="dxa"/>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响应文件有效期</w:t>
            </w:r>
          </w:p>
        </w:tc>
        <w:tc>
          <w:tcPr>
            <w:tcW w:w="5548" w:type="dxa"/>
            <w:vAlign w:val="center"/>
          </w:tcPr>
          <w:p>
            <w:pPr>
              <w:adjustRightInd w:val="0"/>
              <w:snapToGrid w:val="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 90 </w:t>
            </w:r>
            <w:r>
              <w:rPr>
                <w:rFonts w:hint="eastAsia" w:ascii="宋体" w:hAnsi="宋体"/>
                <w:color w:val="000000" w:themeColor="text1"/>
                <w:szCs w:val="21"/>
                <w:highlight w:val="none"/>
                <w14:textFill>
                  <w14:solidFill>
                    <w14:schemeClr w14:val="tx1"/>
                  </w14:solidFill>
                </w14:textFill>
              </w:rPr>
              <w:t>日（日历日）</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19.1款</w:t>
            </w:r>
          </w:p>
        </w:tc>
        <w:tc>
          <w:tcPr>
            <w:tcW w:w="2150" w:type="dxa"/>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响应</w:t>
            </w:r>
            <w:r>
              <w:rPr>
                <w:rFonts w:hint="eastAsia" w:ascii="宋体" w:hAnsi="宋体"/>
                <w:color w:val="000000" w:themeColor="text1"/>
                <w:szCs w:val="21"/>
                <w:highlight w:val="none"/>
                <w14:textFill>
                  <w14:solidFill>
                    <w14:schemeClr w14:val="tx1"/>
                  </w14:solidFill>
                </w14:textFill>
              </w:rPr>
              <w:t>文件副本份数</w:t>
            </w:r>
          </w:p>
        </w:tc>
        <w:tc>
          <w:tcPr>
            <w:tcW w:w="5548" w:type="dxa"/>
            <w:vAlign w:val="center"/>
          </w:tcPr>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一正三副，共四份，另提供电子档（</w:t>
            </w:r>
            <w:r>
              <w:rPr>
                <w:rFonts w:ascii="宋体" w:hAnsi="宋体" w:cs="宋体"/>
                <w:color w:val="000000" w:themeColor="text1"/>
                <w:szCs w:val="21"/>
                <w:highlight w:val="none"/>
                <w14:textFill>
                  <w14:solidFill>
                    <w14:schemeClr w14:val="tx1"/>
                  </w14:solidFill>
                </w14:textFill>
              </w:rPr>
              <w:t>U盘装载）</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227" w:type="dxa"/>
            <w:gridSpan w:val="3"/>
            <w:vAlign w:val="center"/>
          </w:tcPr>
          <w:p>
            <w:pPr>
              <w:adjustRightInd w:val="0"/>
              <w:snapToGrid w:val="0"/>
              <w:jc w:val="center"/>
              <w:rPr>
                <w:rFonts w:ascii="宋体" w:hAnsi="宋体"/>
                <w:color w:val="000000" w:themeColor="text1"/>
                <w:szCs w:val="21"/>
                <w:highlight w:val="none"/>
                <w:u w:val="single"/>
                <w14:textFill>
                  <w14:solidFill>
                    <w14:schemeClr w14:val="tx1"/>
                  </w14:solidFill>
                </w14:textFill>
              </w:rPr>
            </w:pPr>
            <w:r>
              <w:rPr>
                <w:rFonts w:hint="eastAsia" w:hAnsi="宋体"/>
                <w:b/>
                <w:color w:val="000000" w:themeColor="text1"/>
                <w:sz w:val="24"/>
                <w:highlight w:val="none"/>
                <w14:textFill>
                  <w14:solidFill>
                    <w14:schemeClr w14:val="tx1"/>
                  </w14:solidFill>
                </w14:textFill>
              </w:rPr>
              <w:t>四、响应文件的递交</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20.2款</w:t>
            </w:r>
          </w:p>
        </w:tc>
        <w:tc>
          <w:tcPr>
            <w:tcW w:w="2150" w:type="dxa"/>
            <w:vAlign w:val="center"/>
          </w:tcPr>
          <w:p>
            <w:pPr>
              <w:adjustRightInd w:val="0"/>
              <w:snapToGrid w:val="0"/>
              <w:spacing w:line="380" w:lineRule="exact"/>
              <w:jc w:val="center"/>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封套上应载明的信息</w:t>
            </w:r>
          </w:p>
        </w:tc>
        <w:tc>
          <w:tcPr>
            <w:tcW w:w="5548" w:type="dxa"/>
            <w:vAlign w:val="center"/>
          </w:tcPr>
          <w:p>
            <w:pPr>
              <w:adjustRightInd w:val="0"/>
              <w:snapToGrid w:val="0"/>
              <w:spacing w:line="38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中南大学湘雅二医院疑难病症诊治能力提升工程（心血管方向）业务用房改造标段七：心血管领域洁净手术室6-13间相关配套用房改造工程</w:t>
            </w:r>
            <w:r>
              <w:rPr>
                <w:rFonts w:ascii="宋体" w:hAnsi="宋体"/>
                <w:color w:val="000000" w:themeColor="text1"/>
                <w:szCs w:val="21"/>
                <w:highlight w:val="none"/>
                <w:u w:val="single"/>
                <w14:textFill>
                  <w14:solidFill>
                    <w14:schemeClr w14:val="tx1"/>
                  </w14:solidFill>
                </w14:textFill>
              </w:rPr>
              <w:t xml:space="preserve"> 响应文件  </w:t>
            </w:r>
          </w:p>
          <w:p>
            <w:pPr>
              <w:adjustRightInd w:val="0"/>
              <w:snapToGrid w:val="0"/>
              <w:spacing w:line="38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采购代理机构编号：</w:t>
            </w:r>
            <w:r>
              <w:rPr>
                <w:rFonts w:ascii="宋体" w:hAnsi="宋体"/>
                <w:color w:val="000000" w:themeColor="text1"/>
                <w:szCs w:val="21"/>
                <w:highlight w:val="none"/>
                <w:u w:val="single"/>
                <w14:textFill>
                  <w14:solidFill>
                    <w14:schemeClr w14:val="tx1"/>
                  </w14:solidFill>
                </w14:textFill>
              </w:rPr>
              <w:t xml:space="preserve">              </w:t>
            </w:r>
          </w:p>
          <w:p>
            <w:pPr>
              <w:adjustRightInd w:val="0"/>
              <w:snapToGrid w:val="0"/>
              <w:spacing w:line="38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在</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日</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时</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分之前不得启封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22.1款</w:t>
            </w:r>
          </w:p>
        </w:tc>
        <w:tc>
          <w:tcPr>
            <w:tcW w:w="2150" w:type="dxa"/>
            <w:vAlign w:val="center"/>
          </w:tcPr>
          <w:p>
            <w:pPr>
              <w:adjustRightInd w:val="0"/>
              <w:snapToGrid w:val="0"/>
              <w:spacing w:line="380" w:lineRule="exact"/>
              <w:jc w:val="center"/>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响应文件的递交地点</w:t>
            </w:r>
          </w:p>
        </w:tc>
        <w:tc>
          <w:tcPr>
            <w:tcW w:w="5548" w:type="dxa"/>
            <w:vAlign w:val="center"/>
          </w:tcPr>
          <w:p>
            <w:pPr>
              <w:adjustRightInd w:val="0"/>
              <w:snapToGrid w:val="0"/>
              <w:spacing w:line="38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中技建设咨询有限公司（长沙市雨花区湘府中路</w:t>
            </w:r>
            <w:r>
              <w:rPr>
                <w:rFonts w:ascii="宋体" w:hAnsi="宋体"/>
                <w:color w:val="000000" w:themeColor="text1"/>
                <w:szCs w:val="21"/>
                <w:highlight w:val="none"/>
                <w14:textFill>
                  <w14:solidFill>
                    <w14:schemeClr w14:val="tx1"/>
                  </w14:solidFill>
                </w14:textFill>
              </w:rPr>
              <w:t>117号高升金典商务楼18层）</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5.1</w:t>
            </w:r>
            <w:r>
              <w:rPr>
                <w:rFonts w:ascii="宋体" w:hAnsi="宋体"/>
                <w:color w:val="000000" w:themeColor="text1"/>
                <w:szCs w:val="21"/>
                <w:highlight w:val="none"/>
                <w14:textFill>
                  <w14:solidFill>
                    <w14:schemeClr w14:val="tx1"/>
                  </w14:solidFill>
                </w14:textFill>
              </w:rPr>
              <w:t>款</w:t>
            </w:r>
          </w:p>
        </w:tc>
        <w:tc>
          <w:tcPr>
            <w:tcW w:w="2150"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响应文件的实质性响应</w:t>
            </w:r>
          </w:p>
        </w:tc>
        <w:tc>
          <w:tcPr>
            <w:tcW w:w="5548"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除法律、法规和磋商文件规定的其他响应无效情形外，磋商文件中用“★”符号标明的条款为实质性要求和条件，对其中任何一条的偏离，为实质性偏离，其响应无效。</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7" w:type="dxa"/>
            <w:gridSpan w:val="3"/>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五、响应文件的磋商与评审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第29.2</w:t>
            </w:r>
            <w:r>
              <w:rPr>
                <w:rFonts w:ascii="宋体" w:hAnsi="宋体"/>
                <w:color w:val="000000" w:themeColor="text1"/>
                <w:szCs w:val="21"/>
                <w:highlight w:val="none"/>
                <w14:textFill>
                  <w14:solidFill>
                    <w14:schemeClr w14:val="tx1"/>
                  </w14:solidFill>
                </w14:textFill>
              </w:rPr>
              <w:t>款</w:t>
            </w:r>
          </w:p>
        </w:tc>
        <w:tc>
          <w:tcPr>
            <w:tcW w:w="2150"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评审因素和标准</w:t>
            </w:r>
          </w:p>
        </w:tc>
        <w:tc>
          <w:tcPr>
            <w:tcW w:w="5548" w:type="dxa"/>
            <w:vAlign w:val="center"/>
          </w:tcPr>
          <w:p>
            <w:pPr>
              <w:adjustRightInd w:val="0"/>
              <w:snapToGrid w:val="0"/>
              <w:spacing w:line="38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见附页1</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第29.3</w:t>
            </w:r>
            <w:r>
              <w:rPr>
                <w:rFonts w:ascii="宋体" w:hAnsi="宋体"/>
                <w:color w:val="000000" w:themeColor="text1"/>
                <w:szCs w:val="21"/>
                <w:highlight w:val="none"/>
                <w14:textFill>
                  <w14:solidFill>
                    <w14:schemeClr w14:val="tx1"/>
                  </w14:solidFill>
                </w14:textFill>
              </w:rPr>
              <w:t>款</w:t>
            </w:r>
          </w:p>
        </w:tc>
        <w:tc>
          <w:tcPr>
            <w:tcW w:w="2150" w:type="dxa"/>
            <w:vAlign w:val="center"/>
          </w:tcPr>
          <w:p>
            <w:pPr>
              <w:adjustRightInd w:val="0"/>
              <w:snapToGrid w:val="0"/>
              <w:spacing w:line="38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最后报价调整</w:t>
            </w:r>
          </w:p>
        </w:tc>
        <w:tc>
          <w:tcPr>
            <w:tcW w:w="5548" w:type="dxa"/>
            <w:vAlign w:val="center"/>
          </w:tcPr>
          <w:p>
            <w:pPr>
              <w:adjustRightInd w:val="0"/>
              <w:snapToGrid w:val="0"/>
              <w:spacing w:line="38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政府采购支持小微企业发展：</w:t>
            </w:r>
          </w:p>
          <w:p>
            <w:pPr>
              <w:adjustRightInd w:val="0"/>
              <w:snapToGrid w:val="0"/>
              <w:spacing w:line="38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小型或微型企业，最后报价扣除比例为</w:t>
            </w:r>
            <w:r>
              <w:rPr>
                <w:rFonts w:hint="eastAsia" w:ascii="宋体" w:hAnsi="宋体"/>
                <w:b/>
                <w:bCs/>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p>
          <w:p>
            <w:pPr>
              <w:adjustRightInd w:val="0"/>
              <w:snapToGrid w:val="0"/>
              <w:spacing w:line="38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评审时，用扣除后的最后报价计算价格分。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9227" w:type="dxa"/>
            <w:gridSpan w:val="3"/>
            <w:vAlign w:val="center"/>
          </w:tcPr>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六、成交结果信息公布</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36.1款、</w:t>
            </w:r>
          </w:p>
        </w:tc>
        <w:tc>
          <w:tcPr>
            <w:tcW w:w="2150" w:type="dxa"/>
            <w:vAlign w:val="center"/>
          </w:tcPr>
          <w:p>
            <w:pPr>
              <w:adjustRightInd w:val="0"/>
              <w:snapToGrid w:val="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成交信息公布的媒体</w:t>
            </w:r>
          </w:p>
        </w:tc>
        <w:tc>
          <w:tcPr>
            <w:tcW w:w="5548" w:type="dxa"/>
            <w:vAlign w:val="center"/>
          </w:tcPr>
          <w:p>
            <w:pPr>
              <w:adjustRightInd w:val="0"/>
              <w:snapToGrid w:val="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ascii="宋体" w:hAnsi="宋体"/>
                <w:color w:val="000000" w:themeColor="text1"/>
                <w:szCs w:val="21"/>
                <w:highlight w:val="none"/>
                <w:u w:val="single"/>
                <w14:textFill>
                  <w14:solidFill>
                    <w14:schemeClr w14:val="tx1"/>
                  </w14:solidFill>
                </w14:textFill>
              </w:rPr>
              <w:t>http://www.ccgp.gov.cn/</w:t>
            </w:r>
            <w:r>
              <w:rPr>
                <w:rFonts w:ascii="宋体" w:hAnsi="宋体"/>
                <w:color w:val="000000" w:themeColor="text1"/>
                <w:szCs w:val="21"/>
                <w:highlight w:val="none"/>
                <w:u w:val="single"/>
                <w14:textFill>
                  <w14:solidFill>
                    <w14:schemeClr w14:val="tx1"/>
                  </w14:solidFill>
                </w14:textFill>
              </w:rPr>
              <w:fldChar w:fldCharType="end"/>
            </w:r>
            <w:r>
              <w:rPr>
                <w:rFonts w:hint="eastAsia" w:ascii="宋体" w:hAnsi="宋体"/>
                <w:color w:val="000000" w:themeColor="text1"/>
                <w:szCs w:val="21"/>
                <w:highlight w:val="none"/>
                <w:u w:val="single"/>
                <w14:textFill>
                  <w14:solidFill>
                    <w14:schemeClr w14:val="tx1"/>
                  </w14:solidFill>
                </w14:textFill>
              </w:rPr>
              <w:t>）、</w:t>
            </w:r>
          </w:p>
          <w:p>
            <w:pPr>
              <w:adjustRightInd w:val="0"/>
              <w:snapToGrid w:val="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中南大学湘雅二医院（</w:t>
            </w:r>
            <w:r>
              <w:rPr>
                <w:rFonts w:ascii="宋体" w:hAnsi="宋体"/>
                <w:color w:val="000000" w:themeColor="text1"/>
                <w:szCs w:val="21"/>
                <w:highlight w:val="none"/>
                <w:u w:val="single"/>
                <w14:textFill>
                  <w14:solidFill>
                    <w14:schemeClr w14:val="tx1"/>
                  </w14:solidFill>
                </w14:textFill>
              </w:rPr>
              <w:t>https://www.xyeyy.com/</w:t>
            </w:r>
            <w:r>
              <w:rPr>
                <w:rFonts w:hint="eastAsia" w:ascii="宋体" w:hAnsi="宋体"/>
                <w:color w:val="000000" w:themeColor="text1"/>
                <w:szCs w:val="21"/>
                <w:highlight w:val="none"/>
                <w:u w:val="singl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w:t>
            </w:r>
            <w:r>
              <w:rPr>
                <w:rFonts w:ascii="宋体" w:hAnsi="宋体"/>
                <w:color w:val="000000" w:themeColor="text1"/>
                <w:szCs w:val="21"/>
                <w:highlight w:val="none"/>
                <w14:textFill>
                  <w14:solidFill>
                    <w14:schemeClr w14:val="tx1"/>
                  </w14:solidFill>
                </w14:textFill>
              </w:rPr>
              <w:t>38.3款</w:t>
            </w:r>
          </w:p>
        </w:tc>
        <w:tc>
          <w:tcPr>
            <w:tcW w:w="2150" w:type="dxa"/>
            <w:vAlign w:val="center"/>
          </w:tcPr>
          <w:p>
            <w:pPr>
              <w:adjustRightInd w:val="0"/>
              <w:snapToGrid w:val="0"/>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履约担保</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不要求提供</w:t>
            </w:r>
          </w:p>
          <w:p>
            <w:pPr>
              <w:adjustRightInd w:val="0"/>
              <w:snapToGrid w:val="0"/>
              <w:spacing w:before="156" w:beforeLines="50" w:line="280" w:lineRule="exact"/>
              <w:ind w:left="315" w:hanging="315" w:hangingChars="15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□要求提供，履约担保的金额为：</w:t>
            </w:r>
            <w:r>
              <w:rPr>
                <w:rFonts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227" w:type="dxa"/>
            <w:gridSpan w:val="3"/>
            <w:vAlign w:val="center"/>
          </w:tcPr>
          <w:p>
            <w:pPr>
              <w:adjustRightInd w:val="0"/>
              <w:snapToGrid w:val="0"/>
              <w:spacing w:line="360" w:lineRule="exact"/>
              <w:jc w:val="center"/>
              <w:rPr>
                <w:rFonts w:ascii="宋体" w:hAnsi="宋体"/>
                <w:color w:val="000000" w:themeColor="text1"/>
                <w:sz w:val="18"/>
                <w:highlight w:val="none"/>
                <w:bdr w:val="single" w:color="auto" w:sz="4" w:space="0"/>
                <w14:textFill>
                  <w14:solidFill>
                    <w14:schemeClr w14:val="tx1"/>
                  </w14:solidFill>
                </w14:textFill>
              </w:rPr>
            </w:pPr>
            <w:r>
              <w:rPr>
                <w:rFonts w:hint="eastAsia" w:hAnsi="宋体"/>
                <w:b/>
                <w:color w:val="000000" w:themeColor="text1"/>
                <w:sz w:val="24"/>
                <w:highlight w:val="none"/>
                <w14:textFill>
                  <w14:solidFill>
                    <w14:schemeClr w14:val="tx1"/>
                  </w14:solidFill>
                </w14:textFill>
              </w:rPr>
              <w:t>七、其他规定</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第39.1</w:t>
            </w:r>
            <w:r>
              <w:rPr>
                <w:rFonts w:ascii="宋体" w:hAnsi="宋体"/>
                <w:color w:val="000000" w:themeColor="text1"/>
                <w:szCs w:val="21"/>
                <w:highlight w:val="none"/>
                <w14:textFill>
                  <w14:solidFill>
                    <w14:schemeClr w14:val="tx1"/>
                  </w14:solidFill>
                </w14:textFill>
              </w:rPr>
              <w:t>款</w:t>
            </w:r>
          </w:p>
        </w:tc>
        <w:tc>
          <w:tcPr>
            <w:tcW w:w="2150" w:type="dxa"/>
            <w:vAlign w:val="center"/>
          </w:tcPr>
          <w:p>
            <w:pPr>
              <w:adjustRightInd w:val="0"/>
              <w:snapToGrid w:val="0"/>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采购代理服务费</w:t>
            </w:r>
          </w:p>
        </w:tc>
        <w:tc>
          <w:tcPr>
            <w:tcW w:w="5548" w:type="dxa"/>
            <w:vAlign w:val="center"/>
          </w:tcPr>
          <w:p>
            <w:pPr>
              <w:adjustRightInd w:val="0"/>
              <w:snapToGrid w:val="0"/>
              <w:spacing w:line="360" w:lineRule="exact"/>
              <w:rPr>
                <w:rFonts w:ascii="宋体" w:hAnsi="宋体"/>
                <w:color w:val="000000" w:themeColor="text1"/>
                <w:szCs w:val="21"/>
                <w:highlight w:val="none"/>
                <w14:textFill>
                  <w14:solidFill>
                    <w14:schemeClr w14:val="tx1"/>
                  </w14:solidFill>
                </w14:textFill>
              </w:rPr>
            </w:pPr>
            <w:r>
              <w:rPr>
                <w:rStyle w:val="104"/>
                <w:rFonts w:hint="eastAsia" w:ascii="宋体" w:hAnsi="宋体"/>
                <w:color w:val="000000" w:themeColor="text1"/>
                <w:highlight w:val="none"/>
                <w14:textFill>
                  <w14:solidFill>
                    <w14:schemeClr w14:val="tx1"/>
                  </w14:solidFill>
                </w14:textFill>
              </w:rPr>
              <w:t>采购</w:t>
            </w:r>
            <w:r>
              <w:rPr>
                <w:rFonts w:hint="eastAsia" w:ascii="宋体" w:hAnsi="宋体" w:cs="仿宋"/>
                <w:snapToGrid w:val="0"/>
                <w:color w:val="000000" w:themeColor="text1"/>
                <w:kern w:val="0"/>
                <w:szCs w:val="21"/>
                <w:highlight w:val="none"/>
                <w14:textFill>
                  <w14:solidFill>
                    <w14:schemeClr w14:val="tx1"/>
                  </w14:solidFill>
                </w14:textFill>
              </w:rPr>
              <w:t>代理服务费按照招标代理机构与采购人的约定收取,由中标人在领取中标通知书时一次性缴纳。</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529" w:type="dxa"/>
            <w:vAlign w:val="center"/>
          </w:tcPr>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w:t>
            </w:r>
          </w:p>
          <w:p>
            <w:pPr>
              <w:adjustRightInd w:val="0"/>
              <w:snapToGrid w:val="0"/>
              <w:spacing w:before="156" w:beforeLine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第39.2</w:t>
            </w:r>
            <w:r>
              <w:rPr>
                <w:rFonts w:ascii="宋体" w:hAnsi="宋体"/>
                <w:color w:val="000000" w:themeColor="text1"/>
                <w:szCs w:val="21"/>
                <w:highlight w:val="none"/>
                <w14:textFill>
                  <w14:solidFill>
                    <w14:schemeClr w14:val="tx1"/>
                  </w14:solidFill>
                </w14:textFill>
              </w:rPr>
              <w:t>款</w:t>
            </w:r>
          </w:p>
        </w:tc>
        <w:tc>
          <w:tcPr>
            <w:tcW w:w="2150" w:type="dxa"/>
            <w:vAlign w:val="center"/>
          </w:tcPr>
          <w:p>
            <w:pPr>
              <w:adjustRightInd w:val="0"/>
              <w:snapToGrid w:val="0"/>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其他规定</w:t>
            </w:r>
          </w:p>
        </w:tc>
        <w:tc>
          <w:tcPr>
            <w:tcW w:w="5548" w:type="dxa"/>
            <w:vAlign w:val="center"/>
          </w:tcPr>
          <w:p>
            <w:pPr>
              <w:shd w:val="clear" w:color="auto" w:fill="FFFFFF"/>
              <w:adjustRightInd w:val="0"/>
              <w:snapToGrid w:val="0"/>
              <w:spacing w:before="156" w:beforeLines="50" w:after="156" w:afterLines="50"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numPr>
                <w:ilvl w:val="0"/>
                <w:numId w:val="2"/>
              </w:numPr>
              <w:adjustRightInd w:val="0"/>
              <w:snapToGrid w:val="0"/>
              <w:spacing w:before="156" w:beforeLines="50" w:line="360" w:lineRule="exact"/>
              <w:ind w:left="330" w:hanging="329" w:hangingChars="157"/>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信用信息查询的查询渠道</w:t>
            </w:r>
            <w:r>
              <w:rPr>
                <w:rFonts w:hint="eastAsia" w:ascii="宋体" w:hAnsi="宋体" w:cs="宋体"/>
                <w:color w:val="000000" w:themeColor="text1"/>
                <w:szCs w:val="21"/>
                <w:highlight w:val="none"/>
                <w14:textFill>
                  <w14:solidFill>
                    <w14:schemeClr w14:val="tx1"/>
                  </w14:solidFill>
                </w14:textFill>
              </w:rPr>
              <w:t>：“信用中国”网站（</w:t>
            </w:r>
            <w:r>
              <w:rPr>
                <w:rFonts w:ascii="宋体" w:hAnsi="宋体" w:cs="宋体"/>
                <w:color w:val="000000" w:themeColor="text1"/>
                <w:szCs w:val="21"/>
                <w:highlight w:val="none"/>
                <w14:textFill>
                  <w14:solidFill>
                    <w14:schemeClr w14:val="tx1"/>
                  </w14:solidFill>
                </w14:textFill>
              </w:rPr>
              <w:t>www.creditchina.gov.cn）、中国政府采购网（www.ccgp.gov.cn）。</w:t>
            </w:r>
          </w:p>
          <w:p>
            <w:pPr>
              <w:numPr>
                <w:ilvl w:val="0"/>
                <w:numId w:val="2"/>
              </w:numPr>
              <w:adjustRightInd w:val="0"/>
              <w:snapToGrid w:val="0"/>
              <w:spacing w:before="156" w:beforeLines="50" w:line="360" w:lineRule="exact"/>
              <w:ind w:left="330" w:hanging="329" w:hangingChars="157"/>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信用信息查询的截止时点</w:t>
            </w:r>
            <w:r>
              <w:rPr>
                <w:rFonts w:hint="eastAsia" w:ascii="宋体" w:hAnsi="宋体" w:cs="宋体"/>
                <w:color w:val="000000" w:themeColor="text1"/>
                <w:szCs w:val="21"/>
                <w:highlight w:val="none"/>
                <w14:textFill>
                  <w14:solidFill>
                    <w14:schemeClr w14:val="tx1"/>
                  </w14:solidFill>
                </w14:textFill>
              </w:rPr>
              <w:t>：至本项目首次响应文件的提交截止时间止。</w:t>
            </w:r>
          </w:p>
          <w:p>
            <w:pPr>
              <w:numPr>
                <w:ilvl w:val="0"/>
                <w:numId w:val="2"/>
              </w:numPr>
              <w:adjustRightInd w:val="0"/>
              <w:snapToGrid w:val="0"/>
              <w:spacing w:before="156" w:beforeLines="50" w:line="360" w:lineRule="exact"/>
              <w:ind w:left="330" w:hanging="329" w:hangingChars="157"/>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信用信息查询记录的具体方式</w:t>
            </w:r>
            <w:r>
              <w:rPr>
                <w:rFonts w:hint="eastAsia" w:ascii="宋体" w:hAnsi="宋体" w:cs="宋体"/>
                <w:color w:val="000000" w:themeColor="text1"/>
                <w:szCs w:val="21"/>
                <w:highlight w:val="none"/>
                <w14:textFill>
                  <w14:solidFill>
                    <w14:schemeClr w14:val="tx1"/>
                  </w14:solidFill>
                </w14:textFill>
              </w:rPr>
              <w:t>：由采购人或采购代理机构在规定的查询渠道进行查询。</w:t>
            </w:r>
          </w:p>
          <w:p>
            <w:pPr>
              <w:numPr>
                <w:ilvl w:val="0"/>
                <w:numId w:val="2"/>
              </w:numPr>
              <w:adjustRightInd w:val="0"/>
              <w:snapToGrid w:val="0"/>
              <w:spacing w:before="156" w:beforeLines="50" w:line="360" w:lineRule="exact"/>
              <w:ind w:left="330" w:hanging="329" w:hangingChars="157"/>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信用信息查询记录证据留存的具体方式</w:t>
            </w:r>
            <w:r>
              <w:rPr>
                <w:rFonts w:hint="eastAsia" w:ascii="宋体" w:hAnsi="宋体" w:cs="宋体"/>
                <w:color w:val="000000" w:themeColor="text1"/>
                <w:szCs w:val="21"/>
                <w:highlight w:val="none"/>
                <w14:textFill>
                  <w14:solidFill>
                    <w14:schemeClr w14:val="tx1"/>
                  </w14:solidFill>
                </w14:textFill>
              </w:rPr>
              <w:t>：查询记录的网上打印件。</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pPr>
              <w:adjustRightInd w:val="0"/>
              <w:snapToGrid w:val="0"/>
              <w:spacing w:line="360" w:lineRule="exact"/>
              <w:jc w:val="center"/>
              <w:rPr>
                <w:rFonts w:ascii="宋体" w:hAnsi="宋体"/>
                <w:color w:val="000000" w:themeColor="text1"/>
                <w:szCs w:val="21"/>
                <w:highlight w:val="none"/>
                <w14:textFill>
                  <w14:solidFill>
                    <w14:schemeClr w14:val="tx1"/>
                  </w14:solidFill>
                </w14:textFill>
              </w:rPr>
            </w:pPr>
          </w:p>
        </w:tc>
        <w:tc>
          <w:tcPr>
            <w:tcW w:w="2150" w:type="dxa"/>
            <w:vAlign w:val="center"/>
          </w:tcPr>
          <w:p>
            <w:pPr>
              <w:shd w:val="clear" w:color="auto" w:fill="FFFFFF"/>
              <w:adjustRightInd w:val="0"/>
              <w:snapToGrid w:val="0"/>
              <w:spacing w:before="156" w:beforeLines="50" w:after="156" w:afterLines="50" w:line="36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知识产权</w:t>
            </w:r>
          </w:p>
        </w:tc>
        <w:tc>
          <w:tcPr>
            <w:tcW w:w="5548" w:type="dxa"/>
            <w:vAlign w:val="center"/>
          </w:tcPr>
          <w:p>
            <w:pPr>
              <w:shd w:val="clear" w:color="auto" w:fill="FFFFFF"/>
              <w:adjustRightInd w:val="0"/>
              <w:snapToGrid w:val="0"/>
              <w:spacing w:before="156" w:beforeLines="50" w:after="156" w:afterLines="50"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pPr>
              <w:shd w:val="clear" w:color="auto" w:fill="FFFFFF"/>
              <w:adjustRightInd w:val="0"/>
              <w:snapToGrid w:val="0"/>
              <w:spacing w:before="156" w:beforeLines="50" w:after="156" w:afterLines="50"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（二）采购人享有本项目实施过程中产生的知识成果及知识产权。</w:t>
            </w:r>
          </w:p>
          <w:p>
            <w:pPr>
              <w:shd w:val="clear" w:color="auto" w:fill="FFFFFF"/>
              <w:adjustRightInd w:val="0"/>
              <w:snapToGrid w:val="0"/>
              <w:spacing w:before="156" w:beforeLines="50" w:after="156" w:afterLines="50"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供应商如欲在项目实施过程中采用自有知识成果，需在响应文件中声明，并提供相关知识产权证明文件。使用该知识成果后，供应商需提供开发接口和开发手册等技术文档，并承诺提供无限期技术支持，采购人享有永久使用权。</w:t>
            </w:r>
          </w:p>
          <w:p>
            <w:pPr>
              <w:shd w:val="clear" w:color="auto" w:fill="FFFFFF"/>
              <w:adjustRightInd w:val="0"/>
              <w:snapToGrid w:val="0"/>
              <w:spacing w:before="156" w:beforeLines="50" w:after="156" w:afterLines="50"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（四）本项目产生和承载的数据资源归采购人所有，未经采购人书面同意，成交人不可将数据资源用于本项目之外，包括数据复制、加工、共享、应用和提供给第三方。</w:t>
            </w:r>
          </w:p>
        </w:tc>
      </w:tr>
    </w:tbl>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rFonts w:ascii="宋体" w:hAnsi="宋体" w:cs="宋体"/>
          <w:color w:val="000000" w:themeColor="text1"/>
          <w:szCs w:val="21"/>
          <w:highlight w:val="none"/>
          <w14:textFill>
            <w14:solidFill>
              <w14:schemeClr w14:val="tx1"/>
            </w14:solidFill>
          </w14:textFill>
        </w:rPr>
      </w:pPr>
      <w:bookmarkStart w:id="6" w:name="_Toc485821378"/>
      <w:bookmarkStart w:id="7" w:name="_Toc392797275"/>
      <w:bookmarkStart w:id="8" w:name="_Toc382499047"/>
      <w:bookmarkStart w:id="9" w:name="_Toc489882259"/>
      <w:bookmarkStart w:id="10" w:name="_Toc19026"/>
      <w:r>
        <w:rPr>
          <w:rFonts w:ascii="宋体" w:hAnsi="宋体" w:cs="宋体"/>
          <w:color w:val="000000" w:themeColor="text1"/>
          <w:szCs w:val="21"/>
          <w:highlight w:val="none"/>
          <w14:textFill>
            <w14:solidFill>
              <w14:schemeClr w14:val="tx1"/>
            </w14:solidFill>
          </w14:textFill>
        </w:rPr>
        <w:br w:type="page"/>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附页</w:t>
      </w:r>
      <w:r>
        <w:rPr>
          <w:rFonts w:ascii="宋体" w:hAnsi="宋体" w:cs="宋体"/>
          <w:color w:val="000000" w:themeColor="text1"/>
          <w:szCs w:val="21"/>
          <w:highlight w:val="none"/>
          <w14:textFill>
            <w14:solidFill>
              <w14:schemeClr w14:val="tx1"/>
            </w14:solidFill>
          </w14:textFill>
        </w:rPr>
        <w:t>1：评审方法</w:t>
      </w:r>
      <w:bookmarkEnd w:id="6"/>
      <w:bookmarkEnd w:id="7"/>
      <w:bookmarkEnd w:id="8"/>
      <w:bookmarkEnd w:id="9"/>
      <w:bookmarkEnd w:id="10"/>
    </w:p>
    <w:p>
      <w:pPr>
        <w:pStyle w:val="47"/>
        <w:jc w:val="center"/>
        <w:outlineLvl w:val="1"/>
        <w:rPr>
          <w:rFonts w:hAnsi="宋体" w:cs="宋体"/>
          <w:b/>
          <w:color w:val="000000" w:themeColor="text1"/>
          <w:sz w:val="24"/>
          <w:szCs w:val="24"/>
          <w:highlight w:val="none"/>
          <w14:textFill>
            <w14:solidFill>
              <w14:schemeClr w14:val="tx1"/>
            </w14:solidFill>
          </w14:textFill>
        </w:rPr>
      </w:pPr>
      <w:bookmarkStart w:id="11" w:name="_Toc27422"/>
      <w:r>
        <w:rPr>
          <w:rFonts w:hint="eastAsia" w:hAnsi="宋体" w:cs="宋体"/>
          <w:b/>
          <w:color w:val="000000" w:themeColor="text1"/>
          <w:sz w:val="24"/>
          <w:szCs w:val="24"/>
          <w:highlight w:val="none"/>
          <w14:textFill>
            <w14:solidFill>
              <w14:schemeClr w14:val="tx1"/>
            </w14:solidFill>
          </w14:textFill>
        </w:rPr>
        <w:t>评审因素和标准</w:t>
      </w:r>
      <w:bookmarkEnd w:id="11"/>
    </w:p>
    <w:p>
      <w:pPr>
        <w:spacing w:line="400" w:lineRule="atLeas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本采购项目采用综合评分法，满分100分。</w:t>
      </w:r>
    </w:p>
    <w:tbl>
      <w:tblPr>
        <w:tblStyle w:val="90"/>
        <w:tblW w:w="0" w:type="auto"/>
        <w:tblInd w:w="2"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560"/>
        <w:gridCol w:w="132"/>
        <w:gridCol w:w="680"/>
        <w:gridCol w:w="5303"/>
        <w:gridCol w:w="556"/>
        <w:gridCol w:w="58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73" w:type="dxa"/>
            <w:tcBorders>
              <w:top w:val="doub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序号</w:t>
            </w:r>
          </w:p>
        </w:tc>
        <w:tc>
          <w:tcPr>
            <w:tcW w:w="1560" w:type="dxa"/>
            <w:tcBorders>
              <w:top w:val="double" w:color="auto" w:sz="4" w:space="0"/>
            </w:tcBorders>
            <w:vAlign w:val="center"/>
          </w:tcPr>
          <w:p>
            <w:pPr>
              <w:spacing w:line="400" w:lineRule="exact"/>
              <w:ind w:left="625" w:leftChars="1" w:hanging="623" w:hangingChars="297"/>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评审因素</w:t>
            </w:r>
          </w:p>
        </w:tc>
        <w:tc>
          <w:tcPr>
            <w:tcW w:w="812" w:type="dxa"/>
            <w:gridSpan w:val="2"/>
            <w:tcBorders>
              <w:top w:val="doub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分值</w:t>
            </w:r>
          </w:p>
        </w:tc>
        <w:tc>
          <w:tcPr>
            <w:tcW w:w="5303" w:type="dxa"/>
            <w:tcBorders>
              <w:top w:val="double" w:color="auto" w:sz="4" w:space="0"/>
            </w:tcBorders>
            <w:vAlign w:val="center"/>
          </w:tcPr>
          <w:p>
            <w:pPr>
              <w:spacing w:line="400" w:lineRule="exact"/>
              <w:ind w:left="625" w:leftChars="1" w:hanging="623" w:hangingChars="297"/>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评分标准</w:t>
            </w:r>
          </w:p>
        </w:tc>
        <w:tc>
          <w:tcPr>
            <w:tcW w:w="556" w:type="dxa"/>
            <w:tcBorders>
              <w:top w:val="double" w:color="auto" w:sz="4" w:space="0"/>
            </w:tcBorders>
            <w:vAlign w:val="center"/>
          </w:tcPr>
          <w:p>
            <w:pPr>
              <w:spacing w:line="400" w:lineRule="exact"/>
              <w:ind w:left="625" w:leftChars="1" w:hanging="623" w:hangingChars="297"/>
              <w:jc w:val="center"/>
              <w:rPr>
                <w:rFonts w:ascii="宋体" w:hAnsi="宋体" w:cs="宋体"/>
                <w:color w:val="000000" w:themeColor="text1"/>
                <w:szCs w:val="21"/>
                <w:highlight w:val="none"/>
                <w14:textFill>
                  <w14:solidFill>
                    <w14:schemeClr w14:val="tx1"/>
                  </w14:solidFill>
                </w14:textFill>
              </w:rPr>
            </w:pPr>
          </w:p>
        </w:tc>
        <w:tc>
          <w:tcPr>
            <w:tcW w:w="581" w:type="dxa"/>
            <w:tcBorders>
              <w:top w:val="double" w:color="auto" w:sz="4" w:space="0"/>
            </w:tcBorders>
            <w:vAlign w:val="center"/>
          </w:tcPr>
          <w:p>
            <w:pPr>
              <w:spacing w:line="400" w:lineRule="exact"/>
              <w:ind w:left="625" w:leftChars="1" w:hanging="623" w:hangingChars="297"/>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73" w:type="dxa"/>
            <w:vMerge w:val="restart"/>
            <w:vAlign w:val="center"/>
          </w:tcPr>
          <w:p>
            <w:pPr>
              <w:pStyle w:val="73"/>
              <w:spacing w:after="0" w:line="420" w:lineRule="exact"/>
              <w:ind w:left="0" w:leftChars="0" w:right="-107" w:rightChars="-51"/>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价格</w:t>
            </w:r>
          </w:p>
          <w:p>
            <w:pPr>
              <w:pStyle w:val="73"/>
              <w:spacing w:after="0" w:line="420" w:lineRule="exact"/>
              <w:ind w:left="-16" w:leftChars="-68" w:right="-107" w:rightChars="-51" w:hanging="126" w:hangingChars="60"/>
              <w:jc w:val="center"/>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30分</w:t>
            </w:r>
          </w:p>
        </w:tc>
        <w:tc>
          <w:tcPr>
            <w:tcW w:w="1560" w:type="dxa"/>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投标报价</w:t>
            </w:r>
          </w:p>
        </w:tc>
        <w:tc>
          <w:tcPr>
            <w:tcW w:w="812" w:type="dxa"/>
            <w:gridSpan w:val="2"/>
            <w:vAlign w:val="center"/>
          </w:tcPr>
          <w:p>
            <w:pPr>
              <w:spacing w:line="400" w:lineRule="exact"/>
              <w:ind w:left="2" w:right="-144" w:rightChars="-6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30分</w:t>
            </w:r>
          </w:p>
        </w:tc>
        <w:tc>
          <w:tcPr>
            <w:tcW w:w="5303" w:type="dxa"/>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1、以经评委会一致认定满足采购文件要求且所报价格最低的报价为评审基准价，其价格得分计30分。其他供应商的价格得分统一按公式计算：报价得分＝（评审基准价／报价）×价格权值×100</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注：给予小型和微型企业产品的价格给予4％的扣除，用扣除后的价格参与评审；</w:t>
            </w:r>
          </w:p>
        </w:tc>
        <w:tc>
          <w:tcPr>
            <w:tcW w:w="556"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73" w:type="dxa"/>
            <w:vMerge w:val="continue"/>
            <w:vAlign w:val="center"/>
          </w:tcPr>
          <w:p>
            <w:pPr>
              <w:spacing w:line="400" w:lineRule="exact"/>
              <w:ind w:left="620" w:leftChars="-17" w:hanging="655" w:hangingChars="312"/>
              <w:jc w:val="center"/>
              <w:rPr>
                <w:rFonts w:ascii="宋体" w:hAnsi="宋体" w:cs="宋体"/>
                <w:color w:val="000000" w:themeColor="text1"/>
                <w:szCs w:val="21"/>
                <w:highlight w:val="none"/>
                <w14:textFill>
                  <w14:solidFill>
                    <w14:schemeClr w14:val="tx1"/>
                  </w14:solidFill>
                </w14:textFill>
              </w:rPr>
            </w:pPr>
          </w:p>
        </w:tc>
        <w:tc>
          <w:tcPr>
            <w:tcW w:w="7675" w:type="dxa"/>
            <w:gridSpan w:val="4"/>
            <w:vAlign w:val="center"/>
          </w:tcPr>
          <w:p>
            <w:pPr>
              <w:pStyle w:val="73"/>
              <w:ind w:left="0" w:leftChars="0"/>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政府采购政策价格项调整</w:t>
            </w:r>
          </w:p>
        </w:tc>
        <w:tc>
          <w:tcPr>
            <w:tcW w:w="556"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73" w:type="dxa"/>
            <w:vMerge w:val="restart"/>
            <w:vAlign w:val="center"/>
          </w:tcPr>
          <w:p>
            <w:pPr>
              <w:spacing w:line="400" w:lineRule="exact"/>
              <w:ind w:left="620" w:leftChars="-17" w:hanging="655" w:hangingChars="31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商务</w:t>
            </w:r>
          </w:p>
          <w:p>
            <w:pPr>
              <w:spacing w:line="400" w:lineRule="exact"/>
              <w:ind w:left="620" w:leftChars="-17" w:hanging="655" w:hangingChars="31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27分</w:t>
            </w:r>
          </w:p>
        </w:tc>
        <w:tc>
          <w:tcPr>
            <w:tcW w:w="1560" w:type="dxa"/>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业绩</w:t>
            </w:r>
          </w:p>
        </w:tc>
        <w:tc>
          <w:tcPr>
            <w:tcW w:w="812" w:type="dxa"/>
            <w:gridSpan w:val="2"/>
            <w:vAlign w:val="center"/>
          </w:tcPr>
          <w:p>
            <w:pPr>
              <w:spacing w:line="400" w:lineRule="exact"/>
              <w:ind w:left="2" w:right="-144" w:rightChars="-6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12分</w:t>
            </w:r>
          </w:p>
        </w:tc>
        <w:tc>
          <w:tcPr>
            <w:tcW w:w="5303" w:type="dxa"/>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提供近三年以来的洁净手术室改造项目（特定资格条件设定业绩除外）：每提供1个业绩计2分，计满12分为止。（注：需提供合同（放重要签字盖章页，需体现签订时间及成交金额）或中标通知书、竣工验收证明材料，时间以竣工验收证明中的建设单位签字时间为准，否则不计分）</w:t>
            </w:r>
          </w:p>
        </w:tc>
        <w:tc>
          <w:tcPr>
            <w:tcW w:w="556"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73" w:type="dxa"/>
            <w:vMerge w:val="continue"/>
            <w:vAlign w:val="center"/>
          </w:tcPr>
          <w:p>
            <w:pPr>
              <w:spacing w:line="400" w:lineRule="exact"/>
              <w:ind w:left="620" w:leftChars="-17" w:hanging="655" w:hangingChars="312"/>
              <w:jc w:val="center"/>
              <w:rPr>
                <w:rFonts w:ascii="宋体" w:hAnsi="宋体" w:cs="宋体"/>
                <w:color w:val="000000" w:themeColor="text1"/>
                <w:szCs w:val="21"/>
                <w:highlight w:val="none"/>
                <w14:textFill>
                  <w14:solidFill>
                    <w14:schemeClr w14:val="tx1"/>
                  </w14:solidFill>
                </w14:textFill>
              </w:rPr>
            </w:pPr>
          </w:p>
        </w:tc>
        <w:tc>
          <w:tcPr>
            <w:tcW w:w="1560" w:type="dxa"/>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售后服务方案</w:t>
            </w:r>
          </w:p>
        </w:tc>
        <w:tc>
          <w:tcPr>
            <w:tcW w:w="812" w:type="dxa"/>
            <w:gridSpan w:val="2"/>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5分</w:t>
            </w:r>
          </w:p>
        </w:tc>
        <w:tc>
          <w:tcPr>
            <w:tcW w:w="5303" w:type="dxa"/>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从①服务内容；</w:t>
            </w:r>
          </w:p>
          <w:p>
            <w:pPr>
              <w:spacing w:line="400" w:lineRule="exact"/>
              <w:ind w:left="2"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②服务响应时间；</w:t>
            </w:r>
          </w:p>
          <w:p>
            <w:pPr>
              <w:spacing w:line="400" w:lineRule="exact"/>
              <w:ind w:left="2"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③服务承诺及保障措施；</w:t>
            </w:r>
          </w:p>
          <w:p>
            <w:pPr>
              <w:spacing w:line="400" w:lineRule="exact"/>
              <w:ind w:left="2"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④备件供应及质量保证；</w:t>
            </w:r>
          </w:p>
          <w:p>
            <w:pPr>
              <w:spacing w:line="400" w:lineRule="exact"/>
              <w:ind w:left="2"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⑤售后维修服务方案等方面；</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对供应商提供的售后服务方案进行评价，各类专项服务方案每缺少一项内容扣1分，每有一处缺陷扣0.5分，本项扣完为止，没有方案不计分。</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（缺陷是指：非专门针对本项目或不适用项目特性的情形、内容不完整或缺少关键节点、套用其他项目方案、内容前后矛盾、涉及的规范及标准错误、不利于项目实施、不可能实现的情形等任意一种情形。）</w:t>
            </w:r>
          </w:p>
        </w:tc>
        <w:tc>
          <w:tcPr>
            <w:tcW w:w="556"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673" w:type="dxa"/>
            <w:vMerge w:val="continue"/>
            <w:vAlign w:val="center"/>
          </w:tcPr>
          <w:p>
            <w:pPr>
              <w:spacing w:line="400" w:lineRule="exact"/>
              <w:ind w:left="620" w:leftChars="-17" w:hanging="655" w:hangingChars="312"/>
              <w:jc w:val="center"/>
              <w:rPr>
                <w:rFonts w:ascii="宋体" w:hAnsi="宋体" w:cs="宋体"/>
                <w:color w:val="000000" w:themeColor="text1"/>
                <w:szCs w:val="21"/>
                <w:highlight w:val="none"/>
                <w14:textFill>
                  <w14:solidFill>
                    <w14:schemeClr w14:val="tx1"/>
                  </w14:solidFill>
                </w14:textFill>
              </w:rPr>
            </w:pPr>
          </w:p>
        </w:tc>
        <w:tc>
          <w:tcPr>
            <w:tcW w:w="1560" w:type="dxa"/>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综合实力</w:t>
            </w:r>
          </w:p>
        </w:tc>
        <w:tc>
          <w:tcPr>
            <w:tcW w:w="812" w:type="dxa"/>
            <w:gridSpan w:val="2"/>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10分</w:t>
            </w:r>
          </w:p>
        </w:tc>
        <w:tc>
          <w:tcPr>
            <w:tcW w:w="5303" w:type="dxa"/>
            <w:vAlign w:val="center"/>
          </w:tcPr>
          <w:p>
            <w:pPr>
              <w:ind w:left="2"/>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1、供应商具有ISO质量管理体系认证、ISO环境管理体系认证、ISO职业健康管理体系认证，证书在有效期内的，每提供1个计1分，最多得3分，认证范围与本项目医用净化或手术室相关的得1分，此项最多得4分。</w:t>
            </w:r>
            <w:r>
              <w:rPr>
                <w:rFonts w:hint="eastAsia"/>
                <w:b/>
                <w:bCs/>
                <w:color w:val="000000" w:themeColor="text1"/>
                <w:highlight w:val="none"/>
                <w14:textFill>
                  <w14:solidFill>
                    <w14:schemeClr w14:val="tx1"/>
                  </w14:solidFill>
                </w14:textFill>
              </w:rPr>
              <w:t>注：证书均需全国认证认可信息公共服务平台（http://cx.cnca.cn/CertECloud/index/index/page）上能查询到，并在响应文件中附上相应网站截图及证书复印件并加盖供应商公章。否则不计分。</w:t>
            </w:r>
          </w:p>
          <w:p>
            <w:pPr>
              <w:wordWrap w:val="0"/>
              <w:spacing w:line="400" w:lineRule="exact"/>
              <w:ind w:left="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2、供应商具有ISO医疗器械质量管理体系认证，证书在有效期内的得2分，未提供的不计分。</w:t>
            </w:r>
            <w:r>
              <w:rPr>
                <w:rFonts w:hint="eastAsia"/>
                <w:b/>
                <w:bCs/>
                <w:color w:val="000000" w:themeColor="text1"/>
                <w:highlight w:val="none"/>
                <w14:textFill>
                  <w14:solidFill>
                    <w14:schemeClr w14:val="tx1"/>
                  </w14:solidFill>
                </w14:textFill>
              </w:rPr>
              <w:t>注：证书均需全国认证认可信息公共服务平台（http://cx.cnca.cn/CertECloud/index/index/page）上能查询到，并在响应文件中附上相应网站截图及证书复印件并加盖供应商公章。否则不计分。</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3、为保证数字化手术室系统的升级需要，供应商同时具有手术室视音系统、示教系统、数字一体化系统软件著作权证书的得4分，未提供的不计分。</w:t>
            </w:r>
          </w:p>
          <w:p>
            <w:pPr>
              <w:adjustRightInd w:val="0"/>
              <w:snapToGrid w:val="0"/>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注：提供相关证书复印件加盖公章，未提供不计分。</w:t>
            </w:r>
          </w:p>
        </w:tc>
        <w:tc>
          <w:tcPr>
            <w:tcW w:w="556"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73" w:type="dxa"/>
            <w:vMerge w:val="continue"/>
            <w:vAlign w:val="center"/>
          </w:tcPr>
          <w:p>
            <w:pPr>
              <w:spacing w:line="400" w:lineRule="exact"/>
              <w:ind w:left="620" w:leftChars="-17" w:hanging="655" w:hangingChars="312"/>
              <w:jc w:val="center"/>
              <w:rPr>
                <w:rFonts w:ascii="宋体" w:hAnsi="宋体" w:cs="宋体"/>
                <w:color w:val="000000" w:themeColor="text1"/>
                <w:szCs w:val="21"/>
                <w:highlight w:val="none"/>
                <w14:textFill>
                  <w14:solidFill>
                    <w14:schemeClr w14:val="tx1"/>
                  </w14:solidFill>
                </w14:textFill>
              </w:rPr>
            </w:pPr>
          </w:p>
        </w:tc>
        <w:tc>
          <w:tcPr>
            <w:tcW w:w="7675" w:type="dxa"/>
            <w:gridSpan w:val="4"/>
            <w:vAlign w:val="center"/>
          </w:tcPr>
          <w:p>
            <w:pPr>
              <w:pStyle w:val="73"/>
              <w:ind w:left="0" w:leftChars="0"/>
              <w:rPr>
                <w:rFonts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政府采购政策商务项调整</w:t>
            </w:r>
          </w:p>
        </w:tc>
        <w:tc>
          <w:tcPr>
            <w:tcW w:w="556"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673" w:type="dxa"/>
            <w:vMerge w:val="restart"/>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技术</w:t>
            </w:r>
          </w:p>
          <w:p>
            <w:pPr>
              <w:spacing w:line="400" w:lineRule="exact"/>
              <w:ind w:left="2" w:right="-107" w:rightChars="-51"/>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43分</w:t>
            </w:r>
          </w:p>
        </w:tc>
        <w:tc>
          <w:tcPr>
            <w:tcW w:w="1692" w:type="dxa"/>
            <w:gridSpan w:val="2"/>
            <w:tcBorders>
              <w:bottom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满足采购文件技术要求程度</w:t>
            </w:r>
          </w:p>
        </w:tc>
        <w:tc>
          <w:tcPr>
            <w:tcW w:w="680" w:type="dxa"/>
            <w:tcBorders>
              <w:bottom w:val="single" w:color="auto" w:sz="4" w:space="0"/>
            </w:tcBorders>
            <w:vAlign w:val="center"/>
          </w:tcPr>
          <w:p>
            <w:pPr>
              <w:spacing w:line="400" w:lineRule="exact"/>
              <w:ind w:left="2" w:right="-144" w:rightChars="-6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8分</w:t>
            </w:r>
          </w:p>
        </w:tc>
        <w:tc>
          <w:tcPr>
            <w:tcW w:w="5303" w:type="dxa"/>
            <w:tcBorders>
              <w:bottom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1、响应文件没有 “技术/商务响应与偏离表”的，本项不计分。</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2、技术条款中标注“★”号的条款有任何负偏离(不响应)，在评审时将其视为无效响应。</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3、以磋商文件“第四章 采购需求”为基准，参数清楚，阐述详尽且完全满足磋商文件采购需求的计8分。</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4、“▲”参数响应不完整或描述不清，或应答时缺项漏项，或要求提供证明材料未提供，或提供的证明材料不清楚的，或负偏离的，每负偏离一项扣2分，扣完为止；</w:t>
            </w:r>
          </w:p>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5、一般参数（非“★”、“▲”）响应不完整或描述不清，或应答时缺缺项漏项，或要求提供证明材料未提供，或提供的证明材料不清楚的，或负偏离的，每负偏离一项扣1分，扣完为止。</w:t>
            </w:r>
          </w:p>
        </w:tc>
        <w:tc>
          <w:tcPr>
            <w:tcW w:w="556" w:type="dxa"/>
            <w:tcBorders>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tcBorders>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673" w:type="dxa"/>
            <w:vMerge w:val="continue"/>
            <w:vAlign w:val="center"/>
          </w:tcPr>
          <w:p>
            <w:pPr>
              <w:spacing w:line="400" w:lineRule="exact"/>
              <w:ind w:left="2" w:right="-107" w:rightChars="-51"/>
              <w:jc w:val="left"/>
              <w:rPr>
                <w:rFonts w:ascii="宋体" w:hAnsi="宋体" w:cs="宋体"/>
                <w:color w:val="000000" w:themeColor="text1"/>
                <w:kern w:val="0"/>
                <w:szCs w:val="21"/>
                <w:highlight w:val="none"/>
                <w14:textFill>
                  <w14:solidFill>
                    <w14:schemeClr w14:val="tx1"/>
                  </w14:solidFill>
                </w14:textFill>
              </w:rPr>
            </w:pPr>
          </w:p>
        </w:tc>
        <w:tc>
          <w:tcPr>
            <w:tcW w:w="1692" w:type="dxa"/>
            <w:gridSpan w:val="2"/>
            <w:tcBorders>
              <w:bottom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施工方案与技术措施</w:t>
            </w:r>
          </w:p>
        </w:tc>
        <w:tc>
          <w:tcPr>
            <w:tcW w:w="680" w:type="dxa"/>
            <w:tcBorders>
              <w:bottom w:val="single" w:color="auto" w:sz="4" w:space="0"/>
            </w:tcBorders>
            <w:vAlign w:val="center"/>
          </w:tcPr>
          <w:p>
            <w:pPr>
              <w:spacing w:line="400" w:lineRule="exact"/>
              <w:ind w:left="2" w:right="-144" w:rightChars="-6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12分</w:t>
            </w:r>
          </w:p>
        </w:tc>
        <w:tc>
          <w:tcPr>
            <w:tcW w:w="5303" w:type="dxa"/>
            <w:tcBorders>
              <w:bottom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对项目总体概况表述清晰、完整；部署及措施先进、可靠；对项目主要及关键方案有深入的表述，对重点、难点分析透彻，解决方案切实可行；施工平面布置有针对性、合理，较好满足施工需要，符合安全、文明生产要求；主要施工顺序、施工工艺、作业方法、作业流程、操作要领等切实可行、有针对性，以上有关施工技术及方案合理、有操作性的，计12分，每存在一处缺漏或不完整扣1分，扣完为止。未提供不计分。</w:t>
            </w:r>
          </w:p>
        </w:tc>
        <w:tc>
          <w:tcPr>
            <w:tcW w:w="556" w:type="dxa"/>
            <w:tcBorders>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tcBorders>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73" w:type="dxa"/>
            <w:vMerge w:val="continue"/>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p>
        </w:tc>
        <w:tc>
          <w:tcPr>
            <w:tcW w:w="1692" w:type="dxa"/>
            <w:gridSpan w:val="2"/>
            <w:tcBorders>
              <w:top w:val="single" w:color="auto" w:sz="4" w:space="0"/>
              <w:bottom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工程进度计划与保证措施</w:t>
            </w:r>
          </w:p>
        </w:tc>
        <w:tc>
          <w:tcPr>
            <w:tcW w:w="680" w:type="dxa"/>
            <w:tcBorders>
              <w:top w:val="single" w:color="auto" w:sz="4" w:space="0"/>
              <w:bottom w:val="single" w:color="auto" w:sz="4" w:space="0"/>
            </w:tcBorders>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5分</w:t>
            </w:r>
          </w:p>
        </w:tc>
        <w:tc>
          <w:tcPr>
            <w:tcW w:w="5303" w:type="dxa"/>
            <w:tcBorders>
              <w:top w:val="single" w:color="auto" w:sz="4" w:space="0"/>
              <w:bottom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对项目特点、关键线路、控制性工程以及重难点工程的分析及提出的工程进度计划、方案与措施。符合采购人工期及节点工期的要求，对控制性工程、重难点工程进行经济、科学、合理配置资源的工期保证措施得力且有操作性的，计5分，每存在一处缺漏或不合理扣1分，扣完为止。未提供不计分。</w:t>
            </w:r>
          </w:p>
        </w:tc>
        <w:tc>
          <w:tcPr>
            <w:tcW w:w="556" w:type="dxa"/>
            <w:tcBorders>
              <w:top w:val="single" w:color="auto" w:sz="4" w:space="0"/>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tcBorders>
              <w:top w:val="single" w:color="auto" w:sz="4" w:space="0"/>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73" w:type="dxa"/>
            <w:vMerge w:val="continue"/>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p>
        </w:tc>
        <w:tc>
          <w:tcPr>
            <w:tcW w:w="1692" w:type="dxa"/>
            <w:gridSpan w:val="2"/>
            <w:tcBorders>
              <w:top w:val="single" w:color="auto" w:sz="4" w:space="0"/>
              <w:bottom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质量管理体系与措施</w:t>
            </w:r>
          </w:p>
        </w:tc>
        <w:tc>
          <w:tcPr>
            <w:tcW w:w="680" w:type="dxa"/>
            <w:tcBorders>
              <w:top w:val="single" w:color="auto" w:sz="4" w:space="0"/>
              <w:bottom w:val="single" w:color="auto" w:sz="4" w:space="0"/>
            </w:tcBorders>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5分</w:t>
            </w:r>
          </w:p>
        </w:tc>
        <w:tc>
          <w:tcPr>
            <w:tcW w:w="5303" w:type="dxa"/>
            <w:tcBorders>
              <w:top w:val="single" w:color="auto" w:sz="4" w:space="0"/>
              <w:bottom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提供的质量管理体系需包含但不限于明确质量目标，建立明确的质量管理制度、落实质量责任制，建立具体的管理结构，对隐蔽工程等提出具体的质量保证措施，提供完整的技术保障措施，实施与监控措施全面、有效等。有关上述质量管理措施方案阐述合理、可行，保证措施得力、可信且有操作性的，计5分，每存在一处缺漏或不合理扣1分，扣完为止。未提供不计分。</w:t>
            </w:r>
          </w:p>
        </w:tc>
        <w:tc>
          <w:tcPr>
            <w:tcW w:w="556" w:type="dxa"/>
            <w:tcBorders>
              <w:top w:val="single" w:color="auto" w:sz="4" w:space="0"/>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tcBorders>
              <w:top w:val="single" w:color="auto" w:sz="4" w:space="0"/>
              <w:bottom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673" w:type="dxa"/>
            <w:vMerge w:val="continue"/>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p>
        </w:tc>
        <w:tc>
          <w:tcPr>
            <w:tcW w:w="1692" w:type="dxa"/>
            <w:gridSpan w:val="2"/>
            <w:tcBorders>
              <w:top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安全管理体系与措施</w:t>
            </w:r>
          </w:p>
        </w:tc>
        <w:tc>
          <w:tcPr>
            <w:tcW w:w="680" w:type="dxa"/>
            <w:tcBorders>
              <w:top w:val="single" w:color="auto" w:sz="4" w:space="0"/>
            </w:tcBorders>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5分</w:t>
            </w:r>
          </w:p>
        </w:tc>
        <w:tc>
          <w:tcPr>
            <w:tcW w:w="5303" w:type="dxa"/>
            <w:tcBorders>
              <w:top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提供的安全目标明确，安全管理机构健全、职责分工明确；安全管理制度齐全，安全管理体系分析得当、针对可能出现的风险采取预防和应急处置措施得力、有操作性的，计5分，每存在一处缺漏或不合理扣1分，扣完为止。未提供不计分。</w:t>
            </w:r>
          </w:p>
        </w:tc>
        <w:tc>
          <w:tcPr>
            <w:tcW w:w="556" w:type="dxa"/>
            <w:vMerge w:val="restart"/>
            <w:tcBorders>
              <w:top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vMerge w:val="restart"/>
            <w:tcBorders>
              <w:top w:val="single" w:color="auto" w:sz="4" w:space="0"/>
            </w:tcBorders>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73" w:type="dxa"/>
            <w:vMerge w:val="continue"/>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p>
        </w:tc>
        <w:tc>
          <w:tcPr>
            <w:tcW w:w="1692" w:type="dxa"/>
            <w:gridSpan w:val="2"/>
            <w:tcBorders>
              <w:top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环境保护管理体系与措施</w:t>
            </w:r>
          </w:p>
        </w:tc>
        <w:tc>
          <w:tcPr>
            <w:tcW w:w="680" w:type="dxa"/>
            <w:tcBorders>
              <w:top w:val="single" w:color="auto" w:sz="4" w:space="0"/>
            </w:tcBorders>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4分</w:t>
            </w:r>
          </w:p>
        </w:tc>
        <w:tc>
          <w:tcPr>
            <w:tcW w:w="5303" w:type="dxa"/>
            <w:tcBorders>
              <w:top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供应商对现场情况分析符合实际，提出的噪音控制、污水控制、扬尘控制，材料堆放、人员管理等方法与措施合理、符合相关要求的，计4分，每存在一处缺漏或不合理扣1分，扣完为止。未提供不计分。</w:t>
            </w:r>
          </w:p>
        </w:tc>
        <w:tc>
          <w:tcPr>
            <w:tcW w:w="556" w:type="dxa"/>
            <w:vMerge w:val="continue"/>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vMerge w:val="continue"/>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673" w:type="dxa"/>
            <w:vMerge w:val="continue"/>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p>
        </w:tc>
        <w:tc>
          <w:tcPr>
            <w:tcW w:w="1692" w:type="dxa"/>
            <w:gridSpan w:val="2"/>
            <w:tcBorders>
              <w:top w:val="single" w:color="auto" w:sz="4" w:space="0"/>
            </w:tcBorders>
            <w:vAlign w:val="center"/>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资源配备计划</w:t>
            </w:r>
          </w:p>
        </w:tc>
        <w:tc>
          <w:tcPr>
            <w:tcW w:w="680" w:type="dxa"/>
            <w:tcBorders>
              <w:top w:val="single" w:color="auto" w:sz="4" w:space="0"/>
            </w:tcBorders>
            <w:vAlign w:val="center"/>
          </w:tcPr>
          <w:p>
            <w:pPr>
              <w:spacing w:line="400" w:lineRule="exact"/>
              <w:ind w:left="2"/>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4分</w:t>
            </w:r>
          </w:p>
        </w:tc>
        <w:tc>
          <w:tcPr>
            <w:tcW w:w="5303" w:type="dxa"/>
            <w:tcBorders>
              <w:top w:val="single" w:color="auto" w:sz="4" w:space="0"/>
            </w:tcBorders>
          </w:tcPr>
          <w:p>
            <w:pPr>
              <w:spacing w:line="400" w:lineRule="exact"/>
              <w:ind w:left="2"/>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供应商结合本项目实际情况，提供资源配备计划，表述全面、方案完善、措施合理且具有针对性的，计4分；每存在一处缺漏或不合理扣1分，扣完为止。未提供不计分。</w:t>
            </w:r>
          </w:p>
        </w:tc>
        <w:tc>
          <w:tcPr>
            <w:tcW w:w="556"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3" w:type="dxa"/>
            <w:vMerge w:val="continue"/>
            <w:vAlign w:val="center"/>
          </w:tcPr>
          <w:p>
            <w:pPr>
              <w:spacing w:line="400" w:lineRule="exact"/>
              <w:ind w:left="625" w:leftChars="1" w:hanging="623" w:hangingChars="297"/>
              <w:jc w:val="center"/>
              <w:rPr>
                <w:rFonts w:ascii="宋体" w:hAnsi="宋体" w:cs="宋体"/>
                <w:color w:val="000000" w:themeColor="text1"/>
                <w:szCs w:val="21"/>
                <w:highlight w:val="none"/>
                <w14:textFill>
                  <w14:solidFill>
                    <w14:schemeClr w14:val="tx1"/>
                  </w14:solidFill>
                </w14:textFill>
              </w:rPr>
            </w:pPr>
          </w:p>
        </w:tc>
        <w:tc>
          <w:tcPr>
            <w:tcW w:w="7675" w:type="dxa"/>
            <w:gridSpan w:val="4"/>
            <w:vAlign w:val="center"/>
          </w:tcPr>
          <w:p>
            <w:pPr>
              <w:pStyle w:val="73"/>
              <w:ind w:left="0" w:leftChars="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政府采购政策技术项调整</w:t>
            </w:r>
          </w:p>
        </w:tc>
        <w:tc>
          <w:tcPr>
            <w:tcW w:w="556"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c>
          <w:tcPr>
            <w:tcW w:w="581" w:type="dxa"/>
            <w:vAlign w:val="center"/>
          </w:tcPr>
          <w:p>
            <w:pPr>
              <w:pStyle w:val="73"/>
              <w:ind w:left="0" w:leftChars="0"/>
              <w:rPr>
                <w:rFonts w:ascii="宋体" w:hAnsi="宋体" w:cs="宋体"/>
                <w:color w:val="000000" w:themeColor="text1"/>
                <w:sz w:val="21"/>
                <w:szCs w:val="21"/>
                <w:highlight w:val="none"/>
                <w:lang w:val="zh-CN"/>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365" w:type="dxa"/>
            <w:gridSpan w:val="3"/>
            <w:tcBorders>
              <w:bottom w:val="double" w:color="auto" w:sz="4" w:space="0"/>
            </w:tcBorders>
            <w:vAlign w:val="center"/>
          </w:tcPr>
          <w:p>
            <w:pPr>
              <w:spacing w:line="400" w:lineRule="exact"/>
              <w:ind w:left="625" w:leftChars="1" w:hanging="623" w:hangingChars="297"/>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合计</w:t>
            </w:r>
          </w:p>
        </w:tc>
        <w:tc>
          <w:tcPr>
            <w:tcW w:w="680" w:type="dxa"/>
            <w:tcBorders>
              <w:bottom w:val="double" w:color="auto" w:sz="4" w:space="0"/>
            </w:tcBorders>
            <w:vAlign w:val="center"/>
          </w:tcPr>
          <w:p>
            <w:pPr>
              <w:spacing w:line="400" w:lineRule="exact"/>
              <w:ind w:left="625" w:leftChars="1" w:hanging="623" w:hangingChars="297"/>
              <w:jc w:val="center"/>
              <w:rPr>
                <w:rFonts w:ascii="宋体" w:hAnsi="宋体" w:cs="宋体"/>
                <w:color w:val="000000" w:themeColor="text1"/>
                <w:szCs w:val="21"/>
                <w:highlight w:val="none"/>
                <w14:textFill>
                  <w14:solidFill>
                    <w14:schemeClr w14:val="tx1"/>
                  </w14:solidFill>
                </w14:textFill>
              </w:rPr>
            </w:pPr>
          </w:p>
        </w:tc>
        <w:tc>
          <w:tcPr>
            <w:tcW w:w="5303" w:type="dxa"/>
            <w:tcBorders>
              <w:bottom w:val="double" w:color="auto" w:sz="4" w:space="0"/>
            </w:tcBorders>
            <w:vAlign w:val="center"/>
          </w:tcPr>
          <w:p>
            <w:pPr>
              <w:spacing w:line="400" w:lineRule="exact"/>
              <w:ind w:left="2" w:leftChars="1"/>
              <w:rPr>
                <w:rFonts w:ascii="宋体" w:hAnsi="宋体" w:cs="宋体"/>
                <w:color w:val="000000" w:themeColor="text1"/>
                <w:szCs w:val="21"/>
                <w:highlight w:val="none"/>
                <w14:textFill>
                  <w14:solidFill>
                    <w14:schemeClr w14:val="tx1"/>
                  </w14:solidFill>
                </w14:textFill>
              </w:rPr>
            </w:pPr>
          </w:p>
        </w:tc>
        <w:tc>
          <w:tcPr>
            <w:tcW w:w="556" w:type="dxa"/>
            <w:tcBorders>
              <w:bottom w:val="double" w:color="auto" w:sz="4" w:space="0"/>
            </w:tcBorders>
            <w:vAlign w:val="center"/>
          </w:tcPr>
          <w:p>
            <w:pPr>
              <w:spacing w:line="400" w:lineRule="exact"/>
              <w:ind w:left="2" w:leftChars="1"/>
              <w:rPr>
                <w:rFonts w:ascii="宋体" w:hAnsi="宋体" w:cs="宋体"/>
                <w:color w:val="000000" w:themeColor="text1"/>
                <w:szCs w:val="21"/>
                <w:highlight w:val="none"/>
                <w14:textFill>
                  <w14:solidFill>
                    <w14:schemeClr w14:val="tx1"/>
                  </w14:solidFill>
                </w14:textFill>
              </w:rPr>
            </w:pPr>
          </w:p>
        </w:tc>
        <w:tc>
          <w:tcPr>
            <w:tcW w:w="581" w:type="dxa"/>
            <w:tcBorders>
              <w:bottom w:val="double" w:color="auto" w:sz="4" w:space="0"/>
            </w:tcBorders>
            <w:vAlign w:val="center"/>
          </w:tcPr>
          <w:p>
            <w:pPr>
              <w:spacing w:line="400" w:lineRule="exact"/>
              <w:ind w:left="2" w:leftChars="1"/>
              <w:rPr>
                <w:rFonts w:ascii="宋体" w:hAnsi="宋体" w:cs="宋体"/>
                <w:color w:val="000000" w:themeColor="text1"/>
                <w:szCs w:val="21"/>
                <w:highlight w:val="none"/>
                <w14:textFill>
                  <w14:solidFill>
                    <w14:schemeClr w14:val="tx1"/>
                  </w14:solidFill>
                </w14:textFill>
              </w:rPr>
            </w:pPr>
          </w:p>
        </w:tc>
      </w:tr>
    </w:tbl>
    <w:p>
      <w:pPr>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注：</w:t>
      </w:r>
    </w:p>
    <w:p>
      <w:pPr>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1、所有复印件均需要加盖供应商单位公章。</w:t>
      </w:r>
    </w:p>
    <w:p>
      <w:pPr>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2、类似项目以委托协议（或施工合同）和竣工验收资料为准，日期以竣工验收资料中业主签字日期为准。</w:t>
      </w:r>
    </w:p>
    <w:p>
      <w:pPr>
        <w:tabs>
          <w:tab w:val="left" w:pos="630"/>
        </w:tabs>
        <w:adjustRightInd w:val="0"/>
        <w:snapToGrid w:val="0"/>
        <w:spacing w:before="156" w:beforeLines="50" w:after="156" w:afterLines="50" w:line="320" w:lineRule="exact"/>
        <w:ind w:firstLine="420" w:firstLineChars="200"/>
        <w:rPr>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3、企业、项目负责人不良行为记录由供应商自行承诺并对真实情况负责，如发现虚假承诺的，按“提供虚假材料谋取中标、成交的”情形处理。</w:t>
      </w:r>
      <w:r>
        <w:rPr>
          <w:color w:val="000000" w:themeColor="text1"/>
          <w:szCs w:val="21"/>
          <w:highlight w:val="none"/>
          <w14:textFill>
            <w14:solidFill>
              <w14:schemeClr w14:val="tx1"/>
            </w14:solidFill>
          </w14:textFill>
        </w:rPr>
        <w:br w:type="page"/>
      </w:r>
    </w:p>
    <w:p>
      <w:pPr>
        <w:adjustRightInd w:val="0"/>
        <w:snapToGrid w:val="0"/>
        <w:spacing w:line="360" w:lineRule="auto"/>
        <w:jc w:val="center"/>
        <w:outlineLvl w:val="1"/>
        <w:rPr>
          <w:rFonts w:ascii="宋体" w:hAnsi="宋体"/>
          <w:b/>
          <w:color w:val="000000" w:themeColor="text1"/>
          <w:sz w:val="32"/>
          <w:szCs w:val="32"/>
          <w:highlight w:val="none"/>
          <w14:textFill>
            <w14:solidFill>
              <w14:schemeClr w14:val="tx1"/>
            </w14:solidFill>
          </w14:textFill>
        </w:rPr>
      </w:pPr>
      <w:bookmarkStart w:id="12" w:name="_Toc4630"/>
      <w:bookmarkStart w:id="13" w:name="_Toc489882262"/>
      <w:r>
        <w:rPr>
          <w:rFonts w:hint="eastAsia" w:ascii="宋体" w:hAnsi="宋体"/>
          <w:b/>
          <w:color w:val="000000" w:themeColor="text1"/>
          <w:sz w:val="32"/>
          <w:szCs w:val="32"/>
          <w:highlight w:val="none"/>
          <w14:textFill>
            <w14:solidFill>
              <w14:schemeClr w14:val="tx1"/>
            </w14:solidFill>
          </w14:textFill>
        </w:rPr>
        <w:t>磋商须知正文</w:t>
      </w:r>
      <w:bookmarkEnd w:id="12"/>
      <w:bookmarkEnd w:id="13"/>
    </w:p>
    <w:p>
      <w:pPr>
        <w:pStyle w:val="8"/>
        <w:spacing w:before="312" w:beforeLines="100" w:after="120" w:line="360" w:lineRule="exact"/>
        <w:jc w:val="center"/>
        <w:rPr>
          <w:rFonts w:ascii="黑体" w:hAnsi="宋体" w:eastAsia="黑体"/>
          <w:b w:val="0"/>
          <w:color w:val="000000" w:themeColor="text1"/>
          <w:sz w:val="28"/>
          <w:szCs w:val="28"/>
          <w:highlight w:val="none"/>
          <w14:textFill>
            <w14:solidFill>
              <w14:schemeClr w14:val="tx1"/>
            </w14:solidFill>
          </w14:textFill>
        </w:rPr>
      </w:pPr>
      <w:bookmarkStart w:id="14" w:name="_Toc11785"/>
      <w:bookmarkStart w:id="15" w:name="_Toc472022189"/>
      <w:r>
        <w:rPr>
          <w:rFonts w:hint="eastAsia" w:ascii="黑体" w:hAnsi="宋体" w:eastAsia="黑体"/>
          <w:b w:val="0"/>
          <w:color w:val="000000" w:themeColor="text1"/>
          <w:sz w:val="28"/>
          <w:szCs w:val="28"/>
          <w:highlight w:val="none"/>
          <w14:textFill>
            <w14:solidFill>
              <w14:schemeClr w14:val="tx1"/>
            </w14:solidFill>
          </w14:textFill>
        </w:rPr>
        <w:t>一、说明</w:t>
      </w:r>
      <w:bookmarkEnd w:id="14"/>
      <w:bookmarkEnd w:id="15"/>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1.适用范围</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 </w:t>
      </w:r>
      <w:r>
        <w:rPr>
          <w:rFonts w:hint="eastAsia" w:ascii="宋体" w:hAnsi="宋体"/>
          <w:color w:val="000000" w:themeColor="text1"/>
          <w:szCs w:val="21"/>
          <w:highlight w:val="none"/>
          <w14:textFill>
            <w14:solidFill>
              <w14:schemeClr w14:val="tx1"/>
            </w14:solidFill>
          </w14:textFill>
        </w:rPr>
        <w:t>本磋商文件仅适用于【磋商须知前附表】</w:t>
      </w:r>
      <w:r>
        <w:rPr>
          <w:rFonts w:ascii="宋体" w:hAnsi="宋体"/>
          <w:color w:val="000000" w:themeColor="text1"/>
          <w:szCs w:val="21"/>
          <w:highlight w:val="none"/>
          <w14:textFill>
            <w14:solidFill>
              <w14:schemeClr w14:val="tx1"/>
            </w14:solidFill>
          </w14:textFill>
        </w:rPr>
        <w:t>(以下简称</w:t>
      </w:r>
      <w:r>
        <w:rPr>
          <w:rFonts w:hint="eastAsia" w:ascii="宋体" w:hAnsi="宋体"/>
          <w:b/>
          <w:color w:val="000000" w:themeColor="text1"/>
          <w:szCs w:val="21"/>
          <w:highlight w:val="none"/>
          <w14:textFill>
            <w14:solidFill>
              <w14:schemeClr w14:val="tx1"/>
            </w14:solidFill>
          </w14:textFill>
        </w:rPr>
        <w:t>【磋商须知前附表】</w:t>
      </w:r>
      <w:r>
        <w:rPr>
          <w:rFonts w:ascii="宋体" w:hAnsi="宋体"/>
          <w:b/>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中所叙述的采购项目。</w:t>
      </w:r>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2.定义</w:t>
      </w:r>
    </w:p>
    <w:p>
      <w:pPr>
        <w:adjustRightInd w:val="0"/>
        <w:snapToGrid w:val="0"/>
        <w:spacing w:before="156" w:beforeLines="50" w:line="320" w:lineRule="exact"/>
        <w:ind w:firstLine="420" w:firstLineChars="200"/>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 </w:t>
      </w:r>
      <w:r>
        <w:rPr>
          <w:rFonts w:hint="eastAsia" w:ascii="宋体" w:hAnsi="宋体"/>
          <w:color w:val="000000" w:themeColor="text1"/>
          <w:szCs w:val="21"/>
          <w:highlight w:val="none"/>
          <w14:textFill>
            <w14:solidFill>
              <w14:schemeClr w14:val="tx1"/>
            </w14:solidFill>
          </w14:textFill>
        </w:rPr>
        <w:t>“采购人”是指依法进行政府采购的国家机关、事业单位、团体组织。本次政府采购的采购人名称、地址、电话、联系人见</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w:t>
      </w:r>
    </w:p>
    <w:p>
      <w:pPr>
        <w:adjustRightInd w:val="0"/>
        <w:snapToGrid w:val="0"/>
        <w:spacing w:before="156" w:beforeLines="50" w:line="320" w:lineRule="exact"/>
        <w:ind w:firstLine="420" w:firstLineChars="200"/>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2.2 </w:t>
      </w:r>
      <w:r>
        <w:rPr>
          <w:rFonts w:hint="eastAsia" w:ascii="宋体" w:hAnsi="宋体"/>
          <w:color w:val="000000" w:themeColor="text1"/>
          <w:szCs w:val="21"/>
          <w:highlight w:val="none"/>
          <w14:textFill>
            <w14:solidFill>
              <w14:schemeClr w14:val="tx1"/>
            </w14:solidFill>
          </w14:textFill>
        </w:rPr>
        <w:t>“采购代理机构”是指接受采购人委托，代理采购项目的集中采购机构和其他采购代理机构。本次政府采购的采购代理机构名称、地址、电话、联系人见</w:t>
      </w:r>
      <w:r>
        <w:rPr>
          <w:rFonts w:hint="eastAsia" w:ascii="宋体" w:hAnsi="宋体"/>
          <w:b/>
          <w:color w:val="000000" w:themeColor="text1"/>
          <w:szCs w:val="21"/>
          <w:highlight w:val="none"/>
          <w14:textFill>
            <w14:solidFill>
              <w14:schemeClr w14:val="tx1"/>
            </w14:solidFill>
          </w14:textFill>
        </w:rPr>
        <w:t>【磋商须知前附表】。</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2.3 </w:t>
      </w:r>
      <w:r>
        <w:rPr>
          <w:rFonts w:hint="eastAsia" w:ascii="宋体" w:hAnsi="宋体"/>
          <w:color w:val="000000" w:themeColor="text1"/>
          <w:szCs w:val="21"/>
          <w:highlight w:val="none"/>
          <w14:textFill>
            <w14:solidFill>
              <w14:schemeClr w14:val="tx1"/>
            </w14:solidFill>
          </w14:textFill>
        </w:rPr>
        <w:t>“供应商”是指响应磋商文件要求、参加竞争性磋商采购的法人、其他组织或者自然人。本次政府采购项目采用【磋商邀请】所述方式，邀请符合资格条件的供应商参与竞争性磋商采购活动。供应商应持【磋商邀请】规定的资料购买磋商文件。</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2.4 </w:t>
      </w:r>
      <w:r>
        <w:rPr>
          <w:rFonts w:hint="eastAsia" w:ascii="宋体" w:hAnsi="宋体"/>
          <w:color w:val="000000" w:themeColor="text1"/>
          <w:szCs w:val="21"/>
          <w:highlight w:val="none"/>
          <w14:textFill>
            <w14:solidFill>
              <w14:schemeClr w14:val="tx1"/>
            </w14:solidFill>
          </w14:textFill>
        </w:rPr>
        <w:t>“磋商小组”是指依据财政部</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政府采购竞争性磋商采购方式管理暂行办法</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有关规定组建，依法依规履行其职责和义务的机构。</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2.5 </w:t>
      </w:r>
      <w:r>
        <w:rPr>
          <w:rFonts w:hint="eastAsia" w:ascii="宋体" w:hAnsi="宋体"/>
          <w:color w:val="000000" w:themeColor="text1"/>
          <w:szCs w:val="21"/>
          <w:highlight w:val="none"/>
          <w14:textFill>
            <w14:solidFill>
              <w14:schemeClr w14:val="tx1"/>
            </w14:solidFill>
          </w14:textFill>
        </w:rPr>
        <w:t>“货物”是指各种形态和种类的物品，包括原材料、燃料、设备、产品等，详见《政府采购品目分类目录》</w:t>
      </w:r>
      <w:r>
        <w:rPr>
          <w:rFonts w:ascii="宋体" w:hAnsi="宋体"/>
          <w:color w:val="000000" w:themeColor="text1"/>
          <w:szCs w:val="21"/>
          <w:highlight w:val="none"/>
          <w14:textFill>
            <w14:solidFill>
              <w14:schemeClr w14:val="tx1"/>
            </w14:solidFill>
          </w14:textFill>
        </w:rPr>
        <w:t>(</w:t>
      </w:r>
      <w:r>
        <w:rPr>
          <w:rStyle w:val="93"/>
          <w:rFonts w:ascii="宋体" w:hAnsi="宋体"/>
          <w:b w:val="0"/>
          <w:color w:val="000000" w:themeColor="text1"/>
          <w:szCs w:val="21"/>
          <w:highlight w:val="none"/>
          <w14:textFill>
            <w14:solidFill>
              <w14:schemeClr w14:val="tx1"/>
            </w14:solidFill>
          </w14:textFill>
        </w:rPr>
        <w:t>财库[2013]189号</w:t>
      </w:r>
      <w:r>
        <w:rPr>
          <w:rFonts w:ascii="宋体" w:hAnsi="宋体"/>
          <w:color w:val="000000" w:themeColor="text1"/>
          <w:szCs w:val="21"/>
          <w:highlight w:val="none"/>
          <w14:textFill>
            <w14:solidFill>
              <w14:schemeClr w14:val="tx1"/>
            </w14:solidFill>
          </w14:textFill>
        </w:rPr>
        <w:t>)。</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2.6 </w:t>
      </w:r>
      <w:r>
        <w:rPr>
          <w:rFonts w:hint="eastAsia" w:ascii="宋体" w:hAnsi="宋体"/>
          <w:color w:val="000000" w:themeColor="text1"/>
          <w:szCs w:val="21"/>
          <w:highlight w:val="none"/>
          <w14:textFill>
            <w14:solidFill>
              <w14:schemeClr w14:val="tx1"/>
            </w14:solidFill>
          </w14:textFill>
        </w:rPr>
        <w:t>“工程”是指建设工程，包括建筑物和构筑物的新建、改建、扩建、装修、拆除、修缮等，详见《政府采购品目分类目录》</w:t>
      </w:r>
      <w:r>
        <w:rPr>
          <w:rFonts w:ascii="宋体" w:hAnsi="宋体"/>
          <w:color w:val="000000" w:themeColor="text1"/>
          <w:szCs w:val="21"/>
          <w:highlight w:val="none"/>
          <w14:textFill>
            <w14:solidFill>
              <w14:schemeClr w14:val="tx1"/>
            </w14:solidFill>
          </w14:textFill>
        </w:rPr>
        <w:t>(</w:t>
      </w:r>
      <w:r>
        <w:rPr>
          <w:rStyle w:val="93"/>
          <w:rFonts w:ascii="宋体" w:hAnsi="宋体"/>
          <w:b w:val="0"/>
          <w:color w:val="000000" w:themeColor="text1"/>
          <w:szCs w:val="21"/>
          <w:highlight w:val="none"/>
          <w14:textFill>
            <w14:solidFill>
              <w14:schemeClr w14:val="tx1"/>
            </w14:solidFill>
          </w14:textFill>
        </w:rPr>
        <w:t>财库[2013]189号</w:t>
      </w:r>
      <w:r>
        <w:rPr>
          <w:rFonts w:ascii="宋体" w:hAnsi="宋体"/>
          <w:color w:val="000000" w:themeColor="text1"/>
          <w:szCs w:val="21"/>
          <w:highlight w:val="none"/>
          <w14:textFill>
            <w14:solidFill>
              <w14:schemeClr w14:val="tx1"/>
            </w14:solidFill>
          </w14:textFill>
        </w:rPr>
        <w:t>)。</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2.7 </w:t>
      </w:r>
      <w:r>
        <w:rPr>
          <w:rFonts w:hint="eastAsia" w:ascii="宋体" w:hAnsi="宋体"/>
          <w:color w:val="000000" w:themeColor="text1"/>
          <w:szCs w:val="21"/>
          <w:highlight w:val="none"/>
          <w14:textFill>
            <w14:solidFill>
              <w14:schemeClr w14:val="tx1"/>
            </w14:solidFill>
          </w14:textFill>
        </w:rPr>
        <w:t>“服务”是指除货物和工程以外的其他政府采购对象，详见《政府采购品目分类目录》</w:t>
      </w:r>
      <w:r>
        <w:rPr>
          <w:rFonts w:ascii="宋体" w:hAnsi="宋体"/>
          <w:color w:val="000000" w:themeColor="text1"/>
          <w:szCs w:val="21"/>
          <w:highlight w:val="none"/>
          <w14:textFill>
            <w14:solidFill>
              <w14:schemeClr w14:val="tx1"/>
            </w14:solidFill>
          </w14:textFill>
        </w:rPr>
        <w:t>(</w:t>
      </w:r>
      <w:r>
        <w:rPr>
          <w:rStyle w:val="93"/>
          <w:rFonts w:ascii="宋体" w:hAnsi="宋体"/>
          <w:b w:val="0"/>
          <w:color w:val="000000" w:themeColor="text1"/>
          <w:szCs w:val="21"/>
          <w:highlight w:val="none"/>
          <w14:textFill>
            <w14:solidFill>
              <w14:schemeClr w14:val="tx1"/>
            </w14:solidFill>
          </w14:textFill>
        </w:rPr>
        <w:t>财库[2013]189号</w:t>
      </w:r>
      <w:r>
        <w:rPr>
          <w:rFonts w:ascii="宋体" w:hAnsi="宋体"/>
          <w:color w:val="000000" w:themeColor="text1"/>
          <w:szCs w:val="21"/>
          <w:highlight w:val="none"/>
          <w14:textFill>
            <w14:solidFill>
              <w14:schemeClr w14:val="tx1"/>
            </w14:solidFill>
          </w14:textFill>
        </w:rPr>
        <w:t>)。</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2.8 </w:t>
      </w:r>
      <w:r>
        <w:rPr>
          <w:rFonts w:hint="eastAsia" w:ascii="宋体" w:hAnsi="宋体"/>
          <w:color w:val="000000" w:themeColor="text1"/>
          <w:szCs w:val="21"/>
          <w:highlight w:val="none"/>
          <w14:textFill>
            <w14:solidFill>
              <w14:schemeClr w14:val="tx1"/>
            </w14:solidFill>
          </w14:textFill>
        </w:rPr>
        <w:t>“节能产品”或者“环保产品”是指财政部发布的《节能产品政府采购品目清单》或者《环境标志产品政府采购品目清单》的产品。</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2.9“进口产品”是指通过中国海关报关验放进入中国境内且产自关境外的产品，详见《</w:t>
      </w:r>
      <w:r>
        <w:rPr>
          <w:rFonts w:ascii="宋体" w:hAnsi="宋体"/>
          <w:color w:val="000000" w:themeColor="text1"/>
          <w:szCs w:val="21"/>
          <w:highlight w:val="none"/>
          <w14:textFill>
            <w14:solidFill>
              <w14:schemeClr w14:val="tx1"/>
            </w14:solidFill>
          </w14:textFill>
        </w:rPr>
        <w:t>关于政府采购进口产品管理有关问题的通知</w:t>
      </w:r>
      <w:r>
        <w:rPr>
          <w:rFonts w:hint="eastAsia" w:ascii="宋体" w:hAnsi="宋体"/>
          <w:color w:val="000000" w:themeColor="text1"/>
          <w:szCs w:val="21"/>
          <w:highlight w:val="none"/>
          <w14:textFill>
            <w14:solidFill>
              <w14:schemeClr w14:val="tx1"/>
            </w14:solidFill>
          </w14:textFill>
        </w:rPr>
        <w:t>》(财库[2007]119号)。</w:t>
      </w:r>
    </w:p>
    <w:p>
      <w:pPr>
        <w:adjustRightInd w:val="0"/>
        <w:snapToGrid w:val="0"/>
        <w:spacing w:before="156" w:beforeLines="50" w:line="320" w:lineRule="exact"/>
        <w:rPr>
          <w:rFonts w:ascii="宋体" w:hAnsi="宋体"/>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3.供应商的资格要求</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 </w:t>
      </w:r>
      <w:r>
        <w:rPr>
          <w:rFonts w:hint="eastAsia" w:ascii="宋体" w:hAnsi="宋体"/>
          <w:color w:val="000000" w:themeColor="text1"/>
          <w:szCs w:val="21"/>
          <w:highlight w:val="none"/>
          <w14:textFill>
            <w14:solidFill>
              <w14:schemeClr w14:val="tx1"/>
            </w14:solidFill>
          </w14:textFill>
        </w:rPr>
        <w:t>供应商应当符合</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中规定的下列资格条件要求；</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l）</w:t>
      </w:r>
      <w:r>
        <w:rPr>
          <w:rFonts w:hint="eastAsia" w:ascii="宋体" w:hAnsi="宋体" w:cs="宋体"/>
          <w:color w:val="000000" w:themeColor="text1"/>
          <w:kern w:val="0"/>
          <w:szCs w:val="21"/>
          <w:highlight w:val="none"/>
          <w:lang w:val="zh-CN"/>
          <w14:textFill>
            <w14:solidFill>
              <w14:schemeClr w14:val="tx1"/>
            </w14:solidFill>
          </w14:textFill>
        </w:rPr>
        <w:t>《政府采购法》第二十二条第一款规定的</w:t>
      </w:r>
      <w:r>
        <w:rPr>
          <w:rFonts w:hint="eastAsia" w:ascii="宋体" w:hAnsi="宋体"/>
          <w:color w:val="000000" w:themeColor="text1"/>
          <w:szCs w:val="21"/>
          <w:highlight w:val="none"/>
          <w14:textFill>
            <w14:solidFill>
              <w14:schemeClr w14:val="tx1"/>
            </w14:solidFill>
          </w14:textFill>
        </w:rPr>
        <w:t>供应商基本资格条件</w:t>
      </w:r>
      <w:r>
        <w:rPr>
          <w:rFonts w:hint="eastAsia" w:ascii="宋体" w:hAnsi="宋体" w:cs="宋体"/>
          <w:color w:val="000000" w:themeColor="text1"/>
          <w:kern w:val="0"/>
          <w:szCs w:val="21"/>
          <w:highlight w:val="none"/>
          <w:lang w:val="zh-CN"/>
          <w14:textFill>
            <w14:solidFill>
              <w14:schemeClr w14:val="tx1"/>
            </w14:solidFill>
          </w14:textFill>
        </w:rPr>
        <w:t>；</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2）磋商文件</w:t>
      </w:r>
      <w:r>
        <w:rPr>
          <w:rFonts w:hint="eastAsia" w:ascii="宋体" w:hAnsi="宋体" w:cs="宋体"/>
          <w:color w:val="000000" w:themeColor="text1"/>
          <w:kern w:val="0"/>
          <w:szCs w:val="21"/>
          <w:highlight w:val="none"/>
          <w:lang w:val="zh-CN"/>
          <w14:textFill>
            <w14:solidFill>
              <w14:schemeClr w14:val="tx1"/>
            </w14:solidFill>
          </w14:textFill>
        </w:rPr>
        <w:t>规定的</w:t>
      </w:r>
      <w:r>
        <w:rPr>
          <w:rFonts w:hint="eastAsia" w:ascii="宋体" w:hAnsi="宋体"/>
          <w:color w:val="000000" w:themeColor="text1"/>
          <w:szCs w:val="21"/>
          <w:highlight w:val="none"/>
          <w14:textFill>
            <w14:solidFill>
              <w14:schemeClr w14:val="tx1"/>
            </w14:solidFill>
          </w14:textFill>
        </w:rPr>
        <w:t>供应商特定资格条件。</w:t>
      </w:r>
      <w:r>
        <w:rPr>
          <w:rFonts w:ascii="宋体" w:hAnsi="宋体"/>
          <w:color w:val="000000" w:themeColor="text1"/>
          <w:szCs w:val="21"/>
          <w:highlight w:val="none"/>
          <w14:textFill>
            <w14:solidFill>
              <w14:schemeClr w14:val="tx1"/>
            </w14:solidFill>
          </w14:textFill>
        </w:rPr>
        <w:t xml:space="preserve"> </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 xml:space="preserve">3.2供应商为联合体形式的，除应满足本章第3.1款资格条件要求及第3.3款规定外，还应遵守以下规定： </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（1）联合体各方应按磋商文件提供的格式签订联合体协议书，明确联合体牵头人和各方权利义务(含承担工作及工作量比例)；</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（2）联合体中有同类资质的供应商按照联合体分工承担相同工作的，应当按照资质等级较低的供应商确定资质等级；</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（3）以联合体形式参加政府采购活动的，联合体各方不得再单独参加或者与其他供应商另外组成联合体参加同一合同项下的政府采购活动。</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3.3 供应商不得存在下列情形之一：</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（l）与采购人、采购代理机构存在隶属关系或者其他利害关系。</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（2）与其他供应商的法定代表人（或者负责人）为同一人，或者与其他供应商存在控股、关联关系。</w:t>
      </w:r>
    </w:p>
    <w:p>
      <w:pPr>
        <w:adjustRightInd w:val="0"/>
        <w:snapToGrid w:val="0"/>
        <w:spacing w:before="156" w:beforeLines="50" w:line="320" w:lineRule="exact"/>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（3）为采购项目提供整体设计、规范编制或者项目管理、监理、检测等服务的供应商。</w:t>
      </w:r>
    </w:p>
    <w:p>
      <w:pPr>
        <w:adjustRightInd w:val="0"/>
        <w:snapToGrid w:val="0"/>
        <w:spacing w:before="156" w:beforeLines="50" w:line="320" w:lineRule="exact"/>
        <w:ind w:firstLine="420" w:firstLineChars="200"/>
        <w:rPr>
          <w:rFonts w:ascii="楷体" w:hAnsi="楷体" w:eastAsia="楷体"/>
          <w:bCs/>
          <w:color w:val="000000" w:themeColor="text1"/>
          <w:sz w:val="24"/>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4.参与磋商的费用 </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 </w:t>
      </w:r>
      <w:r>
        <w:rPr>
          <w:rFonts w:hint="eastAsia" w:ascii="宋体" w:hAnsi="宋体"/>
          <w:color w:val="000000" w:themeColor="text1"/>
          <w:szCs w:val="21"/>
          <w:highlight w:val="none"/>
          <w14:textFill>
            <w14:solidFill>
              <w14:schemeClr w14:val="tx1"/>
            </w14:solidFill>
          </w14:textFill>
        </w:rPr>
        <w:t>无论磋商的结果如何，供应商应自行承担所有与竞争性磋商采购活动有关的全部费用。</w:t>
      </w:r>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5．授权委托</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5.1供应商代表为供应商法定代表人的，应持有法定代表人身份证明。供应商代表不是供应商法定代表人的，应持有法定代表人授权书，并附法定代表人身份证明。</w:t>
      </w:r>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6．联合体形式</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6.1除</w:t>
      </w:r>
      <w:r>
        <w:rPr>
          <w:rFonts w:hint="eastAsia" w:hAnsi="宋体"/>
          <w:b/>
          <w:color w:val="000000" w:themeColor="text1"/>
          <w:highlight w:val="none"/>
          <w14:textFill>
            <w14:solidFill>
              <w14:schemeClr w14:val="tx1"/>
            </w14:solidFill>
          </w14:textFill>
        </w:rPr>
        <w:t>【磋商须知前附表】</w:t>
      </w:r>
      <w:r>
        <w:rPr>
          <w:rFonts w:hint="eastAsia" w:hAnsi="宋体"/>
          <w:color w:val="000000" w:themeColor="text1"/>
          <w:highlight w:val="none"/>
          <w14:textFill>
            <w14:solidFill>
              <w14:schemeClr w14:val="tx1"/>
            </w14:solidFill>
          </w14:textFill>
        </w:rPr>
        <w:t>中另有规定，本次磋商采购不接受为联合体形式的供应商。</w:t>
      </w:r>
    </w:p>
    <w:p>
      <w:pPr>
        <w:adjustRightInd w:val="0"/>
        <w:snapToGrid w:val="0"/>
        <w:spacing w:before="156" w:beforeLines="50" w:line="32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6.2供应商为联合体形式的，除应符合本章第3条规定外，还应遵守以下规定：</w:t>
      </w:r>
    </w:p>
    <w:p>
      <w:pPr>
        <w:adjustRightInd w:val="0"/>
        <w:snapToGrid w:val="0"/>
        <w:spacing w:before="156" w:beforeLines="50" w:line="32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l）联合体各方必须签订联合体协议书，明确联合体牵头人和各方的义务、工作、合同工作量比例；</w:t>
      </w:r>
    </w:p>
    <w:p>
      <w:pPr>
        <w:adjustRightInd w:val="0"/>
        <w:snapToGrid w:val="0"/>
        <w:spacing w:before="156" w:beforeLines="50" w:line="32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2）联合体各方均应当符合本章第3.1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规定的供应商基本资格条件；</w:t>
      </w:r>
    </w:p>
    <w:p>
      <w:pPr>
        <w:adjustRightInd w:val="0"/>
        <w:snapToGrid w:val="0"/>
        <w:spacing w:before="156" w:beforeLines="50" w:line="32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3）除</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中另有规定，联合体各方中至少有一方应当符合本章第</w:t>
      </w:r>
      <w:r>
        <w:rPr>
          <w:rFonts w:ascii="宋体" w:hAnsi="宋体"/>
          <w:color w:val="000000" w:themeColor="text1"/>
          <w:szCs w:val="21"/>
          <w:highlight w:val="none"/>
          <w14:textFill>
            <w14:solidFill>
              <w14:schemeClr w14:val="tx1"/>
            </w14:solidFill>
          </w14:textFill>
        </w:rPr>
        <w:t>3.1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规定的供应商特定资格条件；</w:t>
      </w:r>
    </w:p>
    <w:p>
      <w:pPr>
        <w:adjustRightInd w:val="0"/>
        <w:snapToGrid w:val="0"/>
        <w:spacing w:before="156" w:beforeLines="50" w:line="320" w:lineRule="exact"/>
        <w:ind w:firstLine="420" w:firstLineChars="200"/>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kern w:val="0"/>
          <w:szCs w:val="21"/>
          <w:highlight w:val="none"/>
          <w:lang w:val="zh-CN"/>
          <w14:textFill>
            <w14:solidFill>
              <w14:schemeClr w14:val="tx1"/>
            </w14:solidFill>
          </w14:textFill>
        </w:rPr>
        <w:t>联合体各方不得再单独或与其他供应商组成新的联合体参加同一项目的采购活动。</w:t>
      </w:r>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7.现场勘察</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7.1供应商应按</w:t>
      </w:r>
      <w:r>
        <w:rPr>
          <w:rFonts w:hint="eastAsia" w:ascii="宋体" w:hAnsi="宋体"/>
          <w:b/>
          <w:color w:val="000000" w:themeColor="text1"/>
          <w:szCs w:val="21"/>
          <w:highlight w:val="none"/>
          <w14:textFill>
            <w14:solidFill>
              <w14:schemeClr w14:val="tx1"/>
            </w14:solidFill>
          </w14:textFill>
        </w:rPr>
        <w:t>【磋商须知前附表】</w:t>
      </w:r>
      <w:r>
        <w:rPr>
          <w:rFonts w:hint="eastAsia" w:ascii="宋体" w:hAnsi="宋体"/>
          <w:color w:val="000000" w:themeColor="text1"/>
          <w:szCs w:val="21"/>
          <w:highlight w:val="none"/>
          <w14:textFill>
            <w14:solidFill>
              <w14:schemeClr w14:val="tx1"/>
            </w14:solidFill>
          </w14:textFill>
        </w:rPr>
        <w:t>中规定对采购项目现场和周围环境的现场考察。</w:t>
      </w:r>
    </w:p>
    <w:p>
      <w:pPr>
        <w:adjustRightInd w:val="0"/>
        <w:snapToGrid w:val="0"/>
        <w:spacing w:before="156" w:beforeLines="50" w:line="320" w:lineRule="exact"/>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7.2勘察现场的费用由供应商自己承担，勘察期间所发生的人身伤害及财产损失由供应商自己负责。</w:t>
      </w:r>
    </w:p>
    <w:p>
      <w:pPr>
        <w:adjustRightInd w:val="0"/>
        <w:snapToGrid w:val="0"/>
        <w:spacing w:before="156" w:beforeLines="50" w:line="320" w:lineRule="exact"/>
        <w:ind w:firstLine="420" w:firstLineChars="200"/>
        <w:jc w:val="left"/>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7.3采购人不对供应商据此而做出的推论、理解和结论负责。一旦成交，供应商不得以任何借口，提出额外补偿，或延长合同期限的要求。</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8.采购进口产品</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8.1除【磋商须知前附表】另有规定外，本项目拒绝进口产品参加竞争性磋商采购活动。</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8.2本章第8.1款规定同意购买进口产品的，本项目采购活动不限制满足磋商文件要求的国内产品参与竞争性磋商。</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9. 政府采购政策支持</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9.1价格评审优惠</w:t>
      </w:r>
    </w:p>
    <w:p>
      <w:pPr>
        <w:adjustRightInd w:val="0"/>
        <w:snapToGrid w:val="0"/>
        <w:spacing w:line="420" w:lineRule="exact"/>
        <w:ind w:firstLine="424" w:firstLineChars="202"/>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（1）供应商提供的工程全部由符合政策要求的小型、微型企业承建，即工程施工单位为中小企业，评审时按“评标方法及标准”规定给予价格折扣，用扣除后的价格参与评审；</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w:t>
      </w:r>
      <w:r>
        <w:rPr>
          <w:rFonts w:hint="eastAsia" w:ascii="宋体" w:hAnsi="宋体" w:cs="宋体"/>
          <w:bCs/>
          <w:color w:val="000000" w:themeColor="text1"/>
          <w:szCs w:val="21"/>
          <w:highlight w:val="none"/>
          <w14:textFill>
            <w14:solidFill>
              <w14:schemeClr w14:val="tx1"/>
            </w14:solidFill>
          </w14:textFill>
        </w:rPr>
        <w:t>组成联合体或者接受分包的小微企业与联合体内其他企业、分包企业之间存在直接控股、管理关系的，不享受价格扣除优惠政策。</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规定采购项目或者采购包属于“预留采购份额”，且专门面向中小企业采购的，小型、微型企业，或者接受中型企业与小型、微型企业组成联合体，或者允许中型企业向一家或者多家小型、微型企业分包的，其价格评审优惠按上款规定执行。</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9.2政府采购政策其他规定</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中型企业、小型企业和微型企业类型按照《关于印发＜政府采购促进中小企业发展办法＞的通知》(财库[2020]46号)和《关于印发中小企业划型标准规定的通知》（工信部联企业〔2011〕300号）规定认定。</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监狱企业、残疾人福利性单位以及个体工商户视同小型、微型企业，享受预留采购份额、价格扣除等促进中小企业发展的政府采购政策。监狱企业、残疾人福利性单位以及个体工商户属于小型、微型企业的，不重复享受扶持政策。</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联合体投标，联合体各方均为中小企业的，联合体视同中小企业。其中，联合体各方均为小微企业的，联合体视同小微企业。</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bookmarkStart w:id="16" w:name="_Toc62225291"/>
      <w:bookmarkStart w:id="17" w:name="_Toc79488645"/>
      <w:bookmarkStart w:id="18" w:name="_Toc62206166"/>
      <w:bookmarkStart w:id="19" w:name="_Toc23255846"/>
      <w:r>
        <w:rPr>
          <w:rFonts w:hint="eastAsia" w:ascii="宋体" w:hAnsi="宋体" w:cs="宋体"/>
          <w:bCs/>
          <w:color w:val="000000" w:themeColor="text1"/>
          <w:szCs w:val="21"/>
          <w:highlight w:val="none"/>
          <w14:textFill>
            <w14:solidFill>
              <w14:schemeClr w14:val="tx1"/>
            </w14:solidFill>
          </w14:textFill>
        </w:rPr>
        <w:t>9.3.供应商应提供的政府采购政策证明资料</w:t>
      </w:r>
      <w:bookmarkEnd w:id="16"/>
      <w:bookmarkEnd w:id="17"/>
      <w:bookmarkEnd w:id="18"/>
      <w:bookmarkEnd w:id="19"/>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9.3.1符合本章规定的，供应商应在响应文件中提供相关证明资料。</w:t>
      </w:r>
    </w:p>
    <w:p>
      <w:pPr>
        <w:tabs>
          <w:tab w:val="left" w:pos="7371"/>
        </w:tabs>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（1）中小企业：按《关于印发＜政府采购促进中小企业发展办法＞的通知》(财库[2020]46号) 文件规定，提供《中小企业声明函》（格式）。采购文件要求或接受联合体形式，或者要求或允许分包的，还应当提供联合协议或者分包意向协议。《中小企业声明函》（格式）中采购标的对应的中小企业划分标准所属行业见【投标须知前附表】。</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（2）监狱企业：按《关于政府采购支持监狱企业发展有关问题的通知》(财库〔2014〕68号)文件规定提供证明文件（复印件）。</w:t>
      </w:r>
    </w:p>
    <w:p>
      <w:pPr>
        <w:adjustRightInd w:val="0"/>
        <w:snapToGrid w:val="0"/>
        <w:spacing w:line="420" w:lineRule="exact"/>
        <w:ind w:firstLine="424" w:firstLineChars="202"/>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（3）残疾人福利性单位：按《关于促进残疾人就业政府采购政策的通知》(财库〔2017〕141号)文件规定提供《残疾人福利性单位声明函》（格式）。</w:t>
      </w:r>
    </w:p>
    <w:p>
      <w:pPr>
        <w:adjustRightInd w:val="0"/>
        <w:snapToGrid w:val="0"/>
        <w:spacing w:before="156" w:beforeLines="50" w:line="32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9.6供应商有融资、担保需求的，具体办理流程可可登陆中国湖南政府采购网查询。</w:t>
      </w:r>
    </w:p>
    <w:p>
      <w:pPr>
        <w:pStyle w:val="8"/>
        <w:spacing w:before="312" w:beforeLines="100" w:after="120" w:line="360" w:lineRule="exact"/>
        <w:jc w:val="center"/>
        <w:rPr>
          <w:rFonts w:ascii="黑体" w:hAnsi="宋体" w:eastAsia="黑体"/>
          <w:b w:val="0"/>
          <w:color w:val="000000" w:themeColor="text1"/>
          <w:sz w:val="28"/>
          <w:szCs w:val="28"/>
          <w:highlight w:val="none"/>
          <w14:textFill>
            <w14:solidFill>
              <w14:schemeClr w14:val="tx1"/>
            </w14:solidFill>
          </w14:textFill>
        </w:rPr>
      </w:pPr>
      <w:bookmarkStart w:id="20" w:name="_Toc472022190"/>
      <w:bookmarkStart w:id="21" w:name="_Toc21392"/>
      <w:r>
        <w:rPr>
          <w:rFonts w:hint="eastAsia" w:ascii="黑体" w:hAnsi="宋体" w:eastAsia="黑体"/>
          <w:b w:val="0"/>
          <w:color w:val="000000" w:themeColor="text1"/>
          <w:sz w:val="28"/>
          <w:szCs w:val="28"/>
          <w:highlight w:val="none"/>
          <w14:textFill>
            <w14:solidFill>
              <w14:schemeClr w14:val="tx1"/>
            </w14:solidFill>
          </w14:textFill>
        </w:rPr>
        <w:t>二、磋商文件</w:t>
      </w:r>
      <w:bookmarkEnd w:id="20"/>
      <w:bookmarkEnd w:id="21"/>
    </w:p>
    <w:p>
      <w:pPr>
        <w:adjustRightInd w:val="0"/>
        <w:snapToGrid w:val="0"/>
        <w:spacing w:before="156" w:beforeLines="50" w:line="32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10</w:t>
      </w:r>
      <w:r>
        <w:rPr>
          <w:rFonts w:ascii="宋体" w:hAnsi="宋体"/>
          <w:b/>
          <w:bCs/>
          <w:color w:val="000000" w:themeColor="text1"/>
          <w:szCs w:val="21"/>
          <w:highlight w:val="none"/>
          <w14:textFill>
            <w14:solidFill>
              <w14:schemeClr w14:val="tx1"/>
            </w14:solidFill>
          </w14:textFill>
        </w:rPr>
        <w:t>．磋商文件的组成</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10</w:t>
      </w:r>
      <w:r>
        <w:rPr>
          <w:rFonts w:hAnsi="宋体"/>
          <w:color w:val="000000" w:themeColor="text1"/>
          <w:highlight w:val="none"/>
          <w14:textFill>
            <w14:solidFill>
              <w14:schemeClr w14:val="tx1"/>
            </w14:solidFill>
          </w14:textFill>
        </w:rPr>
        <w:t xml:space="preserve">.1 </w:t>
      </w:r>
      <w:r>
        <w:rPr>
          <w:rFonts w:hint="eastAsia" w:hAnsi="宋体"/>
          <w:color w:val="000000" w:themeColor="text1"/>
          <w:highlight w:val="none"/>
          <w14:textFill>
            <w14:solidFill>
              <w14:schemeClr w14:val="tx1"/>
            </w14:solidFill>
          </w14:textFill>
        </w:rPr>
        <w:t>磋商文件由下列文件组成：</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第一章</w:t>
      </w:r>
      <w:r>
        <w:rPr>
          <w:rFonts w:hAnsi="宋体"/>
          <w:color w:val="000000" w:themeColor="text1"/>
          <w:highlight w:val="non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磋商邀请</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第二章</w:t>
      </w:r>
      <w:r>
        <w:rPr>
          <w:rFonts w:hAnsi="宋体"/>
          <w:color w:val="000000" w:themeColor="text1"/>
          <w:highlight w:val="non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磋商须知</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第三章</w:t>
      </w:r>
      <w:r>
        <w:rPr>
          <w:rFonts w:hAnsi="宋体"/>
          <w:color w:val="000000" w:themeColor="text1"/>
          <w:highlight w:val="non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合同格式条款</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第四章</w:t>
      </w:r>
      <w:r>
        <w:rPr>
          <w:rFonts w:hAnsi="宋体"/>
          <w:color w:val="000000" w:themeColor="text1"/>
          <w:highlight w:val="non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采购需求</w:t>
      </w:r>
    </w:p>
    <w:p>
      <w:pPr>
        <w:pStyle w:val="47"/>
        <w:adjustRightInd w:val="0"/>
        <w:snapToGrid w:val="0"/>
        <w:spacing w:before="156" w:beforeLines="50" w:line="320" w:lineRule="exact"/>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第五章</w:t>
      </w:r>
      <w:r>
        <w:rPr>
          <w:rFonts w:hAnsi="宋体"/>
          <w:color w:val="000000" w:themeColor="text1"/>
          <w:highlight w:val="non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响应文件组成</w:t>
      </w:r>
    </w:p>
    <w:p>
      <w:pPr>
        <w:adjustRightInd w:val="0"/>
        <w:snapToGrid w:val="0"/>
        <w:spacing w:line="420" w:lineRule="exact"/>
        <w:ind w:firstLine="424" w:firstLineChars="202"/>
        <w:jc w:val="left"/>
        <w:rPr>
          <w:rFonts w:asciiTheme="majorEastAsia" w:hAnsiTheme="majorEastAsia" w:eastAsiaTheme="majorEastAsia" w:cstheme="majorEastAsia"/>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10.2磋商小组根据与供应商磋商情况可能实质性变动的内容，包括采购需求中的技术、服务要求以及合同条款，在【磋商须知前附表】中明确。</w:t>
      </w:r>
    </w:p>
    <w:p>
      <w:pPr>
        <w:adjustRightInd w:val="0"/>
        <w:snapToGrid w:val="0"/>
        <w:spacing w:line="420" w:lineRule="exact"/>
        <w:ind w:firstLine="424" w:firstLineChars="202"/>
        <w:jc w:val="left"/>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10.3供应商应仔细阅读磋商文件的全部内容，按照磋商文件要求编制响应文件。任何对磋商文件的忽略或误解不能作为响应文件存在缺陷或瑕疵的理由，其风险由供应商承担。</w:t>
      </w:r>
    </w:p>
    <w:p>
      <w:pPr>
        <w:pStyle w:val="47"/>
        <w:adjustRightInd w:val="0"/>
        <w:snapToGrid w:val="0"/>
        <w:spacing w:before="156" w:beforeLines="50" w:line="320" w:lineRule="exact"/>
        <w:rPr>
          <w:rFonts w:hAnsi="宋体"/>
          <w:b/>
          <w:color w:val="000000" w:themeColor="text1"/>
          <w:highlight w:val="none"/>
          <w14:textFill>
            <w14:solidFill>
              <w14:schemeClr w14:val="tx1"/>
            </w14:solidFill>
          </w14:textFill>
        </w:rPr>
      </w:pPr>
      <w:r>
        <w:rPr>
          <w:rFonts w:hAnsi="宋体"/>
          <w:b/>
          <w:color w:val="000000" w:themeColor="text1"/>
          <w:highlight w:val="none"/>
          <w14:textFill>
            <w14:solidFill>
              <w14:schemeClr w14:val="tx1"/>
            </w14:solidFill>
          </w14:textFill>
        </w:rPr>
        <w:t xml:space="preserve">10. </w:t>
      </w:r>
      <w:r>
        <w:rPr>
          <w:rFonts w:hint="eastAsia" w:hAnsi="宋体" w:cs="宋体"/>
          <w:b/>
          <w:color w:val="000000" w:themeColor="text1"/>
          <w:kern w:val="0"/>
          <w:highlight w:val="none"/>
          <w14:textFill>
            <w14:solidFill>
              <w14:schemeClr w14:val="tx1"/>
            </w14:solidFill>
          </w14:textFill>
        </w:rPr>
        <w:t>磋商文件的发售期限</w:t>
      </w:r>
    </w:p>
    <w:p>
      <w:pPr>
        <w:adjustRightInd w:val="0"/>
        <w:snapToGrid w:val="0"/>
        <w:spacing w:before="156" w:beforeLines="50" w:line="32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10.1磋商文件的发售期限不少于5个工作日。具体提供期限见【</w:t>
      </w:r>
      <w:r>
        <w:rPr>
          <w:rFonts w:hint="eastAsia" w:ascii="宋体" w:hAnsi="宋体" w:cs="宋体"/>
          <w:b/>
          <w:color w:val="000000" w:themeColor="text1"/>
          <w:szCs w:val="21"/>
          <w:highlight w:val="none"/>
          <w14:textFill>
            <w14:solidFill>
              <w14:schemeClr w14:val="tx1"/>
            </w14:solidFill>
          </w14:textFill>
        </w:rPr>
        <w:t>磋商须知前附表】</w:t>
      </w:r>
      <w:r>
        <w:rPr>
          <w:rFonts w:hint="eastAsia" w:ascii="宋体" w:hAnsi="宋体" w:cs="宋体"/>
          <w:color w:val="000000" w:themeColor="text1"/>
          <w:szCs w:val="21"/>
          <w:highlight w:val="none"/>
          <w14:textFill>
            <w14:solidFill>
              <w14:schemeClr w14:val="tx1"/>
            </w14:solidFill>
          </w14:textFill>
        </w:rPr>
        <w:t>。</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11.提交首次响应文件的截止时间</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11.1供应商提交首次响应文件截止时间见【磋商须知前附表】。</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12.磋商文件的澄清或者修改</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12.1在提交首次响应文件截止之日前，采购人、采购代理机构可以对已发出的磋商文件进行必要的澄清或者修改。 </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12.2澄清或者修改的内容可能影响响应文件编制的，采购人、采购代理机构应当在提交首次响应文件截止之日5日前，以书面形式、电子邮件、网站披露等其中至少一种方式将澄清或者修改的内容通知所有报名的供应商（需要纸制书面通知的供应商请自行到代理公司领取），不足5日的，采购人、采购代理机构应当顺延提交首次响应文件截止时间。磋商开始后，除磋商小组要求提供的以外，不接受供应商及与供应商有关的第三方递交的材料。</w:t>
      </w:r>
    </w:p>
    <w:p>
      <w:pPr>
        <w:adjustRightInd w:val="0"/>
        <w:snapToGrid w:val="0"/>
        <w:spacing w:line="420" w:lineRule="exact"/>
        <w:ind w:firstLine="424" w:firstLineChars="202"/>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12.2提交首次响应文件截止时间前对磋商文件澄清或者修改内容，为磋商文件的组成部分。</w:t>
      </w:r>
    </w:p>
    <w:p>
      <w:pPr>
        <w:adjustRightInd w:val="0"/>
        <w:snapToGrid w:val="0"/>
        <w:spacing w:line="4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三、响应文件</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13.一般要求</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13.1 供应商应仔细阅读磋商文件的所有内容，按磋商文件的要求编制响应文件，并保证所提供的全部资料的真实性，以使其响应文件对磋商文件做出实质性的响应。</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13.2 供应商提交的响应文件及供应商与采购人或采购代理机构、磋商小组就有关磋商的所有来往函电均使用中文。供应商可以提交其它语言的资料，但应附中文注释，在有差异时以中文为准。</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13.3 计量单位应使用我国法定计量单位，未列明时应默认为我国法定计量单位。</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13.4 响应文件应采用书面形式，电报、传真、电子邮件形式的响应文件概不接受。</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13.5 供应商应按磋商文件中提供的响应文件格式填写。</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14.响应文件的组成</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14.1 响应文件包括下列内容： </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（1）磋商响应声明</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（2）保证金</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（3）供应商的资格证明文件</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（4）服务方案说明</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（5）技术/商务响应与偏离表</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（6）中小企业声明函</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（7）报价一览表及报价文件</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（8）供应商认为需提供的其他资料</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14.2在磋商过程中，供应商根据磋商小组书面形式要求提交的最后报价(或者重新提交的响应文件和最后报价)是响应文件的有效组成部分。</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14.3磋商文件规定可能发生实质性变动的，供应商应当在《技术/商务响应与偏离表》中对应内容注明。</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14.4根据《政府采购法》第四十二条的规定，供应商无论成交与否，其响应文件不予退还。</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15.报价</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15.1供应商应当根据磋商文件要求和范围，以人民币报价，以元为单位，保留小数点后两位。</w:t>
      </w:r>
    </w:p>
    <w:p>
      <w:pPr>
        <w:pStyle w:val="285"/>
        <w:adjustRightInd w:val="0"/>
        <w:snapToGrid w:val="0"/>
        <w:spacing w:line="420" w:lineRule="exact"/>
        <w:ind w:firstLine="420" w:firstLineChars="200"/>
        <w:rPr>
          <w:rFonts w:cs="宋体"/>
          <w:bCs/>
          <w:color w:val="000000" w:themeColor="text1"/>
          <w:kern w:val="2"/>
          <w:highlight w:val="none"/>
          <w14:textFill>
            <w14:solidFill>
              <w14:schemeClr w14:val="tx1"/>
            </w14:solidFill>
          </w14:textFill>
        </w:rPr>
      </w:pPr>
      <w:r>
        <w:rPr>
          <w:rFonts w:hint="eastAsia" w:cs="宋体"/>
          <w:bCs/>
          <w:color w:val="000000" w:themeColor="text1"/>
          <w:kern w:val="2"/>
          <w:highlight w:val="none"/>
          <w14:textFill>
            <w14:solidFill>
              <w14:schemeClr w14:val="tx1"/>
            </w14:solidFill>
          </w14:textFill>
        </w:rPr>
        <w:t>15.2供应商应按第五章响应文件组成格式填写。</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15.3响应文件中标明的价格在合同执行过程中是固定不变的，不得以任何理由予以变更。以可变动价格提交的报价将被认为是非实质响应而被拒绝。</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15.4供应商的报价不得超过采购项目预算，采购项目预算或其计算方法见【磋商须知前附表】。</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15.5投标总价不得缺漏采购文件所要求的内容，否则，在评标时将视为无效投标。</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15.6供应商对所投品目只允许有一个报价，不接受选择性报价，不接受0报价，否则，在评标时将视为无效投标。</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15.7如果在评标过程中，评标小组发现供应商的投标报价明显低于其他通过符合性审查供应商的综合报价或者有理由怀疑其投标综合报价可能低于其成本的，将要求该供应商在规定的时间内出具详细的成本计算清单（加盖供应商单位公章或授权代表签字）并提供相关证明材料（相关证明材料：提供与本次采购规模、类似的业绩，以合同复印件为准，并加盖供应商单位公章）。供应商在规定的时间内不能出具详细的成本计算清单或不能提供相关证明材料的，视作该供应商以低于成本报价投标，其投标文件应作废标处理。</w:t>
      </w:r>
    </w:p>
    <w:p>
      <w:pPr>
        <w:pStyle w:val="47"/>
        <w:adjustRightInd w:val="0"/>
        <w:snapToGrid w:val="0"/>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16.供应商符合磋商文件规定的证明文件</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16.1供应商应提交满足本章第3.1款规定的资格条件要求的证明文件,该证明文件作为响应文件的一部分。</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16.2如果供应商为联合体，则应提交联合体各方资格证明文件、联合体协议。否则，在评审时将其视为无效响应。</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17.磋商保证金</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17.1【磋商须知前附表】规定交纳磋商保证金的，应按【磋商须知前附表】规定的磋商保证金形式交纳，不得以现金方式交纳，在提交首次响应文件截止时间前，向采购代理机构交纳不超过采购项目预算2﹪的磋商保证金(数额采用四舍五入，计算至元)。磋商保证金有效期应当与本章第18.1款规定的响应文件有效期一致。</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17.2供应商为联合体的，可以由联合体中的一方或者共同交纳磋商保证金，其交纳的磋商保证金，对联合体各方均具有约束力。</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17.3供应商未按照磋商文件要求提交磋商保证金的，响应无效。</w:t>
      </w:r>
    </w:p>
    <w:p>
      <w:pPr>
        <w:pStyle w:val="47"/>
        <w:tabs>
          <w:tab w:val="left" w:pos="6300"/>
        </w:tabs>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17.4采购代理机构在成交通知书发出后5个工作日内退还未成交供应商的磋商保证金；在采购合同签定后5个工作日内退还成交供应商的磋商保证金，但因供应商自身原因导致无法及时退还的除外。</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17.5 有下列情形之一的，磋商保证金不予退还，并上缴本级财政国库：</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（1）供应商在提交首次响应文件截止时间后撤回响应文件的；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（2）供应商在响应文件中提供虚假资料的；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（3）确定成交结果后，无正当理由放弃成交资格的；</w:t>
      </w:r>
    </w:p>
    <w:p>
      <w:pPr>
        <w:widowControl/>
        <w:adjustRightInd w:val="0"/>
        <w:snapToGrid w:val="0"/>
        <w:spacing w:line="420" w:lineRule="exact"/>
        <w:ind w:firstLine="525" w:firstLineChars="25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 除因不可抗力或磋商文件认可的情形以外，成交供应商不与采购人签订合同的；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（5）供应商与采购人、其他供应商或者采购代理机构恶意串通的；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（6）磋商文件规定的其他情形。</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18.响应文件有效期</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18.1响应文件有效期见【磋商须知前附表】，在此期间响应文件对供应商具有法律约束力，从提交首次响应文件截止时间之日起计算。响应文件有效期不足的将被视为无效响应。</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19.响应文件的签署及规定</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19.1响应文件的正本和副本应装订成册，正本一份，副本份数见【磋商须知前附表】。正本和副本的封面上应标记“正本”或“副本”的字样，当正本和副本有差异时，以正本为准。</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19.2 响应文件正本和副本应按磋商文件要求签章处盖单位章和由法定代表人或其委托代理人签字；任何加行、涂改、增删，应有法定代表人或其委托代理人在旁边签字。否则，将导致响应文件无效。</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19.3 在磋商过程中，供应商按磋商文件规定和磋商小组要求提交的最后报价(或者重新提交的响应文件和最后报价)，可打印或用不退色墨水书写，但需经法定代表人或其委托代理人签字，或者加盖供应商单位章。否则，将导致响应文件无效。</w:t>
      </w:r>
    </w:p>
    <w:p>
      <w:pPr>
        <w:adjustRightInd w:val="0"/>
        <w:snapToGrid w:val="0"/>
        <w:spacing w:line="4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四、响应文件的递交</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20.响应文件的密封和标记</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20.1响应文件应密封包装，加贴封条，并在封套的封口处盖供应商单位章或者由法定代表人或其委托代理人签字。</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20.2响应文件封套上应写明的内容见【磋商须知前附表】。</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20.3响应文件如果未按上述规定密封和加写标记，采购人或采购代理机构将拒绝接收。</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21.响应文件的补充、修改或者撤回</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21.1供应商在提交首次响应文件截止时间前，可以对所提交的首次响应文件进行补充、修改或者撤回，并书面通知采购人、采购代理机构。该通知应有供应商法定代表人或其委托代理人签字。</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21.2补充、修改的内容与响应文件不一致时，以补充、修改的内容为准。</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22.响应文件的递交与接收</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22.1 供应商应在提交首次响应文件截止时间前，将响应文件送达【磋商须知前附表】中指定的地点。在截止时间后送达的响应文件，采购人、采购代理机构或者磋商小组应当拒收。</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22.2在提交首次响应文件截止时间后，由供应商代表当场查验响应文件的密封状况，采购人或采购代理机构不当场拆封响应文件。</w:t>
      </w:r>
    </w:p>
    <w:p>
      <w:pPr>
        <w:adjustRightInd w:val="0"/>
        <w:snapToGrid w:val="0"/>
        <w:spacing w:line="4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五、响应文件的磋商与评审</w:t>
      </w:r>
    </w:p>
    <w:p>
      <w:pPr>
        <w:tabs>
          <w:tab w:val="left" w:pos="0"/>
        </w:tabs>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23.磋商程序</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23.1磋商程序：响应文件审查、磋商（包括澄清）、响应文件评审、提出成交供应商。其中，磋商按本章第28.1款或者第28.2款情形进行。</w:t>
      </w:r>
    </w:p>
    <w:p>
      <w:pPr>
        <w:widowControl/>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24.响应文件审查</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24.1 资格性审查：根据本章第3.1项规定的供应商资格条件要求，对响应文件的资格证明等进行审查，以确定供应商是否具备磋商资格条件。</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24.2符合性审查： 对响应文件(包括首次提交的响应文件、重新提交的响应文件)的有效性、完整性和响应程度进行审查，以确定是否对磋商文件的实质性要求作出响应。</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24.3响应文件审查结束后，磋商小组所有成员集中与单一供应商分别进行磋商，并给予所有参加磋商的供应商平等的磋商机会。供应商应派其法定代表人或委托代理人参加磋商，且须携带身份证或其他与法定代表人或其代理人身份相符的有效证件原件，以备查验。</w:t>
      </w:r>
    </w:p>
    <w:p>
      <w:pPr>
        <w:pStyle w:val="47"/>
        <w:adjustRightInd w:val="0"/>
        <w:snapToGrid w:val="0"/>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25.实质性响应</w:t>
      </w:r>
    </w:p>
    <w:p>
      <w:pPr>
        <w:adjustRightInd w:val="0"/>
        <w:snapToGrid w:val="0"/>
        <w:spacing w:line="420" w:lineRule="exact"/>
        <w:ind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25.1实质性响应是指除法律、法规和磋商文件规定的其他响应无效情形外，响应文件(包括首次响应文件、重新提交的响应文件)与磋商文件中用“★”符号标明的为实质性要求和条件，对其中任何一条的偏离，为实质性偏离，其响应无效。偏离指不满足、或不响应磋商文件的要求。</w:t>
      </w:r>
    </w:p>
    <w:p>
      <w:pPr>
        <w:tabs>
          <w:tab w:val="left" w:pos="0"/>
          <w:tab w:val="left" w:pos="7560"/>
          <w:tab w:val="left" w:pos="7740"/>
          <w:tab w:val="left" w:pos="7920"/>
        </w:tabs>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sectPr>
          <w:headerReference r:id="rId8" w:type="default"/>
          <w:footerReference r:id="rId9" w:type="default"/>
          <w:pgSz w:w="11906" w:h="16838"/>
          <w:pgMar w:top="1418" w:right="1304" w:bottom="1134" w:left="1304" w:header="907" w:footer="851" w:gutter="0"/>
          <w:cols w:space="720" w:num="1"/>
          <w:docGrid w:type="linesAndChars" w:linePitch="312" w:charSpace="0"/>
        </w:sectPr>
      </w:pPr>
      <w:r>
        <w:rPr>
          <w:rFonts w:hint="eastAsia" w:ascii="宋体" w:hAnsi="宋体" w:cs="宋体"/>
          <w:bCs/>
          <w:color w:val="000000" w:themeColor="text1"/>
          <w:szCs w:val="21"/>
          <w:highlight w:val="none"/>
          <w14:textFill>
            <w14:solidFill>
              <w14:schemeClr w14:val="tx1"/>
            </w14:solidFill>
          </w14:textFill>
        </w:rPr>
        <w:t>25.2响应文件是否实质性响应磋商文件要求由磋商小组依据磋商文件规定认定。磋商小组决定响应文件的响应性只根据响应文件本身的真实无误的内容，而不依据外部的证据。</w:t>
      </w:r>
    </w:p>
    <w:p>
      <w:pPr>
        <w:keepNext/>
        <w:keepLines/>
        <w:adjustRightInd w:val="0"/>
        <w:snapToGrid w:val="0"/>
        <w:spacing w:before="120" w:beforeLines="50" w:line="420" w:lineRule="exact"/>
        <w:outlineLvl w:val="2"/>
        <w:rPr>
          <w:rFonts w:ascii="宋体" w:hAnsi="宋体" w:cs="宋体"/>
          <w:b/>
          <w:bCs/>
          <w:color w:val="000000" w:themeColor="text1"/>
          <w:szCs w:val="21"/>
          <w:highlight w:val="none"/>
          <w14:textFill>
            <w14:solidFill>
              <w14:schemeClr w14:val="tx1"/>
            </w14:solidFill>
          </w14:textFill>
        </w:rPr>
      </w:pPr>
      <w:bookmarkStart w:id="22" w:name="_Toc90459308"/>
      <w:bookmarkStart w:id="23" w:name="_Toc13063"/>
      <w:r>
        <w:rPr>
          <w:rFonts w:hint="eastAsia" w:ascii="宋体" w:hAnsi="宋体" w:cs="宋体"/>
          <w:b/>
          <w:bCs/>
          <w:color w:val="000000" w:themeColor="text1"/>
          <w:szCs w:val="21"/>
          <w:highlight w:val="none"/>
          <w14:textFill>
            <w14:solidFill>
              <w14:schemeClr w14:val="tx1"/>
            </w14:solidFill>
          </w14:textFill>
        </w:rPr>
        <w:t>附表1 供应商资格审查表</w:t>
      </w:r>
      <w:bookmarkEnd w:id="22"/>
      <w:bookmarkEnd w:id="23"/>
    </w:p>
    <w:p>
      <w:pPr>
        <w:adjustRightInd w:val="0"/>
        <w:snapToGrid w:val="0"/>
        <w:spacing w:before="120" w:beforeLines="50" w:after="120" w:afterLines="50" w:line="42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供应商资格审查表</w:t>
      </w:r>
    </w:p>
    <w:p>
      <w:pPr>
        <w:adjustRightInd w:val="0"/>
        <w:snapToGrid w:val="0"/>
        <w:spacing w:before="120" w:beforeLines="50" w:line="4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                                采购代理编号：</w:t>
      </w:r>
    </w:p>
    <w:tbl>
      <w:tblPr>
        <w:tblStyle w:val="9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33"/>
        <w:gridCol w:w="2266"/>
        <w:gridCol w:w="4446"/>
        <w:gridCol w:w="905"/>
        <w:gridCol w:w="91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0" w:hRule="atLeast"/>
          <w:tblHeader/>
        </w:trPr>
        <w:tc>
          <w:tcPr>
            <w:tcW w:w="533" w:type="dxa"/>
            <w:vMerge w:val="restart"/>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序号</w:t>
            </w:r>
          </w:p>
        </w:tc>
        <w:tc>
          <w:tcPr>
            <w:tcW w:w="2266" w:type="dxa"/>
            <w:vMerge w:val="restart"/>
            <w:shd w:val="clear" w:color="auto" w:fill="auto"/>
            <w:vAlign w:val="center"/>
          </w:tcPr>
          <w:p>
            <w:pPr>
              <w:adjustRightInd w:val="0"/>
              <w:snapToGrid w:val="0"/>
              <w:spacing w:line="380" w:lineRule="exact"/>
              <w:ind w:firstLine="26"/>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审查项目</w:t>
            </w:r>
          </w:p>
        </w:tc>
        <w:tc>
          <w:tcPr>
            <w:tcW w:w="4446" w:type="dxa"/>
            <w:vMerge w:val="restart"/>
            <w:tcBorders>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审查标准</w:t>
            </w:r>
          </w:p>
        </w:tc>
        <w:tc>
          <w:tcPr>
            <w:tcW w:w="1815" w:type="dxa"/>
            <w:gridSpan w:val="2"/>
            <w:tcBorders>
              <w:left w:val="single" w:color="auto" w:sz="4" w:space="0"/>
              <w:bottom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是否合格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blHeader/>
        </w:trPr>
        <w:tc>
          <w:tcPr>
            <w:tcW w:w="533" w:type="dxa"/>
            <w:vMerge w:val="continue"/>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p>
        </w:tc>
        <w:tc>
          <w:tcPr>
            <w:tcW w:w="2266" w:type="dxa"/>
            <w:vMerge w:val="continue"/>
            <w:shd w:val="clear" w:color="auto" w:fill="auto"/>
            <w:vAlign w:val="center"/>
          </w:tcPr>
          <w:p>
            <w:pPr>
              <w:adjustRightInd w:val="0"/>
              <w:snapToGrid w:val="0"/>
              <w:spacing w:line="380" w:lineRule="exact"/>
              <w:ind w:firstLine="26"/>
              <w:jc w:val="center"/>
              <w:rPr>
                <w:rFonts w:ascii="宋体" w:hAnsi="宋体" w:cs="宋体"/>
                <w:b/>
                <w:color w:val="000000" w:themeColor="text1"/>
                <w:kern w:val="0"/>
                <w:szCs w:val="21"/>
                <w:highlight w:val="none"/>
                <w14:textFill>
                  <w14:solidFill>
                    <w14:schemeClr w14:val="tx1"/>
                  </w14:solidFill>
                </w14:textFill>
              </w:rPr>
            </w:pPr>
          </w:p>
        </w:tc>
        <w:tc>
          <w:tcPr>
            <w:tcW w:w="4446" w:type="dxa"/>
            <w:vMerge w:val="continue"/>
            <w:tcBorders>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p>
        </w:tc>
        <w:tc>
          <w:tcPr>
            <w:tcW w:w="905" w:type="dxa"/>
            <w:tcBorders>
              <w:top w:val="single" w:color="auto" w:sz="4" w:space="0"/>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供应商A</w:t>
            </w:r>
          </w:p>
        </w:tc>
        <w:tc>
          <w:tcPr>
            <w:tcW w:w="910" w:type="dxa"/>
            <w:tcBorders>
              <w:top w:val="single" w:color="auto" w:sz="4" w:space="0"/>
              <w:lef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报价</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报价不得超过采购文件中规定的预算金额或者最高限价。</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磋商保证金</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磋商保证金</w:t>
            </w:r>
            <w:r>
              <w:rPr>
                <w:rFonts w:hint="eastAsia" w:ascii="宋体" w:hAnsi="宋体" w:cs="宋体"/>
                <w:color w:val="000000" w:themeColor="text1"/>
                <w:kern w:val="0"/>
                <w:szCs w:val="21"/>
                <w:highlight w:val="none"/>
                <w14:textFill>
                  <w14:solidFill>
                    <w14:schemeClr w14:val="tx1"/>
                  </w14:solidFill>
                </w14:textFill>
              </w:rPr>
              <w:t>应按采购文件要求的时间、金额提交。</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法定代表人身份证明或授权委托书</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法定代表人参加磋商的应附身份证明原件；授权人参加磋商的应附授权委托书原件（含法定表代表人及授权人身份证复印件）及法定代表人的身份证明原件。</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供应商主体资格证明文件</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法人或者其他组织的营业执照等主体资格证明文件。</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供应商磋商响应声明（格式）</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应按照采购文件的格式要求及内容提交</w:t>
            </w:r>
            <w:r>
              <w:rPr>
                <w:rFonts w:hint="eastAsia" w:ascii="宋体" w:hAnsi="宋体" w:cs="宋体"/>
                <w:color w:val="000000" w:themeColor="text1"/>
                <w:szCs w:val="21"/>
                <w:highlight w:val="none"/>
                <w14:textFill>
                  <w14:solidFill>
                    <w14:schemeClr w14:val="tx1"/>
                  </w14:solidFill>
                </w14:textFill>
              </w:rPr>
              <w:t>磋商响应声明</w:t>
            </w:r>
            <w:r>
              <w:rPr>
                <w:rFonts w:hint="eastAsia" w:ascii="宋体" w:hAnsi="宋体" w:cs="宋体"/>
                <w:color w:val="000000" w:themeColor="text1"/>
                <w:kern w:val="0"/>
                <w:szCs w:val="21"/>
                <w:highlight w:val="none"/>
                <w14:textFill>
                  <w14:solidFill>
                    <w14:schemeClr w14:val="tx1"/>
                  </w14:solidFill>
                </w14:textFill>
              </w:rPr>
              <w:t>并按格式要求正确签署和盖章。</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缴纳税收证明资料</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供应商在提交首次响应文件的截止时间前六个月任意三个月依法缴纳税收的凭证复印件（“三证合一”或“五证合一”可不提供）；</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缴纳社会保险证明资料</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供应商在提交首次响应文件的截止时间前六个月任意三个月依法缴纳社会保险的凭证复印件（“五证合一”可不提供）；</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资信证明文件</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提供2021年度经会计师事务所审计的财务报告复印件或银行出具的资信证明</w:t>
            </w:r>
            <w:r>
              <w:rPr>
                <w:rFonts w:hint="eastAsia" w:ascii="宋体" w:hAnsi="宋体" w:cs="宋体"/>
                <w:color w:val="000000" w:themeColor="text1"/>
                <w:szCs w:val="21"/>
                <w:highlight w:val="none"/>
                <w14:textFill>
                  <w14:solidFill>
                    <w14:schemeClr w14:val="tx1"/>
                  </w14:solidFill>
                </w14:textFill>
              </w:rPr>
              <w:t>；</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4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特定资格条件</w:t>
            </w:r>
          </w:p>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提供符合特定资格条件证明材料复印件。</w:t>
            </w:r>
            <w:r>
              <w:rPr>
                <w:rFonts w:hint="eastAsia" w:ascii="宋体" w:hAnsi="宋体" w:cs="宋体"/>
                <w:color w:val="000000" w:themeColor="text1"/>
                <w:szCs w:val="21"/>
                <w:highlight w:val="none"/>
                <w14:textFill>
                  <w14:solidFill>
                    <w14:schemeClr w14:val="tx1"/>
                  </w14:solidFill>
                </w14:textFill>
              </w:rPr>
              <w:t>）</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p>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p>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详见第一章 磋商邀请</w:t>
            </w:r>
          </w:p>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p>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10</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装订、签署、盖章</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响应文件的装订、签署、盖章应符合采购文件要求。</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联合体协议书</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联合体协议书（接受联合体形式投标的提供）。</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12</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信用记录查询</w:t>
            </w:r>
          </w:p>
        </w:tc>
        <w:tc>
          <w:tcPr>
            <w:tcW w:w="4446" w:type="dxa"/>
            <w:tcBorders>
              <w:right w:val="single" w:color="auto" w:sz="4" w:space="0"/>
            </w:tcBorders>
            <w:shd w:val="clear" w:color="auto" w:fill="auto"/>
            <w:vAlign w:val="center"/>
          </w:tcPr>
          <w:p>
            <w:pPr>
              <w:adjustRightInd w:val="0"/>
              <w:snapToGrid w:val="0"/>
              <w:spacing w:line="38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信用记录查询。</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3" w:type="dxa"/>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w:t>
            </w:r>
          </w:p>
        </w:tc>
        <w:tc>
          <w:tcPr>
            <w:tcW w:w="2266" w:type="dxa"/>
            <w:shd w:val="clear" w:color="auto" w:fill="auto"/>
            <w:vAlign w:val="center"/>
          </w:tcPr>
          <w:p>
            <w:pPr>
              <w:adjustRightInd w:val="0"/>
              <w:snapToGrid w:val="0"/>
              <w:spacing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法律、行政法规规定的其他条件</w:t>
            </w:r>
          </w:p>
        </w:tc>
        <w:tc>
          <w:tcPr>
            <w:tcW w:w="4446" w:type="dxa"/>
            <w:tcBorders>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7245" w:type="dxa"/>
            <w:gridSpan w:val="3"/>
            <w:tcBorders>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审查结论</w:t>
            </w:r>
          </w:p>
        </w:tc>
        <w:tc>
          <w:tcPr>
            <w:tcW w:w="905"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c>
          <w:tcPr>
            <w:tcW w:w="910"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kern w:val="0"/>
                <w:szCs w:val="21"/>
                <w:highlight w:val="none"/>
                <w14:textFill>
                  <w14:solidFill>
                    <w14:schemeClr w14:val="tx1"/>
                  </w14:solidFill>
                </w14:textFill>
              </w:rPr>
            </w:pPr>
          </w:p>
        </w:tc>
      </w:tr>
    </w:tbl>
    <w:p>
      <w:pPr>
        <w:adjustRightInd w:val="0"/>
        <w:snapToGrid w:val="0"/>
        <w:spacing w:line="420" w:lineRule="exact"/>
        <w:ind w:left="424" w:hanging="424" w:hangingChars="201"/>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注：供应商必须按采购文件中的要求提供相关证明材料，响应文件应为有效文件并加盖供应商单位章，并按采购文件规定签署。</w:t>
      </w:r>
    </w:p>
    <w:p>
      <w:pPr>
        <w:tabs>
          <w:tab w:val="left" w:pos="0"/>
          <w:tab w:val="left" w:pos="7560"/>
          <w:tab w:val="left" w:pos="7740"/>
          <w:tab w:val="left" w:pos="7920"/>
        </w:tabs>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pPr>
        <w:adjustRightInd w:val="0"/>
        <w:snapToGrid w:val="0"/>
        <w:spacing w:before="156" w:beforeLines="50" w:line="420" w:lineRule="exact"/>
        <w:jc w:val="left"/>
        <w:outlineLvl w:val="2"/>
        <w:rPr>
          <w:rFonts w:ascii="宋体" w:hAnsi="宋体" w:cs="宋体"/>
          <w:b/>
          <w:bCs/>
          <w:color w:val="000000" w:themeColor="text1"/>
          <w:szCs w:val="21"/>
          <w:highlight w:val="none"/>
          <w14:textFill>
            <w14:solidFill>
              <w14:schemeClr w14:val="tx1"/>
            </w14:solidFill>
          </w14:textFill>
        </w:rPr>
      </w:pPr>
      <w:bookmarkStart w:id="24" w:name="_Toc44315069"/>
      <w:bookmarkStart w:id="25" w:name="_Toc20651227"/>
      <w:bookmarkStart w:id="26" w:name="_Toc90459328"/>
      <w:bookmarkStart w:id="27" w:name="_Toc12269"/>
      <w:r>
        <w:rPr>
          <w:rFonts w:hint="eastAsia" w:ascii="宋体" w:hAnsi="宋体" w:cs="宋体"/>
          <w:b/>
          <w:bCs/>
          <w:color w:val="000000" w:themeColor="text1"/>
          <w:szCs w:val="21"/>
          <w:highlight w:val="none"/>
          <w14:textFill>
            <w14:solidFill>
              <w14:schemeClr w14:val="tx1"/>
            </w14:solidFill>
          </w14:textFill>
        </w:rPr>
        <w:t>附表2 符合性审查表</w:t>
      </w:r>
      <w:bookmarkEnd w:id="24"/>
      <w:bookmarkEnd w:id="25"/>
      <w:bookmarkEnd w:id="26"/>
      <w:bookmarkEnd w:id="27"/>
    </w:p>
    <w:p>
      <w:pPr>
        <w:adjustRightInd w:val="0"/>
        <w:snapToGrid w:val="0"/>
        <w:spacing w:before="156" w:beforeLines="50" w:line="38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符合性审查表</w:t>
      </w:r>
    </w:p>
    <w:p>
      <w:pPr>
        <w:adjustRightInd w:val="0"/>
        <w:snapToGrid w:val="0"/>
        <w:spacing w:before="156" w:beforeLines="50" w:line="38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                                           采购代理编号： </w:t>
      </w:r>
    </w:p>
    <w:tbl>
      <w:tblPr>
        <w:tblStyle w:val="90"/>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1"/>
        <w:gridCol w:w="1959"/>
        <w:gridCol w:w="4394"/>
        <w:gridCol w:w="744"/>
        <w:gridCol w:w="744"/>
        <w:gridCol w:w="74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0" w:hRule="atLeast"/>
        </w:trPr>
        <w:tc>
          <w:tcPr>
            <w:tcW w:w="701" w:type="dxa"/>
            <w:vMerge w:val="restart"/>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1959" w:type="dxa"/>
            <w:vMerge w:val="restart"/>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审查项目</w:t>
            </w:r>
          </w:p>
        </w:tc>
        <w:tc>
          <w:tcPr>
            <w:tcW w:w="4394" w:type="dxa"/>
            <w:vMerge w:val="restart"/>
            <w:tcBorders>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审查标准</w:t>
            </w:r>
          </w:p>
        </w:tc>
        <w:tc>
          <w:tcPr>
            <w:tcW w:w="2232" w:type="dxa"/>
            <w:gridSpan w:val="3"/>
            <w:tcBorders>
              <w:left w:val="single" w:color="auto" w:sz="4" w:space="0"/>
              <w:bottom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是否合格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5" w:hRule="atLeast"/>
        </w:trPr>
        <w:tc>
          <w:tcPr>
            <w:tcW w:w="701" w:type="dxa"/>
            <w:vMerge w:val="continue"/>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p>
        </w:tc>
        <w:tc>
          <w:tcPr>
            <w:tcW w:w="1959" w:type="dxa"/>
            <w:vMerge w:val="continue"/>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p>
        </w:tc>
        <w:tc>
          <w:tcPr>
            <w:tcW w:w="4394" w:type="dxa"/>
            <w:vMerge w:val="continue"/>
            <w:tcBorders>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p>
        </w:tc>
        <w:tc>
          <w:tcPr>
            <w:tcW w:w="744" w:type="dxa"/>
            <w:tcBorders>
              <w:top w:val="single" w:color="auto" w:sz="4" w:space="0"/>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供应商A</w:t>
            </w:r>
          </w:p>
        </w:tc>
        <w:tc>
          <w:tcPr>
            <w:tcW w:w="744" w:type="dxa"/>
            <w:tcBorders>
              <w:top w:val="single" w:color="auto" w:sz="4" w:space="0"/>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p>
        </w:tc>
        <w:tc>
          <w:tcPr>
            <w:tcW w:w="744" w:type="dxa"/>
            <w:tcBorders>
              <w:top w:val="single" w:color="auto" w:sz="4" w:space="0"/>
              <w:lef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959" w:type="dxa"/>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响应文件的签署、盖章</w:t>
            </w:r>
          </w:p>
        </w:tc>
        <w:tc>
          <w:tcPr>
            <w:tcW w:w="4394" w:type="dxa"/>
            <w:tcBorders>
              <w:right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响应文件中商务技术文件应按照采购文件规定要求签署、盖章</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tcBorders>
              <w:bottom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1959" w:type="dxa"/>
            <w:tcBorders>
              <w:bottom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响应文件实质性响应</w:t>
            </w:r>
          </w:p>
        </w:tc>
        <w:tc>
          <w:tcPr>
            <w:tcW w:w="4394" w:type="dxa"/>
            <w:tcBorders>
              <w:right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响应文件对采购文件的实质性要求和条件作出响应。</w:t>
            </w:r>
          </w:p>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采购文件中用“★”符号标明的条款为实质性要求和条件，对其中任何一条的偏离，为实质性偏离，其响应文件无效。</w:t>
            </w:r>
          </w:p>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（注：本条款所称偏离指对本文件商务、技术条款及参数的负偏离。）</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1959" w:type="dxa"/>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有效期</w:t>
            </w:r>
          </w:p>
        </w:tc>
        <w:tc>
          <w:tcPr>
            <w:tcW w:w="4394" w:type="dxa"/>
            <w:tcBorders>
              <w:right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有效期应满足采购文件要求</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1959" w:type="dxa"/>
            <w:vMerge w:val="restart"/>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其他条款</w:t>
            </w:r>
          </w:p>
        </w:tc>
        <w:tc>
          <w:tcPr>
            <w:tcW w:w="4394" w:type="dxa"/>
            <w:tcBorders>
              <w:right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是否含有采购人不能接受的附加条件的</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1959" w:type="dxa"/>
            <w:vMerge w:val="continue"/>
            <w:shd w:val="clear" w:color="auto" w:fill="auto"/>
            <w:vAlign w:val="center"/>
          </w:tcPr>
          <w:p>
            <w:pPr>
              <w:spacing w:line="380" w:lineRule="exact"/>
              <w:jc w:val="center"/>
              <w:rPr>
                <w:rFonts w:ascii="宋体" w:hAnsi="宋体" w:cs="宋体"/>
                <w:color w:val="000000" w:themeColor="text1"/>
                <w:spacing w:val="-6"/>
                <w:szCs w:val="21"/>
                <w:highlight w:val="none"/>
                <w14:textFill>
                  <w14:solidFill>
                    <w14:schemeClr w14:val="tx1"/>
                  </w14:solidFill>
                </w14:textFill>
              </w:rPr>
            </w:pPr>
          </w:p>
        </w:tc>
        <w:tc>
          <w:tcPr>
            <w:tcW w:w="4394" w:type="dxa"/>
            <w:tcBorders>
              <w:right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是否有不符合本节第24.2款规定符合性审查标准的</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1959" w:type="dxa"/>
            <w:vMerge w:val="continue"/>
            <w:shd w:val="clear" w:color="auto" w:fill="auto"/>
            <w:vAlign w:val="center"/>
          </w:tcPr>
          <w:p>
            <w:pPr>
              <w:spacing w:line="380" w:lineRule="exact"/>
              <w:jc w:val="center"/>
              <w:rPr>
                <w:rFonts w:ascii="宋体" w:hAnsi="宋体" w:cs="宋体"/>
                <w:color w:val="000000" w:themeColor="text1"/>
                <w:spacing w:val="-6"/>
                <w:szCs w:val="21"/>
                <w:highlight w:val="none"/>
                <w14:textFill>
                  <w14:solidFill>
                    <w14:schemeClr w14:val="tx1"/>
                  </w14:solidFill>
                </w14:textFill>
              </w:rPr>
            </w:pPr>
          </w:p>
        </w:tc>
        <w:tc>
          <w:tcPr>
            <w:tcW w:w="4394" w:type="dxa"/>
            <w:tcBorders>
              <w:right w:val="single" w:color="auto" w:sz="4" w:space="0"/>
            </w:tcBorders>
            <w:shd w:val="clear" w:color="auto" w:fill="auto"/>
            <w:vAlign w:val="center"/>
          </w:tcPr>
          <w:p>
            <w:pPr>
              <w:spacing w:line="38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是否存在法律、法规和采购文件规定的其他投标无效情形的</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54" w:type="dxa"/>
            <w:gridSpan w:val="3"/>
            <w:tcBorders>
              <w:right w:val="single" w:color="auto" w:sz="4" w:space="0"/>
            </w:tcBorders>
            <w:shd w:val="clear" w:color="auto" w:fill="auto"/>
            <w:vAlign w:val="center"/>
          </w:tcPr>
          <w:p>
            <w:pPr>
              <w:adjustRightInd w:val="0"/>
              <w:snapToGrid w:val="0"/>
              <w:spacing w:line="38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审查结论</w:t>
            </w: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righ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c>
          <w:tcPr>
            <w:tcW w:w="744" w:type="dxa"/>
            <w:tcBorders>
              <w:left w:val="single" w:color="auto" w:sz="4" w:space="0"/>
            </w:tcBorders>
            <w:shd w:val="clear" w:color="auto" w:fill="auto"/>
            <w:vAlign w:val="center"/>
          </w:tcPr>
          <w:p>
            <w:pPr>
              <w:adjustRightInd w:val="0"/>
              <w:snapToGrid w:val="0"/>
              <w:spacing w:line="380" w:lineRule="exact"/>
              <w:jc w:val="center"/>
              <w:rPr>
                <w:rFonts w:ascii="宋体" w:hAnsi="宋体" w:cs="宋体"/>
                <w:color w:val="000000" w:themeColor="text1"/>
                <w:szCs w:val="21"/>
                <w:highlight w:val="none"/>
                <w14:textFill>
                  <w14:solidFill>
                    <w14:schemeClr w14:val="tx1"/>
                  </w14:solidFill>
                </w14:textFill>
              </w:rPr>
            </w:pPr>
          </w:p>
        </w:tc>
      </w:tr>
    </w:tbl>
    <w:p>
      <w:pPr>
        <w:tabs>
          <w:tab w:val="left" w:pos="0"/>
          <w:tab w:val="left" w:pos="7560"/>
          <w:tab w:val="left" w:pos="7740"/>
          <w:tab w:val="left" w:pos="7920"/>
        </w:tabs>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sectPr>
          <w:pgSz w:w="11906" w:h="16838"/>
          <w:pgMar w:top="1418" w:right="1304" w:bottom="1134" w:left="1304" w:header="907" w:footer="851" w:gutter="0"/>
          <w:cols w:space="720" w:num="1"/>
          <w:docGrid w:type="linesAndChars" w:linePitch="312" w:charSpace="0"/>
        </w:sectPr>
      </w:pPr>
    </w:p>
    <w:p>
      <w:pPr>
        <w:pStyle w:val="47"/>
        <w:adjustRightInd w:val="0"/>
        <w:snapToGrid w:val="0"/>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26.无效响应 </w:t>
      </w:r>
    </w:p>
    <w:p>
      <w:pPr>
        <w:pStyle w:val="47"/>
        <w:adjustRightInd w:val="0"/>
        <w:snapToGrid w:val="0"/>
        <w:spacing w:line="420" w:lineRule="exact"/>
        <w:ind w:firstLine="411" w:firstLineChars="196"/>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26.1磋商小组在对资格性和符合性进行审查时，有下列情况之一的，属无效响应，磋商小组应当告知有关供应商：</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（1）供应商不具备本章第3.1款规定的供应商资格条件要求，或存在本章第3.3款情形的；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（2）联合体不符合本章第3.2款规定的；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（3）应交未交磋商保证金或金额不足、磋商保证金缴纳形式不符合磋商文件要求的；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（4）响应文件未按照磋商文件要求签署、盖章的；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（5）响应文件不满足本章第26.1款规定的实质性要求的；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（6）报价超过采购项目预算的；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（7）响应文件有效期不足的；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（8）响应文件不符合法律、规章、规范性文件和磋商文件规定及要求的。</w:t>
      </w:r>
    </w:p>
    <w:p>
      <w:pPr>
        <w:widowControl/>
        <w:adjustRightInd w:val="0"/>
        <w:snapToGrid w:val="0"/>
        <w:spacing w:line="42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27.澄清</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pPr>
        <w:widowControl/>
        <w:adjustRightInd w:val="0"/>
        <w:snapToGrid w:val="0"/>
        <w:spacing w:line="42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28.磋商</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28.1本章第10.2项未明确磋商文件实质性变动内容的，或者磋商文件明确了可能发生实质性变动内容，但在磋商过程中，磋商小组根据磋商情况认为磋商文件无需发生实质性变动的，磋商小组应当直接与响应文件审查合格的供应商就价格组织多轮磋商。</w:t>
      </w:r>
    </w:p>
    <w:p>
      <w:pPr>
        <w:widowControl/>
        <w:tabs>
          <w:tab w:val="left" w:pos="1080"/>
          <w:tab w:val="left" w:pos="1260"/>
        </w:tabs>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（1）磋商结束后，磋商小组应当要求所有继续参加磋商的供应商在磋商小组规定时间内提交最后报价。</w:t>
      </w:r>
    </w:p>
    <w:p>
      <w:pPr>
        <w:widowControl/>
        <w:tabs>
          <w:tab w:val="left" w:pos="1080"/>
          <w:tab w:val="left" w:pos="1260"/>
        </w:tabs>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（2）磋商文件明确可能发生实质性变动，但在磋商过程中磋商小组根据磋商情况认为磋商文件无需发生实质性变动的，磋商小组不另行通知。</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28.2本章第10.2款明确磋商文件实质性变动内容的，磋商小组可以组织多轮磋商。在每一轮磋商中，磋商小组可以根据磋商文件规定和磋商情况，对磋商文件的采购需求中的技术、服务要求以及合同草案条款作实质性变动(磋商文件的实质性变动内容为磋商文件的组成部分)，并以书面形式要求响应文件审查合格的供应商，在规定的截止时间前重新提交响应文件。磋商小组应当根据本章第25.2款规定对供应商重新提交的响应文件进行审查。供应商重新提交的响应文件审查不合格的，不得进入下一轮磋商，也不得要求提交最后报价。</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（1）磋商文件能够详细列明采购需求的技术、服务要求的，磋商结束后，磋商小组应当要求所有继续参加磋商的供应商在规定时间内提交最后报价。</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28.3重新提交的响应文件或者最后报价应按本章第19.3款规定，由其法定代表人或其委托代理人签字或者加盖供应商单位章，在规定时间内密封递交给磋商小组。</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28.4供应商的最后报价及政府采购政策规定的价格扣除情况，磋商小组应召集所有参加最后报价的供应商当场开封公布，并由供应商代表签字确认。</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28.5提交首次响应文件的供应商，在提交最后报价之前，可以根据磋商情况退出磋商，并书面通知采购代理机构或者磋商小组。该通知由供应商法定代表人或其委托代理人签字。采购代理机构按本章第17.4款规定退还退出磋商的供应商的磋商保证金。</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28.6提交首次响应文件的供应商，未按磋商文件规定及磋商小组要求提交最后报价(或者重新提交的响应文件和最后报价)，且又未按本章第28.5款规定退出磋商的，供应商的磋商保证金不予退还。</w:t>
      </w:r>
    </w:p>
    <w:p>
      <w:pPr>
        <w:widowControl/>
        <w:adjustRightInd w:val="0"/>
        <w:snapToGrid w:val="0"/>
        <w:spacing w:line="42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29.响应文件评审</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29.1经磋商确定最终采购需求和提交最后报价的供应商后，由磋商小组采用综合评分法对提交最后报价的供应商的响应文件和最后报价进行综合评价。</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29.2综合评分法，是指响应文件满足磋商文件全部实质性要求且按评审因素的量化指标评审得分最高的供应商为成交候选供应商的评审方法。本采购项目的评审因素和标准见【磋商须知前附表】。</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29.3最后报价调整。磋商小组以各供应商最后报价为基础，按照符合政府采购支持中小企业发展的相应条件，对供应商的最后报价进行价格扣除，用扣除后的最后报价计算价格得分，具体价格扣除比例见本章第9.2款规定。</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29.4综合评分法中的价格分采用低价优先法计算，即满足磋商文件要求且经调整后的最后报价最低的供应商的价格为磋商基准价，其价格分为满分。其他供应商的价格分按照下列公式计算：</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磋商报价得分=（磋商基准价/最后磋商报价）×价格权值×100</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项目评审过程中，不得去掉最后报价中的最高报价和最低报价。</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29.5评审时，磋商小组各成员应当独立对每个供应商的响应文件进行评价、评分，并按照政府采购优惠政策对最后报价进行价格扣除和技术、商务、价格加分后，汇总各供应商的总得分。</w:t>
      </w:r>
    </w:p>
    <w:p>
      <w:pPr>
        <w:widowControl/>
        <w:adjustRightInd w:val="0"/>
        <w:snapToGrid w:val="0"/>
        <w:spacing w:line="42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30.提出成交供应商</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30.1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和《财政部关于政府采购竞争性磋商采购方式管理暂行办法有关问题的补充通知》（财库〔2015〕124号）所列“政府购买服务项目（含政府和社会资本合作项目）、市场竞争不充分的科研项目以及需要扶持的科技成果转化项目”情形的，可以推荐2家成交候选供应商。</w:t>
      </w:r>
    </w:p>
    <w:p>
      <w:pPr>
        <w:tabs>
          <w:tab w:val="left" w:pos="0"/>
        </w:tabs>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31.确定成交供应商</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31.1采购代理机构应当在评审结束后2个工作日内将评审报告送采购人确认。</w:t>
      </w:r>
    </w:p>
    <w:p>
      <w:pPr>
        <w:widowControl/>
        <w:adjustRightInd w:val="0"/>
        <w:snapToGrid w:val="0"/>
        <w:spacing w:line="420" w:lineRule="exact"/>
        <w:ind w:firstLine="42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31.2采购人应当在收到评审报告后5个工作日内，从评审报告提出的成交候选供应商中，按照排序由高到低的原则确定成交供应商，也可以书面授权磋商小组直接确定成交供应商。</w:t>
      </w:r>
    </w:p>
    <w:p>
      <w:pPr>
        <w:pStyle w:val="47"/>
        <w:adjustRightInd w:val="0"/>
        <w:snapToGrid w:val="0"/>
        <w:spacing w:line="420" w:lineRule="exact"/>
        <w:ind w:left="632" w:hanging="632" w:hangingChars="3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32.磋商终止</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32.1出现下列情形之一的，采购人或者采购代理机构应当终止竞争性磋商采购活动，在本章第35.1款指定的媒体上发布项目终止公告并说明原因，重新开展采购活动： </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（1）因情况变化，不再符合规定的竞争性磋商采购方式适用情形的；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（2）出现影响采购公正的违法、违规行为的；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（3）除《政府采购竞争性磋商采购方式管理暂行办法》(财库〔2014〕214号) 和《财政部关于政府采购竞争性磋商采购方式管理暂行办法有关问题的补充通知》（财库〔2015〕124号）所列“政府购买服务项目（含政府和社会资本合作项目）、市场竞争不充分的科研项目以及需要扶持的科技成果转化项目”情形外，在采购过程中符合要求的供应商或者报价未超过采购预算的供应商不足3家的；</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（4）因重大变故，采购任务取消的。</w:t>
      </w:r>
    </w:p>
    <w:p>
      <w:pPr>
        <w:widowControl/>
        <w:adjustRightInd w:val="0"/>
        <w:snapToGrid w:val="0"/>
        <w:spacing w:line="42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33．重新评审</w:t>
      </w:r>
    </w:p>
    <w:p>
      <w:pPr>
        <w:widowControl/>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33.1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34.保密及串通行为</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34.1磋商小组成员以及与评审工作有关的人员不得泄露评审情况以及评审过程中获悉的国家秘密、商业秘密。</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34.2供应商不得与采购人、采购代理机构、其他供应商恶意串通；不得向采购人、采购代理机构或者磋商小组成员行贿或者提供其他不正当利益；不得提供虚假资料谋取成交；不得以任何方式干扰、影响采购工作。</w:t>
      </w:r>
    </w:p>
    <w:p>
      <w:pPr>
        <w:pStyle w:val="84"/>
        <w:adjustRightInd w:val="0"/>
        <w:snapToGrid w:val="0"/>
        <w:spacing w:before="0" w:beforeAutospacing="0" w:after="0" w:afterAutospacing="0" w:line="420" w:lineRule="exact"/>
        <w:ind w:firstLine="420" w:firstLineChars="200"/>
        <w:rPr>
          <w:bCs/>
          <w:color w:val="000000" w:themeColor="text1"/>
          <w:kern w:val="2"/>
          <w:sz w:val="21"/>
          <w:szCs w:val="21"/>
          <w:highlight w:val="none"/>
          <w14:textFill>
            <w14:solidFill>
              <w14:schemeClr w14:val="tx1"/>
            </w14:solidFill>
          </w14:textFill>
        </w:rPr>
      </w:pPr>
      <w:r>
        <w:rPr>
          <w:rFonts w:hint="eastAsia"/>
          <w:bCs/>
          <w:color w:val="000000" w:themeColor="text1"/>
          <w:kern w:val="2"/>
          <w:sz w:val="21"/>
          <w:szCs w:val="21"/>
          <w:highlight w:val="none"/>
          <w14:textFill>
            <w14:solidFill>
              <w14:schemeClr w14:val="tx1"/>
            </w14:solidFill>
          </w14:textFill>
        </w:rPr>
        <w:t>34.3有下列情形之一的，属于恶意串通，对供应商依照政府采购法第七十七条第一款的规定追究法律责任：</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（1）供应商直接或者间接从采购人、采购代理机构获得其他供应商的响应情况，并修改其响应文件的；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（2）采购人、采购代理机构授意供应商撤换、修改响应文件的；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（3）供应商之间协商技术方案、合同条款以及报价等响应文件实质性内容的；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（4）属于同一集团、协会、商会等组织成员的供应商按照该组织要求协同参加竞争性谈判政府采购活动的；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（5）供应商之间事先约定由某一特定供应商成交的；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（6）供应商之间商定部分供应商放弃提交响应文件或者退出谈判或者放弃成交的；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（7）供应商与采购人、采购代理机构以及谈判小组成员之间、供应商相互之间，为谋求特定供应商成交或者排斥其他供应商的其他串通行为的。</w:t>
      </w:r>
    </w:p>
    <w:p>
      <w:pPr>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（8）法律、行政法规或规章规定的其他串通行为。</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六、成交结果信息公布与授予合同</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35.成交信息的公布</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35.1成交供应商确定后2个工作日内，成交结果信息将在【磋商须知前附表】指定的媒体上公布。</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36.询问及质疑</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36.1供应商对政府采购活动事项有疑问的，可以向采购人或采购代理机构提出询问。采购人或采购代理机构将在3个工作日内作出答复。</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36.2供应商认为磋商文件、采购过程和中标结果使自己的权益受到损害的，可以在知道或者应知其权益受到损害之日起7个工作日内，以书面形式向采购人提出质疑。</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36.3本章第36.2款所称供应商应知其权益受到损害之日，是指：</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（1）对可以质疑的磋商文件提出质疑的，为收到磋商文件之日或者招标公告期限届满之日；</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（2）对采购过程提出质疑的，为各采购程序环节结束之日；</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（3）对中标结果提出质疑的，为中标结果公告期限届满之日。</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36.4供应商提出质疑的，应提供质疑函原件。采购人或采购代理机构应当向质疑供应商签收回执。</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36.5供应商提出质疑应当提交质疑函和必要的证明材料。质疑函应当包括下列内容：</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（1）供应商的姓名或者名称、地址、邮编、联系人及联系电话；</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（2）质疑项目的名称、编号；</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（3）具体、明确的质疑事项和与质疑事项相关的请求；</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（4）事实依据；</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（5）必要的法律依据；</w:t>
      </w:r>
    </w:p>
    <w:p>
      <w:pPr>
        <w:adjustRightInd w:val="0"/>
        <w:snapToGrid w:val="0"/>
        <w:spacing w:line="42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（6）提出质疑的日期。</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36.6质疑函按中国政府采购网（www.ccgp.gov.cn）“下载专区”的“政府采购供应质疑函范本”和“质疑函制作说明”制作。</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36.7采购人或采购代理机构将在签收回执之日起7个工作日内作出书面答复，并以书面形式通知质疑供应商和其他有关的供应商。</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36.8供应商对采购人或采购代理机构的答复不满意，或采购人或采购代理机构未在规定的期限作出答复的，可在答复期满后15个工作日内，按政府采购相关法律法规规章的规定及程序，向同级财政部门提出投诉。</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37.成交通知</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37.1成交供应商确定后，采购人或采购代理机构将以书面形式向成交供应商发出成交通知书。成交通知书对采购人和成交供应商具有同等法律效力。</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37.2 成交通知书是合同文件的组成部分。</w:t>
      </w:r>
    </w:p>
    <w:p>
      <w:pPr>
        <w:tabs>
          <w:tab w:val="left" w:pos="7560"/>
          <w:tab w:val="left" w:pos="7740"/>
          <w:tab w:val="left" w:pos="7920"/>
        </w:tabs>
        <w:autoSpaceDN w:val="0"/>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37.3 成交供应商在收到采购代理机构的成交通知书后10日内，应按照【磋商须知前附表】的规定，向采购人提交履约担保。联合体成交的，履约担保由联合体各方或联合体中牵头人的名义提交。</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37.4 成交供应商没有按照本章第37.3款规定提交履约担保的，视为放弃成交资格，其保证金不予退还。</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38.签订合同</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38.1成交供应商应当在成交通知书发出之日起30日内与采购人签订政府采购合同。</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38.2磋商文件、成交供应商的响应文件等均为签订政府采购合同的依据。</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38.3 成交供应商应当按照合同约定履行义务。成交供应商不得向他人转让成交项目，也不得将成交项目分包后分别向他人转让。</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38.4 成交供应商有下列情形之一的，责令限期改正，情节严重的，列入不良行为记录名单，在1至3年内禁止参加政府采购活动，并予以通报：</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（一）成交后无正当理由不与采购人签订合同的；</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（二）未按照采购文件确定的事项签订政府采购合同，或者与采购人另行订立背离合同实质性内容的协议的；</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（三）拒绝履行合同义务的；</w:t>
      </w:r>
    </w:p>
    <w:p>
      <w:pPr>
        <w:pStyle w:val="47"/>
        <w:adjustRightInd w:val="0"/>
        <w:snapToGrid w:val="0"/>
        <w:spacing w:line="420" w:lineRule="exact"/>
        <w:ind w:firstLine="420" w:firstLineChars="200"/>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（四）违反法律、规章、规范性文件规定的。</w:t>
      </w:r>
    </w:p>
    <w:p>
      <w:pPr>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七、其他规定</w:t>
      </w:r>
    </w:p>
    <w:p>
      <w:pPr>
        <w:adjustRightInd w:val="0"/>
        <w:snapToGrid w:val="0"/>
        <w:spacing w:line="42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39.采购代理服务费</w:t>
      </w:r>
    </w:p>
    <w:p>
      <w:pPr>
        <w:tabs>
          <w:tab w:val="left" w:pos="420"/>
          <w:tab w:val="left" w:pos="7560"/>
          <w:tab w:val="left" w:pos="7740"/>
          <w:tab w:val="left" w:pos="7920"/>
        </w:tabs>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39.1采购代理机构应按【磋商须知前附表】规定收取采购代理服务费。</w:t>
      </w:r>
    </w:p>
    <w:p>
      <w:pPr>
        <w:tabs>
          <w:tab w:val="left" w:pos="420"/>
          <w:tab w:val="left" w:pos="7560"/>
          <w:tab w:val="left" w:pos="7740"/>
          <w:tab w:val="left" w:pos="7920"/>
        </w:tabs>
        <w:adjustRightInd w:val="0"/>
        <w:snapToGrid w:val="0"/>
        <w:spacing w:line="4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40.其他规定</w:t>
      </w:r>
    </w:p>
    <w:p>
      <w:pPr>
        <w:tabs>
          <w:tab w:val="left" w:pos="420"/>
          <w:tab w:val="left" w:pos="7560"/>
          <w:tab w:val="left" w:pos="7740"/>
          <w:tab w:val="left" w:pos="7920"/>
        </w:tabs>
        <w:adjustRightInd w:val="0"/>
        <w:snapToGrid w:val="0"/>
        <w:spacing w:line="42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40.1磋商文件的其他规定见【磋商须知前附表】。</w:t>
      </w:r>
    </w:p>
    <w:p>
      <w:pPr>
        <w:tabs>
          <w:tab w:val="left" w:pos="420"/>
          <w:tab w:val="left" w:pos="7560"/>
          <w:tab w:val="left" w:pos="7740"/>
          <w:tab w:val="left" w:pos="7920"/>
        </w:tabs>
        <w:adjustRightInd w:val="0"/>
        <w:snapToGrid w:val="0"/>
        <w:spacing w:before="120" w:beforeLines="50" w:line="320" w:lineRule="exact"/>
        <w:rPr>
          <w:rFonts w:ascii="宋体" w:hAnsi="宋体"/>
          <w:b/>
          <w:color w:val="000000" w:themeColor="text1"/>
          <w:szCs w:val="21"/>
          <w:highlight w:val="none"/>
          <w14:textFill>
            <w14:solidFill>
              <w14:schemeClr w14:val="tx1"/>
            </w14:solidFill>
          </w14:textFill>
        </w:rPr>
      </w:pPr>
    </w:p>
    <w:p>
      <w:pPr>
        <w:pStyle w:val="47"/>
        <w:adjustRightInd w:val="0"/>
        <w:snapToGrid w:val="0"/>
        <w:spacing w:before="120" w:beforeLines="50" w:line="320" w:lineRule="exact"/>
        <w:ind w:firstLine="420" w:firstLineChars="20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footerReference r:id="rId10" w:type="default"/>
          <w:pgSz w:w="11906" w:h="16838"/>
          <w:pgMar w:top="1021" w:right="1474" w:bottom="1191" w:left="1474" w:header="510" w:footer="624" w:gutter="0"/>
          <w:cols w:space="720" w:num="1"/>
          <w:rtlGutter w:val="1"/>
          <w:docGrid w:linePitch="312" w:charSpace="0"/>
        </w:sectPr>
      </w:pPr>
    </w:p>
    <w:p>
      <w:pPr>
        <w:rPr>
          <w:color w:val="000000" w:themeColor="text1"/>
          <w:highlight w:val="none"/>
          <w14:textFill>
            <w14:solidFill>
              <w14:schemeClr w14:val="tx1"/>
            </w14:solidFill>
          </w14:textFill>
        </w:rPr>
      </w:pPr>
    </w:p>
    <w:p>
      <w:pPr>
        <w:numPr>
          <w:ilvl w:val="0"/>
          <w:numId w:val="1"/>
        </w:numPr>
        <w:tabs>
          <w:tab w:val="left" w:pos="0"/>
        </w:tabs>
        <w:spacing w:before="120" w:beforeLines="50" w:after="240" w:afterLines="100" w:line="440" w:lineRule="atLeast"/>
        <w:jc w:val="center"/>
        <w:outlineLvl w:val="0"/>
        <w:rPr>
          <w:rFonts w:ascii="宋体" w:hAnsi="宋体"/>
          <w:b/>
          <w:color w:val="000000" w:themeColor="text1"/>
          <w:sz w:val="36"/>
          <w:szCs w:val="36"/>
          <w:highlight w:val="none"/>
          <w14:textFill>
            <w14:solidFill>
              <w14:schemeClr w14:val="tx1"/>
            </w14:solidFill>
          </w14:textFill>
        </w:rPr>
      </w:pPr>
      <w:bookmarkStart w:id="28" w:name="_Toc1288"/>
      <w:r>
        <w:rPr>
          <w:rFonts w:hint="eastAsia" w:ascii="宋体" w:hAnsi="宋体"/>
          <w:b/>
          <w:color w:val="000000" w:themeColor="text1"/>
          <w:sz w:val="36"/>
          <w:szCs w:val="36"/>
          <w:highlight w:val="none"/>
          <w14:textFill>
            <w14:solidFill>
              <w14:schemeClr w14:val="tx1"/>
            </w14:solidFill>
          </w14:textFill>
        </w:rPr>
        <w:t>合同格式条款</w:t>
      </w:r>
      <w:bookmarkEnd w:id="28"/>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说明：本合同格式条例下述所涉及的“发包人”均指“采购人”，“承包人”均指“成交供应商”</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sectPr>
          <w:headerReference r:id="rId11" w:type="default"/>
          <w:pgSz w:w="11906" w:h="16838"/>
          <w:pgMar w:top="1021" w:right="1474" w:bottom="1191" w:left="1474" w:header="510" w:footer="624" w:gutter="0"/>
          <w:cols w:space="720" w:num="1"/>
          <w:rtlGutter w:val="1"/>
          <w:docGrid w:linePitch="312" w:charSpace="0"/>
        </w:sectPr>
      </w:pPr>
    </w:p>
    <w:p>
      <w:pPr>
        <w:pStyle w:val="8"/>
        <w:snapToGrid w:val="0"/>
        <w:spacing w:before="0" w:after="0"/>
        <w:jc w:val="center"/>
        <w:rPr>
          <w:rFonts w:ascii="宋体" w:hAnsi="宋体" w:cs="宋体"/>
          <w:color w:val="000000" w:themeColor="text1"/>
          <w:szCs w:val="24"/>
          <w:highlight w:val="none"/>
          <w14:textFill>
            <w14:solidFill>
              <w14:schemeClr w14:val="tx1"/>
            </w14:solidFill>
          </w14:textFill>
        </w:rPr>
      </w:pPr>
      <w:bookmarkStart w:id="29" w:name="_Toc2370"/>
      <w:bookmarkStart w:id="30" w:name="_Toc472022200"/>
      <w:bookmarkStart w:id="31" w:name="_Toc423010625"/>
      <w:bookmarkStart w:id="32" w:name="_Toc439164989"/>
      <w:r>
        <w:rPr>
          <w:rFonts w:hint="eastAsia" w:ascii="宋体" w:hAnsi="宋体"/>
          <w:color w:val="000000" w:themeColor="text1"/>
          <w:szCs w:val="40"/>
          <w:highlight w:val="none"/>
          <w14:textFill>
            <w14:solidFill>
              <w14:schemeClr w14:val="tx1"/>
            </w14:solidFill>
          </w14:textFill>
        </w:rPr>
        <w:t>中南大学湘雅二医院疑难病症诊治能力提升工程（心血管方向）业务用房改造标段七：心血管领域洁净手术室6-13间相关配套用房改造工程合同</w:t>
      </w:r>
      <w:bookmarkEnd w:id="29"/>
    </w:p>
    <w:p>
      <w:pPr>
        <w:pStyle w:val="8"/>
        <w:snapToGrid w:val="0"/>
        <w:spacing w:before="0" w:after="0"/>
        <w:jc w:val="center"/>
        <w:rPr>
          <w:rFonts w:ascii="宋体" w:hAnsi="宋体" w:cs="宋体"/>
          <w:color w:val="000000" w:themeColor="text1"/>
          <w:szCs w:val="24"/>
          <w:highlight w:val="none"/>
          <w14:textFill>
            <w14:solidFill>
              <w14:schemeClr w14:val="tx1"/>
            </w14:solidFill>
          </w14:textFill>
        </w:rPr>
      </w:pPr>
    </w:p>
    <w:p>
      <w:pPr>
        <w:pStyle w:val="8"/>
        <w:snapToGrid w:val="0"/>
        <w:spacing w:before="0" w:after="0"/>
        <w:jc w:val="center"/>
        <w:rPr>
          <w:rFonts w:ascii="宋体" w:hAnsi="宋体" w:cs="宋体"/>
          <w:b w:val="0"/>
          <w:bCs w:val="0"/>
          <w:color w:val="000000" w:themeColor="text1"/>
          <w:szCs w:val="24"/>
          <w:highlight w:val="none"/>
          <w14:textFill>
            <w14:solidFill>
              <w14:schemeClr w14:val="tx1"/>
            </w14:solidFill>
          </w14:textFill>
        </w:rPr>
      </w:pPr>
      <w:bookmarkStart w:id="33" w:name="_Toc32040"/>
      <w:r>
        <w:rPr>
          <w:rFonts w:hint="eastAsia" w:ascii="宋体" w:hAnsi="宋体" w:cs="宋体"/>
          <w:color w:val="000000" w:themeColor="text1"/>
          <w:szCs w:val="24"/>
          <w:highlight w:val="none"/>
          <w14:textFill>
            <w14:solidFill>
              <w14:schemeClr w14:val="tx1"/>
            </w14:solidFill>
          </w14:textFill>
        </w:rPr>
        <w:t>第一部分 合同协议书</w:t>
      </w:r>
      <w:bookmarkEnd w:id="33"/>
    </w:p>
    <w:p>
      <w:pPr>
        <w:snapToGrid w:val="0"/>
        <w:spacing w:line="360" w:lineRule="auto"/>
        <w:rPr>
          <w:rFonts w:ascii="宋体" w:hAnsi="宋体" w:cs="宋体"/>
          <w:b/>
          <w:bCs/>
          <w:color w:val="000000" w:themeColor="text1"/>
          <w:szCs w:val="21"/>
          <w:highlight w:val="none"/>
          <w14:textFill>
            <w14:solidFill>
              <w14:schemeClr w14:val="tx1"/>
            </w14:solidFill>
          </w14:textFill>
        </w:rPr>
      </w:pP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发包人（以下简称“甲方”）：</w:t>
      </w:r>
      <w:r>
        <w:rPr>
          <w:rFonts w:hint="eastAsia" w:ascii="宋体" w:hAnsi="宋体" w:cs="宋体"/>
          <w:color w:val="000000" w:themeColor="text1"/>
          <w:szCs w:val="21"/>
          <w:highlight w:val="none"/>
          <w:u w:val="single"/>
          <w14:textFill>
            <w14:solidFill>
              <w14:schemeClr w14:val="tx1"/>
            </w14:solidFill>
          </w14:textFill>
        </w:rPr>
        <w:t xml:space="preserve">中南大学湘雅二医院  </w:t>
      </w:r>
    </w:p>
    <w:p>
      <w:pPr>
        <w:spacing w:line="360" w:lineRule="auto"/>
        <w:rPr>
          <w:rFonts w:ascii="宋体" w:hAnsi="宋体" w:cs="宋体"/>
          <w:color w:val="000000" w:themeColor="text1"/>
          <w:szCs w:val="21"/>
          <w:highlight w:val="none"/>
          <w:u w:val="thick"/>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承包人（以下简称“乙方”）：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为进一步明确责任，保障甲乙双方的利益，维持医院正常运行，保证改造工程的质量和效率，严格改造工程的预决算管理，经甲乙双方友好协商，就</w:t>
      </w:r>
      <w:r>
        <w:rPr>
          <w:rFonts w:hint="eastAsia" w:ascii="宋体" w:hAnsi="宋体" w:cs="宋体"/>
          <w:color w:val="000000" w:themeColor="text1"/>
          <w:szCs w:val="21"/>
          <w:highlight w:val="none"/>
          <w:u w:val="single"/>
          <w14:textFill>
            <w14:solidFill>
              <w14:schemeClr w14:val="tx1"/>
            </w14:solidFill>
          </w14:textFill>
        </w:rPr>
        <w:t xml:space="preserve"> 中南大学湘雅二医院疑难病症诊治能力提升工程（心血管方向）业务用房改造标段七：心血管领域洁净手术室6-13间相关配套用房改造工程（项目招标编号：   ）</w:t>
      </w:r>
      <w:r>
        <w:rPr>
          <w:rFonts w:hint="eastAsia" w:ascii="宋体" w:hAnsi="宋体" w:cs="宋体"/>
          <w:color w:val="000000" w:themeColor="text1"/>
          <w:szCs w:val="21"/>
          <w:highlight w:val="none"/>
          <w14:textFill>
            <w14:solidFill>
              <w14:schemeClr w14:val="tx1"/>
            </w14:solidFill>
          </w14:textFill>
        </w:rPr>
        <w:t>事项协商一致，根据相关法律法规及本工程的具体情况签订本合同。</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本合同的承包人应当在合同履行期间持续具有本工程项目所需的合法资质。</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34" w:name="_Toc15910"/>
      <w:r>
        <w:rPr>
          <w:rFonts w:hint="eastAsia" w:ascii="宋体" w:hAnsi="宋体" w:cs="宋体"/>
          <w:color w:val="000000" w:themeColor="text1"/>
          <w:sz w:val="21"/>
          <w:szCs w:val="21"/>
          <w:highlight w:val="none"/>
          <w14:textFill>
            <w14:solidFill>
              <w14:schemeClr w14:val="tx1"/>
            </w14:solidFill>
          </w14:textFill>
        </w:rPr>
        <w:t>一、工程概况</w:t>
      </w:r>
      <w:bookmarkEnd w:id="34"/>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 工程名称：</w:t>
      </w:r>
      <w:r>
        <w:rPr>
          <w:rFonts w:hint="eastAsia" w:ascii="宋体" w:hAnsi="宋体" w:cs="宋体"/>
          <w:color w:val="000000" w:themeColor="text1"/>
          <w:szCs w:val="21"/>
          <w:highlight w:val="none"/>
          <w:u w:val="single"/>
          <w14:textFill>
            <w14:solidFill>
              <w14:schemeClr w14:val="tx1"/>
            </w14:solidFill>
          </w14:textFill>
        </w:rPr>
        <w:t>中南大学湘雅二医院疑难病症诊治能力提升工程（心血管方向）业务用房改造标段七：心血管领域洁净手术室6-13间相关配套用房改造工程</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 工程地点：</w:t>
      </w:r>
      <w:r>
        <w:rPr>
          <w:rFonts w:hint="eastAsia" w:ascii="宋体" w:hAnsi="宋体" w:cs="宋体"/>
          <w:color w:val="000000" w:themeColor="text1"/>
          <w:szCs w:val="21"/>
          <w:highlight w:val="none"/>
          <w:u w:val="single"/>
          <w14:textFill>
            <w14:solidFill>
              <w14:schemeClr w14:val="tx1"/>
            </w14:solidFill>
          </w14:textFill>
        </w:rPr>
        <w:t>长沙市人民中路139号中南大学湘雅二医院</w:t>
      </w:r>
      <w:r>
        <w:rPr>
          <w:rFonts w:hint="eastAsia" w:ascii="宋体" w:hAnsi="宋体" w:cs="宋体"/>
          <w:color w:val="000000" w:themeColor="text1"/>
          <w:szCs w:val="21"/>
          <w:highlight w:val="non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 工程概况：</w:t>
      </w:r>
      <w:r>
        <w:rPr>
          <w:rFonts w:hint="eastAsia" w:ascii="宋体" w:hAnsi="宋体" w:cs="宋体"/>
          <w:color w:val="000000" w:themeColor="text1"/>
          <w:szCs w:val="21"/>
          <w:highlight w:val="none"/>
          <w:u w:val="single"/>
          <w14:textFill>
            <w14:solidFill>
              <w14:schemeClr w14:val="tx1"/>
            </w14:solidFill>
          </w14:textFill>
        </w:rPr>
        <w:t>本工程为中南大学湘雅二医院疑难病症诊治能力提升工程（心血管方向）业务用房改造，改造范围为外科楼A座三层手术部心血管领域洁净手术室6-13间相关配套用房，</w:t>
      </w:r>
      <w:r>
        <w:rPr>
          <w:rFonts w:hint="eastAsia" w:ascii="宋体" w:hAnsi="宋体" w:cs="宋体"/>
          <w:color w:val="000000" w:themeColor="text1"/>
          <w:szCs w:val="21"/>
          <w:highlight w:val="none"/>
          <w:u w:val="single"/>
          <w:lang w:val="zh-CN"/>
          <w14:textFill>
            <w14:solidFill>
              <w14:schemeClr w14:val="tx1"/>
            </w14:solidFill>
          </w14:textFill>
        </w:rPr>
        <w:t>主要包括装饰装修、强弱电、暖通空调、医疗气体、给排水、智能化系统改造等内容，具体以施工图及招标工程量清单为准。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35" w:name="_Toc2506"/>
      <w:r>
        <w:rPr>
          <w:rFonts w:hint="eastAsia" w:ascii="宋体" w:hAnsi="宋体" w:cs="宋体"/>
          <w:color w:val="000000" w:themeColor="text1"/>
          <w:sz w:val="21"/>
          <w:szCs w:val="21"/>
          <w:highlight w:val="none"/>
          <w14:textFill>
            <w14:solidFill>
              <w14:schemeClr w14:val="tx1"/>
            </w14:solidFill>
          </w14:textFill>
        </w:rPr>
        <w:t>二、工程承包范围</w:t>
      </w:r>
      <w:bookmarkEnd w:id="35"/>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 承包范围：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36" w:name="_Toc3322"/>
      <w:r>
        <w:rPr>
          <w:rFonts w:hint="eastAsia" w:ascii="宋体" w:hAnsi="宋体" w:cs="宋体"/>
          <w:color w:val="000000" w:themeColor="text1"/>
          <w:sz w:val="21"/>
          <w:szCs w:val="21"/>
          <w:highlight w:val="none"/>
          <w14:textFill>
            <w14:solidFill>
              <w14:schemeClr w14:val="tx1"/>
            </w14:solidFill>
          </w14:textFill>
        </w:rPr>
        <w:t>三、合同工期</w:t>
      </w:r>
      <w:bookmarkEnd w:id="36"/>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 合同工期总日历天数</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天（不包括施工过程中手术间腾挪，搬迁，清空等间歇时间）</w:t>
      </w:r>
      <w:r>
        <w:rPr>
          <w:rFonts w:hint="eastAsia" w:ascii="宋体" w:hAnsi="宋体" w:cs="宋体"/>
          <w:color w:val="000000" w:themeColor="text1"/>
          <w:spacing w:val="-6"/>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甲乙双方在确定竣工日期时，已充分考虑了停水、停电、节假日、高低温天气等各种因素（如因甲方医疗设备、配套施工未及时到位造成的延误，工期相应顺延）。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 乙方须按照招标图纸、现场及相关科室进行图纸的深化设计工作和送审的计划表供发甲方审核。同时必须确保所有提交的优化设计和图纸（包括一切计算数据）、所需的文件及资料均能及时按程序及规定要求送审以便审批施工。如乙方未能按照所定计划提交所需的资料而导致工期拖延，一切之损失及责任须由乙方负责。</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 计划开工日期：</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，计划竣工日期：</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实际开工日期以甲方的开工通知为准，开工后的工期节点同向调整，乙方不得因开竣工日期的调整而向甲方提出任何索赔。因本项目为国家卫健委财政资金支持的建设内容，财政预算执行具有时限性，如超过计划竣工日期，甲方将严格按合同追究违约责任。</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 系统测试及验收要求：项目竣工验收时，由乙方邀请国家授权的疾控等权威部门对净化系统工程有关项目进行测试以及空气质量检测，并出具检测报告，所发生的费用均在本次招标范围内。对测试不合格项目，乙方应按照甲方要求限时整改，在整改后，对主要指标仍不能达标的，甲方扣除全部质保履约保证金并保留追究其经济及法律责任的权利。</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37" w:name="_Toc23364"/>
      <w:r>
        <w:rPr>
          <w:rFonts w:hint="eastAsia" w:ascii="宋体" w:hAnsi="宋体" w:cs="宋体"/>
          <w:color w:val="000000" w:themeColor="text1"/>
          <w:sz w:val="21"/>
          <w:szCs w:val="21"/>
          <w:highlight w:val="none"/>
          <w14:textFill>
            <w14:solidFill>
              <w14:schemeClr w14:val="tx1"/>
            </w14:solidFill>
          </w14:textFill>
        </w:rPr>
        <w:t>四、质量标准及技术要求</w:t>
      </w:r>
      <w:bookmarkEnd w:id="37"/>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 工程质量标准：工程按照《医院洁净手术部建筑技术规范》50333-2013、《洁净室施工及验收规范》GB50591-2010及《工程施工质量验收规范》要求，达到合格质量，按照国家现行规范和标准、行业标准及施工图纸施工和验收合格；装饰装修、电气、空调等专业改造各项内容验收依据以相关国家规范、合同文本和招投标的承诺函为准；智能化示教系统项目验收依据国家相关规范要求，同时达到设计图纸要求，满足临床科室使用要求及合同约定内容。感观验收需满足甲方要求。</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 其它质量要求:① 满足医院使用部门的要求（本项目为在原外科楼A座三层手术部内进行改造，不对原手术室结构进行拆改，同时改造实施过程中不得影响其他手术室正常运行，所有产品质量均不得低于原手术室标准。本次改造的原则是：使新手术室基础设施提升，符合国家规范，保障净化的指标，满足使用要求，其设计结构层次是在符合相关规范指标要求的基础上，以安全可靠性为核心，在此基础上从功能、维护、节能、环保方面进行优化设计，以确保整个洁净工程的优异品质，真正打造成一个满足医疗服务的精品工程）。②根据招标方提供的图纸和采购文件的要求，对招标范围内的建筑装饰、净化空调系统与自动控制、强电、弱电及示教智能化、医用气体、给排水等各系统项目等进行深化设计，设计的总体原则是：洁污分明，配套设施完善，功能与设施先进完备。③本项目改造前后建筑功能基本不变，改造区域内的垂直交通核不进行消防改造，改造考虑基本维持大楼原有设计标准，改造区域兼顾新规范要求，拆改后的消防系统消防栓、消防排烟、消防喷淋、烟感报警、疏散指示灯、应急照明灯等</w:t>
      </w:r>
      <w:r>
        <w:rPr>
          <w:rFonts w:hint="eastAsia" w:ascii="宋体" w:hAnsi="宋体" w:cs="宋体"/>
          <w:color w:val="000000" w:themeColor="text1"/>
          <w:spacing w:val="-6"/>
          <w:szCs w:val="21"/>
          <w:highlight w:val="none"/>
          <w14:textFill>
            <w14:solidFill>
              <w14:schemeClr w14:val="tx1"/>
            </w14:solidFill>
          </w14:textFill>
        </w:rPr>
        <w:t>参照改造前进行恢复</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 技术要求：项目范围内的设计、施工工艺、设备及材料的选择满足现代化医院的使用要求。设备及工艺的安排应具有先进性、高可靠性、实用性、经济性与合理性。全部技术指标，包括设备、材料、包装、运输、安装等都应具有先进性，调试、维修等各项目的技术参数，施工及验收必须符合本采购文件及国家规范的相关要求，包括但不限于下列规范：</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《建筑装饰装修工程质量验收规范》 GB50210-2018</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《建筑地面工程施工质量验收规范》 GB50209-2010</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《建筑工程施工质量验收统一标准》 GB50300-2013</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《建筑地面设计规范》 GB50037-2013</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《建筑设计防火规范》 GB50016-2014(2018年版）</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《建筑内部装修设计防火规范 》 GB50222-2017</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《建筑内部装修防火施工及验收规范》 GB50354-2017</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《综合医院建筑设计规范》GB51039-2014</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《洁净室施工及验收规范》 GB50591-2010</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《洁净厂房设计规范》 GB50073--2013</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《医药工业洁净厂房设计规范》 GB50457-2019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《医疗建筑电气设计规范》 JGJ312-2013</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《建筑照明设计标准》 GB50034-2013</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《洁净室用灯具技术要求》GB24461-2009</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《建筑电气工程施工质量验收规范》 GB50303-2011</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《民用建筑供暖通风与空气调节设计规范》 GB50736-2016</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《通风与空调工程施工质量验收规范》 GB50243-2016</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《通风与空调工程施工规范》 GB50738-2011</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《医用气体工程技术规范》 GB50751-2012</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《医用气体管道系统终端 第1部分：用于压缩医用气体和真空的终端》 YY 0801.1-2010</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《医用中心吸引系统通用技术条件》 YY/T 0186-94</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《医用中心供氧系统通用技术条件》 YY/T 0187-94</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《医用气体和真空用无缝铜管》 YS/T 650-2007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《建筑给排水设计标准》  GB50015-2019</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《建筑给水排水及采暖工程施工质量验收规范》GB50242-2018</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《建筑排水塑料管道工程技术规程》 CJJ/T29-2010</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《民用建筑隔声设计规范》 GB50118-2010</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以上规范、标准如有新颁布相关国家标准及国家建设工程强制性条文，以最新颁布的为准。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4.4培训要求</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由厂家组织用户进行现场技术培训，使用一段时间后提供现场的深入技术培训，终生提供免费的应用咨询以及技术帮助。提供免费的仪器操作、维护、维修的国内培训。</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4.5安装调试及技术服务要求</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设备制造商授权的技术人员到现场免费进行安装调试，确保仪器技术指标验收合格，并由生产厂家或投标厂家为用户提供现场技术培训。</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4.6服务要求</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项目部关键岗位人员数量按湘建建（2020）208号文规定不少于4人，即项目负责人1人，项目技术负责人1人，施工员不少于1人，专职安全员不少于1人（取得安全生产考核合格证书C证），质量员不少于1人（施工员可由技术负责人兼任），且关键岗位人员不得有在建项目。</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乙方应严格按照工期要求倒排时间表，提前安排设备、材料订购计划，施工工期节点处所需设备材料必须按时到货，合理安全施工，确保工程按时验收，交付使用。</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乙方应提供产品全套技术标准、技术资料及安装维护使用手册等资料。</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乙方应提供详细的供货清单，包括设备的性能参数、产地等。</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乙方应详细列明洁净手术室系统进口设备和国产设备明细。</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乙方对因产品质量、运输包装原因不能保证合格使用的本系统设备，应予以退货或更换。</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乙方应在系统竣工验收30日内，对甲方本系统管理操作人员免费提供操作及维护培训，人员数量为5-7名，</w:t>
      </w:r>
    </w:p>
    <w:p>
      <w:pPr>
        <w:numPr>
          <w:ilvl w:val="0"/>
          <w:numId w:val="3"/>
        </w:numPr>
        <w:wordWrap w:val="0"/>
        <w:spacing w:line="360" w:lineRule="auto"/>
        <w:ind w:left="0"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在后续的临床上线过程中，乙方应以科室需求提供免费的手术室智能化系统的不断深化、优化功能，最终满足科室的使用要求。</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乙方对各种型号的设备须提供足够的备件、附件和易损件并保证是原厂生产的产品，以满足设备正常运行的需要。乙方须在投标文件中提供备品备件清单和价格。</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乙方对所供应的设备从项目竣工验收合格之日开始免费保修(≥60个月)，并且终生提供维修服务。乙方须提供全面、详细的售后服务计划和承诺书。</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根据使用需求，提供免费的手术室基础数字化系统的完善改进，并且医院后期规划升级信息化平台涉及信息接口改造事宜，乙方应无偿予以配合，确保手术室数字化系统与医院信息化平台数据互联互通。</w:t>
      </w:r>
    </w:p>
    <w:p>
      <w:pPr>
        <w:numPr>
          <w:ilvl w:val="0"/>
          <w:numId w:val="3"/>
        </w:numPr>
        <w:wordWrap w:val="0"/>
        <w:spacing w:line="360" w:lineRule="auto"/>
        <w:ind w:left="0"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所有设备及材料必须符合中华人民共和国有关节能、环保方面的规范、规程、规定等要求，且施工过程中，工程所用设备、材料的品牌须经甲方书面同意后方可安排进场施工、安装。</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38" w:name="_Toc2631"/>
      <w:r>
        <w:rPr>
          <w:rFonts w:hint="eastAsia" w:ascii="宋体" w:hAnsi="宋体" w:cs="宋体"/>
          <w:color w:val="000000" w:themeColor="text1"/>
          <w:sz w:val="21"/>
          <w:szCs w:val="21"/>
          <w:highlight w:val="none"/>
          <w14:textFill>
            <w14:solidFill>
              <w14:schemeClr w14:val="tx1"/>
            </w14:solidFill>
          </w14:textFill>
        </w:rPr>
        <w:t>五、甲乙方代表</w:t>
      </w:r>
      <w:bookmarkEnd w:id="38"/>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 甲方需委派</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项目经理</w:t>
      </w:r>
      <w:r>
        <w:rPr>
          <w:rFonts w:hint="eastAsia" w:ascii="宋体" w:hAnsi="宋体" w:cs="宋体"/>
          <w:color w:val="000000" w:themeColor="text1"/>
          <w:szCs w:val="21"/>
          <w:highlight w:val="none"/>
          <w14:textFill>
            <w14:solidFill>
              <w14:schemeClr w14:val="tx1"/>
            </w14:solidFill>
          </w14:textFill>
        </w:rPr>
        <w:t>）任甲方驻工地代表（手写签名样本:</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代表甲方行使本合同约定的权利，履行本合同约定的职责，但无权减轻本合同中约定的乙方的责任或义务，且下列事项须执行甲方制度流程采用甲方要求的形式并由甲方授权的相应责任人签批或盖甲方公章确认方为有效：设计变更、工程洽商、材料批价、工程结算、涉及经济条款或工程造价的谈判。</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 乙方委派</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（项目经理）为乙方驻工地代表（手写签名样本:</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代表乙方行使本合同约定的义务，履行本合同约定的职责。对工程进度、质量、安全负责，负责办理中间交工工程验收手续及其他事宜。乙方在未经甲方允许的情况下，不允许私自更换乙方驻工地代表，并且服从甲方或甲方委托的监理单位管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5.3由甲方委派</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为监理驻工地代表，代表甲方依照法律法规、工程建设标准、勘察设计文件及合同，在施工阶段对本工程安全、质量、造价、进度进行控制，对合同、信息进行管理，对工程建设相关方的关系进行协调。</w:t>
      </w:r>
    </w:p>
    <w:p>
      <w:pPr>
        <w:spacing w:line="360" w:lineRule="auto"/>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5.4由甲方委派造价咨询单位的项目审计总负责人</w:t>
      </w:r>
      <w:r>
        <w:rPr>
          <w:rFonts w:hint="eastAsia" w:ascii="宋体" w:hAnsi="宋体" w:cs="宋体"/>
          <w:color w:val="000000" w:themeColor="text1"/>
          <w:szCs w:val="21"/>
          <w:highlight w:val="none"/>
          <w14:textFill>
            <w14:solidFill>
              <w14:schemeClr w14:val="tx1"/>
            </w14:solidFill>
          </w14:textFill>
        </w:rPr>
        <w:t>为审计驻工地代表，代表甲方对本工程进行</w:t>
      </w:r>
      <w:r>
        <w:rPr>
          <w:rFonts w:hint="eastAsia" w:ascii="宋体" w:hAnsi="宋体" w:cs="宋体"/>
          <w:color w:val="000000" w:themeColor="text1"/>
          <w:szCs w:val="21"/>
          <w:highlight w:val="none"/>
          <w:shd w:val="clear" w:color="auto" w:fill="FFFFFF"/>
          <w14:textFill>
            <w14:solidFill>
              <w14:schemeClr w14:val="tx1"/>
            </w14:solidFill>
          </w14:textFill>
        </w:rPr>
        <w:t>全过程审计，包含对本项目进行开工前审计、跟踪审计和竣工决算审计，将事后审查与事前、事中监督并举，强化对工程建设领域的全方位审计监督</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 xml:space="preserve"> </w:t>
      </w:r>
    </w:p>
    <w:p>
      <w:pPr>
        <w:keepNext/>
        <w:adjustRightInd w:val="0"/>
        <w:spacing w:line="360" w:lineRule="auto"/>
        <w:ind w:left="826" w:hanging="826" w:hangingChars="392"/>
        <w:textAlignment w:val="baseline"/>
        <w:outlineLvl w:val="0"/>
        <w:rPr>
          <w:rFonts w:ascii="宋体" w:hAnsi="宋体" w:cs="宋体"/>
          <w:b/>
          <w:color w:val="000000" w:themeColor="text1"/>
          <w:kern w:val="0"/>
          <w:szCs w:val="21"/>
          <w:highlight w:val="none"/>
          <w14:textFill>
            <w14:solidFill>
              <w14:schemeClr w14:val="tx1"/>
            </w14:solidFill>
          </w14:textFill>
        </w:rPr>
      </w:pPr>
      <w:bookmarkStart w:id="39" w:name="_Toc2886"/>
      <w:r>
        <w:rPr>
          <w:rFonts w:hint="eastAsia" w:ascii="宋体" w:hAnsi="宋体" w:cs="宋体"/>
          <w:b/>
          <w:color w:val="000000" w:themeColor="text1"/>
          <w:kern w:val="0"/>
          <w:szCs w:val="21"/>
          <w:highlight w:val="none"/>
          <w14:textFill>
            <w14:solidFill>
              <w14:schemeClr w14:val="tx1"/>
            </w14:solidFill>
          </w14:textFill>
        </w:rPr>
        <w:t>六、合同价款</w:t>
      </w:r>
      <w:bookmarkEnd w:id="39"/>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6.1按固定单价合同执行： </w:t>
      </w:r>
    </w:p>
    <w:p>
      <w:pPr>
        <w:numPr>
          <w:ilvl w:val="0"/>
          <w:numId w:val="4"/>
        </w:numPr>
        <w:wordWrap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合同总金额（小写）：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；（大写）：</w:t>
      </w:r>
      <w:r>
        <w:rPr>
          <w:rFonts w:hint="eastAsia" w:ascii="宋体" w:hAnsi="宋体" w:cs="宋体"/>
          <w:color w:val="000000" w:themeColor="text1"/>
          <w:szCs w:val="21"/>
          <w:highlight w:val="none"/>
          <w:u w:val="single"/>
          <w14:textFill>
            <w14:solidFill>
              <w14:schemeClr w14:val="tx1"/>
            </w14:solidFill>
          </w14:textFill>
        </w:rPr>
        <w:t xml:space="preserve">      （人民币）。</w:t>
      </w:r>
    </w:p>
    <w:p>
      <w:pPr>
        <w:wordWrap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以上价款为暂定合同价款，工程量为暂定工程量，结算时按实调整，  </w:t>
      </w:r>
    </w:p>
    <w:p>
      <w:pPr>
        <w:pStyle w:val="2"/>
        <w:wordWrap w:val="0"/>
        <w:spacing w:before="0" w:beforeAutospacing="0" w:after="0" w:line="360" w:lineRule="auto"/>
        <w:ind w:left="0" w:left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上浮不得超过暂定合同价款的10%，超出部分由承包人承担；</w:t>
      </w:r>
    </w:p>
    <w:p>
      <w:pPr>
        <w:wordWrap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单价为固定单价，包括完成合同项下一个规定计量单位项目的所有工作内容及完成此工作内容而必须的各种辅助工作所需的人工、材料、机械、管理费、利润、规费、税金、其他费用（成品保护、零星特点、措施费、保险等），以及包含：①深化设计、②施工、③货物（包括保修期内的备品备件、易损件、专用工具等）的设计、制造、包装、保险、运输、安装调试、主管部门验收（含第三方检测）。④培训、售后服务及技术支持等相关服务的所有费用。乙方应充分考虑本项目合同实施期间可能发生的一切费用，并承担由此而带来的风险。</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6.2价款中均已包含完成该项工程所需要的：施工设备、劳务、管理、材料、安装、维护、利润、税费、安全防护费、安全文明施工措施费、农民工工资保证金及政策性文件规定的各项应有费用及合同明示或暗示的所有一切风险、责任和义务的费用。由乙方包工、包料、包机械、包管理、包质量、包工期。包安全、包文明施工、包验收等直至竣工验收交付使用以及保修期间因乙方施工质量问题产生的所有费用。</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40" w:name="_Toc2853"/>
      <w:r>
        <w:rPr>
          <w:rFonts w:hint="eastAsia" w:ascii="宋体" w:hAnsi="宋体" w:cs="宋体"/>
          <w:color w:val="000000" w:themeColor="text1"/>
          <w:sz w:val="21"/>
          <w:szCs w:val="21"/>
          <w:highlight w:val="none"/>
          <w14:textFill>
            <w14:solidFill>
              <w14:schemeClr w14:val="tx1"/>
            </w14:solidFill>
          </w14:textFill>
        </w:rPr>
        <w:t>七、甲方权利和义务</w:t>
      </w:r>
      <w:bookmarkEnd w:id="40"/>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 甲方以书面形式委托施工改造项目，负责向乙方发出开工指令，审核乙方上报的施工方案。</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 甲方负责监督管理乙方的工作质量、进度。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 甲方如认为有必要时，可对甲方拟建实施项目工程或其任何部分的形式、质量或数量作出变更，并有权要求乙方进行下述任何工作：</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7.3.1增加或减少合同中包括的任何工作的数量；</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7.3.2改变任何工作的性质、质量或种类；</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7.3.3增加或减少为完成本工程所需要的任何种类的附加工作；</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7.3.4改变本工程任何部分施工的规定顺序或时间安排；</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7.3.5甲方要求的其他工作。</w:t>
      </w:r>
    </w:p>
    <w:p>
      <w:pPr>
        <w:spacing w:line="360" w:lineRule="auto"/>
        <w:ind w:left="899" w:leftChars="228" w:hanging="420" w:hanging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7.4甲方在乙方施工完毕后及时组织人员对项目进行验收，并签字确认。</w:t>
      </w:r>
    </w:p>
    <w:p>
      <w:pPr>
        <w:spacing w:line="360" w:lineRule="auto"/>
        <w:ind w:left="899" w:leftChars="228" w:hanging="420" w:hanging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7.5按合同约定支付工程款。</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41" w:name="_Toc15394"/>
      <w:r>
        <w:rPr>
          <w:rFonts w:hint="eastAsia" w:ascii="宋体" w:hAnsi="宋体" w:cs="宋体"/>
          <w:color w:val="000000" w:themeColor="text1"/>
          <w:sz w:val="21"/>
          <w:szCs w:val="21"/>
          <w:highlight w:val="none"/>
          <w14:textFill>
            <w14:solidFill>
              <w14:schemeClr w14:val="tx1"/>
            </w14:solidFill>
          </w14:textFill>
        </w:rPr>
        <w:t>八、乙方权利和义务</w:t>
      </w:r>
      <w:bookmarkEnd w:id="41"/>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8.1乙方应在接到甲方书面通知后半个工作日安排施工、维修人员到位，并在甲方要求时间内完成施工、维修内容；应急任务接到电话通知半小时内必须到达现场并安排施工。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8.2乙方负责跟踪合同工期内完成项目的施工进度，并于施工结束后通知甲方验收。</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8.3乙方负责对承接工程的质量承担责任，并对因乙方原因而造成的质量问题承担无偿返修责任，直至符合质量要求为止。工程验收交付后严格履行本合同约定的质量保修义务。</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8.4乙方必须保证不影响医院正常医疗业务开展情况下，提供施工照明、围栏设施，并负责安全保卫。自觉遵守工程建设安全生产有关管理规定，严格采取施工保卫安全等技术措施，按照安全标准组织施工，确保现场施工人员及第三者安全，并随时接受行业安全检查人员依法实施的监督检查，采取必要的安全防护措施，消除事故隐患。自行解决施工照明并保证用电安全，制定安全防火责任人，物件堆放整齐，及时清理场地干净整洁。由于乙方安全措施不力造成事故的责任和因此发生的费用，由乙方承担。</w:t>
      </w:r>
    </w:p>
    <w:p>
      <w:pPr>
        <w:spacing w:line="360" w:lineRule="auto"/>
        <w:ind w:left="899" w:leftChars="228" w:hanging="420" w:hanging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8.5乙方有义务接受甲方的监督和管理，并服从甲方的安排与施工协调。</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8.6乙方有义务确保文明施工与施工场地及周边的整洁，按规定做好施工场地交通组织、夜间施工、建筑垃圾（包括渣土）生活垃圾等运输、工程、生活污水、噪音排放和消防的申报工作，并承担因此发生的相关费用，及因自身原因违反有关规定造成的损失和罚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8.7乙方有义务采取恰当措施保护施工场地周边物品、管理（包括地下管线）、公共设施和邻近建筑物、构筑物、古树名木等。由于乙方施工措施不当造成污染、侵损、破坏周围物品、管线（包括地下管线）、公共设施和邻近建筑物、构筑物、古树名木、堵塞排水管网等，造成的损失由乙方承担。</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8.8乙方有义务承担与其施工、维修工程有关，或其施工、维修工程进行期间，或其施工、维修工程导致的人身伤亡及财产损坏导致的损失、费用、索赔、补偿或诉讼的法律责任，并保障甲方免负该责任。甲方对任何雇员的意外或伤亡，不论该人是否受雇于乙方，皆不负任何法律上的赔偿责任，乙方须保障甲方免付任何有关的索偿、要求、诉讼、成本、费用和支出。</w:t>
      </w:r>
    </w:p>
    <w:p>
      <w:pPr>
        <w:spacing w:line="360" w:lineRule="auto"/>
        <w:ind w:left="899" w:leftChars="228" w:hanging="420" w:hanging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8.9 乙方自行解决任何产品加工和生活场地。</w:t>
      </w:r>
    </w:p>
    <w:p>
      <w:pPr>
        <w:spacing w:line="360" w:lineRule="auto"/>
        <w:ind w:left="899" w:leftChars="228" w:hanging="420" w:hanging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8.10 自觉接受甲方委托的监理和造价咨询公司的监督。</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8.11 乙方应当保证对本协议项下全部设备提供售后服务，并将售后服务及维修方案作为附件，保证具有完整性和可操作性。</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8.12乙方应提供及时周到的售后服务，提供全天24小时服务。出现故障，乙方技术人员应在2小时内到达现场维修，确保24小时内修复，如不能修复，应在24小时内提供备用设备，以保障甲方的正常使用至故障设备修复为止。</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42" w:name="_Toc11213"/>
      <w:r>
        <w:rPr>
          <w:rFonts w:hint="eastAsia" w:ascii="宋体" w:hAnsi="宋体" w:cs="宋体"/>
          <w:color w:val="000000" w:themeColor="text1"/>
          <w:sz w:val="21"/>
          <w:szCs w:val="21"/>
          <w:highlight w:val="none"/>
          <w14:textFill>
            <w14:solidFill>
              <w14:schemeClr w14:val="tx1"/>
            </w14:solidFill>
          </w14:textFill>
        </w:rPr>
        <w:t>九、结算</w:t>
      </w:r>
      <w:bookmarkEnd w:id="42"/>
    </w:p>
    <w:p>
      <w:pPr>
        <w:spacing w:line="360" w:lineRule="auto"/>
        <w:ind w:left="899" w:leftChars="228" w:hanging="420" w:hanging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9.1结算要求：</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9.1.1 结算须按照甲方的制度流程相关规定办理，需按要求提交齐全的达到档案接收标准的竣工图和竣工结算资料。</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9.1.2结算审核审减额大于乙方送审额20%以上（含），该次所有审计服务费用均由乙方承担，甲方直接从工程结算款中扣除该审计费用。</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9.1.3乙方应完全理解并服从甲方对结算的复审、抽审、审计安排，不得以此为由向甲方提出任何索偿。所有结算最终审核完成后，均须签订《结算确认书》。</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结算方式：采取固定单价方式，工程量为暂定工程量，结算时按实调整，上浮不得超过暂定合同价款的10%。工程量的确认原则上以甲方及委托的监理单位和造价咨询公司审核并签字认可的竣工图纸及相关竣工验收资料为准。如果现场实际施工情况与竣工资料不符的，以实际施工情况为准。最终以中南大学湘雅二医院审计办公室审计报告单为结算依据。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9.3结算依据：</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9.3.1湘建价[2020]56号湖南省住房和城乡建设厅关于印发2020《湖南省建设工程计价办法》及《湖南省建设工程消耗量标准》的通知；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9.3.2湘建价[2016]160号《关于调整补充增值税条件下建设工程计价依据的通知》；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9.3.3湘建价[2016]72号关于印发《关于增值税条件下计费程序和计费标准的规定》及《关于增值税条件下材料价格发布与使用的规定》的通知；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9.3.4长住建发[2018] 104号《关于建设工程扬尘防治调整安全文明施工费计价规定的通知》；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9.3.5湘建价[2019]61号《湖南省住房和城乡建设厅关于调整建设工程社会保险费计费标准的通知》；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9.3.6湘建价[2019]47号《关于调整建设工程销项税额税率和材料价格综合税率计费标准》的通知；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9.3.7湘建价[2019]130号《关于发布2019年湖南省建设工程人工工资单价》的通知。</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9.4人工单价：参考施工同期湖南省人工工资最低工资标准及医院规定标准执行。</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9.5综合单价和材料价格按投标价，新增项目和新增材料以甲方核定单价为准。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9.6水电费装有专用水电表的，按实收费；没有装专用水电表的，按定额消耗在结算时予以扣回；没有定额消耗量的，在决算时按审计事务所测算的平均值予以扣除。</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43" w:name="_Toc22424"/>
      <w:r>
        <w:rPr>
          <w:rFonts w:hint="eastAsia" w:ascii="宋体" w:hAnsi="宋体" w:cs="宋体"/>
          <w:color w:val="000000" w:themeColor="text1"/>
          <w:sz w:val="21"/>
          <w:szCs w:val="21"/>
          <w:highlight w:val="none"/>
          <w14:textFill>
            <w14:solidFill>
              <w14:schemeClr w14:val="tx1"/>
            </w14:solidFill>
          </w14:textFill>
        </w:rPr>
        <w:t>十、付款方式</w:t>
      </w:r>
      <w:bookmarkEnd w:id="43"/>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10.1付款方式：①</w:t>
      </w:r>
      <w:r>
        <w:rPr>
          <w:rFonts w:hint="eastAsia" w:ascii="宋体" w:hAnsi="宋体" w:cs="宋体"/>
          <w:color w:val="000000" w:themeColor="text1"/>
          <w:szCs w:val="21"/>
          <w:highlight w:val="none"/>
          <w:u w:val="single"/>
          <w14:textFill>
            <w14:solidFill>
              <w14:schemeClr w14:val="tx1"/>
            </w14:solidFill>
          </w14:textFill>
        </w:rPr>
        <w:t>合同签订后60日内支付合同总金额的30%作为预付款；②空调机组、UPS、隔离变压器等主要设备到达现场并经甲方签收后支付到合同总金额的60%；③竣工验收阶段按单项工程支付进度款，各单项工程竣工验收合格后支付到该单项工程已完成工程量造价的85%；④项目审计结算后支付到结算金额的97%；⑤剩余审计结算金额的3%待保修期满后无质量问题，由乙方提交付款申请后甲方一次性付清（无息）。</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10.2甲方每次支付款项前，乙方必须开具同等数额的正规税务发票，否则甲方有权拒绝支付而无需承担任何违约责任。</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乙方开具本合同等额正规税务发票。发票相关信息及要求：</w:t>
      </w:r>
    </w:p>
    <w:tbl>
      <w:tblPr>
        <w:tblStyle w:val="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50" w:hRule="atLeast"/>
        </w:trPr>
        <w:tc>
          <w:tcPr>
            <w:tcW w:w="5000" w:type="pct"/>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名称：中南大学湘雅二医院                       税号：121000004448855592</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单位地址：湖南省长沙市人民中路139号          电话：0731-85295888</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开户银行：中国银行杏林支行                    银行账号：5872 5735 1943</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要求：1、开具本合同等额正规增值税发票</w:t>
            </w:r>
          </w:p>
          <w:p>
            <w:pPr>
              <w:spacing w:line="360" w:lineRule="auto"/>
              <w:ind w:firstLine="630" w:firstLineChars="3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2、登陆“国家税务总局全国增值税务发票查验平台”，查验发票真伪，并将查询明细打印，附在发票后。其他税务网站上查询无效。</w:t>
            </w:r>
          </w:p>
        </w:tc>
      </w:tr>
    </w:tbl>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10.3应付款项甲方支付至本合同约定的账号，合同期内乙方不得更改收款账户，甲方仅进行一次支付，如支付失败，甲方有权暂停支付至乙方提供新的符合甲方要求的收款账户及相关证明文件之日。乙方变更工商信息时应及时以书面的形式告知甲方，未及时告知而导致乙方损失则由乙方自行负责，甲方不承担责任。</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乙方的收款账号:</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户名：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44" w:name="_Toc7104"/>
      <w:r>
        <w:rPr>
          <w:rFonts w:hint="eastAsia" w:ascii="宋体" w:hAnsi="宋体" w:cs="宋体"/>
          <w:color w:val="000000" w:themeColor="text1"/>
          <w:sz w:val="21"/>
          <w:szCs w:val="21"/>
          <w:highlight w:val="none"/>
          <w14:textFill>
            <w14:solidFill>
              <w14:schemeClr w14:val="tx1"/>
            </w14:solidFill>
          </w14:textFill>
        </w:rPr>
        <w:t>十一、保修条款</w:t>
      </w:r>
      <w:bookmarkEnd w:id="44"/>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11.1保修期：</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5</w:t>
      </w:r>
      <w:r>
        <w:rPr>
          <w:rFonts w:hint="eastAsia" w:ascii="宋体" w:hAnsi="宋体" w:cs="宋体"/>
          <w:color w:val="000000" w:themeColor="text1"/>
          <w:szCs w:val="21"/>
          <w:highlight w:val="none"/>
          <w:u w:val="single"/>
          <w14:textFill>
            <w14:solidFill>
              <w14:schemeClr w14:val="tx1"/>
            </w14:solidFill>
          </w14:textFill>
        </w:rPr>
        <w:t xml:space="preserve">年 </w:t>
      </w:r>
      <w:r>
        <w:rPr>
          <w:rFonts w:hint="eastAsia" w:ascii="宋体" w:hAnsi="宋体" w:cs="宋体"/>
          <w:color w:val="000000" w:themeColor="text1"/>
          <w:szCs w:val="21"/>
          <w:highlight w:val="none"/>
          <w14:textFill>
            <w14:solidFill>
              <w14:schemeClr w14:val="tx1"/>
            </w14:solidFill>
          </w14:textFill>
        </w:rPr>
        <w:t>，自工程竣工验收合格（以甲方、监理签字的《工程竣工验收证明》的最终签字时间为准）起算，且不低于国家、地方相关管理规定。</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 乙方维修负责人为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，为保证工程维修期间的文件送达及联系畅通，乙方须拟派一名紧急维修联系人（主管工程副总以上职位），通讯方式如下：</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紧急维修联系人：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，公司传真号码：</w:t>
      </w:r>
      <w:r>
        <w:rPr>
          <w:rFonts w:ascii="宋体" w:hAnsi="宋体" w:cs="宋体"/>
          <w:color w:val="000000" w:themeColor="text1"/>
          <w:szCs w:val="21"/>
          <w:highlight w:val="none"/>
          <w:u w:val="single"/>
          <w14:textFill>
            <w14:solidFill>
              <w14:schemeClr w14:val="tx1"/>
            </w14:solidFill>
          </w14:textFill>
        </w:rPr>
        <w:pict>
          <v:line id="直接连接符 2" o:spid="_x0000_s1026" o:spt="20" style="position:absolute;left:0pt;margin-left:63.6pt;margin-top:51.3pt;height:0pt;width:0.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">
            <v:path arrowok="t"/>
            <v:fill focussize="0,0"/>
            <v:stroke/>
            <v:imagedata o:title=""/>
            <o:lock v:ext="edit"/>
          </v:line>
        </w:pic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公司通信地址：</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公司注册地址：</w:t>
      </w:r>
      <w:r>
        <w:rPr>
          <w:rFonts w:hint="eastAsia" w:ascii="宋体" w:hAnsi="宋体" w:cs="宋体"/>
          <w:color w:val="000000" w:themeColor="text1"/>
          <w:szCs w:val="21"/>
          <w:highlight w:val="none"/>
          <w:u w:val="single"/>
          <w14:textFill>
            <w14:solidFill>
              <w14:schemeClr w14:val="tx1"/>
            </w14:solidFill>
          </w14:textFill>
        </w:rPr>
        <w:t xml:space="preserve">                 </w:t>
      </w:r>
    </w:p>
    <w:p>
      <w:pPr>
        <w:pStyle w:val="4"/>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11.3乙方以上联络方式可同时采用，甲方采用其中任意一项联系方式均为有效。以上岗位人员及公司的通讯方式、地址等一旦发生变更，乙方必须及时书面通知甲方。如未及时通知，造成甲方无法及时联系到乙方现场维修联系人或维修通知、指令无法送达的情况，则甲方委托第三方单位维修的费用或其他包括但不限于赔偿、补偿等费用，均由乙方承担。乙方指定的负责人或者联系人及其他维修人员的行为后果均由乙方承担。</w:t>
      </w:r>
    </w:p>
    <w:p>
      <w:pPr>
        <w:pStyle w:val="6"/>
        <w:spacing w:line="360" w:lineRule="auto"/>
        <w:ind w:left="826" w:hanging="826" w:hangingChars="392"/>
        <w:jc w:val="both"/>
        <w:textAlignment w:val="baseline"/>
        <w:rPr>
          <w:rFonts w:ascii="宋体" w:hAnsi="宋体" w:cs="宋体"/>
          <w:color w:val="000000" w:themeColor="text1"/>
          <w:sz w:val="21"/>
          <w:szCs w:val="21"/>
          <w:highlight w:val="none"/>
          <w14:textFill>
            <w14:solidFill>
              <w14:schemeClr w14:val="tx1"/>
            </w14:solidFill>
          </w14:textFill>
        </w:rPr>
      </w:pPr>
      <w:bookmarkStart w:id="45" w:name="_Toc4319"/>
      <w:r>
        <w:rPr>
          <w:rFonts w:hint="eastAsia" w:ascii="宋体" w:hAnsi="宋体" w:cs="宋体"/>
          <w:color w:val="000000" w:themeColor="text1"/>
          <w:sz w:val="21"/>
          <w:szCs w:val="21"/>
          <w:highlight w:val="none"/>
          <w14:textFill>
            <w14:solidFill>
              <w14:schemeClr w14:val="tx1"/>
            </w14:solidFill>
          </w14:textFill>
        </w:rPr>
        <w:t>十二、违约与争议</w:t>
      </w:r>
      <w:bookmarkEnd w:id="45"/>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46" w:name="_Hlk1667000"/>
      <w:r>
        <w:rPr>
          <w:rFonts w:hint="eastAsia" w:ascii="宋体" w:hAnsi="宋体" w:cs="宋体"/>
          <w:color w:val="000000" w:themeColor="text1"/>
          <w:szCs w:val="21"/>
          <w:highlight w:val="none"/>
          <w14:textFill>
            <w14:solidFill>
              <w14:schemeClr w14:val="tx1"/>
            </w14:solidFill>
          </w14:textFill>
        </w:rPr>
        <w:t>12.1工程质量达不到验收标准的部分，乙方应按甲方要求的时间内予以修复，直到符合验收标准为止，其费用与工期拖延的损失由乙方承担，同时承担给第三方造成的一切损失。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12.2由于乙方产品质量、安装操作流程或安装质量等原因引起的安全事故，责任全部由乙方承担，同时承担给甲方造成的一切损失。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12.3由于乙方原因，造成工期延误时，每延误一天，乙方须按本工程总价的1%向甲方支付违约金，延误超过30个日历天，甲方有权单方面终止合同，并要求乙方承担本合同总价的10％的违约金及其他一切损失。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 若乙方虚报谎报设计变更、工程洽商单以及结算，将追究乙方的违约责任，乙方须支付瞒报部分结算费用的双倍作为违约金。</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12.5 乙方若将本工程全部转包给他人，视为乙方单方面违约解除合同，并按本合同总价的20％向甲方支付违约金，并赔偿甲方其他损失。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12.6 乙方应当在合同履行期间持续具有本工程项目所需的合法资质，如因其自身原因失去合法资质，致使无法实现合同目的，按本合同12.5条款处理。</w:t>
      </w:r>
    </w:p>
    <w:p>
      <w:pPr>
        <w:pStyle w:val="4"/>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12.7争议解决方式：甲乙双方在履行合同时发生争议，可以协商解决、或者请第三方调解。当事人不愿协商、调解或者协商、调解不成的，向甲方所在地人民法院起诉。</w:t>
      </w:r>
      <w:bookmarkEnd w:id="46"/>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十三、合同解除</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承包人如有下列情形之一的，发包人有权解除合同，并要求承包人支付违约金，并赔偿损失：</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13.1在合同期内发包人有权对承包人的工程质量、服务响应及时性等进行不定期考核，发包人评价承包人考核不合格的；</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13.2服务期内如承包人出现（1）犯罪行为；（2）被行政执法机关处以吊销营业执照、取消资质、责令停业、行政罚款金额（叁万元人民币以上、暂扣安全生产许可证；（3）财务被接管或冻结情况的。包括但不限于偷税漏税、虚假宣传、商业欺诈、商业贿赂、非法生产等商业不良行为；</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13.3承包人在合同签署前未主动告知发包人其在合同签署前三年之内有上述第7.2中的行为的；</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13.4承包人处于司法诉讼中且发包人认为承包人存在经营风险或专利侵权风险等可能影响合同履行的情形。</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13.5因承包人原因未按招标文件、投标文件及合同规定履行服务承诺一次以上；</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13.6其他解除情形依照本合同约定。</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十四、反商业贿赂条款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请承包人与发包人签署合同之当事人认真阅读本条款，同意与发包人签订并遵守如下反商业贿赂条款：</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14.1双方都清楚并愿意严格遵守中华人民共和国反商业贿赂的法律规定，双方都清楚任何形式的贿赂和贪渎行为都将触犯法律，并将受到法律的严惩。</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发包人或承包人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14.3发包人严格禁止发包人经办人员的任何商业贿赂行为。发包人经办人发生本条第二款所列示的任何一种行为，都是违反发包人单位制度的，都将受到发包人单位制度和国家法律的惩处。</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14.4发包人郑重提示：发包人反对承包人或承包人经办人员为了本合同之目的与本合同以外的任何第三方发生本条款第二条所列示的任何一种行为，该等行为都是违反国家法律的行为，并将受到国家法律的惩处。</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14.5如因一方或一方经办人涉嫌违反上述第2点、第3点、第4点之规定，相对方均有权中止合同；如经司法机关调查后其商业贿赂行为属实，则相对方有权解除合同，造成守约方损失的，应承担损害赔偿责任。</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14.6本条所称“其他相关人员”是指承包人经办人以外的与合同有直接或间接利益关系的人员，包括但不仅限于合同经办人的亲友。</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47" w:name="_Toc351203486"/>
      <w:r>
        <w:rPr>
          <w:rFonts w:hint="eastAsia" w:ascii="宋体" w:hAnsi="宋体" w:eastAsia="宋体" w:cs="宋体"/>
          <w:color w:val="000000" w:themeColor="text1"/>
          <w:sz w:val="21"/>
          <w:szCs w:val="21"/>
          <w:highlight w:val="none"/>
          <w14:textFill>
            <w14:solidFill>
              <w14:schemeClr w14:val="tx1"/>
            </w14:solidFill>
          </w14:textFill>
        </w:rPr>
        <w:t>十五、合同文件构成</w:t>
      </w:r>
      <w:bookmarkEnd w:id="47"/>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本协议书与下列文件一起构成合同文件：</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（1）中标通知书；</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（2）投标函及其附录；</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（3）专用合同条款及其附件；</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（4）通用合同条款；</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（5）技术标准和要求；</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（6）图纸；</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（7）已标价工程量清单或预算书；</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（8）其他合同文件。</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在合同订立及履行过程中形成的与合同有关的文件均构成合同文件组成部分。</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48" w:name="_Toc351203487"/>
      <w:r>
        <w:rPr>
          <w:rFonts w:hint="eastAsia" w:ascii="宋体" w:hAnsi="宋体" w:eastAsia="宋体" w:cs="宋体"/>
          <w:color w:val="000000" w:themeColor="text1"/>
          <w:sz w:val="21"/>
          <w:szCs w:val="21"/>
          <w:highlight w:val="none"/>
          <w14:textFill>
            <w14:solidFill>
              <w14:schemeClr w14:val="tx1"/>
            </w14:solidFill>
          </w14:textFill>
        </w:rPr>
        <w:t>十六、承诺</w:t>
      </w:r>
      <w:bookmarkEnd w:id="48"/>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16.1发包人承诺按要求对项目技术文件进行审查并委托监理对现场质量安全进行监督，筹集工程建设资金并按照合同约定的期限和方式支付合同价款。</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16.2承包人承诺按照法律规定及合同约定组织完成工程施工，确保工程质量和安全，不进行转包及违法分包，并在缺陷责任期及保修期内承担相应的工程维修责任。</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16.3发包人和承包人通过招投标形式签订合同的，双方理解并承诺不再就同一工程另行签订与合同实质性内容相背离的协议。</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49" w:name="_Toc351203488"/>
      <w:r>
        <w:rPr>
          <w:rFonts w:hint="eastAsia" w:ascii="宋体" w:hAnsi="宋体" w:eastAsia="宋体" w:cs="宋体"/>
          <w:color w:val="000000" w:themeColor="text1"/>
          <w:sz w:val="21"/>
          <w:szCs w:val="21"/>
          <w:highlight w:val="none"/>
          <w14:textFill>
            <w14:solidFill>
              <w14:schemeClr w14:val="tx1"/>
            </w14:solidFill>
          </w14:textFill>
        </w:rPr>
        <w:t>十一、词语含义</w:t>
      </w:r>
      <w:bookmarkEnd w:id="49"/>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本协议书中词语含义与第二部分通用合同条款中赋予的含义相同。</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0" w:name="_Toc351203491"/>
      <w:r>
        <w:rPr>
          <w:rFonts w:hint="eastAsia" w:ascii="宋体" w:hAnsi="宋体" w:eastAsia="宋体" w:cs="宋体"/>
          <w:color w:val="000000" w:themeColor="text1"/>
          <w:sz w:val="21"/>
          <w:szCs w:val="21"/>
          <w:highlight w:val="none"/>
          <w14:textFill>
            <w14:solidFill>
              <w14:schemeClr w14:val="tx1"/>
            </w14:solidFill>
          </w14:textFill>
        </w:rPr>
        <w:t>十二、补充协议</w:t>
      </w:r>
      <w:bookmarkEnd w:id="50"/>
    </w:p>
    <w:p>
      <w:pPr>
        <w:snapToGrid w:val="0"/>
        <w:spacing w:line="360" w:lineRule="auto"/>
        <w:ind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合同未尽事宜，合同当事人另行签订补充协议，补充协议是合同的组成部分。</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1" w:name="_Toc351203493"/>
      <w:r>
        <w:rPr>
          <w:rFonts w:hint="eastAsia" w:ascii="宋体" w:hAnsi="宋体" w:eastAsia="宋体" w:cs="宋体"/>
          <w:color w:val="000000" w:themeColor="text1"/>
          <w:sz w:val="21"/>
          <w:szCs w:val="21"/>
          <w:highlight w:val="none"/>
          <w14:textFill>
            <w14:solidFill>
              <w14:schemeClr w14:val="tx1"/>
            </w14:solidFill>
          </w14:textFill>
        </w:rPr>
        <w:t>十四、合同份数</w:t>
      </w:r>
      <w:bookmarkEnd w:id="51"/>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本合同一式</w:t>
      </w:r>
      <w:r>
        <w:rPr>
          <w:rFonts w:hint="eastAsia" w:ascii="宋体" w:hAnsi="宋体" w:cs="宋体"/>
          <w:color w:val="000000" w:themeColor="text1"/>
          <w:szCs w:val="21"/>
          <w:highlight w:val="none"/>
          <w:u w:val="singl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份，均具有同等法律效力，发包人执</w:t>
      </w:r>
      <w:r>
        <w:rPr>
          <w:rFonts w:hint="eastAsia" w:ascii="宋体" w:hAnsi="宋体" w:cs="宋体"/>
          <w:color w:val="000000" w:themeColor="text1"/>
          <w:szCs w:val="21"/>
          <w:highlight w:val="none"/>
          <w:u w:val="singl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份，承包人执</w:t>
      </w:r>
      <w:r>
        <w:rPr>
          <w:rFonts w:hint="eastAsia" w:ascii="宋体" w:hAnsi="宋体" w:cs="宋体"/>
          <w:color w:val="000000" w:themeColor="text1"/>
          <w:szCs w:val="21"/>
          <w:highlight w:val="none"/>
          <w:u w:val="singl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份。</w:t>
      </w:r>
    </w:p>
    <w:p>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（以下无正文）</w:t>
      </w:r>
    </w:p>
    <w:p>
      <w:pPr>
        <w:snapToGrid w:val="0"/>
        <w:spacing w:line="360" w:lineRule="auto"/>
        <w:rPr>
          <w:rFonts w:ascii="宋体" w:hAnsi="宋体" w:cs="宋体"/>
          <w:color w:val="000000" w:themeColor="text1"/>
          <w:szCs w:val="21"/>
          <w:highlight w:val="none"/>
          <w14:textFill>
            <w14:solidFill>
              <w14:schemeClr w14:val="tx1"/>
            </w14:solidFill>
          </w14:textFill>
        </w:rPr>
      </w:pPr>
    </w:p>
    <w:p>
      <w:pPr>
        <w:widowControl/>
        <w:snapToGrid w:val="0"/>
        <w:spacing w:line="360" w:lineRule="auto"/>
        <w:jc w:val="left"/>
        <w:rPr>
          <w:rFonts w:ascii="宋体" w:hAnsi="宋体" w:cs="宋体"/>
          <w:b/>
          <w:bCs/>
          <w:color w:val="000000" w:themeColor="text1"/>
          <w:szCs w:val="21"/>
          <w:highlight w:val="none"/>
          <w14:textFill>
            <w14:solidFill>
              <w14:schemeClr w14:val="tx1"/>
            </w14:solidFill>
          </w14:textFill>
        </w:rPr>
        <w:sectPr>
          <w:headerReference r:id="rId13" w:type="first"/>
          <w:headerReference r:id="rId12" w:type="default"/>
          <w:footerReference r:id="rId14" w:type="default"/>
          <w:pgSz w:w="11906" w:h="16838"/>
          <w:pgMar w:top="1440" w:right="1800" w:bottom="1440" w:left="1800" w:header="283" w:footer="510" w:gutter="0"/>
          <w:cols w:space="425" w:num="1"/>
          <w:titlePg/>
          <w:docGrid w:type="lines" w:linePitch="312" w:charSpace="0"/>
        </w:sectPr>
      </w:pPr>
    </w:p>
    <w:p>
      <w:pPr>
        <w:widowControl/>
        <w:snapToGrid w:val="0"/>
        <w:spacing w:line="360" w:lineRule="auto"/>
        <w:ind w:left="5271" w:hanging="5271" w:hangingChars="2500"/>
        <w:jc w:val="left"/>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发包人(盖章): </w:t>
      </w:r>
      <w:r>
        <w:rPr>
          <w:rFonts w:hint="eastAsia" w:ascii="宋体" w:hAnsi="宋体" w:cs="宋体"/>
          <w:b/>
          <w:bCs/>
          <w:color w:val="000000" w:themeColor="text1"/>
          <w:szCs w:val="21"/>
          <w:highlight w:val="none"/>
          <w:u w:val="single"/>
          <w14:textFill>
            <w14:solidFill>
              <w14:schemeClr w14:val="tx1"/>
            </w14:solidFill>
          </w14:textFill>
        </w:rPr>
        <w:t xml:space="preserve">中南大学湘雅二医院 </w:t>
      </w:r>
      <w:r>
        <w:rPr>
          <w:rFonts w:hint="eastAsia" w:ascii="宋体" w:hAnsi="宋体" w:cs="宋体"/>
          <w:b/>
          <w:bCs/>
          <w:color w:val="000000" w:themeColor="text1"/>
          <w:szCs w:val="21"/>
          <w:highlight w:val="none"/>
          <w14:textFill>
            <w14:solidFill>
              <w14:schemeClr w14:val="tx1"/>
            </w14:solidFill>
          </w14:textFill>
        </w:rPr>
        <w:t xml:space="preserve">   承包人(盖章）：</w:t>
      </w:r>
    </w:p>
    <w:p>
      <w:pPr>
        <w:widowControl/>
        <w:snapToGrid w:val="0"/>
        <w:spacing w:line="360" w:lineRule="auto"/>
        <w:ind w:left="4410" w:hanging="4410" w:hangingChars="21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 xml:space="preserve">长沙市人民中路139号 </w:t>
      </w:r>
      <w:r>
        <w:rPr>
          <w:rFonts w:hint="eastAsia" w:ascii="宋体" w:hAnsi="宋体" w:cs="宋体"/>
          <w:color w:val="000000" w:themeColor="text1"/>
          <w:szCs w:val="21"/>
          <w:highlight w:val="none"/>
          <w14:textFill>
            <w14:solidFill>
              <w14:schemeClr w14:val="tx1"/>
            </w14:solidFill>
          </w14:textFill>
        </w:rPr>
        <w:t xml:space="preserve">          地址：</w:t>
      </w:r>
      <w:r>
        <w:rPr>
          <w:rFonts w:hint="eastAsia" w:ascii="宋体" w:hAnsi="宋体" w:cs="宋体"/>
          <w:color w:val="000000" w:themeColor="text1"/>
          <w:szCs w:val="21"/>
          <w:highlight w:val="none"/>
          <w:u w:val="single"/>
          <w14:textFill>
            <w14:solidFill>
              <w14:schemeClr w14:val="tx1"/>
            </w14:solidFill>
          </w14:textFill>
        </w:rPr>
        <w:t xml:space="preserve">             </w:t>
      </w:r>
    </w:p>
    <w:p>
      <w:pPr>
        <w:widowControl/>
        <w:snapToGrid w:val="0"/>
        <w:spacing w:line="360" w:lineRule="auto"/>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纳税人识别码：</w:t>
      </w:r>
      <w:r>
        <w:rPr>
          <w:rFonts w:hint="eastAsia" w:ascii="宋体" w:hAnsi="宋体" w:cs="宋体"/>
          <w:color w:val="000000" w:themeColor="text1"/>
          <w:szCs w:val="21"/>
          <w:highlight w:val="none"/>
          <w:u w:val="single"/>
          <w14:textFill>
            <w14:solidFill>
              <w14:schemeClr w14:val="tx1"/>
            </w14:solidFill>
          </w14:textFill>
        </w:rPr>
        <w:t>121000004448855592</w:t>
      </w:r>
      <w:r>
        <w:rPr>
          <w:rFonts w:hint="eastAsia" w:ascii="宋体" w:hAnsi="宋体" w:cs="宋体"/>
          <w:color w:val="000000" w:themeColor="text1"/>
          <w:szCs w:val="21"/>
          <w:highlight w:val="none"/>
          <w14:textFill>
            <w14:solidFill>
              <w14:schemeClr w14:val="tx1"/>
            </w14:solidFill>
          </w14:textFill>
        </w:rPr>
        <w:t xml:space="preserve">     纳税人识别码：</w:t>
      </w:r>
      <w:r>
        <w:rPr>
          <w:rFonts w:hint="eastAsia" w:ascii="宋体" w:hAnsi="宋体" w:cs="宋体"/>
          <w:color w:val="000000" w:themeColor="text1"/>
          <w:kern w:val="0"/>
          <w:szCs w:val="21"/>
          <w:highlight w:val="none"/>
          <w:u w:val="single"/>
          <w14:textFill>
            <w14:solidFill>
              <w14:schemeClr w14:val="tx1"/>
            </w14:solidFill>
          </w14:textFill>
        </w:rPr>
        <w:t xml:space="preserve">              </w:t>
      </w:r>
    </w:p>
    <w:p>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法定代表人签字：                     法定代表人签字：</w:t>
      </w:r>
    </w:p>
    <w:p>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p>
    <w:p>
      <w:pPr>
        <w:pStyle w:val="17"/>
        <w:snapToGrid w:val="0"/>
        <w:spacing w:after="0" w:line="360" w:lineRule="auto"/>
        <w:rPr>
          <w:rFonts w:ascii="宋体" w:hAnsi="宋体" w:cs="宋体"/>
          <w:color w:val="000000" w:themeColor="text1"/>
          <w:szCs w:val="21"/>
          <w:highlight w:val="none"/>
          <w14:textFill>
            <w14:solidFill>
              <w14:schemeClr w14:val="tx1"/>
            </w14:solidFill>
          </w14:textFill>
        </w:rPr>
      </w:pPr>
    </w:p>
    <w:p>
      <w:pPr>
        <w:widowControl/>
        <w:snapToGrid w:val="0"/>
        <w:spacing w:line="360" w:lineRule="auto"/>
        <w:ind w:left="4830" w:hanging="4830" w:hangingChars="23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w:t>
      </w:r>
      <w:r>
        <w:rPr>
          <w:rFonts w:hint="eastAsia" w:ascii="宋体" w:hAnsi="宋体" w:cs="宋体"/>
          <w:color w:val="000000" w:themeColor="text1"/>
          <w:szCs w:val="21"/>
          <w:highlight w:val="none"/>
          <w:u w:val="single"/>
          <w14:textFill>
            <w14:solidFill>
              <w14:schemeClr w14:val="tx1"/>
            </w14:solidFill>
          </w14:textFill>
        </w:rPr>
        <w:t xml:space="preserve"> 中国银行杏林支行   </w:t>
      </w:r>
      <w:r>
        <w:rPr>
          <w:rFonts w:hint="eastAsia" w:ascii="宋体" w:hAnsi="宋体" w:cs="宋体"/>
          <w:color w:val="000000" w:themeColor="text1"/>
          <w:szCs w:val="21"/>
          <w:highlight w:val="none"/>
          <w14:textFill>
            <w14:solidFill>
              <w14:schemeClr w14:val="tx1"/>
            </w14:solidFill>
          </w14:textFill>
        </w:rPr>
        <w:t xml:space="preserve">       开户银行：</w:t>
      </w:r>
      <w:r>
        <w:rPr>
          <w:rFonts w:hint="eastAsia" w:ascii="宋体" w:hAnsi="宋体" w:cs="宋体"/>
          <w:color w:val="000000" w:themeColor="text1"/>
          <w:szCs w:val="21"/>
          <w:highlight w:val="none"/>
          <w:u w:val="single"/>
          <w14:textFill>
            <w14:solidFill>
              <w14:schemeClr w14:val="tx1"/>
            </w14:solidFill>
          </w14:textFill>
        </w:rPr>
        <w:t xml:space="preserve">             </w:t>
      </w:r>
    </w:p>
    <w:p>
      <w:pPr>
        <w:widowControl/>
        <w:snapToGrid w:val="0"/>
        <w:spacing w:line="360" w:lineRule="auto"/>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账号：</w:t>
      </w:r>
      <w:r>
        <w:rPr>
          <w:rFonts w:hint="eastAsia" w:ascii="宋体" w:hAnsi="宋体" w:cs="宋体"/>
          <w:color w:val="000000" w:themeColor="text1"/>
          <w:szCs w:val="21"/>
          <w:highlight w:val="none"/>
          <w:u w:val="single"/>
          <w14:textFill>
            <w14:solidFill>
              <w14:schemeClr w14:val="tx1"/>
            </w14:solidFill>
          </w14:textFill>
        </w:rPr>
        <w:t xml:space="preserve"> 5872 5735 1943         </w:t>
      </w:r>
      <w:r>
        <w:rPr>
          <w:rFonts w:hint="eastAsia" w:ascii="宋体" w:hAnsi="宋体" w:cs="宋体"/>
          <w:color w:val="000000" w:themeColor="text1"/>
          <w:szCs w:val="21"/>
          <w:highlight w:val="none"/>
          <w14:textFill>
            <w14:solidFill>
              <w14:schemeClr w14:val="tx1"/>
            </w14:solidFill>
          </w14:textFill>
        </w:rPr>
        <w:t xml:space="preserve">       账号：</w:t>
      </w:r>
      <w:r>
        <w:rPr>
          <w:rFonts w:hint="eastAsia" w:ascii="宋体" w:hAnsi="宋体" w:cs="宋体"/>
          <w:color w:val="000000" w:themeColor="text1"/>
          <w:szCs w:val="21"/>
          <w:highlight w:val="none"/>
          <w:u w:val="single"/>
          <w14:textFill>
            <w14:solidFill>
              <w14:schemeClr w14:val="tx1"/>
            </w14:solidFill>
          </w14:textFill>
        </w:rPr>
        <w:t xml:space="preserve">                      </w:t>
      </w:r>
    </w:p>
    <w:p>
      <w:pPr>
        <w:snapToGrid w:val="0"/>
        <w:spacing w:line="360" w:lineRule="auto"/>
        <w:rPr>
          <w:rFonts w:ascii="宋体" w:hAnsi="宋体" w:cs="宋体"/>
          <w:color w:val="000000" w:themeColor="text1"/>
          <w:szCs w:val="21"/>
          <w:highlight w:val="none"/>
          <w14:textFill>
            <w14:solidFill>
              <w14:schemeClr w14:val="tx1"/>
            </w14:solidFill>
          </w14:textFill>
        </w:rPr>
      </w:pPr>
    </w:p>
    <w:p>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签订地点：</w:t>
      </w:r>
      <w:r>
        <w:rPr>
          <w:rFonts w:hint="eastAsia" w:ascii="宋体" w:hAnsi="宋体" w:cs="宋体"/>
          <w:color w:val="000000" w:themeColor="text1"/>
          <w:szCs w:val="21"/>
          <w:highlight w:val="none"/>
          <w:u w:val="single"/>
          <w14:textFill>
            <w14:solidFill>
              <w14:schemeClr w14:val="tx1"/>
            </w14:solidFill>
          </w14:textFill>
        </w:rPr>
        <w:t xml:space="preserve">  中南大学湘雅二医院 </w:t>
      </w:r>
      <w:r>
        <w:rPr>
          <w:rFonts w:hint="eastAsia" w:ascii="宋体" w:hAnsi="宋体" w:cs="宋体"/>
          <w:color w:val="000000" w:themeColor="text1"/>
          <w:szCs w:val="21"/>
          <w:highlight w:val="none"/>
          <w14:textFill>
            <w14:solidFill>
              <w14:schemeClr w14:val="tx1"/>
            </w14:solidFill>
          </w14:textFill>
        </w:rPr>
        <w:t xml:space="preserve">     </w:t>
      </w:r>
    </w:p>
    <w:p>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签订日期：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pPr>
        <w:snapToGrid w:val="0"/>
        <w:spacing w:line="360" w:lineRule="auto"/>
        <w:rPr>
          <w:rFonts w:ascii="宋体" w:hAnsi="宋体" w:cs="宋体"/>
          <w:color w:val="000000" w:themeColor="text1"/>
          <w:szCs w:val="21"/>
          <w:highlight w:val="none"/>
          <w14:textFill>
            <w14:solidFill>
              <w14:schemeClr w14:val="tx1"/>
            </w14:solidFill>
          </w14:textFill>
        </w:rPr>
      </w:pPr>
    </w:p>
    <w:p>
      <w:pPr>
        <w:pStyle w:val="4"/>
        <w:snapToGrid w:val="0"/>
        <w:spacing w:line="360" w:lineRule="auto"/>
        <w:rPr>
          <w:rFonts w:ascii="宋体" w:hAnsi="宋体" w:cs="宋体"/>
          <w:color w:val="000000" w:themeColor="text1"/>
          <w:sz w:val="21"/>
          <w:szCs w:val="21"/>
          <w:highlight w:val="none"/>
          <w14:textFill>
            <w14:solidFill>
              <w14:schemeClr w14:val="tx1"/>
            </w14:solidFill>
          </w14:textFill>
        </w:rPr>
      </w:pPr>
    </w:p>
    <w:p>
      <w:pPr>
        <w:pStyle w:val="8"/>
        <w:snapToGrid w:val="0"/>
        <w:spacing w:before="0" w:after="0" w:line="360" w:lineRule="auto"/>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r>
      <w:bookmarkStart w:id="52" w:name="_Toc25644"/>
      <w:bookmarkStart w:id="53" w:name="_Toc351203494"/>
      <w:r>
        <w:rPr>
          <w:rFonts w:hint="eastAsia" w:ascii="宋体" w:hAnsi="宋体" w:cs="宋体"/>
          <w:color w:val="000000" w:themeColor="text1"/>
          <w:sz w:val="21"/>
          <w:szCs w:val="21"/>
          <w:highlight w:val="none"/>
          <w14:textFill>
            <w14:solidFill>
              <w14:schemeClr w14:val="tx1"/>
            </w14:solidFill>
          </w14:textFill>
        </w:rPr>
        <w:t>第二部分 通用合同条款</w:t>
      </w:r>
      <w:bookmarkEnd w:id="52"/>
      <w:bookmarkEnd w:id="53"/>
      <w:bookmarkStart w:id="54" w:name="_Toc337558727"/>
    </w:p>
    <w:bookmarkEnd w:id="54"/>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采用住房城乡建设部、国家工商行政管理总局制定的《建设工程施工合同（示范文本）》（GF-2017-0201）的“通用合同条款”。</w:t>
      </w:r>
    </w:p>
    <w:p>
      <w:pPr>
        <w:pStyle w:val="8"/>
        <w:snapToGrid w:val="0"/>
        <w:spacing w:before="0" w:after="0" w:line="360" w:lineRule="auto"/>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r>
      <w:bookmarkStart w:id="55" w:name="_Toc11255"/>
      <w:r>
        <w:rPr>
          <w:rFonts w:hint="eastAsia" w:ascii="宋体" w:hAnsi="宋体" w:cs="宋体"/>
          <w:color w:val="000000" w:themeColor="text1"/>
          <w:sz w:val="21"/>
          <w:szCs w:val="21"/>
          <w:highlight w:val="none"/>
          <w14:textFill>
            <w14:solidFill>
              <w14:schemeClr w14:val="tx1"/>
            </w14:solidFill>
          </w14:textFill>
        </w:rPr>
        <w:t>第三部分 专用合同条款</w:t>
      </w:r>
      <w:bookmarkEnd w:id="55"/>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6" w:name="_Toc351203633"/>
      <w:r>
        <w:rPr>
          <w:rFonts w:hint="eastAsia" w:ascii="宋体" w:hAnsi="宋体" w:eastAsia="宋体" w:cs="宋体"/>
          <w:color w:val="000000" w:themeColor="text1"/>
          <w:sz w:val="21"/>
          <w:szCs w:val="21"/>
          <w:highlight w:val="none"/>
          <w14:textFill>
            <w14:solidFill>
              <w14:schemeClr w14:val="tx1"/>
            </w14:solidFill>
          </w14:textFill>
        </w:rPr>
        <w:t>1</w:t>
      </w:r>
      <w:bookmarkStart w:id="57" w:name="_Toc296503156"/>
      <w:bookmarkStart w:id="58" w:name="_Toc296891196"/>
      <w:bookmarkStart w:id="59" w:name="_Toc292559361"/>
      <w:bookmarkStart w:id="60" w:name="_Toc296347155"/>
      <w:bookmarkStart w:id="61" w:name="_Toc296890984"/>
      <w:bookmarkStart w:id="62" w:name="_Toc296944495"/>
      <w:bookmarkStart w:id="63" w:name="_Toc296346657"/>
      <w:bookmarkStart w:id="64" w:name="_Toc297120456"/>
      <w:bookmarkStart w:id="65" w:name="_Toc297048342"/>
      <w:bookmarkStart w:id="66" w:name="_Toc292559866"/>
      <w:r>
        <w:rPr>
          <w:rFonts w:hint="eastAsia" w:ascii="宋体" w:hAnsi="宋体" w:eastAsia="宋体" w:cs="宋体"/>
          <w:color w:val="000000" w:themeColor="text1"/>
          <w:sz w:val="21"/>
          <w:szCs w:val="21"/>
          <w:highlight w:val="none"/>
          <w14:textFill>
            <w14:solidFill>
              <w14:schemeClr w14:val="tx1"/>
            </w14:solidFill>
          </w14:textFill>
        </w:rPr>
        <w:t>. 一般约定</w:t>
      </w:r>
      <w:bookmarkEnd w:id="56"/>
    </w:p>
    <w:bookmarkEnd w:id="57"/>
    <w:bookmarkEnd w:id="58"/>
    <w:bookmarkEnd w:id="59"/>
    <w:bookmarkEnd w:id="60"/>
    <w:bookmarkEnd w:id="61"/>
    <w:bookmarkEnd w:id="62"/>
    <w:bookmarkEnd w:id="63"/>
    <w:bookmarkEnd w:id="64"/>
    <w:bookmarkEnd w:id="65"/>
    <w:bookmarkEnd w:id="66"/>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67" w:name="_Toc17014"/>
      <w:r>
        <w:rPr>
          <w:rFonts w:hint="eastAsia" w:ascii="宋体" w:hAnsi="宋体" w:cs="宋体"/>
          <w:color w:val="000000" w:themeColor="text1"/>
          <w:szCs w:val="21"/>
          <w:highlight w:val="none"/>
          <w14:textFill>
            <w14:solidFill>
              <w14:schemeClr w14:val="tx1"/>
            </w14:solidFill>
          </w14:textFill>
        </w:rPr>
        <w:t>1.1 词语定义</w:t>
      </w:r>
      <w:bookmarkEnd w:id="67"/>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1.1.1合同</w:t>
      </w:r>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1.1.1.1其他合同文件包括：</w:t>
      </w:r>
      <w:r>
        <w:rPr>
          <w:rFonts w:hint="eastAsia" w:ascii="宋体" w:hAnsi="宋体" w:cs="宋体"/>
          <w:color w:val="000000" w:themeColor="text1"/>
          <w:szCs w:val="21"/>
          <w:highlight w:val="none"/>
          <w:u w:val="single"/>
          <w14:textFill>
            <w14:solidFill>
              <w14:schemeClr w14:val="tx1"/>
            </w14:solidFill>
          </w14:textFill>
        </w:rPr>
        <w:t xml:space="preserve"> 施工组织设计、招标文件、投标文件、补充协议、补充条款、施工现场统一管理协议、有关的工程洽商、变更、清单报价等</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 合同当事人及其他相关方</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1.1.2.1监理人：</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资质类别和等级：</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电子信箱：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1.1.2.2 设计人：</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名称：</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资质类别和等级：</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电子信箱：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 工程和设备</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1.1.3.1 作为施工现场组成部分的其他场所包括：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1.1.3.2 永久占地包括：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1.1.3.3 临时占地包括：</w:t>
      </w:r>
      <w:r>
        <w:rPr>
          <w:rFonts w:hint="eastAsia" w:ascii="宋体" w:hAnsi="宋体" w:cs="宋体"/>
          <w:color w:val="000000" w:themeColor="text1"/>
          <w:szCs w:val="21"/>
          <w:highlight w:val="none"/>
          <w:u w:val="single"/>
          <w14:textFill>
            <w14:solidFill>
              <w14:schemeClr w14:val="tx1"/>
            </w14:solidFill>
          </w14:textFill>
        </w:rPr>
        <w:t xml:space="preserve">  因本工程施工临时占用的场地  </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68" w:name="_Toc23688"/>
      <w:r>
        <w:rPr>
          <w:rFonts w:hint="eastAsia" w:ascii="宋体" w:hAnsi="宋体" w:cs="宋体"/>
          <w:color w:val="000000" w:themeColor="text1"/>
          <w:szCs w:val="21"/>
          <w:highlight w:val="none"/>
          <w14:textFill>
            <w14:solidFill>
              <w14:schemeClr w14:val="tx1"/>
            </w14:solidFill>
          </w14:textFill>
        </w:rPr>
        <w:t>1.3法律</w:t>
      </w:r>
      <w:bookmarkEnd w:id="68"/>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适用于合同的其他规范性文件：</w:t>
      </w:r>
      <w:r>
        <w:rPr>
          <w:rFonts w:hint="eastAsia" w:ascii="宋体" w:hAnsi="宋体" w:cs="宋体"/>
          <w:color w:val="000000" w:themeColor="text1"/>
          <w:kern w:val="0"/>
          <w:szCs w:val="21"/>
          <w:highlight w:val="none"/>
          <w:u w:val="single"/>
          <w14:textFill>
            <w14:solidFill>
              <w14:schemeClr w14:val="tx1"/>
            </w14:solidFill>
          </w14:textFill>
        </w:rPr>
        <w:t>《中华人民共和国建筑法》、《中华人民共和国民法典》、国家及省市现行的有关建筑工程的法律、法规及相关政策</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69" w:name="_Toc16401"/>
      <w:r>
        <w:rPr>
          <w:rFonts w:hint="eastAsia" w:ascii="宋体" w:hAnsi="宋体" w:cs="宋体"/>
          <w:color w:val="000000" w:themeColor="text1"/>
          <w:szCs w:val="21"/>
          <w:highlight w:val="none"/>
          <w14:textFill>
            <w14:solidFill>
              <w14:schemeClr w14:val="tx1"/>
            </w14:solidFill>
          </w14:textFill>
        </w:rPr>
        <w:t>1.4 标准和规范</w:t>
      </w:r>
      <w:bookmarkEnd w:id="69"/>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1.4.1适用于工程的标准规范包括：</w:t>
      </w:r>
      <w:r>
        <w:rPr>
          <w:rFonts w:hint="eastAsia" w:ascii="宋体" w:hAnsi="宋体" w:cs="宋体"/>
          <w:color w:val="000000" w:themeColor="text1"/>
          <w:kern w:val="0"/>
          <w:szCs w:val="21"/>
          <w:highlight w:val="none"/>
          <w:u w:val="single"/>
          <w14:textFill>
            <w14:solidFill>
              <w14:schemeClr w14:val="tx1"/>
            </w14:solidFill>
          </w14:textFill>
        </w:rPr>
        <w:t>《建筑工程施工质量验收统一标准》、《建筑施工验收规范》、《施工操作规范》及国家、省市其他现行有关建筑工程的法律、法规及相关政策</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left="596" w:leftChars="284"/>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 发包人提供国外标准、规范的名称：</w:t>
      </w:r>
      <w:r>
        <w:rPr>
          <w:rFonts w:hint="eastAsia" w:ascii="宋体" w:hAnsi="宋体" w:cs="宋体"/>
          <w:color w:val="000000" w:themeColor="text1"/>
          <w:kern w:val="0"/>
          <w:szCs w:val="21"/>
          <w:highlight w:val="none"/>
          <w:u w:val="single"/>
          <w14:textFill>
            <w14:solidFill>
              <w14:schemeClr w14:val="tx1"/>
            </w14:solidFill>
          </w14:textFill>
        </w:rPr>
        <w:t>国内没有相应标准、规范时按国内外先进水平执行</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发包人提供国外标准、规范的份数：</w:t>
      </w:r>
      <w:r>
        <w:rPr>
          <w:rFonts w:hint="eastAsia" w:ascii="宋体" w:hAnsi="宋体" w:cs="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发包人提供国外标准、规范的名称：</w:t>
      </w:r>
      <w:r>
        <w:rPr>
          <w:rFonts w:hint="eastAsia" w:ascii="宋体" w:hAnsi="宋体" w:cs="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left="596" w:leftChars="28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1.4.3发包人对工程的技术标准和功能要求的特殊要求：</w:t>
      </w:r>
      <w:r>
        <w:rPr>
          <w:rFonts w:hint="eastAsia" w:ascii="宋体" w:hAnsi="宋体" w:cs="宋体"/>
          <w:color w:val="000000" w:themeColor="text1"/>
          <w:szCs w:val="21"/>
          <w:highlight w:val="none"/>
          <w:u w:val="single"/>
          <w14:textFill>
            <w14:solidFill>
              <w14:schemeClr w14:val="tx1"/>
            </w14:solidFill>
          </w14:textFill>
        </w:rPr>
        <w:t xml:space="preserve">按照国家和地方现行的行业建设规范执行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70" w:name="_Toc24807"/>
      <w:r>
        <w:rPr>
          <w:rFonts w:hint="eastAsia" w:ascii="宋体" w:hAnsi="宋体" w:cs="宋体"/>
          <w:color w:val="000000" w:themeColor="text1"/>
          <w:szCs w:val="21"/>
          <w:highlight w:val="none"/>
          <w14:textFill>
            <w14:solidFill>
              <w14:schemeClr w14:val="tx1"/>
            </w14:solidFill>
          </w14:textFill>
        </w:rPr>
        <w:t>1.5 合同文件的优先顺序</w:t>
      </w:r>
      <w:bookmarkEnd w:id="70"/>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合同文件组成及优先顺序为：</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（1）合同协议书；</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（2）中标通知书；</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（3）投标函及其附录；</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（4）招标答疑、澄清、修改或补充文件或承诺函件；</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（5）专用合同条款及其附件；</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（6）通用合同条款；</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（7）技术标准和要求；</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（8）图纸；</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（9）已标价工程量清单或预算书；</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（10）合同附件等。</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上述合同文件应被认为是互为补充和解释的，如有歧义或矛盾，除非合同另有明确约定，按上一条所排列的顺序，排列在前的文件效力高于排列在后的文件，所有合同文件中，合同协议书具有最高效力。</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进一步约定：</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（a）除非合同中另有特别注明，如果“技术标准和要求”与“图纸”之间出现歧义或矛盾时，数量以“图纸为准”，质量要求或工艺标准以“技术标准和要求”为准；</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（b）对于同一类文件，以其最新版本或最新颁发文本为准；</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c）除非合同类另有约定，双方在合同履行过程中依据本合同而签署、签发、签收的有关补充协议、指示、通知、决定、纪要、备忘录等亦具有合同约束力，其优先解释顺序应视其内容与其他合同文件的相互关系而定。但是，任何不列在上的其他文件皆不成为合同文件的组成部分，其内容不能影响合同文件的含义，除非双方同意签认作为本合同的补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d）如果在不同的合同文件之间、同一个合同文件的不同部分之间或任何合同本身出现模糊、矛盾或不一致之处，在无法根据合同优先解释顺序进行澄清或仍不足以澄清的情况下，除非本合同另有约定，应由发包人发出书面澄清。</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 图纸和承包人文件</w:t>
      </w:r>
      <w:r>
        <w:rPr>
          <w:rFonts w:hint="eastAsia" w:ascii="宋体" w:hAnsi="宋体" w:cs="宋体"/>
          <w:color w:val="000000" w:themeColor="text1"/>
          <w:szCs w:val="21"/>
          <w:highlight w:val="none"/>
          <w14:textFill>
            <w14:solidFill>
              <w14:schemeClr w14:val="tx1"/>
            </w14:solidFill>
          </w14:textFill>
        </w:rPr>
        <w:tab/>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 图纸的提供</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发包人向承包人提供图纸的期限：</w:t>
      </w:r>
      <w:r>
        <w:rPr>
          <w:rFonts w:hint="eastAsia" w:ascii="宋体" w:hAnsi="宋体" w:cs="宋体"/>
          <w:color w:val="000000" w:themeColor="text1"/>
          <w:szCs w:val="21"/>
          <w:highlight w:val="none"/>
          <w:u w:val="single"/>
          <w14:textFill>
            <w14:solidFill>
              <w14:schemeClr w14:val="tx1"/>
            </w14:solidFill>
          </w14:textFill>
        </w:rPr>
        <w:t xml:space="preserve">  开工前7天    </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发包人向承包人提供图纸的数量：</w:t>
      </w:r>
      <w:r>
        <w:rPr>
          <w:rFonts w:hint="eastAsia" w:ascii="宋体" w:hAnsi="宋体" w:cs="宋体"/>
          <w:color w:val="000000" w:themeColor="text1"/>
          <w:szCs w:val="21"/>
          <w:highlight w:val="none"/>
          <w:u w:val="single"/>
          <w14:textFill>
            <w14:solidFill>
              <w14:schemeClr w14:val="tx1"/>
            </w14:solidFill>
          </w14:textFill>
        </w:rPr>
        <w:t xml:space="preserve">1套（电子档） </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发包人向承包人提供图纸的内容：</w:t>
      </w:r>
      <w:r>
        <w:rPr>
          <w:rFonts w:hint="eastAsia" w:ascii="宋体" w:hAnsi="宋体" w:cs="宋体"/>
          <w:color w:val="000000" w:themeColor="text1"/>
          <w:szCs w:val="21"/>
          <w:highlight w:val="none"/>
          <w:u w:val="single"/>
          <w14:textFill>
            <w14:solidFill>
              <w14:schemeClr w14:val="tx1"/>
            </w14:solidFill>
          </w14:textFill>
        </w:rPr>
        <w:t xml:space="preserve">  本工程相关连接配套施工图纸  </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 承包人文件</w:t>
      </w:r>
    </w:p>
    <w:p>
      <w:pPr>
        <w:spacing w:line="360" w:lineRule="auto"/>
        <w:ind w:left="420" w:left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需要由承包人提供的文件，包括：</w:t>
      </w:r>
      <w:r>
        <w:rPr>
          <w:rFonts w:hint="eastAsia" w:ascii="宋体" w:hAnsi="宋体" w:cs="宋体"/>
          <w:color w:val="000000" w:themeColor="text1"/>
          <w:szCs w:val="21"/>
          <w:highlight w:val="none"/>
          <w:u w:val="single"/>
          <w14:textFill>
            <w14:solidFill>
              <w14:schemeClr w14:val="tx1"/>
            </w14:solidFill>
          </w14:textFill>
        </w:rPr>
        <w:t>施工组织设计、项目管理机构及施工现场人员安排、施工进度网络图、施工材料进场计划表、施工方案、产品型录等</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承包人提供的文件的期限为：</w:t>
      </w:r>
      <w:r>
        <w:rPr>
          <w:rFonts w:hint="eastAsia" w:ascii="宋体" w:hAnsi="宋体" w:cs="宋体"/>
          <w:color w:val="000000" w:themeColor="text1"/>
          <w:szCs w:val="21"/>
          <w:highlight w:val="none"/>
          <w:u w:val="single"/>
          <w14:textFill>
            <w14:solidFill>
              <w14:schemeClr w14:val="tx1"/>
            </w14:solidFill>
          </w14:textFill>
        </w:rPr>
        <w:t>开工前7天以上</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承包人提供的文件的数量为：</w:t>
      </w:r>
      <w:r>
        <w:rPr>
          <w:rFonts w:hint="eastAsia" w:ascii="宋体" w:hAnsi="宋体" w:cs="宋体"/>
          <w:color w:val="000000" w:themeColor="text1"/>
          <w:szCs w:val="21"/>
          <w:highlight w:val="none"/>
          <w:u w:val="single"/>
          <w14:textFill>
            <w14:solidFill>
              <w14:schemeClr w14:val="tx1"/>
            </w14:solidFill>
          </w14:textFill>
        </w:rPr>
        <w:t>4份      </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承包人提供的文件的形式为：</w:t>
      </w:r>
      <w:r>
        <w:rPr>
          <w:rFonts w:hint="eastAsia" w:ascii="宋体" w:hAnsi="宋体" w:cs="宋体"/>
          <w:color w:val="000000" w:themeColor="text1"/>
          <w:szCs w:val="21"/>
          <w:highlight w:val="none"/>
          <w:u w:val="single"/>
          <w14:textFill>
            <w14:solidFill>
              <w14:schemeClr w14:val="tx1"/>
            </w14:solidFill>
          </w14:textFill>
        </w:rPr>
        <w:t xml:space="preserve">  纸质3份及电子文档1份     </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发包人审批承包人文件的期限：</w:t>
      </w:r>
      <w:r>
        <w:rPr>
          <w:rFonts w:hint="eastAsia" w:ascii="宋体" w:hAnsi="宋体" w:cs="宋体"/>
          <w:color w:val="000000" w:themeColor="text1"/>
          <w:kern w:val="0"/>
          <w:szCs w:val="21"/>
          <w:highlight w:val="none"/>
          <w:u w:val="single"/>
          <w14:textFill>
            <w14:solidFill>
              <w14:schemeClr w14:val="tx1"/>
            </w14:solidFill>
          </w14:textFill>
        </w:rPr>
        <w:t>收到承包人提供的文件后7日内</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1.6.3 现场图纸准备</w:t>
      </w:r>
    </w:p>
    <w:p>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关于现场图纸准备的约定：</w:t>
      </w:r>
      <w:r>
        <w:rPr>
          <w:rFonts w:hint="eastAsia" w:ascii="宋体" w:hAnsi="宋体" w:cs="宋体"/>
          <w:color w:val="000000" w:themeColor="text1"/>
          <w:szCs w:val="21"/>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71" w:name="_Toc14856"/>
      <w:r>
        <w:rPr>
          <w:rFonts w:hint="eastAsia" w:ascii="宋体" w:hAnsi="宋体" w:cs="宋体"/>
          <w:color w:val="000000" w:themeColor="text1"/>
          <w:szCs w:val="21"/>
          <w:highlight w:val="none"/>
          <w14:textFill>
            <w14:solidFill>
              <w14:schemeClr w14:val="tx1"/>
            </w14:solidFill>
          </w14:textFill>
        </w:rPr>
        <w:t>1.7 联络</w:t>
      </w:r>
      <w:bookmarkEnd w:id="71"/>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1.7.1发包人和承包人应当在</w:t>
      </w:r>
      <w:r>
        <w:rPr>
          <w:rFonts w:hint="eastAsia" w:ascii="宋体" w:hAnsi="宋体" w:cs="宋体"/>
          <w:color w:val="000000" w:themeColor="text1"/>
          <w:szCs w:val="21"/>
          <w:highlight w:val="none"/>
          <w:u w:val="single"/>
          <w14:textFill>
            <w14:solidFill>
              <w14:schemeClr w14:val="tx1"/>
            </w14:solidFill>
          </w14:textFill>
        </w:rPr>
        <w:t xml:space="preserve">  7 </w:t>
      </w:r>
      <w:r>
        <w:rPr>
          <w:rFonts w:hint="eastAsia" w:ascii="宋体" w:hAnsi="宋体" w:cs="宋体"/>
          <w:color w:val="000000" w:themeColor="text1"/>
          <w:kern w:val="0"/>
          <w:szCs w:val="21"/>
          <w:highlight w:val="none"/>
          <w14:textFill>
            <w14:solidFill>
              <w14:schemeClr w14:val="tx1"/>
            </w14:solidFill>
          </w14:textFill>
        </w:rPr>
        <w:t>天内将与合同有关的通知、批准、证明、证书、指示、指令、要求、请求、同意、意见、确定和决定等书面函件送达对方当事人。</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72" w:name="_Toc25065"/>
      <w:r>
        <w:rPr>
          <w:rFonts w:hint="eastAsia" w:ascii="宋体" w:hAnsi="宋体" w:cs="宋体"/>
          <w:color w:val="000000" w:themeColor="text1"/>
          <w:szCs w:val="21"/>
          <w:highlight w:val="none"/>
          <w14:textFill>
            <w14:solidFill>
              <w14:schemeClr w14:val="tx1"/>
            </w14:solidFill>
          </w14:textFill>
        </w:rPr>
        <w:t>1.8 交通运输</w:t>
      </w:r>
      <w:bookmarkEnd w:id="72"/>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bookmarkStart w:id="73" w:name="_Toc300934943"/>
      <w:bookmarkStart w:id="74" w:name="_Toc318581155"/>
      <w:bookmarkStart w:id="75" w:name="_Toc303539100"/>
      <w:bookmarkStart w:id="76" w:name="_Toc312677986"/>
      <w:bookmarkStart w:id="77" w:name="_Toc304295521"/>
      <w:r>
        <w:rPr>
          <w:rFonts w:hint="eastAsia" w:ascii="宋体" w:hAnsi="宋体" w:cs="宋体"/>
          <w:color w:val="000000" w:themeColor="text1"/>
          <w:kern w:val="0"/>
          <w:szCs w:val="21"/>
          <w:highlight w:val="none"/>
          <w14:textFill>
            <w14:solidFill>
              <w14:schemeClr w14:val="tx1"/>
            </w14:solidFill>
          </w14:textFill>
        </w:rPr>
        <w:t>.8.1 出入现场的权利</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关于出入现场的权利的约定：</w:t>
      </w:r>
      <w:r>
        <w:rPr>
          <w:rFonts w:hint="eastAsia" w:ascii="宋体" w:hAnsi="宋体" w:cs="宋体"/>
          <w:color w:val="000000" w:themeColor="text1"/>
          <w:szCs w:val="21"/>
          <w:highlight w:val="none"/>
          <w:u w:val="single"/>
          <w14:textFill>
            <w14:solidFill>
              <w14:schemeClr w14:val="tx1"/>
            </w14:solidFill>
          </w14:textFill>
        </w:rPr>
        <w:t xml:space="preserve"> 按照发包人安全保卫部门相关规定执行    </w:t>
      </w:r>
      <w:r>
        <w:rPr>
          <w:rFonts w:hint="eastAsia" w:ascii="宋体" w:hAnsi="宋体" w:cs="宋体"/>
          <w:color w:val="000000" w:themeColor="text1"/>
          <w:szCs w:val="21"/>
          <w:highlight w:val="none"/>
          <w14:textFill>
            <w14:solidFill>
              <w14:schemeClr w14:val="tx1"/>
            </w14:solidFill>
          </w14:textFill>
        </w:rPr>
        <w:t>。</w:t>
      </w:r>
    </w:p>
    <w:bookmarkEnd w:id="73"/>
    <w:bookmarkEnd w:id="74"/>
    <w:bookmarkEnd w:id="75"/>
    <w:bookmarkEnd w:id="76"/>
    <w:bookmarkEnd w:id="77"/>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bookmarkStart w:id="78" w:name="_Toc312677987"/>
      <w:bookmarkStart w:id="79" w:name="_Toc304295522"/>
      <w:bookmarkStart w:id="80" w:name="_Toc300934944"/>
      <w:bookmarkStart w:id="81" w:name="_Toc318581156"/>
      <w:bookmarkStart w:id="82" w:name="_Toc303539101"/>
      <w:r>
        <w:rPr>
          <w:rFonts w:hint="eastAsia" w:ascii="宋体" w:hAnsi="宋体" w:cs="宋体"/>
          <w:color w:val="000000" w:themeColor="text1"/>
          <w:kern w:val="0"/>
          <w:szCs w:val="21"/>
          <w:highlight w:val="none"/>
          <w14:textFill>
            <w14:solidFill>
              <w14:schemeClr w14:val="tx1"/>
            </w14:solidFill>
          </w14:textFill>
        </w:rPr>
        <w:t>.8.2 场内交通</w:t>
      </w:r>
    </w:p>
    <w:bookmarkEnd w:id="78"/>
    <w:bookmarkEnd w:id="79"/>
    <w:bookmarkEnd w:id="80"/>
    <w:bookmarkEnd w:id="81"/>
    <w:bookmarkEnd w:id="82"/>
    <w:p>
      <w:pPr>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关于场外交通和场内交通的边界的约定：</w:t>
      </w:r>
      <w:r>
        <w:rPr>
          <w:rFonts w:hint="eastAsia" w:ascii="宋体" w:hAnsi="宋体" w:cs="宋体"/>
          <w:color w:val="000000" w:themeColor="text1"/>
          <w:szCs w:val="21"/>
          <w:highlight w:val="none"/>
          <w:u w:val="single"/>
          <w14:textFill>
            <w14:solidFill>
              <w14:schemeClr w14:val="tx1"/>
            </w14:solidFill>
          </w14:textFill>
        </w:rPr>
        <w:t xml:space="preserve">以现场施工条件为准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bookmarkStart w:id="83" w:name="_Toc318581157"/>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1.8.3超大件和超重件的运输</w:t>
      </w:r>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Cs w:val="21"/>
          <w:highlight w:val="none"/>
          <w:u w:val="single"/>
          <w14:textFill>
            <w14:solidFill>
              <w14:schemeClr w14:val="tx1"/>
            </w14:solidFill>
          </w14:textFill>
        </w:rPr>
        <w:t xml:space="preserve">  承包人</w:t>
      </w:r>
      <w:r>
        <w:rPr>
          <w:rFonts w:hint="eastAsia" w:ascii="宋体" w:hAnsi="宋体" w:cs="宋体"/>
          <w:color w:val="000000" w:themeColor="text1"/>
          <w:szCs w:val="21"/>
          <w:highlight w:val="none"/>
          <w14:textFill>
            <w14:solidFill>
              <w14:schemeClr w14:val="tx1"/>
            </w14:solidFill>
          </w14:textFill>
        </w:rPr>
        <w:t>承担。</w:t>
      </w:r>
    </w:p>
    <w:bookmarkEnd w:id="83"/>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 知识产权</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none"/>
          <w:u w:val="single"/>
          <w14:textFill>
            <w14:solidFill>
              <w14:schemeClr w14:val="tx1"/>
            </w14:solidFill>
          </w14:textFill>
        </w:rPr>
        <w:t xml:space="preserve">归发包人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关于发包人提供的上述文件的使用限制的要求：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 未经发包人同意，承包人不得提供给第三人，否则将承担相应的经济和法律责任。工程质量保修期满后，除承包人存档需要的图纸外，应当全部图纸退还给发包人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1.9.2 关于承包人为实施工程所编制文件的著作权的归属：</w:t>
      </w:r>
      <w:r>
        <w:rPr>
          <w:rFonts w:hint="eastAsia" w:ascii="宋体" w:hAnsi="宋体" w:cs="宋体"/>
          <w:color w:val="000000" w:themeColor="text1"/>
          <w:szCs w:val="21"/>
          <w:highlight w:val="none"/>
          <w:u w:val="single"/>
          <w14:textFill>
            <w14:solidFill>
              <w14:schemeClr w14:val="tx1"/>
            </w14:solidFill>
          </w14:textFill>
        </w:rPr>
        <w:t xml:space="preserve"> 归发包人所有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关于承包人提供的上述文件的使用限制的要求：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承包人未经发包人同意，不得使用上述文件申报奖项或者公开推广宣传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84" w:name="_Toc24042"/>
      <w:r>
        <w:rPr>
          <w:rFonts w:hint="eastAsia" w:ascii="宋体" w:hAnsi="宋体" w:cs="宋体"/>
          <w:color w:val="000000" w:themeColor="text1"/>
          <w:szCs w:val="21"/>
          <w:highlight w:val="none"/>
          <w14:textFill>
            <w14:solidFill>
              <w14:schemeClr w14:val="tx1"/>
            </w14:solidFill>
          </w14:textFill>
        </w:rPr>
        <w:t>1.9.3 承包人在施工过程中所采用的专利、专有技术、技术秘密的使用费的承担方式：</w:t>
      </w:r>
      <w:r>
        <w:rPr>
          <w:rFonts w:hint="eastAsia" w:ascii="宋体" w:hAnsi="宋体" w:cs="宋体"/>
          <w:color w:val="000000" w:themeColor="text1"/>
          <w:szCs w:val="21"/>
          <w:highlight w:val="none"/>
          <w:u w:val="single"/>
          <w14:textFill>
            <w14:solidFill>
              <w14:schemeClr w14:val="tx1"/>
            </w14:solidFill>
          </w14:textFill>
        </w:rPr>
        <w:t xml:space="preserve">包含在合同价中   </w:t>
      </w:r>
      <w:r>
        <w:rPr>
          <w:rFonts w:hint="eastAsia" w:ascii="宋体" w:hAnsi="宋体" w:cs="宋体"/>
          <w:color w:val="000000" w:themeColor="text1"/>
          <w:kern w:val="0"/>
          <w:szCs w:val="21"/>
          <w:highlight w:val="none"/>
          <w14:textFill>
            <w14:solidFill>
              <w14:schemeClr w14:val="tx1"/>
            </w14:solidFill>
          </w14:textFill>
        </w:rPr>
        <w:t>。</w:t>
      </w:r>
      <w:bookmarkEnd w:id="84"/>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85" w:name="_Toc9903"/>
      <w:r>
        <w:rPr>
          <w:rFonts w:hint="eastAsia" w:ascii="宋体" w:hAnsi="宋体" w:cs="宋体"/>
          <w:color w:val="000000" w:themeColor="text1"/>
          <w:szCs w:val="21"/>
          <w:highlight w:val="none"/>
          <w14:textFill>
            <w14:solidFill>
              <w14:schemeClr w14:val="tx1"/>
            </w14:solidFill>
          </w14:textFill>
        </w:rPr>
        <w:t>1.10工程量清单错误的修正</w:t>
      </w:r>
      <w:bookmarkEnd w:id="85"/>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出现工程量清单错误时，是否调整合同价格：</w:t>
      </w:r>
      <w:r>
        <w:rPr>
          <w:rFonts w:hint="eastAsia" w:ascii="宋体" w:hAnsi="宋体" w:cs="宋体"/>
          <w:color w:val="000000" w:themeColor="text1"/>
          <w:szCs w:val="21"/>
          <w:highlight w:val="none"/>
          <w:u w:val="single"/>
          <w14:textFill>
            <w14:solidFill>
              <w14:schemeClr w14:val="tx1"/>
            </w14:solidFill>
          </w14:textFill>
        </w:rPr>
        <w:t>是</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允许调整合同价格的工程量偏差范围：</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（1）工程量清单综合单价中已有适用于变更签证工程的，并且变更签证后工程量调增量小于原工程量的15%（含15%）时，按投标综合价格变更合同价款；</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（2）工程量清单综合单价中有类似适用于变更签证工程的，并且变更签证后工程量调增量小于原工程量的15%（含15%）时，可以参照投标类似综合单价变更合同价款；</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变更签证后工程量调整量大于原工程量15%、工程量清单漏项或由于设计变更引起新增项目时，其综合单价应按照湖南省建设行政主管部门颁发的建设工程消耗量标准、取费标准、计费程序、综合人工工资单价及工程造价管理机构发布的工程造价信息（工程造价信息没有发布的参考市场价）确定，且按中标总报价相对招标控制价之比优惠；</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（4）分部分项工程量变更后调减的工程量以及因设计变更被取消的项目，其综合单价应按照原投标综合单价确定，且因发包人原因产生的变更后减少或取消的项目，承包人应予以认可不得索取任何费用。</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86" w:name="_Toc351203634"/>
      <w:r>
        <w:rPr>
          <w:rFonts w:hint="eastAsia" w:ascii="宋体" w:hAnsi="宋体" w:eastAsia="宋体" w:cs="宋体"/>
          <w:color w:val="000000" w:themeColor="text1"/>
          <w:sz w:val="21"/>
          <w:szCs w:val="21"/>
          <w:highlight w:val="none"/>
          <w14:textFill>
            <w14:solidFill>
              <w14:schemeClr w14:val="tx1"/>
            </w14:solidFill>
          </w14:textFill>
        </w:rPr>
        <w:t>2</w:t>
      </w:r>
      <w:bookmarkStart w:id="87" w:name="_Toc296347156"/>
      <w:bookmarkStart w:id="88" w:name="_Toc297120457"/>
      <w:bookmarkStart w:id="89" w:name="_Toc296891197"/>
      <w:bookmarkStart w:id="90" w:name="_Toc296346658"/>
      <w:bookmarkStart w:id="91" w:name="_Toc296503157"/>
      <w:bookmarkStart w:id="92" w:name="_Toc296944496"/>
      <w:bookmarkStart w:id="93" w:name="_Toc292559362"/>
      <w:bookmarkStart w:id="94" w:name="_Toc296890985"/>
      <w:bookmarkStart w:id="95" w:name="_Toc297048343"/>
      <w:bookmarkStart w:id="96" w:name="_Toc292559867"/>
      <w:r>
        <w:rPr>
          <w:rFonts w:hint="eastAsia" w:ascii="宋体" w:hAnsi="宋体" w:eastAsia="宋体" w:cs="宋体"/>
          <w:color w:val="000000" w:themeColor="text1"/>
          <w:sz w:val="21"/>
          <w:szCs w:val="21"/>
          <w:highlight w:val="none"/>
          <w14:textFill>
            <w14:solidFill>
              <w14:schemeClr w14:val="tx1"/>
            </w14:solidFill>
          </w14:textFill>
        </w:rPr>
        <w:t>. 发包人</w:t>
      </w:r>
      <w:bookmarkEnd w:id="86"/>
    </w:p>
    <w:bookmarkEnd w:id="87"/>
    <w:bookmarkEnd w:id="88"/>
    <w:bookmarkEnd w:id="89"/>
    <w:bookmarkEnd w:id="90"/>
    <w:bookmarkEnd w:id="91"/>
    <w:bookmarkEnd w:id="92"/>
    <w:bookmarkEnd w:id="93"/>
    <w:bookmarkEnd w:id="94"/>
    <w:bookmarkEnd w:id="95"/>
    <w:bookmarkEnd w:id="96"/>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97" w:name="_Toc3826"/>
      <w:r>
        <w:rPr>
          <w:rFonts w:hint="eastAsia" w:ascii="宋体" w:hAnsi="宋体" w:cs="宋体"/>
          <w:color w:val="000000" w:themeColor="text1"/>
          <w:szCs w:val="21"/>
          <w:highlight w:val="none"/>
          <w14:textFill>
            <w14:solidFill>
              <w14:schemeClr w14:val="tx1"/>
            </w14:solidFill>
          </w14:textFill>
        </w:rPr>
        <w:t>2.1 发包人代表</w:t>
      </w:r>
      <w:bookmarkEnd w:id="97"/>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发包人代表：</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电子信箱：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r>
        <w:rPr>
          <w:rFonts w:hint="eastAsia" w:ascii="宋体" w:hAnsi="宋体" w:cs="宋体"/>
          <w:color w:val="000000" w:themeColor="text1"/>
          <w:szCs w:val="21"/>
          <w:highlight w:val="none"/>
          <w:u w:val="single"/>
          <w14:textFill>
            <w14:solidFill>
              <w14:schemeClr w14:val="tx1"/>
            </w14:solidFill>
          </w14:textFill>
        </w:rPr>
        <w:t xml:space="preserve">  中南大学湘雅二医院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发包人对发包人代表的授权范围如下：</w:t>
      </w:r>
      <w:r>
        <w:rPr>
          <w:rFonts w:hint="eastAsia" w:ascii="宋体" w:hAnsi="宋体" w:cs="宋体"/>
          <w:color w:val="000000" w:themeColor="text1"/>
          <w:szCs w:val="21"/>
          <w:highlight w:val="none"/>
          <w:u w:val="single"/>
          <w14:textFill>
            <w14:solidFill>
              <w14:schemeClr w14:val="tx1"/>
            </w14:solidFill>
          </w14:textFill>
        </w:rPr>
        <w:t xml:space="preserve">代表发包人处理与本工程建设相关的事宜，对施工组织设计及方案确定、质量监督、工程量确认、进出厂材料、设备检验和使用、工程变更、工期顺延等事项的初步审核权 </w:t>
      </w:r>
      <w:r>
        <w:rPr>
          <w:rFonts w:hint="eastAsia" w:ascii="宋体" w:hAnsi="宋体" w:cs="宋体"/>
          <w:color w:val="000000" w:themeColor="text1"/>
          <w:szCs w:val="21"/>
          <w:highlight w:val="none"/>
          <w14:textFill>
            <w14:solidFill>
              <w14:schemeClr w14:val="tx1"/>
            </w14:solidFill>
          </w14:textFill>
        </w:rPr>
        <w:t>。</w:t>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发包人结合工程实际需要保留随时修改上述授权范围的权力</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 施工现场、施工条件和基础资料的提供</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 提供施工现场：关于发包人移交施工现场的期限要求：</w:t>
      </w:r>
      <w:r>
        <w:rPr>
          <w:rFonts w:hint="eastAsia" w:ascii="宋体" w:hAnsi="宋体" w:cs="宋体"/>
          <w:color w:val="000000" w:themeColor="text1"/>
          <w:szCs w:val="21"/>
          <w:highlight w:val="none"/>
          <w:u w:val="single"/>
          <w14:textFill>
            <w14:solidFill>
              <w14:schemeClr w14:val="tx1"/>
            </w14:solidFill>
          </w14:textFill>
        </w:rPr>
        <w:t>发包人可根据实际情况向承包人一次性移交或分期移交现场，移交时双方应填写现场移交记录</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 提供施工条件： 关于发包人应负责提供施工所需要的条件，包括：</w:t>
      </w:r>
      <w:r>
        <w:rPr>
          <w:rFonts w:hint="eastAsia" w:ascii="宋体" w:hAnsi="宋体" w:cs="宋体"/>
          <w:color w:val="000000" w:themeColor="text1"/>
          <w:szCs w:val="21"/>
          <w:highlight w:val="none"/>
          <w:u w:val="single"/>
          <w14:textFill>
            <w14:solidFill>
              <w14:schemeClr w14:val="tx1"/>
            </w14:solidFill>
          </w14:textFill>
        </w:rPr>
        <w:t>执行通用条款</w:t>
      </w:r>
      <w:r>
        <w:rPr>
          <w:rFonts w:hint="eastAsia" w:ascii="宋体" w:hAnsi="宋体" w:cs="宋体"/>
          <w:color w:val="000000" w:themeColor="text1"/>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98" w:name="_Toc351203635"/>
      <w:r>
        <w:rPr>
          <w:rFonts w:hint="eastAsia" w:ascii="宋体" w:hAnsi="宋体" w:eastAsia="宋体" w:cs="宋体"/>
          <w:color w:val="000000" w:themeColor="text1"/>
          <w:sz w:val="21"/>
          <w:szCs w:val="21"/>
          <w:highlight w:val="none"/>
          <w14:textFill>
            <w14:solidFill>
              <w14:schemeClr w14:val="tx1"/>
            </w14:solidFill>
          </w14:textFill>
        </w:rPr>
        <w:t>3</w:t>
      </w:r>
      <w:bookmarkStart w:id="99" w:name="_Toc296890986"/>
      <w:bookmarkStart w:id="100" w:name="_Toc292559363"/>
      <w:bookmarkStart w:id="101" w:name="_Toc297120458"/>
      <w:bookmarkStart w:id="102" w:name="_Toc296944497"/>
      <w:bookmarkStart w:id="103" w:name="_Toc296891198"/>
      <w:bookmarkStart w:id="104" w:name="_Toc296346659"/>
      <w:bookmarkStart w:id="105" w:name="_Toc296347157"/>
      <w:bookmarkStart w:id="106" w:name="_Toc297048344"/>
      <w:bookmarkStart w:id="107" w:name="_Toc296503158"/>
      <w:bookmarkStart w:id="108" w:name="_Toc292559868"/>
      <w:r>
        <w:rPr>
          <w:rFonts w:hint="eastAsia" w:ascii="宋体" w:hAnsi="宋体" w:eastAsia="宋体" w:cs="宋体"/>
          <w:color w:val="000000" w:themeColor="text1"/>
          <w:sz w:val="21"/>
          <w:szCs w:val="21"/>
          <w:highlight w:val="none"/>
          <w14:textFill>
            <w14:solidFill>
              <w14:schemeClr w14:val="tx1"/>
            </w14:solidFill>
          </w14:textFill>
        </w:rPr>
        <w:t>. 承包人</w:t>
      </w:r>
      <w:bookmarkEnd w:id="98"/>
    </w:p>
    <w:bookmarkEnd w:id="99"/>
    <w:bookmarkEnd w:id="100"/>
    <w:bookmarkEnd w:id="101"/>
    <w:bookmarkEnd w:id="102"/>
    <w:bookmarkEnd w:id="103"/>
    <w:bookmarkEnd w:id="104"/>
    <w:bookmarkEnd w:id="105"/>
    <w:bookmarkEnd w:id="106"/>
    <w:bookmarkEnd w:id="107"/>
    <w:bookmarkEnd w:id="108"/>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 承包人的一般义务</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承包人提交的竣工资料的内容：</w:t>
      </w:r>
      <w:r>
        <w:rPr>
          <w:rFonts w:hint="eastAsia" w:ascii="宋体" w:hAnsi="宋体" w:cs="宋体"/>
          <w:color w:val="000000" w:themeColor="text1"/>
          <w:szCs w:val="21"/>
          <w:highlight w:val="none"/>
          <w:u w:val="single"/>
          <w14:textFill>
            <w14:solidFill>
              <w14:schemeClr w14:val="tx1"/>
            </w14:solidFill>
          </w14:textFill>
        </w:rPr>
        <w:t>承包人应按照任何有关管理机构的要求以及政府关于档案管理的规定进行整理和装订全套竣工资料（含竣工图、完整的技术资料等）并保证其正确性、完整性和有效性。承包人应在发包人颁发工程竣工验收证书之前，将竣工资料和竣工图纸按合同约定的份数提交给发包人。承包人提供符合竣工备案要求的全套竣工资料是工程竣工验收和结算的前提条件。如果承包人提供的竣工资料不能完全反映项目现场工程情况，则发包人有权要求承包人修改</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承包人需要提交的竣工资料套数：</w:t>
      </w:r>
      <w:r>
        <w:rPr>
          <w:rFonts w:hint="eastAsia" w:ascii="宋体" w:hAnsi="宋体" w:cs="宋体"/>
          <w:color w:val="000000" w:themeColor="text1"/>
          <w:szCs w:val="21"/>
          <w:highlight w:val="none"/>
          <w:u w:val="single"/>
          <w14:textFill>
            <w14:solidFill>
              <w14:schemeClr w14:val="tx1"/>
            </w14:solidFill>
          </w14:textFill>
        </w:rPr>
        <w:t xml:space="preserve"> 竣工图、竣工资料、结算资料等各六套纸质档</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承包人提交的竣工资料的费用承担：</w:t>
      </w:r>
      <w:r>
        <w:rPr>
          <w:rFonts w:hint="eastAsia" w:ascii="宋体" w:hAnsi="宋体" w:cs="宋体"/>
          <w:color w:val="000000" w:themeColor="text1"/>
          <w:szCs w:val="21"/>
          <w:highlight w:val="none"/>
          <w:u w:val="single"/>
          <w14:textFill>
            <w14:solidFill>
              <w14:schemeClr w14:val="tx1"/>
            </w14:solidFill>
          </w14:textFill>
        </w:rPr>
        <w:t>所有竣工资料（含竣工图纸）的准备、编制、整理和装订的费用均由承包人承担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承包人提交的竣工资料移交时间：</w:t>
      </w:r>
      <w:r>
        <w:rPr>
          <w:rFonts w:hint="eastAsia" w:ascii="宋体" w:hAnsi="宋体" w:cs="宋体"/>
          <w:color w:val="000000" w:themeColor="text1"/>
          <w:szCs w:val="21"/>
          <w:highlight w:val="none"/>
          <w:u w:val="single"/>
          <w14:textFill>
            <w14:solidFill>
              <w14:schemeClr w14:val="tx1"/>
            </w14:solidFill>
          </w14:textFill>
        </w:rPr>
        <w:t>承包人在工程竣工验收日期前14天</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承包人提交的竣工资料形式要求：</w:t>
      </w:r>
      <w:r>
        <w:rPr>
          <w:rFonts w:hint="eastAsia" w:ascii="宋体" w:hAnsi="宋体" w:cs="宋体"/>
          <w:color w:val="000000" w:themeColor="text1"/>
          <w:szCs w:val="21"/>
          <w:highlight w:val="none"/>
          <w:u w:val="single"/>
          <w14:textFill>
            <w14:solidFill>
              <w14:schemeClr w14:val="tx1"/>
            </w14:solidFill>
          </w14:textFill>
        </w:rPr>
        <w:t>纸质、电子版同时提供、存档图纸按照档案存储要求整理。竣工资料及竣工图纸必须准确真实地反映实际施工情况，并符合城建档案馆关于资料的要求。承包人应在竣工备案合格之日起三个月内向城建档案馆办理工程资料验收和移交，并取得相应的合格证书。属于发包人应提供的资料由发包人及时提供给承包人，承包人未按规定向档案馆移交资料造成的损失由承包人承担。资料移交产生的所有费用由承包人承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（6）承包人应履行的其他义务：</w:t>
      </w:r>
      <w:r>
        <w:rPr>
          <w:rFonts w:hint="eastAsia" w:ascii="宋体" w:hAnsi="宋体" w:cs="宋体"/>
          <w:color w:val="000000" w:themeColor="text1"/>
          <w:szCs w:val="21"/>
          <w:highlight w:val="none"/>
          <w:u w:val="single"/>
          <w14:textFill>
            <w14:solidFill>
              <w14:schemeClr w14:val="tx1"/>
            </w14:solidFill>
          </w14:textFill>
        </w:rPr>
        <w:t>做好现场安全文明施工工作，严格执行建筑节能相关法律法规，在施工过程中节约资源，杜绝浪费；施工过程中，承包人应随时保持场地、道路清洁，如清洁工作未做好，承包人承担全部责任及相应处罚</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承包人应按约定时间和要求，完成以下工作：</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开工前对施工图纸认真核查，积极配合发包人组织的施工图交底及会审工作，指出图纸上任何不符施工常规、惯例或规范之处，以及设计图纸中错、漏、碰问题，并配合发包人做好各系统管线的综合平衡工作，如因承包人原因未能在施工该道工序前10天协调解决好此类矛盾、问题而造成工程费用增加和工期损失，发包人不予补偿费用和延顺工期。</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2）应在开工前3天内以书面形式向发包人和监理人提供项目部关键岗位人员上岗证、有关设备合格证、年审证等证件。</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承包人在签订合同之前已查看了施工现场及周围的环境，掌握了所有与工程施工有关或对施工有影响的情况，如地质土壤情况、水源、当地气候情况、道路、交通流量、劳动力的提供范围和周围居民等。发包人将施工场地移交给承包人后，承包人应对施工场地的管理负责（包括施工安全、环境污染、扰民和民扰），若发生非不可抗力或非发包人及监理人指令原因而影响施工导致工期拖延及财产损失的，由承包人承担相应责任。</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采取措施避免工程施工对红线周围地下管线及市政设施造成破坏。如果在现场挖掘土方工作的过程中，发现电线、水道管道，或者其他公共设施，承包人应立即停止挖掘工作，并及时报告监理人或专门机构。承包人根据有关指示，负责修理那些被破坏的公共设施，并恢复原状，由承包人承担相应责任。</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5）保护好施工场地周围地下管线和邻近建筑物、构筑物等，费用由承包人承担。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6）承包人负责在需要的时间和地点，根据有关部门要求，自费提供和维护所有灯光、护板、栅栏、警告信号和警卫，以及对工程进行保护或为公众提供安全和方便。承包人未履行上述义务造成工程、财产和人身伤害，由承包人承担责任及所发生的费用。</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7）施工过程所需证件由承包人及时办理。如发生扰民和民扰，承包人应妥善处理。</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8）遵守地方政府和有关部门对施工场地交通和施工噪音等管理规定，按规定办理有关手续，并以书面形式知会发包人、监理人，由此发生的费用由承包人承担。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9）严格遵守有关环境保护法律法规，加强施工现场的环境管理，在施工过程中严格落实粉尘、废水等污染防治措施及生态保护、水土保持措施，由此发生的费用及罚款由承包人负责。</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10）保证施工场地清洁卫生符合长沙市有关规定的要求。承包人应保证发包人免于受到或承担应由承包人负责的施工、完工和保修等事项造成公众的便利和对公用道路、便道的使用和他人财产的占用遭受干扰时所引起的或与之有关的索赔、诉讼、损害赔偿及其他开支。</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11）施工过程中，承包人应严格按《安全文明施工条例》和《长沙市建设工程现场文明施工管理办法及检查评定标准》执行，搞好文明施工，树立企业形象。施工照明按国家、省、市有关政策文件执行，需满足夜间施工照明的需要，发生费用由承包人承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12）施工过程中，承包人需做好施工记录，隐蔽工程记录，汇集施工技术资料，包括摄影、录像资料。负责做好施工现场安全保卫和施工现场的组织管理工作，创建文明施工工地及标准化管理。</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13）施工过程中，承包人不得对原工程设计擅自进行变更。因承包人擅自变更设计发生的费用和由此导致发包人的损失，由承包人承担，延误的工期不予延顺。</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14）自行解决本工程所需资源，包括施工所需足够量的设备、材料，并自行进行妥善看管，丢失、损坏由承包人自理。</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15）承包人负责提供各类物资设备的进场计划，并于工程开工之日起20个日历日内向发包人提供。对发包人采购又不需要承包人安装的物资设备，承包人负责按设备要求进行预留预埋；及时提供符合安装条件的运输通道和作业面以及必要的仓储场所；及时提供水、电接口至安装作业点；负责协助安装单位对成品进行保护。</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16）实行《周报》和《月报》制度。《周报》在每周例会前一天报送发包人和监理人，《周报》包括下周计划和本周已完成的工作、未完成情况说明（包括拟采取措施、最终完成时间）；《月报》在每月二十五日前报送发包人和监理人，《月报》包括次月施工进度计划和当月工作总结，月施工进度计划必须具体、详细，并且必须按本合同约定的进度要求编制。如不按时、按要求报送，承包人按本合同约定承担违约责任。参加各类施工协调、配合会，由于工地交叉施工引起的问题，有义务进行配合解决，服从发包人及监理人现场总协调做出的决定。</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17）合同规定由承包人完成的工作（包括合同、会议纪要约定内容以及设计变更等），如承包人拒绝完成或不能按合同要求完成，发包人有权安排第三方完成，按发包人实际发生费用增加5%从承包工程款中扣除，影响工期的责任由承包人承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18）承包人投标报价时已考虑了施工期间已有成品保护等各种可能因素影响施工所需增加的费用和工期，承包人承诺在前述可能影响工期和费用的因素出现时不要求发包人增加费用和延顺工期。</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19）在施工过程中，承包人必须遵守发包人和监理人制定的管理制度，及时执行发包人和监理人发出的指令。</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20）承包人应准备备用发电机、水池等设施，一周内停水停电累计不超过8小时的，不予签证费用和工期。</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21）已竣工工程未交付发包人验收使用之前，负责成品保护，保护期间发生损坏、损失的风险和责任由承包人承担，承包人自费予以修复。</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22）承包人项目部关键岗位管理人员在本工程或其分项工程施工期间（包括准备和收尾阶段），均需按中标通知书约定的人员配置，无特殊原因不得更换；承包人如需变更人员安排、机械设备和施工方案等，必须提前一周书面上报发包人并经同意后方可执行，否则发包人有权终止合同，由此产生的一切损失由承包人负责。</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23）承包人应及时提出用水、用电申请，经批准后在发包人提供的水、电源设置点自费装表按表计量，费用按当地物价部门确认的价格收费标准向有权执收部门缴纳，其水、电设置点位置的维护、管理费用由承包人负责。承包人负责完成由设置点起至施工区域内的水、电、通讯线路的架设，费用由承包人承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24）本工程施工所需设备、临时设施进入现场后，即应被视为是专门供本工程使用。施工期间，承包人如需运出现场，需征得监理人和发包人的书面同意。</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25）除合同另有规定外，发包人无论何时均不对上述承包人的设备、临时设施和材料的损失或损坏承担任何责任。</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26）承包人应维护和爱护施工现场周围环境，包括现场周围现有的设施、花草等均不得损害，否则其一切费用由承包人负责。</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27）承包人完工后应及时拆除临时设施，配合发包人和监理人办理工程交接手续。</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28）承包人应按时付足民工工资，不得拖欠，否则，由此发生的一切后果均由承包人承担和处理，并承担相应的法律责任。发包人可以先予支付民工工资并从应付承包人账款中扣减。</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29）必须履行投标文件和其他承诺的内容。</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30）承包人必须按合同的规定精心组织施工，按时完成全部工程和对工程的维护、保修工作。承包人对所有现场作业和施工队方法的适应、稳定和安全承担全部责任，不得擅自降低工程质量标准。如果承包人在核查合同文件或在本工程实施过程中，发现有关工程设计、规范、图纸或其他资料存在任何差错、遗漏或缺陷，应立即以书面形式报发包人和监理人，否则，由此产生的费用或给发包人造成的损失由承包人承担。承包人在工程实施的各有关环节中必须遵守监理程序，按规定步骤提请监理人验收签认，并对监理人按合同规定进行的工作提供协助和创造所需条件。承包人对现场人员（包括施工人员及第三方人员）及未交工前的工程（包括材料、设施、设备）的安全及管理负全部责任。</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 项目经理</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3.2.1 </w:t>
      </w:r>
      <w:r>
        <w:rPr>
          <w:rFonts w:hint="eastAsia" w:ascii="宋体" w:hAnsi="宋体" w:cs="宋体"/>
          <w:color w:val="000000" w:themeColor="text1"/>
          <w:szCs w:val="21"/>
          <w:highlight w:val="none"/>
          <w14:textFill>
            <w14:solidFill>
              <w14:schemeClr w14:val="tx1"/>
            </w14:solidFill>
          </w14:textFill>
        </w:rPr>
        <w:t>项目经理：</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建造师执业资格等级：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建造师注册证书号：</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建造师执业印章号：</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安全生产考核合格证书号：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3.2.2承包人对项目经理的授权范围如下：</w:t>
      </w:r>
      <w:r>
        <w:rPr>
          <w:rFonts w:hint="eastAsia" w:ascii="宋体" w:hAnsi="宋体" w:cs="宋体"/>
          <w:color w:val="000000" w:themeColor="text1"/>
          <w:kern w:val="0"/>
          <w:szCs w:val="21"/>
          <w:highlight w:val="none"/>
          <w:u w:val="single"/>
          <w14:textFill>
            <w14:solidFill>
              <w14:schemeClr w14:val="tx1"/>
            </w14:solidFill>
          </w14:textFill>
        </w:rPr>
        <w:t>代表承包人全权处理与本工程建设相关事</w:t>
      </w:r>
      <w:r>
        <w:rPr>
          <w:rFonts w:hint="eastAsia" w:ascii="宋体" w:hAnsi="宋体" w:cs="宋体"/>
          <w:color w:val="000000" w:themeColor="text1"/>
          <w:szCs w:val="21"/>
          <w:highlight w:val="none"/>
          <w:u w:val="single"/>
          <w14:textFill>
            <w14:solidFill>
              <w14:schemeClr w14:val="tx1"/>
            </w14:solidFill>
          </w14:textFill>
        </w:rPr>
        <w:t>宜 。项目经理负责指导施工文件的编制和工程的实施。除非合同中另有约定，项目经理应受理合同范围内的所有通知、指示、同意、批准、证书、决定及其他通讯录联络。项目经理无论何时离开现场均应指定合适的替代人员并通知监理人</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3.2.3关于项目经理每月在施工现场的时间要求：</w:t>
      </w:r>
      <w:r>
        <w:rPr>
          <w:rFonts w:hint="eastAsia" w:ascii="宋体" w:hAnsi="宋体" w:cs="宋体"/>
          <w:color w:val="000000" w:themeColor="text1"/>
          <w:szCs w:val="21"/>
          <w:highlight w:val="none"/>
          <w:u w:val="single"/>
          <w14:textFill>
            <w14:solidFill>
              <w14:schemeClr w14:val="tx1"/>
            </w14:solidFill>
          </w14:textFill>
        </w:rPr>
        <w:t>项目经理应驻守施工现场，驻守工地时间每周不少于5天且不少于30小时</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3.2.4承包人未提交劳动合同，以及没有为项目经理缴纳社会保险证明的违约责任：</w:t>
      </w:r>
      <w:r>
        <w:rPr>
          <w:rFonts w:hint="eastAsia" w:ascii="宋体" w:hAnsi="宋体" w:cs="宋体"/>
          <w:color w:val="000000" w:themeColor="text1"/>
          <w:szCs w:val="21"/>
          <w:highlight w:val="none"/>
          <w:u w:val="single"/>
          <w14:textFill>
            <w14:solidFill>
              <w14:schemeClr w14:val="tx1"/>
            </w14:solidFill>
          </w14:textFill>
        </w:rPr>
        <w:t xml:space="preserve">  本合同签订后三日内应提供，承包人未提供的，发包人有权无条件更换承包人，发包人未要求更换前，承包人每延迟提供一日，向发包人支付违约金人民币5000元</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3.2.5项目经理未经批准，擅自离开施工现场的违约责任：</w:t>
      </w:r>
      <w:r>
        <w:rPr>
          <w:rFonts w:hint="eastAsia" w:ascii="宋体" w:hAnsi="宋体" w:cs="宋体"/>
          <w:color w:val="000000" w:themeColor="text1"/>
          <w:szCs w:val="21"/>
          <w:highlight w:val="none"/>
          <w:u w:val="single"/>
          <w14:textFill>
            <w14:solidFill>
              <w14:schemeClr w14:val="tx1"/>
            </w14:solidFill>
          </w14:textFill>
        </w:rPr>
        <w:t>承包人项目经理如离开工地，应向发包人代表请假并经批准；离开施工场地2天及以上，应事先征得发包人同意，并委派代表带行其职责，否则承包人向发包人支付违约金1000元/人·次，如一个月内项目负责人、项目技术负责人未按规定累计离开工地3人次，承包人向发包人支付违约金10000元</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3.2.6承包人擅自更换项目经理的违约责任：</w:t>
      </w:r>
      <w:r>
        <w:rPr>
          <w:rFonts w:hint="eastAsia" w:ascii="宋体" w:hAnsi="宋体" w:cs="宋体"/>
          <w:color w:val="000000" w:themeColor="text1"/>
          <w:szCs w:val="21"/>
          <w:highlight w:val="none"/>
          <w:u w:val="single"/>
          <w14:textFill>
            <w14:solidFill>
              <w14:schemeClr w14:val="tx1"/>
            </w14:solidFill>
          </w14:textFill>
        </w:rPr>
        <w:t>发包人有权解除施工合同</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3.2.7 承包人无正当理由拒绝更换项目经理的违约责任：</w:t>
      </w:r>
      <w:r>
        <w:rPr>
          <w:rFonts w:hint="eastAsia" w:ascii="宋体" w:hAnsi="宋体" w:cs="宋体"/>
          <w:color w:val="000000" w:themeColor="text1"/>
          <w:kern w:val="0"/>
          <w:szCs w:val="21"/>
          <w:highlight w:val="none"/>
          <w:u w:val="single"/>
          <w14:textFill>
            <w14:solidFill>
              <w14:schemeClr w14:val="tx1"/>
            </w14:solidFill>
          </w14:textFill>
        </w:rPr>
        <w:t>如项目经理专业水平达不到岗位要求、工作责任心不强，不能积极配合发包人正常工作、违反发包人或承包人工地现场管理规定或经常出现有损健康与安全，或有损环境保护的行为等，发包人有权要求承包人立即更换。承包人拒绝更换，每延迟一日向发包人支付违约金5000元，超过10日，发包人有权解除合同，并追究承包人违约责任。</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 承包人人员</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Cs w:val="21"/>
          <w:highlight w:val="none"/>
          <w:u w:val="single"/>
          <w14:textFill>
            <w14:solidFill>
              <w14:schemeClr w14:val="tx1"/>
            </w14:solidFill>
          </w14:textFill>
        </w:rPr>
        <w:t>期限同通用条款，施工现场管理人员必须与投标文件列明的人员完全一致。承包人应当为完成合同而设置合理可行的现场组织机构并为此雇佣那些在各自行业或职业内具有足够经验、认真负责和精干称职的管理人员。但是，除非事先获得对方同意，承包人不应从为发包人、监理人、设计人服务的人员中招收或试图招收职员和工人</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 承包人无正当理由拒绝撤换主要施工管理人员的违约责任：</w:t>
      </w:r>
      <w:r>
        <w:rPr>
          <w:rFonts w:hint="eastAsia" w:ascii="宋体" w:hAnsi="宋体" w:cs="宋体"/>
          <w:color w:val="000000" w:themeColor="text1"/>
          <w:szCs w:val="21"/>
          <w:highlight w:val="none"/>
          <w:u w:val="single"/>
          <w14:textFill>
            <w14:solidFill>
              <w14:schemeClr w14:val="tx1"/>
            </w14:solidFill>
          </w14:textFill>
        </w:rPr>
        <w:t>承包人以下人员，经监理人提出，发包人同意，必须在24小时内调离本工程范围，否则每人次承包人支付违约金1000元；同时，承包人应在3天内完成用合格的人员（经发包人批准）代替上述调离人员，否则每拖延1天承包人支付违约金300元</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a）发包人确认无法胜任工作者，包括：对分部分项工程施工进度及施工质量达不到合同要求负有责任的施工人员、不熟悉本专业工作的施工人员、工作责任心不强的施工人员、不积极配合发包人工作或不积极执行发包人指令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（b）不能积极配合监理及发包人正常工作者；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（c）违反发包人或承包人工地现场管理规定者；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（d）无证上岗者（适用于按规定必须有上岗证）；</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（e）与投标文件、中标通知书约定名册不符者；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（f）与本工程施工无关人员；</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（g）三次书面签字而工作未落实者。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3.3.3 承包人主要施工管理人员离开施工现场的批准要求：</w:t>
      </w:r>
      <w:r>
        <w:rPr>
          <w:rFonts w:hint="eastAsia" w:ascii="宋体" w:hAnsi="宋体" w:cs="宋体"/>
          <w:color w:val="000000" w:themeColor="text1"/>
          <w:szCs w:val="21"/>
          <w:highlight w:val="none"/>
          <w:u w:val="single"/>
          <w14:textFill>
            <w14:solidFill>
              <w14:schemeClr w14:val="tx1"/>
            </w14:solidFill>
          </w14:textFill>
        </w:rPr>
        <w:t xml:space="preserve">  承包人项目经理如离开工地，应向发包人代表请假并经批准；离开施工场地2天及以上，应事先征得发包人同意，并委派代表代行其职责</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3.3.4承包人擅自更换主要施工管理人员的违约责任：</w:t>
      </w:r>
      <w:r>
        <w:rPr>
          <w:rFonts w:hint="eastAsia" w:ascii="宋体" w:hAnsi="宋体" w:cs="宋体"/>
          <w:color w:val="000000" w:themeColor="text1"/>
          <w:szCs w:val="21"/>
          <w:highlight w:val="none"/>
          <w:u w:val="single"/>
          <w14:textFill>
            <w14:solidFill>
              <w14:schemeClr w14:val="tx1"/>
            </w14:solidFill>
          </w14:textFill>
        </w:rPr>
        <w:t>未经发包人同意，承包人擅自用不符合资质要求人员替换投标承诺的其他管理人员，发包人有权要求承包人支付违约金20万元/人次；或未经发包人同意，承包人用符合资质要求人员替换投标承诺的其他管理人员，发包人有权要求承包人支付违约金5万元/人次</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Cs w:val="21"/>
          <w:highlight w:val="none"/>
          <w:u w:val="single"/>
          <w14:textFill>
            <w14:solidFill>
              <w14:schemeClr w14:val="tx1"/>
            </w14:solidFill>
          </w14:textFill>
        </w:rPr>
        <w:t>承包人向发包人支付违约金1万元/人·次，如一个月内项目经理、项目技术负责人未按规定累计离开工地3人次，承包人向发包人支付违约金10万元</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bookmarkStart w:id="109" w:name="_Toc297123492"/>
      <w:bookmarkStart w:id="110" w:name="_Toc296347158"/>
      <w:bookmarkStart w:id="111" w:name="_Toc292559869"/>
      <w:bookmarkStart w:id="112" w:name="_Toc300934945"/>
      <w:bookmarkStart w:id="113" w:name="_Toc296891199"/>
      <w:bookmarkStart w:id="114" w:name="_Toc297048345"/>
      <w:bookmarkStart w:id="115" w:name="_Toc297120459"/>
      <w:bookmarkStart w:id="116" w:name="_Toc296944498"/>
      <w:bookmarkStart w:id="117" w:name="_Toc303539102"/>
      <w:bookmarkStart w:id="118" w:name="_Toc292559364"/>
      <w:bookmarkStart w:id="119" w:name="_Toc312677988"/>
      <w:bookmarkStart w:id="120" w:name="_Toc296503159"/>
      <w:bookmarkStart w:id="121" w:name="_Toc297216151"/>
      <w:bookmarkStart w:id="122" w:name="_Toc296890987"/>
      <w:bookmarkStart w:id="123" w:name="_Toc304295523"/>
      <w:bookmarkStart w:id="124" w:name="_Toc296346660"/>
      <w:r>
        <w:rPr>
          <w:rFonts w:hint="eastAsia" w:ascii="宋体" w:hAnsi="宋体" w:cs="宋体"/>
          <w:color w:val="000000" w:themeColor="text1"/>
          <w:szCs w:val="21"/>
          <w:highlight w:val="none"/>
          <w14:textFill>
            <w14:solidFill>
              <w14:schemeClr w14:val="tx1"/>
            </w14:solidFill>
          </w14:textFill>
        </w:rPr>
        <w:t>.5 分包</w:t>
      </w:r>
    </w:p>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bookmarkStart w:id="125" w:name="_Toc297120460"/>
      <w:bookmarkStart w:id="126" w:name="_Toc296347159"/>
      <w:bookmarkStart w:id="127" w:name="_Toc292559365"/>
      <w:bookmarkStart w:id="128" w:name="_Toc304295524"/>
      <w:bookmarkStart w:id="129" w:name="_Toc296944499"/>
      <w:bookmarkStart w:id="130" w:name="_Toc297123493"/>
      <w:bookmarkStart w:id="131" w:name="_Toc303539103"/>
      <w:bookmarkStart w:id="132" w:name="_Toc296891200"/>
      <w:bookmarkStart w:id="133" w:name="_Toc292559870"/>
      <w:bookmarkStart w:id="134" w:name="_Toc296890988"/>
      <w:bookmarkStart w:id="135" w:name="_Toc300934946"/>
      <w:bookmarkStart w:id="136" w:name="_Toc297216152"/>
      <w:bookmarkStart w:id="137" w:name="_Toc297048346"/>
      <w:bookmarkStart w:id="138" w:name="_Toc296346661"/>
      <w:bookmarkStart w:id="139" w:name="_Toc296503160"/>
      <w:bookmarkStart w:id="140" w:name="_Toc318581158"/>
      <w:bookmarkStart w:id="141" w:name="_Toc312677989"/>
      <w:r>
        <w:rPr>
          <w:rFonts w:hint="eastAsia" w:ascii="宋体" w:hAnsi="宋体" w:cs="宋体"/>
          <w:color w:val="000000" w:themeColor="text1"/>
          <w:szCs w:val="21"/>
          <w:highlight w:val="none"/>
          <w14:textFill>
            <w14:solidFill>
              <w14:schemeClr w14:val="tx1"/>
            </w14:solidFill>
          </w14:textFill>
        </w:rPr>
        <w:t>.5.1 分包的一般约定</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禁止分包的工程包括：</w:t>
      </w:r>
      <w:r>
        <w:rPr>
          <w:rFonts w:hint="eastAsia" w:ascii="宋体" w:hAnsi="宋体" w:cs="宋体"/>
          <w:color w:val="000000" w:themeColor="text1"/>
          <w:szCs w:val="21"/>
          <w:highlight w:val="none"/>
          <w:u w:val="single"/>
          <w14:textFill>
            <w14:solidFill>
              <w14:schemeClr w14:val="tx1"/>
            </w14:solidFill>
          </w14:textFill>
        </w:rPr>
        <w:t xml:space="preserve"> 本工程不允许分包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主体结构、关键性工作的范围：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Start w:id="142" w:name="_Toc304295525"/>
      <w:bookmarkStart w:id="143" w:name="_Toc297120461"/>
      <w:bookmarkStart w:id="144" w:name="_Toc296890989"/>
      <w:bookmarkStart w:id="145" w:name="_Toc297123494"/>
      <w:bookmarkStart w:id="146" w:name="_Toc296346662"/>
      <w:bookmarkStart w:id="147" w:name="_Toc297216153"/>
      <w:bookmarkStart w:id="148" w:name="_Toc297048347"/>
      <w:bookmarkStart w:id="149" w:name="_Toc296891201"/>
      <w:bookmarkStart w:id="150" w:name="_Toc303539104"/>
      <w:bookmarkStart w:id="151" w:name="_Toc300934947"/>
      <w:bookmarkStart w:id="152" w:name="_Toc296944500"/>
      <w:bookmarkStart w:id="153" w:name="_Toc296347160"/>
      <w:bookmarkStart w:id="154" w:name="_Toc296503161"/>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 工程照管与成品、半成品保护</w:t>
      </w:r>
    </w:p>
    <w:p>
      <w:pPr>
        <w:snapToGrid w:val="0"/>
        <w:spacing w:line="360" w:lineRule="auto"/>
        <w:ind w:firstLine="420" w:firstLineChars="200"/>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kern w:val="0"/>
          <w:szCs w:val="21"/>
          <w:highlight w:val="none"/>
          <w:u w:val="single"/>
          <w14:textFill>
            <w14:solidFill>
              <w14:schemeClr w14:val="tx1"/>
            </w14:solidFill>
          </w14:textFill>
        </w:rPr>
        <w:t>同通用条款</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 履约担保</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承包人是否提供履约担保：</w:t>
      </w:r>
      <w:r>
        <w:rPr>
          <w:rFonts w:hint="eastAsia" w:ascii="宋体" w:hAnsi="宋体" w:cs="宋体"/>
          <w:color w:val="000000" w:themeColor="text1"/>
          <w:szCs w:val="21"/>
          <w:highlight w:val="none"/>
          <w:u w:val="single"/>
          <w14:textFill>
            <w14:solidFill>
              <w14:schemeClr w14:val="tx1"/>
            </w14:solidFill>
          </w14:textFill>
        </w:rPr>
        <w:t>否</w:t>
      </w:r>
      <w:r>
        <w:rPr>
          <w:rFonts w:hint="eastAsia" w:ascii="宋体" w:hAnsi="宋体" w:cs="宋体"/>
          <w:color w:val="000000" w:themeColor="text1"/>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155" w:name="_Toc351203636"/>
      <w:r>
        <w:rPr>
          <w:rFonts w:hint="eastAsia" w:ascii="宋体" w:hAnsi="宋体" w:eastAsia="宋体" w:cs="宋体"/>
          <w:color w:val="000000" w:themeColor="text1"/>
          <w:sz w:val="21"/>
          <w:szCs w:val="21"/>
          <w:highlight w:val="none"/>
          <w14:textFill>
            <w14:solidFill>
              <w14:schemeClr w14:val="tx1"/>
            </w14:solidFill>
          </w14:textFill>
        </w:rPr>
        <w:t>4</w:t>
      </w:r>
      <w:bookmarkStart w:id="156" w:name="_Toc297048348"/>
      <w:bookmarkStart w:id="157" w:name="_Toc296891202"/>
      <w:bookmarkStart w:id="158" w:name="_Toc292559366"/>
      <w:bookmarkStart w:id="159" w:name="_Toc296503162"/>
      <w:bookmarkStart w:id="160" w:name="_Toc296944501"/>
      <w:bookmarkStart w:id="161" w:name="_Toc292559871"/>
      <w:bookmarkStart w:id="162" w:name="_Toc296347161"/>
      <w:bookmarkStart w:id="163" w:name="_Toc296346663"/>
      <w:bookmarkStart w:id="164" w:name="_Toc267251413"/>
      <w:bookmarkStart w:id="165" w:name="_Toc296890990"/>
      <w:bookmarkStart w:id="166" w:name="_Toc297120462"/>
      <w:r>
        <w:rPr>
          <w:rFonts w:hint="eastAsia" w:ascii="宋体" w:hAnsi="宋体" w:eastAsia="宋体" w:cs="宋体"/>
          <w:color w:val="000000" w:themeColor="text1"/>
          <w:sz w:val="21"/>
          <w:szCs w:val="21"/>
          <w:highlight w:val="none"/>
          <w14:textFill>
            <w14:solidFill>
              <w14:schemeClr w14:val="tx1"/>
            </w14:solidFill>
          </w14:textFill>
        </w:rPr>
        <w:t>. 监</w:t>
      </w:r>
      <w:bookmarkEnd w:id="156"/>
      <w:bookmarkEnd w:id="157"/>
      <w:bookmarkEnd w:id="158"/>
      <w:bookmarkEnd w:id="159"/>
      <w:bookmarkEnd w:id="160"/>
      <w:bookmarkEnd w:id="161"/>
      <w:bookmarkEnd w:id="162"/>
      <w:bookmarkEnd w:id="163"/>
      <w:bookmarkEnd w:id="164"/>
      <w:bookmarkEnd w:id="165"/>
      <w:bookmarkEnd w:id="166"/>
      <w:r>
        <w:rPr>
          <w:rFonts w:hint="eastAsia" w:ascii="宋体" w:hAnsi="宋体" w:eastAsia="宋体" w:cs="宋体"/>
          <w:color w:val="000000" w:themeColor="text1"/>
          <w:sz w:val="21"/>
          <w:szCs w:val="21"/>
          <w:highlight w:val="none"/>
          <w14:textFill>
            <w14:solidFill>
              <w14:schemeClr w14:val="tx1"/>
            </w14:solidFill>
          </w14:textFill>
        </w:rPr>
        <w:t>理人</w:t>
      </w:r>
      <w:bookmarkEnd w:id="155"/>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4.1监理人的一般规定</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关于监理人的监理内容：</w:t>
      </w:r>
      <w:r>
        <w:rPr>
          <w:rFonts w:hint="eastAsia" w:ascii="宋体" w:hAnsi="宋体" w:cs="宋体"/>
          <w:color w:val="000000" w:themeColor="text1"/>
          <w:szCs w:val="21"/>
          <w:highlight w:val="none"/>
          <w:u w:val="single"/>
          <w14:textFill>
            <w14:solidFill>
              <w14:schemeClr w14:val="tx1"/>
            </w14:solidFill>
          </w14:textFill>
        </w:rPr>
        <w:t>监理人受发包人的委托，进行工程建设合同管理、工期控制、工程造价控制和质量管理控制，以及施工现场的监督管理并协调有关各方的工作关系。监理人的具体工作职责、范围和权利以发包人和监理人签订的《监理合同》及相关文件为准，承包人在本合同签订前对此充分知情并理解</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关于监理人的监理权限：</w:t>
      </w:r>
      <w:r>
        <w:rPr>
          <w:rFonts w:hint="eastAsia" w:ascii="宋体" w:hAnsi="宋体" w:cs="宋体"/>
          <w:color w:val="000000" w:themeColor="text1"/>
          <w:szCs w:val="21"/>
          <w:highlight w:val="none"/>
          <w:u w:val="single"/>
          <w14:textFill>
            <w14:solidFill>
              <w14:schemeClr w14:val="tx1"/>
            </w14:solidFill>
          </w14:textFill>
        </w:rPr>
        <w:t>详见监理合同</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Cs w:val="21"/>
          <w:highlight w:val="none"/>
          <w:u w:val="single"/>
          <w14:textFill>
            <w14:solidFill>
              <w14:schemeClr w14:val="tx1"/>
            </w14:solidFill>
          </w14:textFill>
        </w:rPr>
        <w:t>详见监理合同</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 监理人员</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总监理工程师：</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监理工程师执业资格证书号：</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电子信箱：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通信地址：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关于监理人的其他约定：</w:t>
      </w:r>
      <w:r>
        <w:rPr>
          <w:rFonts w:hint="eastAsia" w:ascii="宋体" w:hAnsi="宋体" w:cs="宋体"/>
          <w:color w:val="000000" w:themeColor="text1"/>
          <w:szCs w:val="21"/>
          <w:highlight w:val="none"/>
          <w:u w:val="single"/>
          <w14:textFill>
            <w14:solidFill>
              <w14:schemeClr w14:val="tx1"/>
            </w14:solidFill>
          </w14:textFill>
        </w:rPr>
        <w:t xml:space="preserve">监理人应当全面、客观、公正地履行其职责和权力。除非合同另有约定，监理人应当依据法律、行政法规、规章以及本合同行使其相应的职责和权利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（a）监理人无权修改合同</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b）所有由监理人发出的书面通知、指示、同意、批准、证书、决定及其他通讯联络，只要与本工程的人员、合同、价格、支付、计量、计价、工期、工期延长、质量、建筑使用功能、分包人和供应商的选择、材料和工程设备审批等有关，须事先经过发包人的审核并批准，并有发包人或其合法授权人的签字，方可成为发包人和承包人之间有合同约束力的文件。</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c）发包人有权在任何时候决定将本合同中约定的监理人的某些职责和权力委托给其他机构、咨询单位或个人。发包人在做这种决定后7日内，应将这种决定的细节以书面形式通知包括监理人和承包人在内的各相关方。如果发生这种委托，则本合同中约定的监理人的职责和权力应按照发包人的委托由发包人委托的其他机构、咨询单位或个人来行使，合同中相关条款也应做相应的解释。</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（d）除非合同另有约定，监理人无权解除、变更或增加合同中约定的承包人的任何职责、义务和工作。</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（e）除非合同另有约定，承包人应将依据合同发给监理人的所有函件、报告等复制给发包人。</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（f）在发包人认为必要时，发包人可直接向承包人发出任何书面通知、指示、同意、批准、证书、决定及其他通讯联络，但应同时抄送一份副本给监理人。</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（g）当发包人和监理人各自的任何书面通知、指示、同意、批准、证书、决定及其他通讯联络之间出现冲突、矛盾或不一致时，发包人的决定应是最终的和具有合同约束力的。</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（h）合同约定应由承包人承担的义务和责任，不因监理人对承包人提交的文件的审查或批准，对工程、材料和设备的检查和检验，以及对承包人作出的指示等职务行为而减轻或解除。</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 商定或确定</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167" w:name="_Toc267251418"/>
      <w:r>
        <w:rPr>
          <w:rFonts w:hint="eastAsia" w:ascii="宋体" w:hAnsi="宋体" w:cs="宋体"/>
          <w:color w:val="000000" w:themeColor="text1"/>
          <w:szCs w:val="21"/>
          <w:highlight w:val="none"/>
          <w14:textFill>
            <w14:solidFill>
              <w14:schemeClr w14:val="tx1"/>
            </w14:solidFill>
          </w14:textFill>
        </w:rPr>
        <w:t>在发包人和承包人不能通过协商达成一致意见时，发包人授权监理人对以下事项进行确定：</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168" w:name="_Toc351203637"/>
      <w:r>
        <w:rPr>
          <w:rFonts w:hint="eastAsia" w:ascii="宋体" w:hAnsi="宋体" w:eastAsia="宋体" w:cs="宋体"/>
          <w:color w:val="000000" w:themeColor="text1"/>
          <w:sz w:val="21"/>
          <w:szCs w:val="21"/>
          <w:highlight w:val="none"/>
          <w14:textFill>
            <w14:solidFill>
              <w14:schemeClr w14:val="tx1"/>
            </w14:solidFill>
          </w14:textFill>
        </w:rPr>
        <w:t>5</w:t>
      </w:r>
      <w:bookmarkEnd w:id="167"/>
      <w:bookmarkStart w:id="169" w:name="_Toc297120463"/>
      <w:bookmarkStart w:id="170" w:name="_Toc296891203"/>
      <w:bookmarkStart w:id="171" w:name="_Toc296503163"/>
      <w:bookmarkStart w:id="172" w:name="_Toc296347162"/>
      <w:bookmarkStart w:id="173" w:name="_Toc292559872"/>
      <w:bookmarkStart w:id="174" w:name="_Toc292559367"/>
      <w:bookmarkStart w:id="175" w:name="_Toc296346664"/>
      <w:bookmarkStart w:id="176" w:name="_Toc297048349"/>
      <w:bookmarkStart w:id="177" w:name="_Toc296944502"/>
      <w:bookmarkStart w:id="178" w:name="_Toc296890991"/>
      <w:r>
        <w:rPr>
          <w:rFonts w:hint="eastAsia" w:ascii="宋体" w:hAnsi="宋体" w:eastAsia="宋体" w:cs="宋体"/>
          <w:color w:val="000000" w:themeColor="text1"/>
          <w:sz w:val="21"/>
          <w:szCs w:val="21"/>
          <w:highlight w:val="none"/>
          <w14:textFill>
            <w14:solidFill>
              <w14:schemeClr w14:val="tx1"/>
            </w14:solidFill>
          </w14:textFill>
        </w:rPr>
        <w:t>. 工程质量</w:t>
      </w:r>
      <w:bookmarkEnd w:id="168"/>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179" w:name="_Toc25503"/>
      <w:r>
        <w:rPr>
          <w:rFonts w:hint="eastAsia" w:ascii="宋体" w:hAnsi="宋体" w:cs="宋体"/>
          <w:color w:val="000000" w:themeColor="text1"/>
          <w:szCs w:val="21"/>
          <w:highlight w:val="none"/>
          <w14:textFill>
            <w14:solidFill>
              <w14:schemeClr w14:val="tx1"/>
            </w14:solidFill>
          </w14:textFill>
        </w:rPr>
        <w:t>5.1 质量要求</w:t>
      </w:r>
      <w:bookmarkEnd w:id="179"/>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bookmarkStart w:id="180" w:name="_Toc303539106"/>
      <w:bookmarkStart w:id="181" w:name="_Toc304295527"/>
      <w:bookmarkStart w:id="182" w:name="_Toc312677997"/>
      <w:bookmarkStart w:id="183" w:name="_Toc297123496"/>
      <w:bookmarkStart w:id="184" w:name="_Toc300934949"/>
      <w:bookmarkStart w:id="185" w:name="_Toc297216155"/>
      <w:bookmarkStart w:id="186" w:name="_Toc318581164"/>
      <w:r>
        <w:rPr>
          <w:rFonts w:hint="eastAsia" w:ascii="宋体" w:hAnsi="宋体" w:cs="宋体"/>
          <w:color w:val="000000" w:themeColor="text1"/>
          <w:szCs w:val="21"/>
          <w:highlight w:val="none"/>
          <w14:textFill>
            <w14:solidFill>
              <w14:schemeClr w14:val="tx1"/>
            </w14:solidFill>
          </w14:textFill>
        </w:rPr>
        <w:t>.1.1 特殊质量标准和要求：</w:t>
      </w:r>
      <w:r>
        <w:rPr>
          <w:rFonts w:hint="eastAsia" w:ascii="宋体" w:hAnsi="宋体" w:cs="宋体"/>
          <w:color w:val="000000" w:themeColor="text1"/>
          <w:szCs w:val="21"/>
          <w:highlight w:val="none"/>
          <w:u w:val="single"/>
          <w14:textFill>
            <w14:solidFill>
              <w14:schemeClr w14:val="tx1"/>
            </w14:solidFill>
          </w14:textFill>
        </w:rPr>
        <w:t>符合合格标准，严格按照施工图纸，同时参照行业规范、标准等进行施工，保证工程质量达到国家或专业的质量检验评定标准，并通过发包人内部及相关检验部门验收</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关于工程奖项的约定：</w:t>
      </w:r>
      <w:r>
        <w:rPr>
          <w:rFonts w:hint="eastAsia" w:ascii="宋体" w:hAnsi="宋体" w:cs="宋体"/>
          <w:color w:val="000000" w:themeColor="text1"/>
          <w:szCs w:val="21"/>
          <w:highlight w:val="none"/>
          <w:u w:val="single"/>
          <w14:textFill>
            <w14:solidFill>
              <w14:schemeClr w14:val="tx1"/>
            </w14:solidFill>
          </w14:textFill>
        </w:rPr>
        <w:t>发包人不支付奖金</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187" w:name="_Toc32168"/>
      <w:r>
        <w:rPr>
          <w:rFonts w:hint="eastAsia" w:ascii="宋体" w:hAnsi="宋体" w:cs="宋体"/>
          <w:color w:val="000000" w:themeColor="text1"/>
          <w:szCs w:val="21"/>
          <w:highlight w:val="none"/>
          <w14:textFill>
            <w14:solidFill>
              <w14:schemeClr w14:val="tx1"/>
            </w14:solidFill>
          </w14:textFill>
        </w:rPr>
        <w:t>5.2隐蔽工程检查</w:t>
      </w:r>
      <w:bookmarkEnd w:id="187"/>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5.2.1承包人提前通知监理人隐蔽工程检查的期限的约定：</w:t>
      </w:r>
      <w:r>
        <w:rPr>
          <w:rFonts w:hint="eastAsia" w:ascii="宋体" w:hAnsi="宋体" w:cs="宋体"/>
          <w:color w:val="000000" w:themeColor="text1"/>
          <w:szCs w:val="21"/>
          <w:highlight w:val="none"/>
          <w:u w:val="single"/>
          <w14:textFill>
            <w14:solidFill>
              <w14:schemeClr w14:val="tx1"/>
            </w14:solidFill>
          </w14:textFill>
        </w:rPr>
        <w:t>工程隐蔽部位经承包人自检确认具备覆盖条件后，承包人应在共同检查前48小时通知业主、监理人和造价咨询人检查。由于工期进度要求，如果出现整改的，整改完毕后监理人随时配合承包人进行验收</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监理人不能按时进行检查时，应提前</w:t>
      </w:r>
      <w:r>
        <w:rPr>
          <w:rFonts w:hint="eastAsia" w:ascii="宋体" w:hAnsi="宋体" w:cs="宋体"/>
          <w:color w:val="000000" w:themeColor="text1"/>
          <w:szCs w:val="21"/>
          <w:highlight w:val="none"/>
          <w:u w:val="single"/>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小时提交书面延期要求。</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关于延期最长不得超过：</w:t>
      </w:r>
      <w:r>
        <w:rPr>
          <w:rFonts w:hint="eastAsia" w:ascii="宋体" w:hAnsi="宋体" w:cs="宋体"/>
          <w:color w:val="000000" w:themeColor="text1"/>
          <w:szCs w:val="21"/>
          <w:highlight w:val="none"/>
          <w:u w:val="single"/>
          <w14:textFill>
            <w14:solidFill>
              <w14:schemeClr w14:val="tx1"/>
            </w14:solidFill>
          </w14:textFill>
        </w:rPr>
        <w:t>48</w:t>
      </w:r>
      <w:r>
        <w:rPr>
          <w:rFonts w:hint="eastAsia" w:ascii="宋体" w:hAnsi="宋体" w:cs="宋体"/>
          <w:color w:val="000000" w:themeColor="text1"/>
          <w:szCs w:val="21"/>
          <w:highlight w:val="none"/>
          <w14:textFill>
            <w14:solidFill>
              <w14:schemeClr w14:val="tx1"/>
            </w14:solidFill>
          </w14:textFill>
        </w:rPr>
        <w:t>小时。</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5.2.2</w:t>
      </w:r>
      <w:r>
        <w:rPr>
          <w:rFonts w:hint="eastAsia" w:ascii="宋体" w:hAnsi="宋体" w:cs="宋体"/>
          <w:color w:val="000000" w:themeColor="text1"/>
          <w:szCs w:val="21"/>
          <w:highlight w:val="none"/>
          <w:u w:val="single"/>
          <w14:textFill>
            <w14:solidFill>
              <w14:schemeClr w14:val="tx1"/>
            </w14:solidFill>
          </w14:textFill>
        </w:rPr>
        <w:t>承包人隐蔽工程完成前，须经发包人和监理人针对各项隐蔽工程共同验收合格。承包人覆盖隐蔽工程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经检查证明工程质量不符合合同要求的，由此增加的费用和（或）延误的工期由承包人承担。</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188" w:name="_Toc351203638"/>
      <w:r>
        <w:rPr>
          <w:rFonts w:hint="eastAsia" w:ascii="宋体" w:hAnsi="宋体" w:eastAsia="宋体" w:cs="宋体"/>
          <w:color w:val="000000" w:themeColor="text1"/>
          <w:sz w:val="21"/>
          <w:szCs w:val="21"/>
          <w:highlight w:val="none"/>
          <w14:textFill>
            <w14:solidFill>
              <w14:schemeClr w14:val="tx1"/>
            </w14:solidFill>
          </w14:textFill>
        </w:rPr>
        <w:t>6. 安全文明施工与环境保护</w:t>
      </w:r>
      <w:bookmarkEnd w:id="188"/>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6.1安全文明施工</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6.1.1项目安全生产的达标目标及相应事项的约定：</w:t>
      </w:r>
      <w:r>
        <w:rPr>
          <w:rFonts w:hint="eastAsia" w:ascii="宋体" w:hAnsi="宋体" w:cs="宋体"/>
          <w:color w:val="000000" w:themeColor="text1"/>
          <w:szCs w:val="21"/>
          <w:highlight w:val="none"/>
          <w:u w:val="single"/>
          <w14:textFill>
            <w14:solidFill>
              <w14:schemeClr w14:val="tx1"/>
            </w14:solidFill>
          </w14:textFill>
        </w:rPr>
        <w:t>按照国家和工程所在地有关安全生产的要求，做好现场安全文明施工工作，发生安全事故造成损失的，因施工引起的各类安全事故的全部责任和费用由承包人承担相关责任，并赔偿发包人由此造成的所有损失</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6.1.2关于治安保卫的特别约定：</w:t>
      </w:r>
      <w:r>
        <w:rPr>
          <w:rFonts w:hint="eastAsia" w:ascii="宋体" w:hAnsi="宋体" w:cs="宋体"/>
          <w:color w:val="000000" w:themeColor="text1"/>
          <w:szCs w:val="21"/>
          <w:highlight w:val="none"/>
          <w:u w:val="single"/>
          <w14:textFill>
            <w14:solidFill>
              <w14:schemeClr w14:val="tx1"/>
            </w14:solidFill>
          </w14:textFill>
        </w:rPr>
        <w:t>按照相关部门及医院安全保卫部的要求，做好施工治安管理，杜绝不良治安事件发生，保证医院良好的医疗和办公秩序的进行</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关于编制施工场地治安管理计划的约定：</w:t>
      </w:r>
      <w:r>
        <w:rPr>
          <w:rFonts w:hint="eastAsia" w:ascii="宋体" w:hAnsi="宋体" w:cs="宋体"/>
          <w:color w:val="000000" w:themeColor="text1"/>
          <w:szCs w:val="21"/>
          <w:highlight w:val="none"/>
          <w:u w:val="single"/>
          <w14:textFill>
            <w14:solidFill>
              <w14:schemeClr w14:val="tx1"/>
            </w14:solidFill>
          </w14:textFill>
        </w:rPr>
        <w:t>工程开工后，承包人负责编制施工场地治安管理计划，并制定应对突发治安事件的紧急预案报监理人和发包人审核后严格落实。在工程施工过程中，发生暴乱、爆炸等恐怖事件，以及群殴、械斗等群体性突发治安事件的，承包人应立即告知发包人并向当地政府报告。发包人和承包人共同积极协助当地有关部门采取措施平息事态，防止事态扩大，尽量减少财产损失和避免人员伤亡。</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6.1.3文明施工</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合同当事人对文明施工的要求：</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1）施工过程中，承包人应做好围挡、栅栏、施工警示标牌、施工文明宣传标示等，对工程进行保护并为公众提供安全和方便。</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承包人临时堆放建筑材料、设备或者建筑垃圾需征得发包人同意认可，做好围挡及文明标识，并及时清理保持场地、道路清洁。承包人应维护和爱护施工现场周围环境，包括现场周围现有的设施、花草等均不得损害，保护好施工场地周围地下管线和邻近建筑物、构筑物，如造成破坏，则承包方应照价赔偿。</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3）承包人在签订合同之前充分了解施工现场及周围的环境情况，包括环境污染、周围居民及办公楼人员等，如发生扰民和民扰，承包人应妥善处理。</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4）遵守地方政府和有关部门对施工场地交通和施工噪音等管理规定，按规定办理有关手续，并以书面形式知会发包人、监理人，由此发生的费用由承包人承担。</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5）严格遵守有关环境保护法律法规，加强施工现场的环境管理，在施工过程中严格落实粉尘、废水等污染防治措施及生态保护、水土保持措施，由此发生的费用及罚款由承包人负责。</w:t>
      </w:r>
    </w:p>
    <w:p>
      <w:pPr>
        <w:snapToGrid w:val="0"/>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6）施工过程中，承包人应严格按《安全文明施工条例》和《长沙市建设工程现场文明施工管理办法及检查评定标准》执行，搞好文明施工，树立企业形象。施工照明按国家、省、市有关政策文件执行，需满足夜间施工照明的需要，发生费用由承包人承担。</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6.1.4关于安全文明施工费支付比例和支付期限的约定：</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bookmarkEnd w:id="180"/>
    <w:bookmarkEnd w:id="181"/>
    <w:bookmarkEnd w:id="182"/>
    <w:bookmarkEnd w:id="183"/>
    <w:bookmarkEnd w:id="184"/>
    <w:bookmarkEnd w:id="185"/>
    <w:bookmarkEnd w:id="186"/>
    <w:p>
      <w:pPr>
        <w:autoSpaceDE w:val="0"/>
        <w:autoSpaceDN w:val="0"/>
        <w:adjustRightInd w:val="0"/>
        <w:snapToGrid w:val="0"/>
        <w:spacing w:line="360" w:lineRule="auto"/>
        <w:jc w:val="left"/>
        <w:rPr>
          <w:rFonts w:ascii="宋体" w:hAnsi="宋体" w:cs="宋体"/>
          <w:b/>
          <w:bCs/>
          <w:color w:val="000000" w:themeColor="text1"/>
          <w:szCs w:val="21"/>
          <w:highlight w:val="none"/>
          <w14:textFill>
            <w14:solidFill>
              <w14:schemeClr w14:val="tx1"/>
            </w14:solidFill>
          </w14:textFill>
        </w:rPr>
      </w:pPr>
      <w:bookmarkStart w:id="189" w:name="_Toc351203639"/>
      <w:r>
        <w:rPr>
          <w:rFonts w:hint="eastAsia" w:ascii="宋体" w:hAnsi="宋体" w:cs="宋体"/>
          <w:b/>
          <w:bCs/>
          <w:color w:val="000000" w:themeColor="text1"/>
          <w:szCs w:val="21"/>
          <w:highlight w:val="none"/>
          <w14:textFill>
            <w14:solidFill>
              <w14:schemeClr w14:val="tx1"/>
            </w14:solidFill>
          </w14:textFill>
        </w:rPr>
        <w:t>7. 工期和进度</w:t>
      </w:r>
      <w:bookmarkEnd w:id="189"/>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 施工组织设计</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7.1.1 合</w:t>
      </w:r>
      <w:r>
        <w:rPr>
          <w:rFonts w:hint="eastAsia" w:ascii="宋体" w:hAnsi="宋体" w:cs="宋体"/>
          <w:color w:val="000000" w:themeColor="text1"/>
          <w:kern w:val="0"/>
          <w:szCs w:val="21"/>
          <w:highlight w:val="none"/>
          <w14:textFill>
            <w14:solidFill>
              <w14:schemeClr w14:val="tx1"/>
            </w14:solidFill>
          </w14:textFill>
        </w:rPr>
        <w:t>同当事人约定的施工组织设计应包括的其他内容：</w:t>
      </w:r>
      <w:r>
        <w:rPr>
          <w:rFonts w:hint="eastAsia" w:ascii="宋体" w:hAnsi="宋体" w:cs="宋体"/>
          <w:color w:val="000000" w:themeColor="text1"/>
          <w:szCs w:val="21"/>
          <w:highlight w:val="none"/>
          <w:u w:val="single"/>
          <w14:textFill>
            <w14:solidFill>
              <w14:schemeClr w14:val="tx1"/>
            </w14:solidFill>
          </w14:textFill>
        </w:rPr>
        <w:t>施工现场临时用电方案、安全技术措施、详细可靠的钢结构吊装方案，及发包人和监理人要求的其他内容</w:t>
      </w:r>
      <w:r>
        <w:rPr>
          <w:rFonts w:hint="eastAsia" w:ascii="宋体" w:hAnsi="宋体" w:cs="宋体"/>
          <w:color w:val="000000" w:themeColor="text1"/>
          <w:szCs w:val="21"/>
          <w:highlight w:val="none"/>
          <w14:textFill>
            <w14:solidFill>
              <w14:schemeClr w14:val="tx1"/>
            </w14:solidFill>
          </w14:textFill>
        </w:rPr>
        <w:t>。</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7.1.2</w:t>
      </w:r>
      <w:r>
        <w:rPr>
          <w:rFonts w:hint="eastAsia" w:ascii="宋体" w:hAnsi="宋体" w:cs="宋体"/>
          <w:color w:val="000000" w:themeColor="text1"/>
          <w:kern w:val="0"/>
          <w:szCs w:val="21"/>
          <w:highlight w:val="none"/>
          <w14:textFill>
            <w14:solidFill>
              <w14:schemeClr w14:val="tx1"/>
            </w14:solidFill>
          </w14:textFill>
        </w:rPr>
        <w:t>施工组织设计的提交和修改</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承包人提交详细施工组织设计的期限的约定：</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承包人应按本合同协议书约定的各工期节点编写详细施工组织设计和工程进度计划（网络计划），在不晚于本合同约定的开工日期前7天内提交监理人审核，施工组织设计和合同进度计划须经发包人书面批准后方可实施。合同进度计划应当内容全面详实，针对工程的全部或分项施工作业和特点提出施工方法、安排、顺序和时间表，并在各节点位置标注有相应的工程量及材料消耗量。</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（2）双方在确定本合同完工日期及各节点进度要求时，已充分考虑可能出现各种形式的雨雪、冰雹、台风、高温天气、停水、停电、节假日、扰民和民扰等不利因素。</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承包人必须按发包人和监理人批准的施工组织设计（或施工方案）和合同进度计划组织施工，接受发包人和监理人对进度的检查、监督。工程实际进度落后合同进度计划时，承包人应按发包人和监理人的要求提出整改措施，经发包人代表和总监理工程师批准后执行。</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工程实际进度落后进度计划有可能造成工程不能按期完工，而承包人没有在发包人和监理人要求的期限内采取措施赶上合同进度计划的，承包人自愿根据实际情况将承包人承包范围内的部分工程增加5%单价交给发包人，发包人负责指定分包给具有相应资质的施工单位完成，或者调整承包人承包范围直至解除本施工合同，将工程另行发包给具有相应资质的其他施工单位完成。</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Cs w:val="21"/>
          <w:highlight w:val="none"/>
          <w:u w:val="single"/>
          <w14:textFill>
            <w14:solidFill>
              <w14:schemeClr w14:val="tx1"/>
            </w14:solidFill>
          </w14:textFill>
        </w:rPr>
        <w:t>监理人应在收到承包人提交的施工组织设计和合同进度计划后7日内予以确认或提出修改意见，修改完善后包发包人审核认可，发包人应当在监理人确认后14日内确认或提出修改意见</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bookmarkStart w:id="190" w:name="_Toc303539123"/>
      <w:bookmarkStart w:id="191" w:name="_Toc312678005"/>
      <w:bookmarkStart w:id="192" w:name="_Toc297123514"/>
      <w:bookmarkStart w:id="193" w:name="_Toc297216173"/>
      <w:bookmarkStart w:id="194" w:name="_Toc300934966"/>
      <w:bookmarkStart w:id="195" w:name="_Toc312677479"/>
      <w:bookmarkStart w:id="196" w:name="_Toc304295541"/>
      <w:r>
        <w:rPr>
          <w:rFonts w:hint="eastAsia" w:ascii="宋体" w:hAnsi="宋体" w:cs="宋体"/>
          <w:color w:val="000000" w:themeColor="text1"/>
          <w:szCs w:val="21"/>
          <w:highlight w:val="none"/>
          <w14:textFill>
            <w14:solidFill>
              <w14:schemeClr w14:val="tx1"/>
            </w14:solidFill>
          </w14:textFill>
        </w:rPr>
        <w:t>.2 施工进度计划</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7.2.1 施工进度计划的修订</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Cs w:val="21"/>
          <w:highlight w:val="none"/>
          <w:u w:val="single"/>
          <w14:textFill>
            <w14:solidFill>
              <w14:schemeClr w14:val="tx1"/>
            </w14:solidFill>
          </w14:textFill>
        </w:rPr>
        <w:t>收到承包人修改后的合同进度计划后7天内予以确认或提出修改意见，修订合同进度计划并审批是为了进度管理和各方配合协调、发包人规划资金和后续经营等，不影响承包人对工期延误责任的承担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 开工</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7.3.1 开工准备</w:t>
      </w:r>
    </w:p>
    <w:p>
      <w:pPr>
        <w:snapToGrid w:val="0"/>
        <w:spacing w:line="360" w:lineRule="auto"/>
        <w:ind w:firstLine="645"/>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关于承包人提交</w:t>
      </w:r>
      <w:r>
        <w:rPr>
          <w:rFonts w:hint="eastAsia" w:ascii="宋体" w:hAnsi="宋体" w:cs="宋体"/>
          <w:color w:val="000000" w:themeColor="text1"/>
          <w:kern w:val="0"/>
          <w:szCs w:val="21"/>
          <w:highlight w:val="none"/>
          <w14:textFill>
            <w14:solidFill>
              <w14:schemeClr w14:val="tx1"/>
            </w14:solidFill>
          </w14:textFill>
        </w:rPr>
        <w:t>工程开工报审表的期限：</w:t>
      </w:r>
      <w:r>
        <w:rPr>
          <w:rFonts w:hint="eastAsia" w:ascii="宋体" w:hAnsi="宋体" w:cs="宋体"/>
          <w:color w:val="000000" w:themeColor="text1"/>
          <w:szCs w:val="21"/>
          <w:highlight w:val="none"/>
          <w:u w:val="single"/>
          <w14:textFill>
            <w14:solidFill>
              <w14:schemeClr w14:val="tx1"/>
            </w14:solidFill>
          </w14:textFill>
        </w:rPr>
        <w:t>在收到开工通知后7日或通用条款约定的日期（两者以早到者为准）内，承包人应当向发包人和监理工程师提交开工报审表，并经监理工程师审批后执行。开工报审表应详细说明按合同进度计划正常施工所需要的施工道路、临时设施、材料设备、施工人员、施工用水、施工用电等施工组织措施的落实情况及工程的进度安排</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64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关于发包人应完成的其他开工准备工作及期限：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发包人根据本合同所负责的开工前的准备工作，经承包人检查不符合要求的，发包人应负责进行整改或补充完成。但承包人不能据此拒绝接受现场，承包人仍应当在开工日期到来前与发包人完成现场移交工作，并按期完工</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关于承包人应完成的其他开工准备工作及期限：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为了保证在进场后能尽快实施工程，承包人应在本合同签署后尽可能早地做好与本工程有关的必要、适当的任何准备工作，这些准备工作应视为承包人为了完成合同而进行的工作的一部分，承包人自行承担费用</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对于承包人已经接收现场，而没有向发包人提交任何关于开工准备工作需要整改和完善的书面通知的，视为现场开工条件已经完全满足，其余开工准备工作由承包人自费完成，工期不予延顺。</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在收到发包人的开工通知后，承包人拒绝接收现场，或在接收现场后未能按合同要求开始工程施工的，视为承包人违约。在此情形下，合同工期不予延顺，耽误的工期由承包人自行通过赶工弥补，未能按期完成节点工期和总工期要求的，承包人应当按本合同约定承担违约责任。</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7.3.2开工通知</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Cs w:val="21"/>
          <w:highlight w:val="none"/>
          <w:u w:val="single"/>
          <w14:textFill>
            <w14:solidFill>
              <w14:schemeClr w14:val="tx1"/>
            </w14:solidFill>
          </w14:textFill>
        </w:rPr>
        <w:t>90</w:t>
      </w:r>
      <w:r>
        <w:rPr>
          <w:rFonts w:hint="eastAsia" w:ascii="宋体" w:hAnsi="宋体" w:cs="宋体"/>
          <w:color w:val="000000" w:themeColor="text1"/>
          <w:szCs w:val="21"/>
          <w:highlight w:val="none"/>
          <w14:textFill>
            <w14:solidFill>
              <w14:schemeClr w14:val="tx1"/>
            </w14:solidFill>
          </w14:textFill>
        </w:rPr>
        <w:t>天内发出开工通知的，承包人有权提出价格调整要求，或者解除合同。</w:t>
      </w:r>
    </w:p>
    <w:bookmarkEnd w:id="190"/>
    <w:bookmarkEnd w:id="191"/>
    <w:bookmarkEnd w:id="192"/>
    <w:bookmarkEnd w:id="193"/>
    <w:bookmarkEnd w:id="194"/>
    <w:bookmarkEnd w:id="195"/>
    <w:bookmarkEnd w:id="196"/>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 测量放线</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Cs w:val="21"/>
          <w:highlight w:val="none"/>
          <w:u w:val="single"/>
          <w14:textFill>
            <w14:solidFill>
              <w14:schemeClr w14:val="tx1"/>
            </w14:solidFill>
          </w14:textFill>
        </w:rPr>
        <w:t>开工前提供。本款提及的定位和放线是指工程的初始坐标定位、基准标高定位以及控制轴线的定位。此类定位和放线工作完成后，承包人应通知监理工程师要求发包人及时组织相关部门或机构进行复验并确认。如果此类复验发现承包人的定位或放线有误，承包人应立即予以矫正并承担矫正的费用</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bookmarkStart w:id="197" w:name="_Toc312678010"/>
      <w:bookmarkStart w:id="198" w:name="_Toc304295546"/>
      <w:bookmarkStart w:id="199" w:name="_Toc300934968"/>
      <w:bookmarkStart w:id="200" w:name="_Toc297123516"/>
      <w:bookmarkStart w:id="201" w:name="_Toc303539125"/>
      <w:bookmarkStart w:id="202" w:name="_Toc297216175"/>
      <w:bookmarkStart w:id="203" w:name="_Toc312677484"/>
      <w:r>
        <w:rPr>
          <w:rFonts w:hint="eastAsia" w:ascii="宋体" w:hAnsi="宋体" w:cs="宋体"/>
          <w:color w:val="000000" w:themeColor="text1"/>
          <w:szCs w:val="21"/>
          <w:highlight w:val="none"/>
          <w14:textFill>
            <w14:solidFill>
              <w14:schemeClr w14:val="tx1"/>
            </w14:solidFill>
          </w14:textFill>
        </w:rPr>
        <w:t>.5 工期延误</w:t>
      </w:r>
    </w:p>
    <w:bookmarkEnd w:id="197"/>
    <w:bookmarkEnd w:id="198"/>
    <w:bookmarkEnd w:id="199"/>
    <w:bookmarkEnd w:id="200"/>
    <w:bookmarkEnd w:id="201"/>
    <w:bookmarkEnd w:id="202"/>
    <w:bookmarkEnd w:id="203"/>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7.5.1 因发包人原因导致工期延误</w:t>
      </w:r>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（1）发包人和承包人同意以下情形视为可延期条件：</w:t>
      </w:r>
      <w:r>
        <w:rPr>
          <w:rFonts w:hint="eastAsia" w:ascii="宋体" w:hAnsi="宋体" w:cs="宋体"/>
          <w:color w:val="000000" w:themeColor="text1"/>
          <w:szCs w:val="21"/>
          <w:highlight w:val="none"/>
          <w:u w:val="single"/>
          <w14:textFill>
            <w14:solidFill>
              <w14:schemeClr w14:val="tx1"/>
            </w14:solidFill>
          </w14:textFill>
        </w:rPr>
        <w:t>因战争，动乱，空中飞行物坠落；非三方责任造成的爆炸、火灾、四级（含四级）以上地震等造成工程停工，经合同三方确认后，可顺延工期。</w:t>
      </w:r>
    </w:p>
    <w:p>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（2）因发包人原因导致工期延误的其他情形：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bookmarkStart w:id="204" w:name="_Toc312677486"/>
      <w:bookmarkStart w:id="205" w:name="_Toc312678012"/>
      <w:bookmarkStart w:id="206" w:name="_Toc318581169"/>
      <w:bookmarkStart w:id="207" w:name="_Toc303539127"/>
      <w:bookmarkStart w:id="208" w:name="_Toc300934970"/>
      <w:bookmarkStart w:id="209" w:name="_Toc297216177"/>
      <w:bookmarkStart w:id="210" w:name="_Toc297123518"/>
      <w:bookmarkStart w:id="211" w:name="_Toc304295548"/>
      <w:r>
        <w:rPr>
          <w:rFonts w:hint="eastAsia" w:ascii="宋体" w:hAnsi="宋体" w:cs="宋体"/>
          <w:color w:val="000000" w:themeColor="text1"/>
          <w:szCs w:val="21"/>
          <w:highlight w:val="none"/>
          <w14:textFill>
            <w14:solidFill>
              <w14:schemeClr w14:val="tx1"/>
            </w14:solidFill>
          </w14:textFill>
        </w:rPr>
        <w:t>.5.2 因承包人原因导致工期延误</w:t>
      </w:r>
    </w:p>
    <w:bookmarkEnd w:id="204"/>
    <w:bookmarkEnd w:id="205"/>
    <w:bookmarkEnd w:id="206"/>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w:t>
      </w:r>
      <w:bookmarkStart w:id="212" w:name="_Toc312677487"/>
      <w:bookmarkStart w:id="213" w:name="_Toc312678013"/>
      <w:bookmarkStart w:id="214" w:name="_Toc318581170"/>
      <w:r>
        <w:rPr>
          <w:rFonts w:hint="eastAsia" w:ascii="宋体" w:hAnsi="宋体" w:cs="宋体"/>
          <w:color w:val="000000" w:themeColor="text1"/>
          <w:szCs w:val="21"/>
          <w:highlight w:val="none"/>
          <w14:textFill>
            <w14:solidFill>
              <w14:schemeClr w14:val="tx1"/>
            </w14:solidFill>
          </w14:textFill>
        </w:rPr>
        <w:t>承包人原因造成工期延误，逾期竣工违约金的计算方法为：</w:t>
      </w:r>
    </w:p>
    <w:p>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由于承包人违约造成工期延误时，承包人应支付逾期竣工违约金的计算方法：每延期1天，承包人支付工程合同总价1‰的违约金（此款在工程竣工结算时扣除）。</w:t>
      </w:r>
      <w:r>
        <w:rPr>
          <w:rFonts w:hint="eastAsia" w:ascii="宋体" w:hAnsi="宋体" w:cs="宋体"/>
          <w:color w:val="000000" w:themeColor="text1"/>
          <w:kern w:val="0"/>
          <w:szCs w:val="21"/>
          <w:highlight w:val="none"/>
          <w:u w:val="single"/>
          <w14:textFill>
            <w14:solidFill>
              <w14:schemeClr w14:val="tx1"/>
            </w14:solidFill>
          </w14:textFill>
        </w:rPr>
        <w:t>承包人支付逾期竣工违约金后，不免除承包人继续完成工程及修补缺陷的义务。</w:t>
      </w:r>
      <w:bookmarkEnd w:id="207"/>
      <w:bookmarkEnd w:id="208"/>
      <w:bookmarkEnd w:id="209"/>
      <w:bookmarkEnd w:id="210"/>
      <w:bookmarkEnd w:id="211"/>
      <w:bookmarkEnd w:id="212"/>
      <w:bookmarkEnd w:id="213"/>
    </w:p>
    <w:bookmarkEnd w:id="214"/>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因承包人原因造成工期延误，逾</w:t>
      </w:r>
      <w:bookmarkStart w:id="215" w:name="_Toc312678014"/>
      <w:bookmarkStart w:id="216" w:name="_Toc318581171"/>
      <w:r>
        <w:rPr>
          <w:rFonts w:hint="eastAsia" w:ascii="宋体" w:hAnsi="宋体" w:cs="宋体"/>
          <w:color w:val="000000" w:themeColor="text1"/>
          <w:szCs w:val="21"/>
          <w:highlight w:val="none"/>
          <w14:textFill>
            <w14:solidFill>
              <w14:schemeClr w14:val="tx1"/>
            </w14:solidFill>
          </w14:textFill>
        </w:rPr>
        <w:t>期竣工违约金的上限：</w:t>
      </w:r>
      <w:r>
        <w:rPr>
          <w:rFonts w:hint="eastAsia" w:ascii="宋体" w:hAnsi="宋体" w:cs="宋体"/>
          <w:color w:val="000000" w:themeColor="text1"/>
          <w:szCs w:val="21"/>
          <w:highlight w:val="none"/>
          <w:u w:val="single"/>
          <w14:textFill>
            <w14:solidFill>
              <w14:schemeClr w14:val="tx1"/>
            </w14:solidFill>
          </w14:textFill>
        </w:rPr>
        <w:t>不设上限</w:t>
      </w:r>
      <w:r>
        <w:rPr>
          <w:rFonts w:hint="eastAsia" w:ascii="宋体" w:hAnsi="宋体" w:cs="宋体"/>
          <w:color w:val="000000" w:themeColor="text1"/>
          <w:szCs w:val="21"/>
          <w:highlight w:val="none"/>
          <w14:textFill>
            <w14:solidFill>
              <w14:schemeClr w14:val="tx1"/>
            </w14:solidFill>
          </w14:textFill>
        </w:rPr>
        <w:t>。</w:t>
      </w:r>
    </w:p>
    <w:bookmarkEnd w:id="215"/>
    <w:bookmarkEnd w:id="216"/>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bookmarkStart w:id="217" w:name="_Toc303539128"/>
      <w:bookmarkStart w:id="218" w:name="_Toc297216178"/>
      <w:bookmarkStart w:id="219" w:name="_Toc304295549"/>
      <w:bookmarkStart w:id="220" w:name="_Toc300934971"/>
      <w:bookmarkStart w:id="221" w:name="_Toc297123519"/>
      <w:bookmarkStart w:id="222" w:name="_Toc312678015"/>
      <w:r>
        <w:rPr>
          <w:rFonts w:hint="eastAsia" w:ascii="宋体" w:hAnsi="宋体" w:cs="宋体"/>
          <w:color w:val="000000" w:themeColor="text1"/>
          <w:szCs w:val="21"/>
          <w:highlight w:val="none"/>
          <w14:textFill>
            <w14:solidFill>
              <w14:schemeClr w14:val="tx1"/>
            </w14:solidFill>
          </w14:textFill>
        </w:rPr>
        <w:t>.6 不</w:t>
      </w:r>
      <w:bookmarkEnd w:id="217"/>
      <w:bookmarkEnd w:id="218"/>
      <w:bookmarkEnd w:id="219"/>
      <w:bookmarkEnd w:id="220"/>
      <w:bookmarkEnd w:id="221"/>
      <w:bookmarkEnd w:id="222"/>
      <w:r>
        <w:rPr>
          <w:rFonts w:hint="eastAsia" w:ascii="宋体" w:hAnsi="宋体" w:cs="宋体"/>
          <w:color w:val="000000" w:themeColor="text1"/>
          <w:szCs w:val="21"/>
          <w:highlight w:val="none"/>
          <w14:textFill>
            <w14:solidFill>
              <w14:schemeClr w14:val="tx1"/>
            </w14:solidFill>
          </w14:textFill>
        </w:rPr>
        <w:t>利物质条件</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bookmarkStart w:id="223" w:name="_Toc297216179"/>
      <w:bookmarkStart w:id="224" w:name="_Toc297123520"/>
      <w:bookmarkStart w:id="225" w:name="_Toc303539129"/>
      <w:bookmarkStart w:id="226" w:name="_Toc312678016"/>
      <w:bookmarkStart w:id="227" w:name="_Toc304295550"/>
      <w:bookmarkStart w:id="228" w:name="_Toc300934972"/>
      <w:bookmarkStart w:id="229" w:name="_Toc318581172"/>
      <w:r>
        <w:rPr>
          <w:rFonts w:hint="eastAsia" w:ascii="宋体" w:hAnsi="宋体" w:cs="宋体"/>
          <w:color w:val="000000" w:themeColor="text1"/>
          <w:szCs w:val="21"/>
          <w:highlight w:val="none"/>
          <w14:textFill>
            <w14:solidFill>
              <w14:schemeClr w14:val="tx1"/>
            </w14:solidFill>
          </w14:textFill>
        </w:rPr>
        <w:t>不利物质条件的其他情形和有关约定：</w:t>
      </w:r>
      <w:r>
        <w:rPr>
          <w:rFonts w:hint="eastAsia" w:ascii="宋体" w:hAnsi="宋体" w:cs="宋体"/>
          <w:color w:val="000000" w:themeColor="text1"/>
          <w:szCs w:val="21"/>
          <w:highlight w:val="none"/>
          <w:u w:val="single"/>
          <w14:textFill>
            <w14:solidFill>
              <w14:schemeClr w14:val="tx1"/>
            </w14:solidFill>
          </w14:textFill>
        </w:rPr>
        <w:t>承包人应充分勘察现场，施工过程中遇到不利物质条件时，应及时通知监理人和发包人，并按监理人和发包人确定的指示，采取相应措施。承包人未按监理人和发包人确定的指示执行，和（或）采取不合理的措施而增加的费用和（或）工期延误的责任由承包人自行承担</w:t>
      </w:r>
      <w:r>
        <w:rPr>
          <w:rFonts w:hint="eastAsia" w:ascii="宋体" w:hAnsi="宋体" w:cs="宋体"/>
          <w:color w:val="000000" w:themeColor="text1"/>
          <w:szCs w:val="21"/>
          <w:highlight w:val="none"/>
          <w14:textFill>
            <w14:solidFill>
              <w14:schemeClr w14:val="tx1"/>
            </w14:solidFill>
          </w14:textFill>
        </w:rPr>
        <w:t>。</w:t>
      </w:r>
    </w:p>
    <w:bookmarkEnd w:id="223"/>
    <w:bookmarkEnd w:id="224"/>
    <w:bookmarkEnd w:id="225"/>
    <w:bookmarkEnd w:id="226"/>
    <w:bookmarkEnd w:id="227"/>
    <w:bookmarkEnd w:id="228"/>
    <w:bookmarkEnd w:id="229"/>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bookmarkStart w:id="230" w:name="_Toc303539130"/>
      <w:bookmarkStart w:id="231" w:name="_Toc300934973"/>
      <w:bookmarkStart w:id="232" w:name="_Toc297216180"/>
      <w:bookmarkStart w:id="233" w:name="_Toc304295551"/>
      <w:bookmarkStart w:id="234" w:name="_Toc297123521"/>
      <w:bookmarkStart w:id="235" w:name="_Toc312678017"/>
      <w:r>
        <w:rPr>
          <w:rFonts w:hint="eastAsia" w:ascii="宋体" w:hAnsi="宋体" w:cs="宋体"/>
          <w:color w:val="000000" w:themeColor="text1"/>
          <w:szCs w:val="21"/>
          <w:highlight w:val="none"/>
          <w14:textFill>
            <w14:solidFill>
              <w14:schemeClr w14:val="tx1"/>
            </w14:solidFill>
          </w14:textFill>
        </w:rPr>
        <w:t>.7异常恶劣的气候条件</w:t>
      </w:r>
    </w:p>
    <w:bookmarkEnd w:id="230"/>
    <w:bookmarkEnd w:id="231"/>
    <w:bookmarkEnd w:id="232"/>
    <w:bookmarkEnd w:id="233"/>
    <w:bookmarkEnd w:id="234"/>
    <w:bookmarkEnd w:id="235"/>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发包人和承包人同意以下情形视为异常恶劣的气候条件：</w:t>
      </w:r>
      <w:r>
        <w:rPr>
          <w:rFonts w:hint="eastAsia" w:ascii="宋体" w:hAnsi="宋体" w:cs="宋体"/>
          <w:color w:val="000000" w:themeColor="text1"/>
          <w:szCs w:val="21"/>
          <w:highlight w:val="none"/>
          <w:u w:val="single"/>
          <w14:textFill>
            <w14:solidFill>
              <w14:schemeClr w14:val="tx1"/>
            </w14:solidFill>
          </w14:textFill>
        </w:rPr>
        <w:t>不可抗力自然灾害，按政府相关部门发布的通知或文件为准</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7.8 提前竣工的奖励：</w:t>
      </w:r>
      <w:r>
        <w:rPr>
          <w:rFonts w:hint="eastAsia" w:ascii="宋体" w:hAnsi="宋体" w:cs="宋体"/>
          <w:color w:val="000000" w:themeColor="text1"/>
          <w:szCs w:val="21"/>
          <w:highlight w:val="none"/>
          <w:u w:val="single"/>
          <w14:textFill>
            <w14:solidFill>
              <w14:schemeClr w14:val="tx1"/>
            </w14:solidFill>
          </w14:textFill>
        </w:rPr>
        <w:t>发包人鼓励承包人在保证施工质量的前提下提前竣工，但不为此给予任何经济奖励</w:t>
      </w:r>
      <w:r>
        <w:rPr>
          <w:rFonts w:hint="eastAsia" w:ascii="宋体" w:hAnsi="宋体" w:cs="宋体"/>
          <w:color w:val="000000" w:themeColor="text1"/>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236" w:name="_Toc351203640"/>
      <w:r>
        <w:rPr>
          <w:rFonts w:hint="eastAsia" w:ascii="宋体" w:hAnsi="宋体" w:eastAsia="宋体" w:cs="宋体"/>
          <w:color w:val="000000" w:themeColor="text1"/>
          <w:sz w:val="21"/>
          <w:szCs w:val="21"/>
          <w:highlight w:val="none"/>
          <w14:textFill>
            <w14:solidFill>
              <w14:schemeClr w14:val="tx1"/>
            </w14:solidFill>
          </w14:textFill>
        </w:rPr>
        <w:t>8. 材料与设备</w:t>
      </w:r>
      <w:bookmarkEnd w:id="236"/>
    </w:p>
    <w:bookmarkEnd w:id="169"/>
    <w:bookmarkEnd w:id="170"/>
    <w:bookmarkEnd w:id="171"/>
    <w:bookmarkEnd w:id="172"/>
    <w:bookmarkEnd w:id="173"/>
    <w:bookmarkEnd w:id="174"/>
    <w:bookmarkEnd w:id="175"/>
    <w:bookmarkEnd w:id="176"/>
    <w:bookmarkEnd w:id="177"/>
    <w:bookmarkEnd w:id="178"/>
    <w:p>
      <w:pPr>
        <w:spacing w:line="360" w:lineRule="auto"/>
        <w:ind w:firstLine="420"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8.1</w:t>
      </w:r>
      <w:r>
        <w:rPr>
          <w:rFonts w:hint="eastAsia" w:ascii="宋体" w:hAnsi="宋体" w:cs="宋体"/>
          <w:b/>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承包人采购材料与工程设备</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1）承包人应按设计和有关标准要求采购工程所需材料、设备，并提供产品合格证明、检验报告等，对材料、设备质量负责。</w:t>
      </w:r>
    </w:p>
    <w:p>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承包人采购的材料、设备、构配件等在进场时要先向发包人和监理工程师填报《材料、设备、构配件进场报验单》，经发包人和监理工程师验收合格书面签证认可后方能使用，不合格的不得使用。已进场的不合格材料应清退出场，由此造成的损失由承包人自行负责。</w:t>
      </w:r>
    </w:p>
    <w:p>
      <w:pPr>
        <w:spacing w:line="360" w:lineRule="auto"/>
        <w:ind w:firstLine="630" w:firstLineChars="3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（3）承包人采购、使用的材料设备不符合设计或标准要求时，承包人应负责修复、拆除或重新采购，承担发生的费用，由此延误的工期不予顺延。</w:t>
      </w:r>
    </w:p>
    <w:p>
      <w:pPr>
        <w:spacing w:line="360" w:lineRule="auto"/>
        <w:ind w:firstLine="630" w:firstLineChars="3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（4）发包人和监理工程师对材料、设备质量的认可并不意味着承包人对其所采购材料、设备质量的责任免除。</w:t>
      </w:r>
    </w:p>
    <w:p>
      <w:pPr>
        <w:spacing w:line="360" w:lineRule="auto"/>
        <w:ind w:firstLine="630" w:firstLineChars="3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（5）承包人将由其提供的材料和工程设备的供货人及品种、规格、数量和供货时间等报送监理人审批的期限：</w:t>
      </w:r>
      <w:r>
        <w:rPr>
          <w:rFonts w:hint="eastAsia" w:ascii="宋体" w:hAnsi="宋体" w:cs="宋体"/>
          <w:color w:val="000000" w:themeColor="text1"/>
          <w:szCs w:val="21"/>
          <w:highlight w:val="none"/>
          <w:u w:val="single"/>
          <w14:textFill>
            <w14:solidFill>
              <w14:schemeClr w14:val="tx1"/>
            </w14:solidFill>
          </w14:textFill>
        </w:rPr>
        <w:t xml:space="preserve"> 开工后7天内提供整个产品型录。</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bookmarkStart w:id="237" w:name="_Toc312677493"/>
      <w:bookmarkStart w:id="238" w:name="_Toc304295556"/>
      <w:bookmarkStart w:id="239" w:name="_Toc300934979"/>
      <w:bookmarkStart w:id="240" w:name="_Toc296891207"/>
      <w:bookmarkStart w:id="241" w:name="_Toc296503167"/>
      <w:bookmarkStart w:id="242" w:name="_Toc297123527"/>
      <w:bookmarkStart w:id="243" w:name="_Toc296890995"/>
      <w:bookmarkStart w:id="244" w:name="_Toc296347166"/>
      <w:bookmarkStart w:id="245" w:name="_Toc280868654"/>
      <w:bookmarkStart w:id="246" w:name="_Toc292559372"/>
      <w:bookmarkStart w:id="247" w:name="_Toc296944506"/>
      <w:bookmarkStart w:id="248" w:name="_Toc297120467"/>
      <w:bookmarkStart w:id="249" w:name="_Toc297216186"/>
      <w:bookmarkStart w:id="250" w:name="_Toc303539136"/>
      <w:bookmarkStart w:id="251" w:name="_Toc297048353"/>
      <w:bookmarkStart w:id="252" w:name="_Toc312678019"/>
      <w:bookmarkStart w:id="253" w:name="_Toc296346668"/>
      <w:bookmarkStart w:id="254" w:name="_Toc292559877"/>
      <w:bookmarkStart w:id="255" w:name="_Toc280868656"/>
      <w:bookmarkStart w:id="256" w:name="_Toc267251424"/>
      <w:bookmarkStart w:id="257" w:name="_Toc280868655"/>
      <w:r>
        <w:rPr>
          <w:rFonts w:hint="eastAsia" w:ascii="宋体" w:hAnsi="宋体" w:cs="宋体"/>
          <w:color w:val="000000" w:themeColor="text1"/>
          <w:szCs w:val="21"/>
          <w:highlight w:val="none"/>
          <w14:textFill>
            <w14:solidFill>
              <w14:schemeClr w14:val="tx1"/>
            </w14:solidFill>
          </w14:textFill>
        </w:rPr>
        <w:t>.2材料与工程设备的保管与使用</w:t>
      </w:r>
    </w:p>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bookmarkStart w:id="258" w:name="_Toc292559878"/>
      <w:bookmarkStart w:id="259" w:name="_Toc292559373"/>
      <w:bookmarkStart w:id="260" w:name="_Toc297048354"/>
      <w:bookmarkStart w:id="261" w:name="_Toc304295557"/>
      <w:bookmarkStart w:id="262" w:name="_Toc312677494"/>
      <w:bookmarkStart w:id="263" w:name="_Toc297216187"/>
      <w:bookmarkStart w:id="264" w:name="_Toc296890996"/>
      <w:bookmarkStart w:id="265" w:name="_Toc318581173"/>
      <w:bookmarkStart w:id="266" w:name="_Toc296347167"/>
      <w:bookmarkStart w:id="267" w:name="_Toc297123528"/>
      <w:bookmarkStart w:id="268" w:name="_Toc312678020"/>
      <w:bookmarkStart w:id="269" w:name="_Toc300934980"/>
      <w:bookmarkStart w:id="270" w:name="_Toc297120468"/>
      <w:bookmarkStart w:id="271" w:name="_Toc296944507"/>
      <w:bookmarkStart w:id="272" w:name="_Toc296891208"/>
      <w:bookmarkStart w:id="273" w:name="_Toc296346669"/>
      <w:bookmarkStart w:id="274" w:name="_Toc303539137"/>
      <w:bookmarkStart w:id="275" w:name="_Toc296503168"/>
      <w:r>
        <w:rPr>
          <w:rFonts w:hint="eastAsia" w:ascii="宋体" w:hAnsi="宋体" w:cs="宋体"/>
          <w:color w:val="000000" w:themeColor="text1"/>
          <w:szCs w:val="21"/>
          <w:highlight w:val="none"/>
          <w14:textFill>
            <w14:solidFill>
              <w14:schemeClr w14:val="tx1"/>
            </w14:solidFill>
          </w14:textFill>
        </w:rPr>
        <w:t>.2.1发包人供应的材料设备的保管费用的承担：</w:t>
      </w:r>
      <w:r>
        <w:rPr>
          <w:rFonts w:hint="eastAsia" w:ascii="宋体" w:hAnsi="宋体" w:cs="宋体"/>
          <w:color w:val="000000" w:themeColor="text1"/>
          <w:szCs w:val="21"/>
          <w:highlight w:val="none"/>
          <w:u w:val="single"/>
          <w14:textFill>
            <w14:solidFill>
              <w14:schemeClr w14:val="tx1"/>
            </w14:solidFill>
          </w14:textFill>
        </w:rPr>
        <w:t>承包人应妥善保管，发包人不另行支付保管费</w:t>
      </w:r>
      <w:r>
        <w:rPr>
          <w:rFonts w:hint="eastAsia" w:ascii="宋体" w:hAnsi="宋体" w:cs="宋体"/>
          <w:color w:val="000000" w:themeColor="text1"/>
          <w:szCs w:val="21"/>
          <w:highlight w:val="none"/>
          <w14:textFill>
            <w14:solidFill>
              <w14:schemeClr w14:val="tx1"/>
            </w14:solidFill>
          </w14:textFill>
        </w:rPr>
        <w:t>。</w:t>
      </w:r>
      <w:bookmarkEnd w:id="258"/>
      <w:bookmarkEnd w:id="259"/>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276" w:name="_Toc26126"/>
      <w:r>
        <w:rPr>
          <w:rFonts w:hint="eastAsia" w:ascii="宋体" w:hAnsi="宋体" w:cs="宋体"/>
          <w:color w:val="000000" w:themeColor="text1"/>
          <w:szCs w:val="21"/>
          <w:highlight w:val="none"/>
          <w14:textFill>
            <w14:solidFill>
              <w14:schemeClr w14:val="tx1"/>
            </w14:solidFill>
          </w14:textFill>
        </w:rPr>
        <w:t>8.3 样品</w:t>
      </w:r>
      <w:bookmarkEnd w:id="276"/>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8.3.1</w:t>
      </w:r>
      <w:r>
        <w:rPr>
          <w:rFonts w:hint="eastAsia" w:ascii="宋体" w:hAnsi="宋体" w:cs="宋体"/>
          <w:color w:val="000000" w:themeColor="text1"/>
          <w:kern w:val="0"/>
          <w:szCs w:val="21"/>
          <w:highlight w:val="none"/>
          <w14:textFill>
            <w14:solidFill>
              <w14:schemeClr w14:val="tx1"/>
            </w14:solidFill>
          </w14:textFill>
        </w:rPr>
        <w:tab/>
      </w:r>
      <w:r>
        <w:rPr>
          <w:rFonts w:hint="eastAsia" w:ascii="宋体" w:hAnsi="宋体" w:cs="宋体"/>
          <w:color w:val="000000" w:themeColor="text1"/>
          <w:kern w:val="0"/>
          <w:szCs w:val="21"/>
          <w:highlight w:val="none"/>
          <w14:textFill>
            <w14:solidFill>
              <w14:schemeClr w14:val="tx1"/>
            </w14:solidFill>
          </w14:textFill>
        </w:rPr>
        <w:t>样品的报送与封存</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Cs w:val="21"/>
          <w:highlight w:val="none"/>
          <w:u w:val="single"/>
          <w14:textFill>
            <w14:solidFill>
              <w14:schemeClr w14:val="tx1"/>
            </w14:solidFill>
          </w14:textFill>
        </w:rPr>
        <w:t>本项目招标范围内的主要材料和设备均需提供样品报监理人和发包人认可后方可用于工程施工，其规格和数量应满足发包人确认样品的需要</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277" w:name="_Toc19788"/>
      <w:r>
        <w:rPr>
          <w:rFonts w:hint="eastAsia" w:ascii="宋体" w:hAnsi="宋体" w:cs="宋体"/>
          <w:color w:val="000000" w:themeColor="text1"/>
          <w:szCs w:val="21"/>
          <w:highlight w:val="none"/>
          <w14:textFill>
            <w14:solidFill>
              <w14:schemeClr w14:val="tx1"/>
            </w14:solidFill>
          </w14:textFill>
        </w:rPr>
        <w:t>8.4 施工设备和临时设施</w:t>
      </w:r>
      <w:bookmarkEnd w:id="277"/>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8.4.1 承包人提供的施工设备和临时设施</w:t>
      </w:r>
    </w:p>
    <w:p>
      <w:pPr>
        <w:autoSpaceDE w:val="0"/>
        <w:autoSpaceDN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关于修建临时设施费用承担的约定：</w:t>
      </w:r>
      <w:r>
        <w:rPr>
          <w:rFonts w:hint="eastAsia" w:ascii="宋体" w:hAnsi="宋体" w:cs="宋体"/>
          <w:color w:val="000000" w:themeColor="text1"/>
          <w:szCs w:val="21"/>
          <w:highlight w:val="none"/>
          <w:u w:val="single"/>
          <w14:textFill>
            <w14:solidFill>
              <w14:schemeClr w14:val="tx1"/>
            </w14:solidFill>
          </w14:textFill>
        </w:rPr>
        <w:t>由承包人自行建设并承担全部费用。需要临时占地的，报发包人同意后并办理相关手续，费用由承包人承担</w:t>
      </w:r>
      <w:r>
        <w:rPr>
          <w:rFonts w:hint="eastAsia" w:ascii="宋体" w:hAnsi="宋体" w:cs="宋体"/>
          <w:color w:val="000000" w:themeColor="text1"/>
          <w:szCs w:val="21"/>
          <w:highlight w:val="none"/>
          <w14:textFill>
            <w14:solidFill>
              <w14:schemeClr w14:val="tx1"/>
            </w14:solidFill>
          </w14:textFill>
        </w:rPr>
        <w:t>。</w:t>
      </w:r>
    </w:p>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278" w:name="_Toc351203641"/>
      <w:r>
        <w:rPr>
          <w:rFonts w:hint="eastAsia" w:ascii="宋体" w:hAnsi="宋体" w:eastAsia="宋体" w:cs="宋体"/>
          <w:color w:val="000000" w:themeColor="text1"/>
          <w:sz w:val="21"/>
          <w:szCs w:val="21"/>
          <w:highlight w:val="none"/>
          <w14:textFill>
            <w14:solidFill>
              <w14:schemeClr w14:val="tx1"/>
            </w14:solidFill>
          </w14:textFill>
        </w:rPr>
        <w:t>9</w:t>
      </w:r>
      <w:bookmarkEnd w:id="255"/>
      <w:bookmarkEnd w:id="256"/>
      <w:bookmarkEnd w:id="257"/>
      <w:bookmarkStart w:id="279" w:name="_Toc312678021"/>
      <w:bookmarkStart w:id="280" w:name="_Toc303539139"/>
      <w:bookmarkStart w:id="281" w:name="_Toc304295559"/>
      <w:bookmarkStart w:id="282" w:name="_Toc312677495"/>
      <w:bookmarkStart w:id="283" w:name="_Toc297216192"/>
      <w:bookmarkStart w:id="284" w:name="_Toc300934982"/>
      <w:bookmarkStart w:id="285" w:name="_Toc297123533"/>
      <w:bookmarkStart w:id="286" w:name="_Toc296891001"/>
      <w:bookmarkStart w:id="287" w:name="_Toc296347172"/>
      <w:bookmarkStart w:id="288" w:name="_Toc296891213"/>
      <w:bookmarkStart w:id="289" w:name="_Toc296944512"/>
      <w:bookmarkStart w:id="290" w:name="_Toc267251427"/>
      <w:bookmarkStart w:id="291" w:name="_Toc297120473"/>
      <w:bookmarkStart w:id="292" w:name="_Toc297048359"/>
      <w:bookmarkStart w:id="293" w:name="_Toc296346674"/>
      <w:bookmarkStart w:id="294" w:name="_Toc292559378"/>
      <w:bookmarkStart w:id="295" w:name="_Toc296503173"/>
      <w:bookmarkStart w:id="296" w:name="_Toc267251428"/>
      <w:bookmarkStart w:id="297" w:name="_Toc292559883"/>
      <w:r>
        <w:rPr>
          <w:rFonts w:hint="eastAsia" w:ascii="宋体" w:hAnsi="宋体" w:eastAsia="宋体" w:cs="宋体"/>
          <w:color w:val="000000" w:themeColor="text1"/>
          <w:sz w:val="21"/>
          <w:szCs w:val="21"/>
          <w:highlight w:val="none"/>
          <w14:textFill>
            <w14:solidFill>
              <w14:schemeClr w14:val="tx1"/>
            </w14:solidFill>
          </w14:textFill>
        </w:rPr>
        <w:t>. 试验与检验</w:t>
      </w:r>
      <w:bookmarkEnd w:id="278"/>
    </w:p>
    <w:bookmarkEnd w:id="279"/>
    <w:bookmarkEnd w:id="280"/>
    <w:bookmarkEnd w:id="281"/>
    <w:bookmarkEnd w:id="282"/>
    <w:bookmarkEnd w:id="283"/>
    <w:bookmarkEnd w:id="284"/>
    <w:bookmarkEnd w:id="285"/>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bookmarkStart w:id="298" w:name="_Toc304295560"/>
      <w:bookmarkStart w:id="299" w:name="_Toc297123534"/>
      <w:bookmarkStart w:id="300" w:name="_Toc303539140"/>
      <w:bookmarkStart w:id="301" w:name="_Toc312677496"/>
      <w:bookmarkStart w:id="302" w:name="_Toc300934983"/>
      <w:bookmarkStart w:id="303" w:name="_Toc297216193"/>
      <w:bookmarkStart w:id="304" w:name="_Toc312678022"/>
      <w:r>
        <w:rPr>
          <w:rFonts w:hint="eastAsia" w:ascii="宋体" w:hAnsi="宋体" w:cs="宋体"/>
          <w:color w:val="000000" w:themeColor="text1"/>
          <w:szCs w:val="21"/>
          <w:highlight w:val="none"/>
          <w14:textFill>
            <w14:solidFill>
              <w14:schemeClr w14:val="tx1"/>
            </w14:solidFill>
          </w14:textFill>
        </w:rPr>
        <w:t>.1试验设备与试验人员</w:t>
      </w:r>
    </w:p>
    <w:bookmarkEnd w:id="298"/>
    <w:bookmarkEnd w:id="299"/>
    <w:bookmarkEnd w:id="300"/>
    <w:bookmarkEnd w:id="301"/>
    <w:bookmarkEnd w:id="302"/>
    <w:bookmarkEnd w:id="303"/>
    <w:bookmarkEnd w:id="304"/>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bookmarkStart w:id="305" w:name="_Toc297123535"/>
      <w:bookmarkStart w:id="306" w:name="_Toc304295561"/>
      <w:bookmarkStart w:id="307" w:name="_Toc297216194"/>
      <w:bookmarkStart w:id="308" w:name="_Toc303539141"/>
      <w:bookmarkStart w:id="309" w:name="_Toc312677497"/>
      <w:bookmarkStart w:id="310" w:name="_Toc300934984"/>
      <w:bookmarkStart w:id="311" w:name="_Toc312678023"/>
      <w:bookmarkStart w:id="312" w:name="_Toc318581174"/>
      <w:r>
        <w:rPr>
          <w:rFonts w:hint="eastAsia" w:ascii="宋体" w:hAnsi="宋体" w:cs="宋体"/>
          <w:color w:val="000000" w:themeColor="text1"/>
          <w:szCs w:val="21"/>
          <w:highlight w:val="none"/>
          <w14:textFill>
            <w14:solidFill>
              <w14:schemeClr w14:val="tx1"/>
            </w14:solidFill>
          </w14:textFill>
        </w:rPr>
        <w:t>.1.1 试验设备</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施工现场需要配置的试验场所：</w:t>
      </w:r>
      <w:bookmarkEnd w:id="305"/>
      <w:bookmarkEnd w:id="306"/>
      <w:bookmarkEnd w:id="307"/>
      <w:bookmarkEnd w:id="308"/>
      <w:bookmarkEnd w:id="309"/>
      <w:bookmarkEnd w:id="310"/>
      <w:bookmarkEnd w:id="311"/>
      <w:bookmarkStart w:id="313" w:name="_Toc303539142"/>
      <w:bookmarkStart w:id="314" w:name="_Toc300934985"/>
      <w:bookmarkStart w:id="315" w:name="_Toc312678024"/>
      <w:bookmarkStart w:id="316" w:name="_Toc297216195"/>
      <w:bookmarkStart w:id="317" w:name="_Toc312677498"/>
      <w:bookmarkStart w:id="318" w:name="_Toc297123536"/>
      <w:bookmarkStart w:id="319" w:name="_Toc304295562"/>
      <w:r>
        <w:rPr>
          <w:rFonts w:hint="eastAsia" w:ascii="宋体" w:hAnsi="宋体" w:cs="宋体"/>
          <w:color w:val="000000" w:themeColor="text1"/>
          <w:szCs w:val="21"/>
          <w:highlight w:val="none"/>
          <w:u w:val="single"/>
          <w14:textFill>
            <w14:solidFill>
              <w14:schemeClr w14:val="tx1"/>
            </w14:solidFill>
          </w14:textFill>
        </w:rPr>
        <w:t>执行通用条款</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施工现场需要配备的试验设备：</w:t>
      </w:r>
      <w:r>
        <w:rPr>
          <w:rFonts w:hint="eastAsia" w:ascii="宋体" w:hAnsi="宋体" w:cs="宋体"/>
          <w:color w:val="000000" w:themeColor="text1"/>
          <w:szCs w:val="21"/>
          <w:highlight w:val="none"/>
          <w:u w:val="single"/>
          <w14:textFill>
            <w14:solidFill>
              <w14:schemeClr w14:val="tx1"/>
            </w14:solidFill>
          </w14:textFill>
        </w:rPr>
        <w:t>由承包人按照工程要求配置</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施工现场需要具备的其他试验条件：</w:t>
      </w:r>
      <w:r>
        <w:rPr>
          <w:rFonts w:hint="eastAsia" w:ascii="宋体" w:hAnsi="宋体" w:cs="宋体"/>
          <w:color w:val="000000" w:themeColor="text1"/>
          <w:szCs w:val="21"/>
          <w:highlight w:val="none"/>
          <w:u w:val="single"/>
          <w14:textFill>
            <w14:solidFill>
              <w14:schemeClr w14:val="tx1"/>
            </w14:solidFill>
          </w14:textFill>
        </w:rPr>
        <w:t>由承包人按照工程要求配置</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320" w:name="_Toc10869"/>
      <w:r>
        <w:rPr>
          <w:rFonts w:hint="eastAsia" w:ascii="宋体" w:hAnsi="宋体" w:cs="宋体"/>
          <w:color w:val="000000" w:themeColor="text1"/>
          <w:szCs w:val="21"/>
          <w:highlight w:val="none"/>
          <w14:textFill>
            <w14:solidFill>
              <w14:schemeClr w14:val="tx1"/>
            </w14:solidFill>
          </w14:textFill>
        </w:rPr>
        <w:t>9.2 现场工艺试验</w:t>
      </w:r>
      <w:bookmarkEnd w:id="320"/>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现场工艺试验的有关约定：</w:t>
      </w:r>
      <w:r>
        <w:rPr>
          <w:rFonts w:hint="eastAsia" w:ascii="宋体" w:hAnsi="宋体" w:cs="宋体"/>
          <w:color w:val="000000" w:themeColor="text1"/>
          <w:szCs w:val="21"/>
          <w:highlight w:val="none"/>
          <w:u w:val="single"/>
          <w14:textFill>
            <w14:solidFill>
              <w14:schemeClr w14:val="tx1"/>
            </w14:solidFill>
          </w14:textFill>
        </w:rPr>
        <w:t>同通用条款</w:t>
      </w:r>
      <w:r>
        <w:rPr>
          <w:rFonts w:hint="eastAsia" w:ascii="宋体" w:hAnsi="宋体" w:cs="宋体"/>
          <w:color w:val="000000" w:themeColor="text1"/>
          <w:szCs w:val="21"/>
          <w:highlight w:val="none"/>
          <w14:textFill>
            <w14:solidFill>
              <w14:schemeClr w14:val="tx1"/>
            </w14:solidFill>
          </w14:textFill>
        </w:rPr>
        <w:t>。</w:t>
      </w:r>
    </w:p>
    <w:bookmarkEnd w:id="312"/>
    <w:bookmarkEnd w:id="313"/>
    <w:bookmarkEnd w:id="314"/>
    <w:bookmarkEnd w:id="315"/>
    <w:bookmarkEnd w:id="316"/>
    <w:bookmarkEnd w:id="317"/>
    <w:bookmarkEnd w:id="318"/>
    <w:bookmarkEnd w:id="319"/>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321" w:name="_Toc351203642"/>
      <w:r>
        <w:rPr>
          <w:rFonts w:hint="eastAsia" w:ascii="宋体" w:hAnsi="宋体" w:eastAsia="宋体" w:cs="宋体"/>
          <w:color w:val="000000" w:themeColor="text1"/>
          <w:sz w:val="21"/>
          <w:szCs w:val="21"/>
          <w:highlight w:val="none"/>
          <w14:textFill>
            <w14:solidFill>
              <w14:schemeClr w14:val="tx1"/>
            </w14:solidFill>
          </w14:textFill>
        </w:rPr>
        <w:t>1</w:t>
      </w:r>
      <w:bookmarkEnd w:id="286"/>
      <w:bookmarkEnd w:id="287"/>
      <w:bookmarkEnd w:id="288"/>
      <w:bookmarkEnd w:id="289"/>
      <w:bookmarkEnd w:id="290"/>
      <w:bookmarkEnd w:id="291"/>
      <w:bookmarkEnd w:id="292"/>
      <w:bookmarkEnd w:id="293"/>
      <w:bookmarkEnd w:id="294"/>
      <w:bookmarkEnd w:id="295"/>
      <w:bookmarkEnd w:id="296"/>
      <w:bookmarkEnd w:id="297"/>
      <w:bookmarkStart w:id="322" w:name="_Toc304295566"/>
      <w:bookmarkStart w:id="323" w:name="_Toc296944532"/>
      <w:bookmarkStart w:id="324" w:name="_Toc296347192"/>
      <w:bookmarkStart w:id="325" w:name="_Toc296891021"/>
      <w:bookmarkStart w:id="326" w:name="_Toc300934989"/>
      <w:bookmarkStart w:id="327" w:name="_Toc303539146"/>
      <w:bookmarkStart w:id="328" w:name="_Toc297216199"/>
      <w:bookmarkStart w:id="329" w:name="_Toc297120493"/>
      <w:bookmarkStart w:id="330" w:name="_Toc297123540"/>
      <w:bookmarkStart w:id="331" w:name="_Toc296503193"/>
      <w:bookmarkStart w:id="332" w:name="_Toc292559903"/>
      <w:bookmarkStart w:id="333" w:name="_Toc296346694"/>
      <w:bookmarkStart w:id="334" w:name="_Toc292559398"/>
      <w:bookmarkStart w:id="335" w:name="_Toc296891233"/>
      <w:bookmarkStart w:id="336" w:name="_Toc297048379"/>
      <w:bookmarkStart w:id="337" w:name="_Toc312678025"/>
      <w:bookmarkStart w:id="338" w:name="_Toc312677499"/>
      <w:bookmarkStart w:id="339" w:name="_Toc267251433"/>
      <w:bookmarkStart w:id="340" w:name="_Toc267251435"/>
      <w:bookmarkStart w:id="341" w:name="_Toc267251441"/>
      <w:bookmarkStart w:id="342" w:name="_Toc267251437"/>
      <w:bookmarkStart w:id="343" w:name="_Toc267251439"/>
      <w:bookmarkStart w:id="344" w:name="_Toc267251440"/>
      <w:bookmarkStart w:id="345" w:name="_Toc267251442"/>
      <w:r>
        <w:rPr>
          <w:rFonts w:hint="eastAsia" w:ascii="宋体" w:hAnsi="宋体" w:eastAsia="宋体" w:cs="宋体"/>
          <w:color w:val="000000" w:themeColor="text1"/>
          <w:sz w:val="21"/>
          <w:szCs w:val="21"/>
          <w:highlight w:val="none"/>
          <w14:textFill>
            <w14:solidFill>
              <w14:schemeClr w14:val="tx1"/>
            </w14:solidFill>
          </w14:textFill>
        </w:rPr>
        <w:t>0. 变更</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bookmarkEnd w:id="337"/>
    <w:bookmarkEnd w:id="338"/>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bookmarkStart w:id="346" w:name="_Toc296891234"/>
      <w:bookmarkStart w:id="347" w:name="_Toc312677500"/>
      <w:bookmarkStart w:id="348" w:name="_Toc297216200"/>
      <w:bookmarkStart w:id="349" w:name="_Toc297123541"/>
      <w:bookmarkStart w:id="350" w:name="_Toc296503194"/>
      <w:bookmarkStart w:id="351" w:name="_Toc303539147"/>
      <w:bookmarkStart w:id="352" w:name="_Toc296891022"/>
      <w:bookmarkStart w:id="353" w:name="_Toc292559904"/>
      <w:bookmarkStart w:id="354" w:name="_Toc296944533"/>
      <w:bookmarkStart w:id="355" w:name="_Toc292559399"/>
      <w:bookmarkStart w:id="356" w:name="_Toc304295567"/>
      <w:bookmarkStart w:id="357" w:name="_Toc312678026"/>
      <w:bookmarkStart w:id="358" w:name="_Toc296346695"/>
      <w:bookmarkStart w:id="359" w:name="_Toc297120494"/>
      <w:bookmarkStart w:id="360" w:name="_Toc297048380"/>
      <w:bookmarkStart w:id="361" w:name="_Toc296347193"/>
      <w:bookmarkStart w:id="362" w:name="_Toc300934990"/>
      <w:r>
        <w:rPr>
          <w:rFonts w:hint="eastAsia" w:ascii="宋体" w:hAnsi="宋体" w:cs="宋体"/>
          <w:color w:val="000000" w:themeColor="text1"/>
          <w:szCs w:val="21"/>
          <w:highlight w:val="none"/>
          <w14:textFill>
            <w14:solidFill>
              <w14:schemeClr w14:val="tx1"/>
            </w14:solidFill>
          </w14:textFill>
        </w:rPr>
        <w:t>0.1变更的范围</w:t>
      </w:r>
    </w:p>
    <w:p>
      <w:pPr>
        <w:snapToGrid w:val="0"/>
        <w:spacing w:line="360" w:lineRule="auto"/>
        <w:ind w:firstLine="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关于变更的范围的约定：</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施工中如发包人认为有必要时，可对本工程中或其任何部分的形式、质量或数量做出变更，如：增加或减少合同中包括的任何部分工作的数量；取消任何部分工作；改变任何部分工作的性质、质量或种类；改变本工程任何部分的标高、线形、位置和尺寸；增加或减少为完成本工程所必要的任何部分种类的附加工作；改变本工程任何部分施工的规定顺序或时间安排等。由此发生工程量的变化，结算时仍按合同综合单价予以结算，承包人不得以任何理由拒绝或不予结算。</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（2）发包人如需进行工程变更，应提前3天以书面形式通知承包人。承包人按书面通知的内容和要求进行工程变更，工程量如增加超过10%，则工期相应延顺。</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（3）承包人不得擅自进行工程变更。任何擅自变更导致增加的费用或发包人的损失，由承包人承担，延误的工期不予延顺。</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（4）工程联系单只能作为指令的书面依据，如引起造价变更，必须附现场签证单。</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（5）工程签证的内容中必须有原因、原始记录，且附发包人指令等，并按发包人签证变更制度执行。结算时，设计变更通知单、工程联系单和现场签证单（均须为原件）一并报发包人。</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6）设计变更由设计人提出，经发包人确认后执行；工程现场变更由承包人以《工程技术核定单》的形式提出，经发包人和监理人确认后执行；必要时需征得设计人的认可。发包人提出的任何变更要求，承包人必须服从。</w:t>
      </w:r>
    </w:p>
    <w:p>
      <w:pPr>
        <w:snapToGrid w:val="0"/>
        <w:spacing w:line="360" w:lineRule="auto"/>
        <w:ind w:firstLine="6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（7）本工程仅《设计变更通知单》和经发包人、监理人确认的《工程技术核定单》和《工程经济签证单》能作为工程变更结算的依据，其他双方往来函件不得作为工程结算的依据。</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10.2变更权</w:t>
      </w:r>
    </w:p>
    <w:p>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工程设计变更非经发包人书面确认，承包人不得对工程进行任何变更，应严格按照施工图纸、施工图会审纪要、有效的设计变更图纸进行施工。</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363" w:name="_Toc15811"/>
      <w:r>
        <w:rPr>
          <w:rFonts w:hint="eastAsia" w:ascii="宋体" w:hAnsi="宋体" w:cs="宋体"/>
          <w:color w:val="000000" w:themeColor="text1"/>
          <w:szCs w:val="21"/>
          <w:highlight w:val="none"/>
          <w14:textFill>
            <w14:solidFill>
              <w14:schemeClr w14:val="tx1"/>
            </w14:solidFill>
          </w14:textFill>
        </w:rPr>
        <w:t>10.3 变更估价</w:t>
      </w:r>
      <w:bookmarkEnd w:id="363"/>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10.3.1 变更估价原则</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关于变更估价的约定: </w:t>
      </w:r>
      <w:r>
        <w:rPr>
          <w:rFonts w:hint="eastAsia" w:ascii="宋体" w:hAnsi="宋体" w:cs="宋体"/>
          <w:color w:val="000000" w:themeColor="text1"/>
          <w:szCs w:val="21"/>
          <w:highlight w:val="none"/>
          <w:u w:val="single"/>
          <w14:textFill>
            <w14:solidFill>
              <w14:schemeClr w14:val="tx1"/>
            </w14:solidFill>
          </w14:textFill>
        </w:rPr>
        <w:t>以承包人投标文件编制的清单综合单价为基础，经发包人调整，双方确认后作为变更签证的价款调整依据：</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（1）工程量清单综合单价中已有适用于变更签证工程的，并且变更签证后工程量调增量小于原工程量的15%（含15%）时，按投标综合价格变更合同价款；</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（2）工程量清单综合单价中有类似适用于变更签证工程的，并且变更签证后工程量调增量小于原工程量的15%（含15%）时，可以参照投标类似综合单价变更合同价款；</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3）变更签证后工程量调整量大于原工程量15%、工程量清单漏项或由于设计变更引起新增项目时，其综合单价应按照湖南省建设行政主管部门颁发的建设工程消耗量标准、取费标准、计费程序、综合人工工资单价及工程造价管理机构发布的工程造价信息（工程造价信息没有发布的参考市场价）确定，且按中标总报价相对招标控制价之比优惠；</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（4）分部分项工程量变更后调减的工程量以及因设计变更被取消的项目，其综合单价应按照原投标综合单价确定；</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（5）计项措施费包干，不予调整；</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（6）合同期内，如遇政策性调整，则按相关规定执行。</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Start w:id="364" w:name="_Toc297120497"/>
      <w:bookmarkStart w:id="365" w:name="_Toc292559907"/>
      <w:bookmarkStart w:id="366" w:name="_Toc297048383"/>
      <w:bookmarkStart w:id="367" w:name="_Toc292559402"/>
      <w:bookmarkStart w:id="368" w:name="_Toc300934993"/>
      <w:bookmarkStart w:id="369" w:name="_Toc303539150"/>
      <w:bookmarkStart w:id="370" w:name="_Toc297216203"/>
      <w:bookmarkStart w:id="371" w:name="_Toc296346698"/>
      <w:bookmarkStart w:id="372" w:name="_Toc296891025"/>
      <w:bookmarkStart w:id="373" w:name="_Toc296503197"/>
      <w:bookmarkStart w:id="374" w:name="_Toc297123544"/>
      <w:bookmarkStart w:id="375" w:name="_Toc296944536"/>
      <w:bookmarkStart w:id="376" w:name="_Toc296347196"/>
      <w:bookmarkStart w:id="377" w:name="_Toc296891237"/>
      <w:bookmarkStart w:id="378" w:name="_Toc312678029"/>
      <w:bookmarkStart w:id="379" w:name="_Toc304295570"/>
      <w:bookmarkStart w:id="380" w:name="_Toc312677503"/>
      <w:r>
        <w:rPr>
          <w:rFonts w:hint="eastAsia" w:ascii="宋体" w:hAnsi="宋体" w:cs="宋体"/>
          <w:color w:val="000000" w:themeColor="text1"/>
          <w:szCs w:val="21"/>
          <w:highlight w:val="none"/>
          <w14:textFill>
            <w14:solidFill>
              <w14:schemeClr w14:val="tx1"/>
            </w14:solidFill>
          </w14:textFill>
        </w:rPr>
        <w:t>0.4承</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Start w:id="381" w:name="_Toc297216204"/>
      <w:bookmarkStart w:id="382" w:name="_Toc297048389"/>
      <w:bookmarkStart w:id="383" w:name="_Toc300934994"/>
      <w:bookmarkStart w:id="384" w:name="_Toc297120503"/>
      <w:bookmarkStart w:id="385" w:name="_Toc297123545"/>
      <w:bookmarkStart w:id="386" w:name="_Toc296503203"/>
      <w:bookmarkStart w:id="387" w:name="_Toc296944542"/>
      <w:bookmarkStart w:id="388" w:name="_Toc296891031"/>
      <w:bookmarkStart w:id="389" w:name="_Toc292559913"/>
      <w:bookmarkStart w:id="390" w:name="_Toc292559408"/>
      <w:bookmarkStart w:id="391" w:name="_Toc296347202"/>
      <w:bookmarkStart w:id="392" w:name="_Toc296891243"/>
      <w:bookmarkStart w:id="393" w:name="_Toc296346704"/>
      <w:bookmarkStart w:id="394" w:name="_Toc303539151"/>
      <w:r>
        <w:rPr>
          <w:rFonts w:hint="eastAsia" w:ascii="宋体" w:hAnsi="宋体" w:cs="宋体"/>
          <w:color w:val="000000" w:themeColor="text1"/>
          <w:szCs w:val="21"/>
          <w:highlight w:val="none"/>
          <w14:textFill>
            <w14:solidFill>
              <w14:schemeClr w14:val="tx1"/>
            </w14:solidFill>
          </w14:textFill>
        </w:rPr>
        <w:t>包人的合理化建议</w:t>
      </w:r>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监理人审查承包人合理化建议的期限：</w:t>
      </w:r>
      <w:r>
        <w:rPr>
          <w:rFonts w:hint="eastAsia" w:ascii="宋体" w:hAnsi="宋体" w:cs="宋体"/>
          <w:color w:val="000000" w:themeColor="text1"/>
          <w:szCs w:val="21"/>
          <w:highlight w:val="none"/>
          <w:u w:val="single"/>
          <w14:textFill>
            <w14:solidFill>
              <w14:schemeClr w14:val="tx1"/>
            </w14:solidFill>
          </w14:textFill>
        </w:rPr>
        <w:t>执行通用条款</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发包人审批承包人合理化建议的期限：</w:t>
      </w:r>
      <w:r>
        <w:rPr>
          <w:rFonts w:hint="eastAsia" w:ascii="宋体" w:hAnsi="宋体" w:cs="宋体"/>
          <w:color w:val="000000" w:themeColor="text1"/>
          <w:szCs w:val="21"/>
          <w:highlight w:val="none"/>
          <w:u w:val="single"/>
          <w14:textFill>
            <w14:solidFill>
              <w14:schemeClr w14:val="tx1"/>
            </w14:solidFill>
          </w14:textFill>
        </w:rPr>
        <w:t>执行通用条款</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w:t>
      </w:r>
      <w:bookmarkStart w:id="395" w:name="_Toc297216205"/>
      <w:bookmarkStart w:id="396" w:name="_Toc297120504"/>
      <w:bookmarkStart w:id="397" w:name="_Toc292559914"/>
      <w:bookmarkStart w:id="398" w:name="_Toc296944543"/>
      <w:bookmarkStart w:id="399" w:name="_Toc296503204"/>
      <w:bookmarkStart w:id="400" w:name="_Toc296347203"/>
      <w:bookmarkStart w:id="401" w:name="_Toc296346705"/>
      <w:bookmarkStart w:id="402" w:name="_Toc312677504"/>
      <w:bookmarkStart w:id="403" w:name="_Toc296891244"/>
      <w:bookmarkStart w:id="404" w:name="_Toc318581175"/>
      <w:bookmarkStart w:id="405" w:name="_Toc296891032"/>
      <w:bookmarkStart w:id="406" w:name="_Toc297123546"/>
      <w:bookmarkStart w:id="407" w:name="_Toc304295571"/>
      <w:bookmarkStart w:id="408" w:name="_Toc303539152"/>
      <w:bookmarkStart w:id="409" w:name="_Toc300934995"/>
      <w:bookmarkStart w:id="410" w:name="_Toc297048390"/>
      <w:bookmarkStart w:id="411" w:name="_Toc312678030"/>
      <w:bookmarkStart w:id="412" w:name="_Toc292559409"/>
      <w:r>
        <w:rPr>
          <w:rFonts w:hint="eastAsia" w:ascii="宋体" w:hAnsi="宋体" w:cs="宋体"/>
          <w:color w:val="000000" w:themeColor="text1"/>
          <w:szCs w:val="21"/>
          <w:highlight w:val="none"/>
          <w14:textFill>
            <w14:solidFill>
              <w14:schemeClr w14:val="tx1"/>
            </w14:solidFill>
          </w14:textFill>
        </w:rPr>
        <w:t>包人提出的合理化建议降低了合同价格或者提高了工程经济效益的奖励的方法和金额为：</w:t>
      </w:r>
      <w:r>
        <w:rPr>
          <w:rFonts w:hint="eastAsia" w:ascii="宋体" w:hAnsi="宋体" w:cs="宋体"/>
          <w:color w:val="000000" w:themeColor="text1"/>
          <w:szCs w:val="21"/>
          <w:highlight w:val="none"/>
          <w:u w:val="single"/>
          <w14:textFill>
            <w14:solidFill>
              <w14:schemeClr w14:val="tx1"/>
            </w14:solidFill>
          </w14:textFill>
        </w:rPr>
        <w:t>发包人鼓励承包人提出合理化建议，但不为此支付任何费用</w:t>
      </w:r>
      <w:r>
        <w:rPr>
          <w:rFonts w:hint="eastAsia" w:ascii="宋体" w:hAnsi="宋体" w:cs="宋体"/>
          <w:color w:val="000000" w:themeColor="text1"/>
          <w:szCs w:val="21"/>
          <w:highlight w:val="none"/>
          <w14:textFill>
            <w14:solidFill>
              <w14:schemeClr w14:val="tx1"/>
            </w14:solidFill>
          </w14:textFill>
        </w:rPr>
        <w:t>。</w:t>
      </w:r>
    </w:p>
    <w:bookmarkEnd w:id="339"/>
    <w:bookmarkEnd w:id="340"/>
    <w:bookmarkEnd w:id="341"/>
    <w:bookmarkEnd w:id="342"/>
    <w:bookmarkEnd w:id="343"/>
    <w:bookmarkEnd w:id="34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413" w:name="_Toc296347204"/>
      <w:bookmarkStart w:id="414" w:name="_Toc292559410"/>
      <w:bookmarkStart w:id="415" w:name="_Toc297048391"/>
      <w:bookmarkStart w:id="416" w:name="_Toc296346706"/>
      <w:bookmarkStart w:id="417" w:name="_Toc296503205"/>
      <w:bookmarkStart w:id="418" w:name="_Toc296891033"/>
      <w:bookmarkStart w:id="419" w:name="_Toc296891245"/>
      <w:bookmarkStart w:id="420" w:name="_Toc292559915"/>
      <w:bookmarkStart w:id="421" w:name="_Toc297120505"/>
      <w:bookmarkStart w:id="422" w:name="_Toc296944544"/>
      <w:bookmarkStart w:id="423" w:name="_Toc351203644"/>
      <w:bookmarkStart w:id="424" w:name="_Toc297216211"/>
      <w:bookmarkStart w:id="425" w:name="_Toc300935002"/>
      <w:bookmarkStart w:id="426" w:name="_Toc304295579"/>
      <w:bookmarkStart w:id="427" w:name="_Toc303539159"/>
      <w:bookmarkStart w:id="428" w:name="_Toc297123552"/>
      <w:bookmarkStart w:id="429" w:name="_Toc312678040"/>
      <w:r>
        <w:rPr>
          <w:rFonts w:hint="eastAsia" w:ascii="宋体" w:hAnsi="宋体" w:eastAsia="宋体" w:cs="宋体"/>
          <w:color w:val="000000" w:themeColor="text1"/>
          <w:sz w:val="21"/>
          <w:szCs w:val="21"/>
          <w:highlight w:val="none"/>
          <w14:textFill>
            <w14:solidFill>
              <w14:schemeClr w14:val="tx1"/>
            </w14:solidFill>
          </w14:textFill>
        </w:rPr>
        <w:t xml:space="preserve">11. </w:t>
      </w:r>
      <w:bookmarkEnd w:id="413"/>
      <w:bookmarkEnd w:id="414"/>
      <w:bookmarkEnd w:id="415"/>
      <w:bookmarkEnd w:id="416"/>
      <w:bookmarkEnd w:id="417"/>
      <w:bookmarkEnd w:id="418"/>
      <w:bookmarkEnd w:id="419"/>
      <w:bookmarkEnd w:id="420"/>
      <w:bookmarkEnd w:id="421"/>
      <w:bookmarkEnd w:id="422"/>
      <w:r>
        <w:rPr>
          <w:rFonts w:hint="eastAsia" w:ascii="宋体" w:hAnsi="宋体" w:eastAsia="宋体" w:cs="宋体"/>
          <w:color w:val="000000" w:themeColor="text1"/>
          <w:sz w:val="21"/>
          <w:szCs w:val="21"/>
          <w:highlight w:val="none"/>
          <w14:textFill>
            <w14:solidFill>
              <w14:schemeClr w14:val="tx1"/>
            </w14:solidFill>
          </w14:textFill>
        </w:rPr>
        <w:t>合同价格、计量</w:t>
      </w:r>
      <w:bookmarkEnd w:id="423"/>
    </w:p>
    <w:bookmarkEnd w:id="424"/>
    <w:bookmarkEnd w:id="425"/>
    <w:bookmarkEnd w:id="426"/>
    <w:bookmarkEnd w:id="427"/>
    <w:bookmarkEnd w:id="428"/>
    <w:bookmarkEnd w:id="429"/>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430" w:name="_Toc292559916"/>
      <w:bookmarkStart w:id="431" w:name="_Toc267251461"/>
      <w:bookmarkStart w:id="432" w:name="_Toc292559411"/>
      <w:bookmarkStart w:id="433" w:name="_Toc296891034"/>
      <w:bookmarkStart w:id="434" w:name="_Toc296944545"/>
      <w:bookmarkStart w:id="435" w:name="_Toc296503206"/>
      <w:bookmarkStart w:id="436" w:name="_Toc296891246"/>
      <w:bookmarkStart w:id="437" w:name="_Toc297048392"/>
      <w:bookmarkStart w:id="438" w:name="_Toc296347205"/>
      <w:bookmarkStart w:id="439" w:name="_Toc297120506"/>
      <w:bookmarkStart w:id="440" w:name="_Toc296346707"/>
      <w:bookmarkStart w:id="441" w:name="_Toc300935003"/>
      <w:bookmarkStart w:id="442" w:name="_Toc304295580"/>
      <w:bookmarkStart w:id="443" w:name="_Toc297123553"/>
      <w:bookmarkStart w:id="444" w:name="_Toc297216212"/>
      <w:bookmarkStart w:id="445" w:name="_Toc303539160"/>
      <w:bookmarkStart w:id="446" w:name="_Toc312678041"/>
      <w:r>
        <w:rPr>
          <w:rFonts w:hint="eastAsia" w:ascii="宋体" w:hAnsi="宋体" w:cs="宋体"/>
          <w:color w:val="000000" w:themeColor="text1"/>
          <w:szCs w:val="21"/>
          <w:highlight w:val="none"/>
          <w14:textFill>
            <w14:solidFill>
              <w14:schemeClr w14:val="tx1"/>
            </w14:solidFill>
          </w14:textFill>
        </w:rPr>
        <w:t>11.1 合</w:t>
      </w:r>
      <w:bookmarkEnd w:id="430"/>
      <w:bookmarkEnd w:id="431"/>
      <w:bookmarkEnd w:id="432"/>
      <w:r>
        <w:rPr>
          <w:rFonts w:hint="eastAsia" w:ascii="宋体" w:hAnsi="宋体" w:cs="宋体"/>
          <w:color w:val="000000" w:themeColor="text1"/>
          <w:szCs w:val="21"/>
          <w:highlight w:val="none"/>
          <w14:textFill>
            <w14:solidFill>
              <w14:schemeClr w14:val="tx1"/>
            </w14:solidFill>
          </w14:textFill>
        </w:rPr>
        <w:t>同价</w:t>
      </w:r>
      <w:bookmarkEnd w:id="433"/>
      <w:bookmarkEnd w:id="434"/>
      <w:bookmarkEnd w:id="435"/>
      <w:bookmarkEnd w:id="436"/>
      <w:bookmarkEnd w:id="437"/>
      <w:bookmarkEnd w:id="438"/>
      <w:bookmarkEnd w:id="439"/>
      <w:bookmarkEnd w:id="440"/>
      <w:r>
        <w:rPr>
          <w:rFonts w:hint="eastAsia" w:ascii="宋体" w:hAnsi="宋体" w:cs="宋体"/>
          <w:color w:val="000000" w:themeColor="text1"/>
          <w:szCs w:val="21"/>
          <w:highlight w:val="none"/>
          <w14:textFill>
            <w14:solidFill>
              <w14:schemeClr w14:val="tx1"/>
            </w14:solidFill>
          </w14:textFill>
        </w:rPr>
        <w:t>格形式</w:t>
      </w:r>
      <w:bookmarkEnd w:id="441"/>
      <w:bookmarkEnd w:id="442"/>
      <w:bookmarkEnd w:id="443"/>
      <w:bookmarkEnd w:id="444"/>
      <w:bookmarkEnd w:id="445"/>
      <w:bookmarkEnd w:id="446"/>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单价合同</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综合单价包含的风险范围：</w:t>
      </w:r>
      <w:r>
        <w:rPr>
          <w:rFonts w:hint="eastAsia" w:ascii="宋体" w:hAnsi="宋体" w:cs="宋体"/>
          <w:color w:val="000000" w:themeColor="text1"/>
          <w:szCs w:val="21"/>
          <w:highlight w:val="none"/>
          <w:u w:val="single"/>
          <w14:textFill>
            <w14:solidFill>
              <w14:schemeClr w14:val="tx1"/>
            </w14:solidFill>
          </w14:textFill>
        </w:rPr>
        <w:t>合同价款包含的工作内容为招标工程量清单所包含的工程量、工作范围、工作内容及合同相关条款所要求考虑的各种风险及费用。任何因忽视发包人要求而引起的承包人报价不准而导致的索赔、造价变更将不予批准。</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风险范围包括但不限于以下内容：排污费、垃圾清理外运处理费、道路占用费、工效降低费用（高考、中考、重大活动等限制）、承包范围内的各种常规检测或试验费用、发包人供应的材料设备的保管费、场内料具二次搬运费、材料堆放场地的整理、工程成品、半成品的保护、临时停水停电的应急措施、夜间照明施工增加费、冬雨季施工增加费、赶工费、为获得质量奖励投入的费用、垃圾外运、垃圾排放处理费、根据规范、验收及资料规定要求必须进行的所有相关测试、检验、试验、检测费（超国家标准要求的检验检测费用和按照规范标准应该由发包人承担的除外）等。结算时不再单独计取和另外增加</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风险费用的计算方法：</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（a）施工期间的辅助材料费、机械费涨跌因素已计入合同价款，合同执行期间不调整；</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（b）本项目安全文明施工费按国家及湖南省现行相关文件规定计取，其他措施项目费中的计项措施费的变更按现行法律法规执行，现行法律法规没有规定的，由双方协商解决；</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（c）承包人投标文件施工组织设计中所有内容的费用均非设计或发包人原因造成的施工方案的调整，费用不调整；</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（d）渣土消纳场及借土回填取土场由承包人按当地政府规定或市场情况自行确定，场地消纳费、回填土购买、渣土运输办证等费用包含在合同价格中；</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风险范围以外合同价格的调整方法：</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a）本项目工程部份材料设备招标时暂无法确定品牌、规格，在施工过程，发包人另行依法确定品牌、规格及价格，承包人投标时已按招标清单填表须知规定的暂定价报价，结算时价差按发包人依法确定的材料设备价格进行调整；</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b）本工程部分项目暂无法确定品种、型号及规格，在施工过程中，发包人另行依法确定品种、型号、规格及材料价格，承包人投标时已按招标清单填表须知规定的暂定综合单价报价，暂定综合单价已包括除税金和规费外的所有费用，结算时根据实际做法按照本合同约定的变更、签证、暂定价项目的计价方法计算</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447" w:name="_Toc303539161"/>
      <w:bookmarkStart w:id="448" w:name="_Toc300935004"/>
      <w:bookmarkStart w:id="449" w:name="_Toc312678042"/>
      <w:bookmarkStart w:id="450" w:name="_Toc297123554"/>
      <w:bookmarkStart w:id="451" w:name="_Toc304295581"/>
      <w:bookmarkStart w:id="452" w:name="_Toc297216213"/>
      <w:bookmarkStart w:id="453" w:name="_Toc296891035"/>
      <w:bookmarkStart w:id="454" w:name="_Toc297120507"/>
      <w:bookmarkStart w:id="455" w:name="_Toc296347206"/>
      <w:bookmarkStart w:id="456" w:name="_Toc297048393"/>
      <w:bookmarkStart w:id="457" w:name="_Toc296346708"/>
      <w:bookmarkStart w:id="458" w:name="_Toc296944546"/>
      <w:bookmarkStart w:id="459" w:name="_Toc296891247"/>
      <w:bookmarkStart w:id="460" w:name="_Toc296503207"/>
      <w:bookmarkStart w:id="461" w:name="_Toc292559917"/>
      <w:bookmarkStart w:id="462" w:name="_Toc292559412"/>
      <w:r>
        <w:rPr>
          <w:rFonts w:hint="eastAsia" w:ascii="宋体" w:hAnsi="宋体" w:cs="宋体"/>
          <w:color w:val="000000" w:themeColor="text1"/>
          <w:szCs w:val="21"/>
          <w:highlight w:val="none"/>
          <w14:textFill>
            <w14:solidFill>
              <w14:schemeClr w14:val="tx1"/>
            </w14:solidFill>
          </w14:textFill>
        </w:rPr>
        <w:t>11.2 预付款</w:t>
      </w:r>
    </w:p>
    <w:bookmarkEnd w:id="447"/>
    <w:bookmarkEnd w:id="448"/>
    <w:bookmarkEnd w:id="449"/>
    <w:bookmarkEnd w:id="450"/>
    <w:bookmarkEnd w:id="451"/>
    <w:bookmarkEnd w:id="452"/>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11.2.1 预付款的支付</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预付款支付比例或金额：</w:t>
      </w:r>
      <w:r>
        <w:rPr>
          <w:rFonts w:hint="eastAsia" w:ascii="宋体" w:hAnsi="宋体" w:cs="宋体"/>
          <w:color w:val="000000" w:themeColor="text1"/>
          <w:szCs w:val="21"/>
          <w:highlight w:val="none"/>
          <w:u w:val="single"/>
          <w14:textFill>
            <w14:solidFill>
              <w14:schemeClr w14:val="tx1"/>
            </w14:solidFill>
          </w14:textFill>
        </w:rPr>
        <w:t xml:space="preserve"> 支付暂定合同总金额的30%作为预付款 </w:t>
      </w:r>
      <w:r>
        <w:rPr>
          <w:rFonts w:hint="eastAsia" w:ascii="宋体" w:hAnsi="宋体" w:cs="宋体"/>
          <w:color w:val="000000" w:themeColor="text1"/>
          <w:szCs w:val="21"/>
          <w:highlight w:val="none"/>
          <w14:textFill>
            <w14:solidFill>
              <w14:schemeClr w14:val="tx1"/>
            </w14:solidFill>
          </w14:textFill>
        </w:rPr>
        <w:t>。</w:t>
      </w:r>
    </w:p>
    <w:bookmarkEnd w:id="453"/>
    <w:bookmarkEnd w:id="454"/>
    <w:bookmarkEnd w:id="455"/>
    <w:bookmarkEnd w:id="456"/>
    <w:bookmarkEnd w:id="457"/>
    <w:bookmarkEnd w:id="458"/>
    <w:bookmarkEnd w:id="459"/>
    <w:bookmarkEnd w:id="460"/>
    <w:bookmarkEnd w:id="461"/>
    <w:bookmarkEnd w:id="462"/>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 计量</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11.3.1 计量原则</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工程量计算规则：</w:t>
      </w:r>
      <w:r>
        <w:rPr>
          <w:rFonts w:hint="eastAsia" w:ascii="宋体" w:hAnsi="宋体" w:cs="宋体"/>
          <w:color w:val="000000" w:themeColor="text1"/>
          <w:szCs w:val="21"/>
          <w:highlight w:val="none"/>
          <w:u w:val="single"/>
          <w14:textFill>
            <w14:solidFill>
              <w14:schemeClr w14:val="tx1"/>
            </w14:solidFill>
          </w14:textFill>
        </w:rPr>
        <w:t>本工程采用国家《建设工程工程量清单计价规范》（GB50500-2013）等相关规定确定的工程量计算规则。只要约定的工程量计算规则中有适用的、能合理分解出或推断出的相应计算规则，则应按照前述适用的、分解出的、推断出的计算规则计算相应工作的工程量。如果约定的工程量计算规则中没有适用的、能合理分解出或推断出的计算规则，则双方应参考项目所在地现行定额工程量计算规则计算相应的工程量定额工程量计算规则仍无法参考的，则甲乙双方协商解决，在协商一致前，以发包人提出的计算规则为准计算相应工程量，承包人有意见的，双方在工程结算时一并解决。双方确认，无论结算结果是否增加工程量，发包人均无须承担违约责任</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11.3.2 计量周期</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关于计量周期的约定：</w:t>
      </w:r>
      <w:r>
        <w:rPr>
          <w:rFonts w:hint="eastAsia" w:ascii="宋体" w:hAnsi="宋体" w:cs="宋体"/>
          <w:color w:val="000000" w:themeColor="text1"/>
          <w:szCs w:val="21"/>
          <w:highlight w:val="none"/>
          <w:u w:val="single"/>
          <w14:textFill>
            <w14:solidFill>
              <w14:schemeClr w14:val="tx1"/>
            </w14:solidFill>
          </w14:textFill>
        </w:rPr>
        <w:t>按实际完成工程量向监理人提交进度报表和进度款申请</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11.3.3 单价合同的计量</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关于单价合同计量的约定：</w:t>
      </w:r>
      <w:r>
        <w:rPr>
          <w:rFonts w:hint="eastAsia" w:ascii="宋体" w:hAnsi="宋体" w:cs="宋体"/>
          <w:color w:val="000000" w:themeColor="text1"/>
          <w:szCs w:val="21"/>
          <w:highlight w:val="none"/>
          <w:u w:val="single"/>
          <w14:textFill>
            <w14:solidFill>
              <w14:schemeClr w14:val="tx1"/>
            </w14:solidFill>
          </w14:textFill>
        </w:rPr>
        <w:t>同通用条款</w:t>
      </w:r>
      <w:r>
        <w:rPr>
          <w:rFonts w:hint="eastAsia" w:ascii="宋体" w:hAnsi="宋体" w:cs="宋体"/>
          <w:color w:val="000000" w:themeColor="text1"/>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 支付</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 工程进度款支付</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bookmarkStart w:id="463" w:name="_Toc300935006"/>
      <w:bookmarkStart w:id="464" w:name="_Toc296347210"/>
      <w:bookmarkStart w:id="465" w:name="_Toc297123556"/>
      <w:bookmarkStart w:id="466" w:name="_Toc303539163"/>
      <w:bookmarkStart w:id="467" w:name="_Toc297120511"/>
      <w:bookmarkStart w:id="468" w:name="_Toc296503211"/>
      <w:bookmarkStart w:id="469" w:name="_Toc296891039"/>
      <w:bookmarkStart w:id="470" w:name="_Toc296944550"/>
      <w:bookmarkStart w:id="471" w:name="_Toc297048397"/>
      <w:bookmarkStart w:id="472" w:name="_Toc292559921"/>
      <w:bookmarkStart w:id="473" w:name="_Toc296891251"/>
      <w:bookmarkStart w:id="474" w:name="_Toc297216215"/>
      <w:bookmarkStart w:id="475" w:name="_Toc296346712"/>
      <w:bookmarkStart w:id="476" w:name="_Toc292559416"/>
      <w:r>
        <w:rPr>
          <w:rFonts w:hint="eastAsia" w:ascii="宋体" w:hAnsi="宋体" w:cs="宋体"/>
          <w:color w:val="000000" w:themeColor="text1"/>
          <w:szCs w:val="21"/>
          <w:highlight w:val="none"/>
          <w14:textFill>
            <w14:solidFill>
              <w14:schemeClr w14:val="tx1"/>
            </w14:solidFill>
          </w14:textFill>
        </w:rPr>
        <w:t>12.4.1 付款周期</w:t>
      </w:r>
    </w:p>
    <w:p>
      <w:pPr>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关于付款周期的约定：①合同签订后</w:t>
      </w:r>
      <w:r>
        <w:rPr>
          <w:rFonts w:ascii="宋体" w:hAnsi="宋体" w:cs="宋体"/>
          <w:color w:val="000000" w:themeColor="text1"/>
          <w:szCs w:val="21"/>
          <w:highlight w:val="none"/>
          <w14:textFill>
            <w14:solidFill>
              <w14:schemeClr w14:val="tx1"/>
            </w14:solidFill>
          </w14:textFill>
        </w:rPr>
        <w:t>60日内支付合同总金额的30%作为预付款；②空调机组、UPS、隔离变压器等主要设备到达现场并经甲方签收后支付到合同总金额的60%；</w:t>
      </w:r>
      <w:r>
        <w:rPr>
          <w:rFonts w:hint="eastAsia" w:ascii="宋体" w:hAnsi="宋体" w:cs="宋体"/>
          <w:color w:val="000000" w:themeColor="text1"/>
          <w:szCs w:val="21"/>
          <w:highlight w:val="none"/>
          <w14:textFill>
            <w14:solidFill>
              <w14:schemeClr w14:val="tx1"/>
            </w14:solidFill>
          </w14:textFill>
        </w:rPr>
        <w:t>③竣工验收阶段按单项工程支付进度款，各单项工程竣工验收合格后支付到该单项工程已完成工程量造价的85%；</w:t>
      </w:r>
      <w:r>
        <w:rPr>
          <w:rFonts w:ascii="宋体" w:hAnsi="宋体" w:cs="宋体"/>
          <w:color w:val="000000" w:themeColor="text1"/>
          <w:szCs w:val="21"/>
          <w:highlight w:val="none"/>
          <w14:textFill>
            <w14:solidFill>
              <w14:schemeClr w14:val="tx1"/>
            </w14:solidFill>
          </w14:textFill>
        </w:rPr>
        <w:t>④项目审计结算后支付到结算金额的97%；⑤剩余审计结算金额的3%待保修期满后无质量问题，由乙方提交付款申请后甲方一次性付清（无息）。</w:t>
      </w:r>
    </w:p>
    <w:p>
      <w:pPr>
        <w:spacing w:line="360" w:lineRule="auto"/>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乙方应当在甲方每次支付费用前开具合法有效足额的增值税发票，否则甲方有权拒付服务费，因此造成的损失由乙方自担。</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12.4.2 进度付款申请单的编制</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关于进度付款申请单编制的约定：</w:t>
      </w:r>
      <w:r>
        <w:rPr>
          <w:rFonts w:hint="eastAsia" w:ascii="宋体" w:hAnsi="宋体" w:cs="宋体"/>
          <w:color w:val="000000" w:themeColor="text1"/>
          <w:szCs w:val="21"/>
          <w:highlight w:val="none"/>
          <w:u w:val="single"/>
          <w14:textFill>
            <w14:solidFill>
              <w14:schemeClr w14:val="tx1"/>
            </w14:solidFill>
          </w14:textFill>
        </w:rPr>
        <w:t>按通用条款执行</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cs="宋体"/>
          <w:color w:val="000000" w:themeColor="text1"/>
          <w:szCs w:val="21"/>
          <w:highlight w:val="none"/>
          <w14:textFill>
            <w14:solidFill>
              <w14:schemeClr w14:val="tx1"/>
            </w14:solidFill>
          </w14:textFill>
        </w:rPr>
        <w:t>2.4.3 进度付款申请单的提交</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（1）单价合同进度付款申请单提交的约定：</w:t>
      </w:r>
      <w:r>
        <w:rPr>
          <w:rFonts w:hint="eastAsia" w:ascii="宋体" w:hAnsi="宋体" w:cs="宋体"/>
          <w:color w:val="000000" w:themeColor="text1"/>
          <w:szCs w:val="21"/>
          <w:highlight w:val="none"/>
          <w:u w:val="single"/>
          <w14:textFill>
            <w14:solidFill>
              <w14:schemeClr w14:val="tx1"/>
            </w14:solidFill>
          </w14:textFill>
        </w:rPr>
        <w:t>经监理人和发包人审核签认的实际已完合格工程量计算清单6份</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12.4.4 进度款审核和支付</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（1）监理人审查并报送发包人的期限：</w:t>
      </w:r>
      <w:r>
        <w:rPr>
          <w:rFonts w:hint="eastAsia" w:ascii="宋体" w:hAnsi="宋体" w:cs="宋体"/>
          <w:color w:val="000000" w:themeColor="text1"/>
          <w:szCs w:val="21"/>
          <w:highlight w:val="none"/>
          <w:u w:val="single"/>
          <w14:textFill>
            <w14:solidFill>
              <w14:schemeClr w14:val="tx1"/>
            </w14:solidFill>
          </w14:textFill>
        </w:rPr>
        <w:t>收到承包人完整的相关资料后10天内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发包人完成审批并签发进度款支付证书的期限：</w:t>
      </w:r>
      <w:r>
        <w:rPr>
          <w:rFonts w:hint="eastAsia" w:ascii="宋体" w:hAnsi="宋体" w:cs="宋体"/>
          <w:color w:val="000000" w:themeColor="text1"/>
          <w:szCs w:val="21"/>
          <w:highlight w:val="none"/>
          <w:u w:val="single"/>
          <w14:textFill>
            <w14:solidFill>
              <w14:schemeClr w14:val="tx1"/>
            </w14:solidFill>
          </w14:textFill>
        </w:rPr>
        <w:t>收到监理人审查意见后14天内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（2）发包人支付进度款的期限：</w:t>
      </w:r>
      <w:r>
        <w:rPr>
          <w:rFonts w:hint="eastAsia" w:ascii="宋体" w:hAnsi="宋体" w:cs="宋体"/>
          <w:color w:val="000000" w:themeColor="text1"/>
          <w:szCs w:val="21"/>
          <w:highlight w:val="none"/>
          <w:u w:val="single"/>
          <w14:textFill>
            <w14:solidFill>
              <w14:schemeClr w14:val="tx1"/>
            </w14:solidFill>
          </w14:textFill>
        </w:rPr>
        <w:t>发包人签发进度款支付证书30天内。如承包人现场管理工作（包括但不限于质量控制、进度控制、安全管理和关键岗位人员到岗履约情况等）不能使发包人满意时，发包人有权暂停当期工程进度款的支付</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525" w:firstLineChars="25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发包人逾期支付进度款的违约金的计算方式：</w:t>
      </w:r>
      <w:r>
        <w:rPr>
          <w:rFonts w:hint="eastAsia" w:ascii="宋体" w:hAnsi="宋体" w:cs="宋体"/>
          <w:color w:val="000000" w:themeColor="text1"/>
          <w:szCs w:val="21"/>
          <w:highlight w:val="none"/>
          <w:u w:val="single"/>
          <w14:textFill>
            <w14:solidFill>
              <w14:schemeClr w14:val="tx1"/>
            </w14:solidFill>
          </w14:textFill>
        </w:rPr>
        <w:t>由于非承包人的原因，发包人已逾期支付进度款时，承包人应书面催告发包人。发包人在接收书面催告7天后仍不付款，自第8天始按承包人同期中国人民银行活期存款基准利率支付拖欠工程价款的利息。通用条款约定的其他违约责任不适用。</w:t>
      </w:r>
    </w:p>
    <w:p>
      <w:pPr>
        <w:snapToGrid w:val="0"/>
        <w:spacing w:line="360" w:lineRule="auto"/>
        <w:ind w:firstLine="525" w:firstLineChars="25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其他约定：按形象进度付款，具体合同谈判时约定。</w:t>
      </w:r>
    </w:p>
    <w:p>
      <w:pPr>
        <w:snapToGrid w:val="0"/>
        <w:spacing w:line="360" w:lineRule="auto"/>
        <w:ind w:firstLine="525" w:firstLineChars="25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如在施工过程中，因承包人安全文明措施不到位，管理不善，造成事故或受到相关单位处罚，影响发包人建设，在未按发包人要求处理事故或消除影响前，发包人暂停支付工程款。因承包人进度付款申请资料的缺失而造成进度付款延迟，发包人不承担相应责任</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525" w:firstLineChars="25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12.4.5 单价合同的总价项目支付分解表的编制与审批：</w:t>
      </w:r>
      <w:r>
        <w:rPr>
          <w:rFonts w:hint="eastAsia" w:ascii="宋体" w:hAnsi="宋体" w:cs="宋体"/>
          <w:color w:val="000000" w:themeColor="text1"/>
          <w:szCs w:val="21"/>
          <w:highlight w:val="none"/>
          <w:u w:val="single"/>
          <w14:textFill>
            <w14:solidFill>
              <w14:schemeClr w14:val="tx1"/>
            </w14:solidFill>
          </w14:textFill>
        </w:rPr>
        <w:t>按通用条款执行</w:t>
      </w:r>
      <w:r>
        <w:rPr>
          <w:rFonts w:hint="eastAsia" w:ascii="宋体" w:hAnsi="宋体" w:cs="宋体"/>
          <w:color w:val="000000" w:themeColor="text1"/>
          <w:szCs w:val="21"/>
          <w:highlight w:val="none"/>
          <w14:textFill>
            <w14:solidFill>
              <w14:schemeClr w14:val="tx1"/>
            </w14:solidFill>
          </w14:textFill>
        </w:rPr>
        <w:t>。</w:t>
      </w:r>
    </w:p>
    <w:bookmarkEnd w:id="345"/>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477" w:name="_Toc351203645"/>
      <w:bookmarkStart w:id="478" w:name="_Toc304295593"/>
      <w:bookmarkStart w:id="479" w:name="_Toc296944558"/>
      <w:bookmarkStart w:id="480" w:name="_Toc296346720"/>
      <w:bookmarkStart w:id="481" w:name="_Toc297048405"/>
      <w:bookmarkStart w:id="482" w:name="_Toc296347218"/>
      <w:bookmarkStart w:id="483" w:name="_Toc296503219"/>
      <w:bookmarkStart w:id="484" w:name="_Toc296891047"/>
      <w:bookmarkStart w:id="485" w:name="_Toc292559929"/>
      <w:bookmarkStart w:id="486" w:name="_Toc296891259"/>
      <w:bookmarkStart w:id="487" w:name="_Toc312678053"/>
      <w:bookmarkStart w:id="488" w:name="_Toc303539172"/>
      <w:bookmarkStart w:id="489" w:name="_Toc297123564"/>
      <w:bookmarkStart w:id="490" w:name="_Toc297120519"/>
      <w:bookmarkStart w:id="491" w:name="_Toc297216223"/>
      <w:bookmarkStart w:id="492" w:name="_Toc292559424"/>
      <w:bookmarkStart w:id="493" w:name="_Toc300935015"/>
      <w:r>
        <w:rPr>
          <w:rFonts w:hint="eastAsia" w:ascii="宋体" w:hAnsi="宋体" w:eastAsia="宋体" w:cs="宋体"/>
          <w:color w:val="000000" w:themeColor="text1"/>
          <w:sz w:val="21"/>
          <w:szCs w:val="21"/>
          <w:highlight w:val="none"/>
          <w14:textFill>
            <w14:solidFill>
              <w14:schemeClr w14:val="tx1"/>
            </w14:solidFill>
          </w14:textFill>
        </w:rPr>
        <w:t>13.验收和工程试车</w:t>
      </w:r>
      <w:bookmarkEnd w:id="477"/>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 分部分项工程验收</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13.1.2监理人不能按时进行验收时，应提前</w:t>
      </w:r>
      <w:r>
        <w:rPr>
          <w:rFonts w:hint="eastAsia" w:ascii="宋体" w:hAnsi="宋体" w:cs="宋体"/>
          <w:color w:val="000000" w:themeColor="text1"/>
          <w:szCs w:val="21"/>
          <w:highlight w:val="none"/>
          <w:u w:val="single"/>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小时提交书面延期要求。</w:t>
      </w:r>
    </w:p>
    <w:p>
      <w:pPr>
        <w:snapToGrid w:val="0"/>
        <w:spacing w:line="360" w:lineRule="auto"/>
        <w:ind w:firstLine="420" w:firstLineChars="200"/>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关于延期最长不得超过：</w:t>
      </w:r>
      <w:r>
        <w:rPr>
          <w:rFonts w:hint="eastAsia" w:ascii="宋体" w:hAnsi="宋体" w:cs="宋体"/>
          <w:color w:val="000000" w:themeColor="text1"/>
          <w:szCs w:val="21"/>
          <w:highlight w:val="none"/>
          <w:u w:val="single"/>
          <w14:textFill>
            <w14:solidFill>
              <w14:schemeClr w14:val="tx1"/>
            </w14:solidFill>
          </w14:textFill>
        </w:rPr>
        <w:t>48</w:t>
      </w:r>
      <w:r>
        <w:rPr>
          <w:rFonts w:hint="eastAsia" w:ascii="宋体" w:hAnsi="宋体" w:cs="宋体"/>
          <w:color w:val="000000" w:themeColor="text1"/>
          <w:szCs w:val="21"/>
          <w:highlight w:val="none"/>
          <w14:textFill>
            <w14:solidFill>
              <w14:schemeClr w14:val="tx1"/>
            </w14:solidFill>
          </w14:textFill>
        </w:rPr>
        <w:t>小时。</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494" w:name="_Toc297120523"/>
      <w:bookmarkStart w:id="495" w:name="_Toc304295596"/>
      <w:bookmarkStart w:id="496" w:name="_Toc296503223"/>
      <w:bookmarkStart w:id="497" w:name="_Toc296944562"/>
      <w:bookmarkStart w:id="498" w:name="_Toc297123565"/>
      <w:bookmarkStart w:id="499" w:name="_Toc292559428"/>
      <w:bookmarkStart w:id="500" w:name="_Toc296347222"/>
      <w:bookmarkStart w:id="501" w:name="_Toc296346724"/>
      <w:bookmarkStart w:id="502" w:name="_Toc312678056"/>
      <w:bookmarkStart w:id="503" w:name="_Toc296891051"/>
      <w:bookmarkStart w:id="504" w:name="_Toc292559933"/>
      <w:bookmarkStart w:id="505" w:name="_Toc297048409"/>
      <w:bookmarkStart w:id="506" w:name="_Toc300935016"/>
      <w:bookmarkStart w:id="507" w:name="_Toc296891263"/>
      <w:bookmarkStart w:id="508" w:name="_Toc297216224"/>
      <w:bookmarkStart w:id="509" w:name="_Toc303539173"/>
      <w:bookmarkStart w:id="510" w:name="_Toc267251474"/>
      <w:bookmarkStart w:id="511" w:name="_Toc267251472"/>
      <w:bookmarkStart w:id="512" w:name="_Toc267251475"/>
      <w:bookmarkStart w:id="513" w:name="_Toc267251476"/>
      <w:bookmarkStart w:id="514" w:name="_Toc267251473"/>
      <w:bookmarkStart w:id="515" w:name="_Toc267251470"/>
      <w:bookmarkStart w:id="516" w:name="_Toc267251471"/>
      <w:r>
        <w:rPr>
          <w:rFonts w:hint="eastAsia" w:ascii="宋体" w:hAnsi="宋体" w:cs="宋体"/>
          <w:color w:val="000000" w:themeColor="text1"/>
          <w:szCs w:val="21"/>
          <w:highlight w:val="none"/>
          <w14:textFill>
            <w14:solidFill>
              <w14:schemeClr w14:val="tx1"/>
            </w14:solidFill>
          </w14:textFill>
        </w:rPr>
        <w:t>13.2 竣工验收</w:t>
      </w:r>
    </w:p>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bookmarkStart w:id="517" w:name="_Toc280868704"/>
      <w:bookmarkStart w:id="518" w:name="_Toc280868705"/>
      <w:bookmarkStart w:id="519" w:name="_Toc280868706"/>
      <w:bookmarkStart w:id="520" w:name="_Toc280868707"/>
      <w:bookmarkStart w:id="521" w:name="_Toc280868708"/>
      <w:bookmarkStart w:id="522" w:name="_Toc280868709"/>
      <w:r>
        <w:rPr>
          <w:rFonts w:hint="eastAsia" w:ascii="宋体" w:hAnsi="宋体" w:cs="宋体"/>
          <w:color w:val="000000" w:themeColor="text1"/>
          <w:szCs w:val="21"/>
          <w:highlight w:val="none"/>
          <w14:textFill>
            <w14:solidFill>
              <w14:schemeClr w14:val="tx1"/>
            </w14:solidFill>
          </w14:textFill>
        </w:rPr>
        <w:t>13.2.1竣工验收程序</w:t>
      </w:r>
    </w:p>
    <w:bookmarkEnd w:id="517"/>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关于竣工验收程序的约定：</w:t>
      </w:r>
      <w:r>
        <w:rPr>
          <w:rFonts w:hint="eastAsia" w:ascii="宋体" w:hAnsi="宋体" w:cs="宋体"/>
          <w:color w:val="000000" w:themeColor="text1"/>
          <w:szCs w:val="21"/>
          <w:highlight w:val="none"/>
          <w:u w:val="single"/>
          <w14:textFill>
            <w14:solidFill>
              <w14:schemeClr w14:val="tx1"/>
            </w14:solidFill>
          </w14:textFill>
        </w:rPr>
        <w:t>同通用条款。工程竣工验收合格后14日内，承包人必须无条件向发包人交付已完工程。实际竣工日期以发包人在竣工验收记录或竣工验收备案表中签认的时间为准。工程竣工验收合格发包人依约签认工程接收证书后，承包人必须按照监理人发出的书面通知的时限和内容要求实施竣工清场工作；承包人竣工清场工作未完成之前，发包人有权暂停支付剩余应付工程款</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13.2.2发包人不按照本项约定组织竣工验收、颁发工程接收证书的违约金的计算方法：</w:t>
      </w:r>
      <w:r>
        <w:rPr>
          <w:rFonts w:hint="eastAsia" w:ascii="宋体" w:hAnsi="宋体" w:cs="宋体"/>
          <w:color w:val="000000" w:themeColor="text1"/>
          <w:szCs w:val="21"/>
          <w:highlight w:val="none"/>
          <w:u w:val="single"/>
          <w14:textFill>
            <w14:solidFill>
              <w14:schemeClr w14:val="tx1"/>
            </w14:solidFill>
          </w14:textFill>
        </w:rPr>
        <w:t>承包人应再次书面提醒发包人。再次通知后14日发包人仍然未按照约定履行本款相关义务的，承包人可开始按照每日500元的标准向发包人收取违约金。通用条款约定的其他违约责任不适用</w:t>
      </w:r>
      <w:r>
        <w:rPr>
          <w:rFonts w:hint="eastAsia" w:ascii="宋体" w:hAnsi="宋体" w:cs="宋体"/>
          <w:color w:val="000000" w:themeColor="text1"/>
          <w:szCs w:val="21"/>
          <w:highlight w:val="none"/>
          <w14:textFill>
            <w14:solidFill>
              <w14:schemeClr w14:val="tx1"/>
            </w14:solidFill>
          </w14:textFill>
        </w:rPr>
        <w:t>。</w:t>
      </w:r>
    </w:p>
    <w:bookmarkEnd w:id="518"/>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13.2.3移交、接收全部与部分工程</w:t>
      </w:r>
    </w:p>
    <w:bookmarkEnd w:id="519"/>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承包人向发包人移交工程的期限：</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Cs w:val="21"/>
          <w:highlight w:val="none"/>
          <w:u w:val="single"/>
          <w14:textFill>
            <w14:solidFill>
              <w14:schemeClr w14:val="tx1"/>
            </w14:solidFill>
          </w14:textFill>
        </w:rPr>
        <w:t>承包人应再次书面提醒发包人。再次通知后14日发包人仍然未按照约定履行本款相关义务的，承包人可开始按照每日500元的标准向发包人收取违约金。通用条款约定的其他违约责任不适用</w:t>
      </w:r>
      <w:r>
        <w:rPr>
          <w:rFonts w:hint="eastAsia" w:ascii="宋体" w:hAnsi="宋体" w:cs="宋体"/>
          <w:color w:val="000000" w:themeColor="text1"/>
          <w:szCs w:val="21"/>
          <w:highlight w:val="none"/>
          <w14:textFill>
            <w14:solidFill>
              <w14:schemeClr w14:val="tx1"/>
            </w14:solidFill>
          </w14:textFill>
        </w:rPr>
        <w:t>。</w:t>
      </w:r>
    </w:p>
    <w:bookmarkEnd w:id="520"/>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承包人未按时移交工程的，违约金的计算方法为：</w:t>
      </w:r>
      <w:r>
        <w:rPr>
          <w:rFonts w:hint="eastAsia" w:ascii="宋体" w:hAnsi="宋体" w:cs="宋体"/>
          <w:color w:val="000000" w:themeColor="text1"/>
          <w:szCs w:val="21"/>
          <w:highlight w:val="none"/>
          <w:u w:val="single"/>
          <w14:textFill>
            <w14:solidFill>
              <w14:schemeClr w14:val="tx1"/>
            </w14:solidFill>
          </w14:textFill>
        </w:rPr>
        <w:t>承包人每延迟一日，按照暂定合同总价的千分之五向发包人支付违约金</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13.3 工程试车</w:t>
      </w:r>
    </w:p>
    <w:bookmarkEnd w:id="521"/>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13.3.1 试车程序</w:t>
      </w:r>
    </w:p>
    <w:p>
      <w:pPr>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工程试车内容：</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（1）单机无负荷试车费用由</w:t>
      </w:r>
      <w:r>
        <w:rPr>
          <w:rFonts w:hint="eastAsia" w:ascii="宋体" w:hAnsi="宋体" w:cs="宋体"/>
          <w:color w:val="000000" w:themeColor="text1"/>
          <w:szCs w:val="21"/>
          <w:highlight w:val="none"/>
          <w:u w:val="single"/>
          <w14:textFill>
            <w14:solidFill>
              <w14:schemeClr w14:val="tx1"/>
            </w14:solidFill>
          </w14:textFill>
        </w:rPr>
        <w:t>承包人</w:t>
      </w:r>
      <w:r>
        <w:rPr>
          <w:rFonts w:hint="eastAsia" w:ascii="宋体" w:hAnsi="宋体" w:cs="宋体"/>
          <w:color w:val="000000" w:themeColor="text1"/>
          <w:kern w:val="0"/>
          <w:szCs w:val="21"/>
          <w:highlight w:val="none"/>
          <w14:textFill>
            <w14:solidFill>
              <w14:schemeClr w14:val="tx1"/>
            </w14:solidFill>
          </w14:textFill>
        </w:rPr>
        <w:t>承担；</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（2）无负荷联动试车费用由</w:t>
      </w:r>
      <w:r>
        <w:rPr>
          <w:rFonts w:hint="eastAsia" w:ascii="宋体" w:hAnsi="宋体" w:cs="宋体"/>
          <w:color w:val="000000" w:themeColor="text1"/>
          <w:szCs w:val="21"/>
          <w:highlight w:val="none"/>
          <w:u w:val="single"/>
          <w14:textFill>
            <w14:solidFill>
              <w14:schemeClr w14:val="tx1"/>
            </w14:solidFill>
          </w14:textFill>
        </w:rPr>
        <w:t>承包人</w:t>
      </w:r>
      <w:r>
        <w:rPr>
          <w:rFonts w:hint="eastAsia" w:ascii="宋体" w:hAnsi="宋体" w:cs="宋体"/>
          <w:color w:val="000000" w:themeColor="text1"/>
          <w:kern w:val="0"/>
          <w:szCs w:val="21"/>
          <w:highlight w:val="none"/>
          <w14:textFill>
            <w14:solidFill>
              <w14:schemeClr w14:val="tx1"/>
            </w14:solidFill>
          </w14:textFill>
        </w:rPr>
        <w:t>承担。</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13.3.2 投料试车</w:t>
      </w:r>
    </w:p>
    <w:p>
      <w:pPr>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关于投料试车相关事项的约定：</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23" w:name="_Toc6442"/>
      <w:r>
        <w:rPr>
          <w:rFonts w:hint="eastAsia" w:ascii="宋体" w:hAnsi="宋体" w:cs="宋体"/>
          <w:color w:val="000000" w:themeColor="text1"/>
          <w:szCs w:val="21"/>
          <w:highlight w:val="none"/>
          <w14:textFill>
            <w14:solidFill>
              <w14:schemeClr w14:val="tx1"/>
            </w14:solidFill>
          </w14:textFill>
        </w:rPr>
        <w:t>13.3 竣工退场</w:t>
      </w:r>
      <w:bookmarkEnd w:id="523"/>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13.3.1 竣工退场</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承包人完成竣工退场的期限：</w:t>
      </w:r>
      <w:r>
        <w:rPr>
          <w:rFonts w:hint="eastAsia" w:ascii="宋体" w:hAnsi="宋体" w:cs="宋体"/>
          <w:color w:val="000000" w:themeColor="text1"/>
          <w:szCs w:val="21"/>
          <w:highlight w:val="none"/>
          <w:u w:val="single"/>
          <w14:textFill>
            <w14:solidFill>
              <w14:schemeClr w14:val="tx1"/>
            </w14:solidFill>
          </w14:textFill>
        </w:rPr>
        <w:t>竣工验收合格后的14日内，除了经监理人同意需在缺陷责任期内继续工作和使用的人员、施工设备和临时工程外，其余人员、施工设备和临时工程均应撤离施工场地或拆除。如果承包人以任何理由拒绝退场，承包人承担与本合同约定的逾期竣工一样的违约责任</w:t>
      </w:r>
      <w:r>
        <w:rPr>
          <w:rFonts w:hint="eastAsia" w:ascii="宋体" w:hAnsi="宋体" w:cs="宋体"/>
          <w:color w:val="000000" w:themeColor="text1"/>
          <w:kern w:val="0"/>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24" w:name="_Toc351203646"/>
      <w:r>
        <w:rPr>
          <w:rFonts w:hint="eastAsia" w:ascii="宋体" w:hAnsi="宋体" w:eastAsia="宋体" w:cs="宋体"/>
          <w:color w:val="000000" w:themeColor="text1"/>
          <w:sz w:val="21"/>
          <w:szCs w:val="21"/>
          <w:highlight w:val="none"/>
          <w14:textFill>
            <w14:solidFill>
              <w14:schemeClr w14:val="tx1"/>
            </w14:solidFill>
          </w14:textFill>
        </w:rPr>
        <w:t>14. 竣工结算</w:t>
      </w:r>
      <w:bookmarkEnd w:id="524"/>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竣工结算申请</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承包人提交竣工结算申请单的期限：</w:t>
      </w:r>
      <w:r>
        <w:rPr>
          <w:rFonts w:hint="eastAsia" w:ascii="宋体" w:hAnsi="宋体" w:cs="宋体"/>
          <w:color w:val="000000" w:themeColor="text1"/>
          <w:szCs w:val="21"/>
          <w:highlight w:val="none"/>
          <w:u w:val="single"/>
          <w14:textFill>
            <w14:solidFill>
              <w14:schemeClr w14:val="tx1"/>
            </w14:solidFill>
          </w14:textFill>
        </w:rPr>
        <w:t>工程已竣工验收并移交发包人使用且工程档案资料已报政府工程建设质监部门和城建档案管理部门备案，且工程竣工结算审核完毕后28天内</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竣工结算申请单应包括的内容：</w:t>
      </w:r>
      <w:r>
        <w:rPr>
          <w:rFonts w:hint="eastAsia" w:ascii="宋体" w:hAnsi="宋体" w:cs="宋体"/>
          <w:color w:val="000000" w:themeColor="text1"/>
          <w:szCs w:val="21"/>
          <w:highlight w:val="none"/>
          <w:u w:val="single"/>
          <w14:textFill>
            <w14:solidFill>
              <w14:schemeClr w14:val="tx1"/>
            </w14:solidFill>
          </w14:textFill>
        </w:rPr>
        <w:t>同通用条款</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25" w:name="_Toc17902"/>
      <w:r>
        <w:rPr>
          <w:rFonts w:hint="eastAsia" w:ascii="宋体" w:hAnsi="宋体" w:cs="宋体"/>
          <w:color w:val="000000" w:themeColor="text1"/>
          <w:szCs w:val="21"/>
          <w:highlight w:val="none"/>
          <w14:textFill>
            <w14:solidFill>
              <w14:schemeClr w14:val="tx1"/>
            </w14:solidFill>
          </w14:textFill>
        </w:rPr>
        <w:t>14.2 竣工结算审核</w:t>
      </w:r>
      <w:bookmarkEnd w:id="525"/>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发包人审批竣工付款申请单的期限：</w:t>
      </w:r>
      <w:r>
        <w:rPr>
          <w:rFonts w:hint="eastAsia" w:ascii="宋体" w:hAnsi="宋体" w:cs="宋体"/>
          <w:color w:val="000000" w:themeColor="text1"/>
          <w:szCs w:val="21"/>
          <w:highlight w:val="none"/>
          <w:u w:val="single"/>
          <w14:textFill>
            <w14:solidFill>
              <w14:schemeClr w14:val="tx1"/>
            </w14:solidFill>
          </w14:textFill>
        </w:rPr>
        <w:t>监理人在收到承包人提交的竣工付款申请单后14天内完成核查，提出发包人到期应支付给承包人的价款送发包人审核并抄送承包人；监理人未在约定时间内核查，又未提出具体意见的，承包人应发出书面确认函通知监理人并应在书面通知函中明确告知监理人本次书面确认函系按照本条约定发出，监理人应在收到书面确认函后14天内予以核查或提出具体意见，否则视为承包人提交的竣工付款申请单已经监理人核查同意。发包人应在收到竣工付款申请单后14天内完成审核，发包人未在约定时间内审核又未提出具体意见的，承包人应发出书面确认函通知发包人并应在书面通知函中明确告知发包人本次书面确认函系按照本条约定发出，发包人应在收到书面确认函后14天内予以审核或提出具体意见，否则视为监理人提出发包人到期应支付给承包人的价款已经发包人同意</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发包人完成竣工付款的期限：</w:t>
      </w:r>
      <w:r>
        <w:rPr>
          <w:rFonts w:hint="eastAsia" w:ascii="宋体" w:hAnsi="宋体" w:cs="宋体"/>
          <w:color w:val="000000" w:themeColor="text1"/>
          <w:szCs w:val="21"/>
          <w:highlight w:val="none"/>
          <w:u w:val="single"/>
          <w14:textFill>
            <w14:solidFill>
              <w14:schemeClr w14:val="tx1"/>
            </w14:solidFill>
          </w14:textFill>
        </w:rPr>
        <w:t>签发竣工付款证书后的14 天内支付</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关于竣工付款证书异议部分复核的方式和程序：</w:t>
      </w:r>
      <w:r>
        <w:rPr>
          <w:rFonts w:hint="eastAsia" w:ascii="宋体" w:hAnsi="宋体" w:cs="宋体"/>
          <w:color w:val="000000" w:themeColor="text1"/>
          <w:szCs w:val="21"/>
          <w:highlight w:val="none"/>
          <w:u w:val="single"/>
          <w14:textFill>
            <w14:solidFill>
              <w14:schemeClr w14:val="tx1"/>
            </w14:solidFill>
          </w14:textFill>
        </w:rPr>
        <w:t>按照合同约定的争议解决条款处理</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14.3最终结清</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14.3.1 最终结清申请单</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承包人提交最终结清申请单的份数：</w:t>
      </w:r>
      <w:r>
        <w:rPr>
          <w:rFonts w:hint="eastAsia" w:ascii="宋体" w:hAnsi="宋体" w:cs="宋体"/>
          <w:color w:val="000000" w:themeColor="text1"/>
          <w:szCs w:val="21"/>
          <w:highlight w:val="none"/>
          <w:u w:val="single"/>
          <w14:textFill>
            <w14:solidFill>
              <w14:schemeClr w14:val="tx1"/>
            </w14:solidFill>
          </w14:textFill>
        </w:rPr>
        <w:t>4份</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承包人提交最终结算申请单的期限：</w:t>
      </w:r>
      <w:r>
        <w:rPr>
          <w:rFonts w:hint="eastAsia" w:ascii="宋体" w:hAnsi="宋体" w:cs="宋体"/>
          <w:color w:val="000000" w:themeColor="text1"/>
          <w:szCs w:val="21"/>
          <w:highlight w:val="none"/>
          <w:u w:val="single"/>
          <w14:textFill>
            <w14:solidFill>
              <w14:schemeClr w14:val="tx1"/>
            </w14:solidFill>
          </w14:textFill>
        </w:rPr>
        <w:t>工程保修期满且竣工结算审核完毕后28天内向监理人提交</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14.3.2 最终结清证书和支付</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Cs w:val="21"/>
          <w:highlight w:val="none"/>
          <w:u w:val="single"/>
          <w14:textFill>
            <w14:solidFill>
              <w14:schemeClr w14:val="tx1"/>
            </w14:solidFill>
          </w14:textFill>
        </w:rPr>
        <w:t>监理人在收到承包人提交的最终结清申请单后14天内完成审核，提出发包人应支付给承包人的价款送发包人审核并抄送承包人；监理人未在约定时间内核查，又未提出具体意见的，承包人应发出书面确认函通知监理人并应在书面通知函中明确告知监理人本次书面确认函系按照本条约定发出，监理人应在收到书面确认函后14天内予以核查或提出具体意见，否则视为承包人提交的最终结清申请单已经监理人核查同意。发包人应在收到后14天内完成审核，发包人未在约定时间内审核又未提出具体意见的，承包人应发出书面确认函通知发包人并应在书面通知函中明确告知发包人本次书面确认函系按照本条约定发出，发包人应在收到书面确认函后14天内予以审核或提出具体意见，否则视为监理人提出发包人到期应支付给承包人的价款已经发包人同意</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（2）发包人完成支付的期限：</w:t>
      </w:r>
      <w:r>
        <w:rPr>
          <w:rFonts w:hint="eastAsia" w:ascii="宋体" w:hAnsi="宋体" w:cs="宋体"/>
          <w:color w:val="000000" w:themeColor="text1"/>
          <w:szCs w:val="21"/>
          <w:highlight w:val="none"/>
          <w:u w:val="single"/>
          <w14:textFill>
            <w14:solidFill>
              <w14:schemeClr w14:val="tx1"/>
            </w14:solidFill>
          </w14:textFill>
        </w:rPr>
        <w:t>签发最终结清证书之日起56日内支付</w:t>
      </w:r>
      <w:r>
        <w:rPr>
          <w:rFonts w:hint="eastAsia" w:ascii="宋体" w:hAnsi="宋体" w:cs="宋体"/>
          <w:color w:val="000000" w:themeColor="text1"/>
          <w:szCs w:val="21"/>
          <w:highlight w:val="none"/>
          <w14:textFill>
            <w14:solidFill>
              <w14:schemeClr w14:val="tx1"/>
            </w14:solidFill>
          </w14:textFill>
        </w:rPr>
        <w:t>。</w:t>
      </w:r>
    </w:p>
    <w:bookmarkEnd w:id="510"/>
    <w:bookmarkEnd w:id="511"/>
    <w:bookmarkEnd w:id="512"/>
    <w:bookmarkEnd w:id="513"/>
    <w:bookmarkEnd w:id="514"/>
    <w:bookmarkEnd w:id="515"/>
    <w:bookmarkEnd w:id="516"/>
    <w:bookmarkEnd w:id="522"/>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26" w:name="_Toc351203647"/>
      <w:bookmarkStart w:id="527" w:name="_Toc267251483"/>
      <w:bookmarkStart w:id="528" w:name="_Toc267251482"/>
      <w:bookmarkStart w:id="529" w:name="_Toc267251484"/>
      <w:bookmarkStart w:id="530" w:name="_Toc267251485"/>
      <w:bookmarkStart w:id="531" w:name="_Toc267251489"/>
      <w:bookmarkStart w:id="532" w:name="_Toc267251490"/>
      <w:bookmarkStart w:id="533" w:name="_Toc267251488"/>
      <w:bookmarkStart w:id="534" w:name="_Toc267251486"/>
      <w:bookmarkStart w:id="535" w:name="_Toc267251491"/>
      <w:bookmarkStart w:id="536" w:name="_Toc267251499"/>
      <w:bookmarkStart w:id="537" w:name="_Toc267251492"/>
      <w:bookmarkStart w:id="538" w:name="_Toc267251501"/>
      <w:bookmarkStart w:id="539" w:name="_Toc267251496"/>
      <w:bookmarkStart w:id="540" w:name="_Toc267251493"/>
      <w:bookmarkStart w:id="541" w:name="_Toc267251502"/>
      <w:bookmarkStart w:id="542" w:name="_Toc267251495"/>
      <w:bookmarkStart w:id="543" w:name="_Toc267251498"/>
      <w:bookmarkStart w:id="544" w:name="_Toc267251497"/>
      <w:bookmarkStart w:id="545" w:name="_Toc267251503"/>
      <w:bookmarkStart w:id="546" w:name="_Toc267251494"/>
      <w:bookmarkStart w:id="547" w:name="_Toc267251506"/>
      <w:bookmarkStart w:id="548" w:name="_Toc267251504"/>
      <w:bookmarkStart w:id="549" w:name="_Toc267251507"/>
      <w:bookmarkStart w:id="550" w:name="_Toc267251508"/>
      <w:bookmarkStart w:id="551" w:name="_Toc267251515"/>
      <w:bookmarkStart w:id="552" w:name="_Toc267251510"/>
      <w:bookmarkStart w:id="553" w:name="_Toc267251513"/>
      <w:bookmarkStart w:id="554" w:name="_Toc267251509"/>
      <w:bookmarkStart w:id="555" w:name="_Toc267251511"/>
      <w:bookmarkStart w:id="556" w:name="_Toc267251514"/>
      <w:r>
        <w:rPr>
          <w:rFonts w:hint="eastAsia" w:ascii="宋体" w:hAnsi="宋体" w:eastAsia="宋体" w:cs="宋体"/>
          <w:color w:val="000000" w:themeColor="text1"/>
          <w:sz w:val="21"/>
          <w:szCs w:val="21"/>
          <w:highlight w:val="none"/>
          <w14:textFill>
            <w14:solidFill>
              <w14:schemeClr w14:val="tx1"/>
            </w14:solidFill>
          </w14:textFill>
        </w:rPr>
        <w:t>15. 缺陷责任期与保修</w:t>
      </w:r>
      <w:bookmarkEnd w:id="526"/>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15.12缺陷责任期</w:t>
      </w:r>
      <w:bookmarkEnd w:id="527"/>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缺陷责任期的具体期限：</w:t>
      </w:r>
      <w:r>
        <w:rPr>
          <w:rFonts w:hint="eastAsia" w:ascii="宋体" w:hAnsi="宋体" w:cs="宋体"/>
          <w:color w:val="000000" w:themeColor="text1"/>
          <w:szCs w:val="21"/>
          <w:highlight w:val="none"/>
          <w:u w:val="single"/>
          <w14:textFill>
            <w14:solidFill>
              <w14:schemeClr w14:val="tx1"/>
            </w14:solidFill>
          </w14:textFill>
        </w:rPr>
        <w:t>从工程通过竣工验收之日起计24个月</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57" w:name="_Toc17901"/>
      <w:r>
        <w:rPr>
          <w:rFonts w:hint="eastAsia" w:ascii="宋体" w:hAnsi="宋体" w:cs="宋体"/>
          <w:color w:val="000000" w:themeColor="text1"/>
          <w:szCs w:val="21"/>
          <w:highlight w:val="none"/>
          <w14:textFill>
            <w14:solidFill>
              <w14:schemeClr w14:val="tx1"/>
            </w14:solidFill>
          </w14:textFill>
        </w:rPr>
        <w:t>15.2 质量保证金</w:t>
      </w:r>
      <w:bookmarkEnd w:id="557"/>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关于是否扣留质量保证金的约定：</w:t>
      </w:r>
      <w:r>
        <w:rPr>
          <w:rFonts w:hint="eastAsia" w:ascii="宋体" w:hAnsi="宋体" w:cs="宋体"/>
          <w:color w:val="000000" w:themeColor="text1"/>
          <w:szCs w:val="21"/>
          <w:highlight w:val="none"/>
          <w:u w:val="single"/>
          <w14:textFill>
            <w14:solidFill>
              <w14:schemeClr w14:val="tx1"/>
            </w14:solidFill>
          </w14:textFill>
        </w:rPr>
        <w:t>扣留质量保证金。在工程项目竣工前，承包人按专用合同条款第</w:t>
      </w:r>
      <w:r>
        <w:rPr>
          <w:rFonts w:ascii="宋体" w:hAnsi="宋体" w:cs="宋体"/>
          <w:color w:val="000000" w:themeColor="text1"/>
          <w:szCs w:val="21"/>
          <w:highlight w:val="none"/>
          <w:u w:val="single"/>
          <w14:textFill>
            <w14:solidFill>
              <w14:schemeClr w14:val="tx1"/>
            </w14:solidFill>
          </w14:textFill>
        </w:rPr>
        <w:t>3.7条提供履约担保的，发包人不得同时预留工程质量保证金。</w:t>
      </w:r>
    </w:p>
    <w:p>
      <w:pPr>
        <w:snapToGrid w:val="0"/>
        <w:spacing w:line="360" w:lineRule="auto"/>
        <w:ind w:firstLine="420" w:firstLineChars="200"/>
        <w:jc w:val="left"/>
        <w:outlineLvl w:val="0"/>
        <w:rPr>
          <w:rFonts w:ascii="宋体" w:hAnsi="宋体" w:cs="宋体"/>
          <w:color w:val="000000" w:themeColor="text1"/>
          <w:szCs w:val="21"/>
          <w:highlight w:val="none"/>
          <w14:textFill>
            <w14:solidFill>
              <w14:schemeClr w14:val="tx1"/>
            </w14:solidFill>
          </w14:textFill>
        </w:rPr>
      </w:pPr>
      <w:bookmarkStart w:id="558" w:name="_Toc10623"/>
      <w:r>
        <w:rPr>
          <w:rFonts w:ascii="宋体" w:hAnsi="宋体" w:cs="宋体"/>
          <w:color w:val="000000" w:themeColor="text1"/>
          <w:szCs w:val="21"/>
          <w:highlight w:val="none"/>
          <w14:textFill>
            <w14:solidFill>
              <w14:schemeClr w14:val="tx1"/>
            </w14:solidFill>
          </w14:textFill>
        </w:rPr>
        <w:t xml:space="preserve">15.2.1 </w:t>
      </w:r>
      <w:r>
        <w:rPr>
          <w:rFonts w:hint="eastAsia" w:ascii="宋体" w:hAnsi="宋体" w:cs="宋体"/>
          <w:color w:val="000000" w:themeColor="text1"/>
          <w:szCs w:val="21"/>
          <w:highlight w:val="none"/>
          <w14:textFill>
            <w14:solidFill>
              <w14:schemeClr w14:val="tx1"/>
            </w14:solidFill>
          </w14:textFill>
        </w:rPr>
        <w:t>承包人提供质量保证金的方式</w:t>
      </w:r>
      <w:bookmarkEnd w:id="558"/>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质量保证金采用以下第</w:t>
      </w:r>
      <w:r>
        <w:rPr>
          <w:rFonts w:hint="eastAsia" w:ascii="宋体" w:hAnsi="宋体" w:cs="宋体"/>
          <w:color w:val="000000" w:themeColor="text1"/>
          <w:szCs w:val="21"/>
          <w:highlight w:val="none"/>
          <w:u w:val="single"/>
          <w14:textFill>
            <w14:solidFill>
              <w14:schemeClr w14:val="tx1"/>
            </w14:solidFill>
          </w14:textFill>
        </w:rPr>
        <w:t>（</w:t>
      </w:r>
      <w:r>
        <w:rPr>
          <w:rFonts w:ascii="宋体" w:hAnsi="宋体" w:cs="宋体"/>
          <w:color w:val="000000" w:themeColor="text1"/>
          <w:szCs w:val="21"/>
          <w:highlight w:val="none"/>
          <w:u w:val="singl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种方式：</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1）质量保证金保函，保证金额为：</w:t>
      </w:r>
      <w:r>
        <w:rPr>
          <w:rFonts w:ascii="宋体" w:hAnsi="宋体" w:cs="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2）</w:t>
      </w:r>
      <w:r>
        <w:rPr>
          <w:rFonts w:ascii="宋体" w:hAnsi="宋体" w:cs="宋体"/>
          <w:color w:val="000000" w:themeColor="text1"/>
          <w:kern w:val="0"/>
          <w:szCs w:val="21"/>
          <w:highlight w:val="none"/>
          <w:u w:val="singl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%的工程款；</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3）其他方式:</w:t>
      </w:r>
      <w:r>
        <w:rPr>
          <w:rFonts w:hint="eastAsia" w:ascii="宋体" w:hAnsi="宋体" w:cs="宋体"/>
          <w:color w:val="000000" w:themeColor="text1"/>
          <w:szCs w:val="21"/>
          <w:highlight w:val="none"/>
          <w:u w:val="single"/>
          <w14:textFill>
            <w14:solidFill>
              <w14:schemeClr w14:val="tx1"/>
            </w14:solidFill>
          </w14:textFill>
        </w:rPr>
        <w:t>审计结算金额的</w:t>
      </w:r>
      <w:r>
        <w:rPr>
          <w:rFonts w:ascii="宋体" w:hAnsi="宋体" w:cs="宋体"/>
          <w:color w:val="000000" w:themeColor="text1"/>
          <w:szCs w:val="21"/>
          <w:highlight w:val="none"/>
          <w:u w:val="single"/>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jc w:val="left"/>
        <w:outlineLvl w:val="0"/>
        <w:rPr>
          <w:rFonts w:ascii="宋体" w:hAnsi="宋体" w:cs="宋体"/>
          <w:color w:val="000000" w:themeColor="text1"/>
          <w:szCs w:val="21"/>
          <w:highlight w:val="none"/>
          <w14:textFill>
            <w14:solidFill>
              <w14:schemeClr w14:val="tx1"/>
            </w14:solidFill>
          </w14:textFill>
        </w:rPr>
      </w:pPr>
      <w:bookmarkStart w:id="559" w:name="_Toc12489"/>
      <w:r>
        <w:rPr>
          <w:rFonts w:ascii="宋体" w:hAnsi="宋体" w:cs="宋体"/>
          <w:color w:val="000000" w:themeColor="text1"/>
          <w:szCs w:val="21"/>
          <w:highlight w:val="none"/>
          <w14:textFill>
            <w14:solidFill>
              <w14:schemeClr w14:val="tx1"/>
            </w14:solidFill>
          </w14:textFill>
        </w:rPr>
        <w:t xml:space="preserve">15.2.2 </w:t>
      </w:r>
      <w:r>
        <w:rPr>
          <w:rFonts w:hint="eastAsia" w:ascii="宋体" w:hAnsi="宋体" w:cs="宋体"/>
          <w:color w:val="000000" w:themeColor="text1"/>
          <w:szCs w:val="21"/>
          <w:highlight w:val="none"/>
          <w14:textFill>
            <w14:solidFill>
              <w14:schemeClr w14:val="tx1"/>
            </w14:solidFill>
          </w14:textFill>
        </w:rPr>
        <w:t>质量保证金的扣留</w:t>
      </w:r>
      <w:bookmarkEnd w:id="559"/>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质量保证金的扣留采取以下第</w:t>
      </w:r>
      <w:r>
        <w:rPr>
          <w:rFonts w:hint="eastAsia" w:ascii="宋体" w:hAnsi="宋体" w:cs="宋体"/>
          <w:color w:val="000000" w:themeColor="text1"/>
          <w:szCs w:val="21"/>
          <w:highlight w:val="none"/>
          <w:u w:val="single"/>
          <w14:textFill>
            <w14:solidFill>
              <w14:schemeClr w14:val="tx1"/>
            </w14:solidFill>
          </w14:textFill>
        </w:rPr>
        <w:t>（</w:t>
      </w:r>
      <w:r>
        <w:rPr>
          <w:rFonts w:ascii="宋体" w:hAnsi="宋体" w:cs="宋体"/>
          <w:color w:val="000000" w:themeColor="text1"/>
          <w:szCs w:val="21"/>
          <w:highlight w:val="none"/>
          <w:u w:val="singl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种方式：</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1）在支付工程进度款时逐次扣留，在此情形下，质量保证金的计算基数不包括预付款的支付、扣回以及价格调整的金额；</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2）工程竣工结算时一次性扣留质量保证金；</w:t>
      </w:r>
    </w:p>
    <w:p>
      <w:pP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3）其他扣留方式:</w:t>
      </w:r>
      <w:r>
        <w:rPr>
          <w:rFonts w:ascii="宋体" w:hAnsi="宋体" w:cs="宋体"/>
          <w:color w:val="000000" w:themeColor="text1"/>
          <w:szCs w:val="21"/>
          <w:highlight w:val="none"/>
          <w:u w:val="single"/>
          <w14:textFill>
            <w14:solidFill>
              <w14:schemeClr w14:val="tx1"/>
            </w14:solidFill>
          </w14:textFill>
        </w:rPr>
        <w:t xml:space="preserve"> / </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关于质量保证金的补充约定：</w:t>
      </w:r>
      <w:r>
        <w:rPr>
          <w:rFonts w:hint="eastAsia" w:ascii="宋体" w:hAnsi="宋体" w:cs="宋体"/>
          <w:color w:val="000000" w:themeColor="text1"/>
          <w:kern w:val="0"/>
          <w:szCs w:val="21"/>
          <w:highlight w:val="none"/>
          <w:u w:val="single"/>
          <w14:textFill>
            <w14:solidFill>
              <w14:schemeClr w14:val="tx1"/>
            </w14:solidFill>
          </w14:textFill>
        </w:rPr>
        <w:t>待项目保修期满后无质量问题，由乙方提交付款申请后甲方一次性无息退还保证金</w:t>
      </w:r>
      <w:r>
        <w:rPr>
          <w:rFonts w:hint="eastAsia" w:ascii="宋体" w:hAnsi="宋体" w:cs="宋体"/>
          <w:color w:val="000000" w:themeColor="text1"/>
          <w:kern w:val="0"/>
          <w:szCs w:val="21"/>
          <w:highlight w:val="none"/>
          <w14:textFill>
            <w14:solidFill>
              <w14:schemeClr w14:val="tx1"/>
            </w14:solidFill>
          </w14:textFill>
        </w:rPr>
        <w:t>。</w:t>
      </w:r>
    </w:p>
    <w:bookmarkEnd w:id="528"/>
    <w:bookmarkEnd w:id="529"/>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15.3保修</w:t>
      </w:r>
    </w:p>
    <w:bookmarkEnd w:id="530"/>
    <w:p>
      <w:pPr>
        <w:snapToGrid w:val="0"/>
        <w:spacing w:line="360" w:lineRule="auto"/>
        <w:ind w:firstLine="409" w:firstLineChars="19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15.3.1 保修责任</w:t>
      </w:r>
    </w:p>
    <w:p>
      <w:pPr>
        <w:snapToGrid w:val="0"/>
        <w:spacing w:line="360" w:lineRule="auto"/>
        <w:ind w:firstLine="409" w:firstLineChars="195"/>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工程保修期为：</w:t>
      </w:r>
      <w:r>
        <w:rPr>
          <w:rFonts w:hint="eastAsia" w:ascii="宋体" w:hAnsi="宋体" w:cs="宋体"/>
          <w:color w:val="000000" w:themeColor="text1"/>
          <w:kern w:val="0"/>
          <w:szCs w:val="21"/>
          <w:highlight w:val="none"/>
          <w:u w:val="single"/>
          <w14:textFill>
            <w14:solidFill>
              <w14:schemeClr w14:val="tx1"/>
            </w14:solidFill>
          </w14:textFill>
        </w:rPr>
        <w:t>按合同协议书的约定，不低于国家有关规定的要求</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09" w:firstLineChars="19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15.3.3 修复通知</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承包人收到保修通知并到达工程现场的合理时间：</w:t>
      </w:r>
      <w:r>
        <w:rPr>
          <w:rFonts w:hint="eastAsia" w:ascii="宋体" w:hAnsi="宋体" w:cs="宋体"/>
          <w:color w:val="000000" w:themeColor="text1"/>
          <w:kern w:val="0"/>
          <w:szCs w:val="21"/>
          <w:highlight w:val="none"/>
          <w:u w:val="single"/>
          <w14:textFill>
            <w14:solidFill>
              <w14:schemeClr w14:val="tx1"/>
            </w14:solidFill>
          </w14:textFill>
        </w:rPr>
        <w:t>2小时内</w:t>
      </w:r>
      <w:r>
        <w:rPr>
          <w:rFonts w:hint="eastAsia" w:ascii="宋体" w:hAnsi="宋体" w:cs="宋体"/>
          <w:color w:val="000000" w:themeColor="text1"/>
          <w:kern w:val="0"/>
          <w:szCs w:val="21"/>
          <w:highlight w:val="none"/>
          <w14:textFill>
            <w14:solidFill>
              <w14:schemeClr w14:val="tx1"/>
            </w14:solidFill>
          </w14:textFill>
        </w:rPr>
        <w:t>。</w:t>
      </w:r>
    </w:p>
    <w:bookmarkEnd w:id="531"/>
    <w:bookmarkEnd w:id="532"/>
    <w:bookmarkEnd w:id="533"/>
    <w:bookmarkEnd w:id="534"/>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60" w:name="_Toc351203648"/>
      <w:bookmarkStart w:id="561" w:name="_Toc280868717"/>
      <w:bookmarkStart w:id="562" w:name="_Toc280868718"/>
      <w:r>
        <w:rPr>
          <w:rFonts w:hint="eastAsia" w:ascii="宋体" w:hAnsi="宋体" w:eastAsia="宋体" w:cs="宋体"/>
          <w:color w:val="000000" w:themeColor="text1"/>
          <w:sz w:val="21"/>
          <w:szCs w:val="21"/>
          <w:highlight w:val="none"/>
          <w14:textFill>
            <w14:solidFill>
              <w14:schemeClr w14:val="tx1"/>
            </w14:solidFill>
          </w14:textFill>
        </w:rPr>
        <w:t>16. 违约</w:t>
      </w:r>
      <w:bookmarkEnd w:id="560"/>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63" w:name="_Toc11991"/>
      <w:r>
        <w:rPr>
          <w:rFonts w:hint="eastAsia" w:ascii="宋体" w:hAnsi="宋体" w:cs="宋体"/>
          <w:color w:val="000000" w:themeColor="text1"/>
          <w:szCs w:val="21"/>
          <w:highlight w:val="none"/>
          <w14:textFill>
            <w14:solidFill>
              <w14:schemeClr w14:val="tx1"/>
            </w14:solidFill>
          </w14:textFill>
        </w:rPr>
        <w:t>16.1 承包人违约</w:t>
      </w:r>
      <w:bookmarkEnd w:id="563"/>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16.1.1 承包人违约的情形</w:t>
      </w:r>
    </w:p>
    <w:p>
      <w:pPr>
        <w:autoSpaceDE w:val="0"/>
        <w:autoSpaceDN w:val="0"/>
        <w:adjustRightIn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在合同履行过程中发生的下列情形，属于承包人违约：</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（1）承包人违反合同约定进行转包或分包的；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（2）承包人违反合同约定采购和使用不合格的材料和工程设备的；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 xml:space="preserve">（3）因承包人原因导致工程质量不符合合同要求的； </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（4）承包人违反发包人关于材料与设备专用要求的约定，未经批准，私自将已按照合同约定进入施工现场的材料或设备撤离施工现场的；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（5）承包人未能按施工进度计划及时完成合同约定的工作，造成工期延误的；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（6）承包人在缺陷责任期及保修期内，未能在合理期限对工程缺陷进行修复，或拒绝按发包人要求进行修复的；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（7）承包人明确表示或者以其行为表明不履行合同主要义务的；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（8）承包人未能按照合同约定履行其他义务的；</w:t>
      </w:r>
    </w:p>
    <w:p>
      <w:pPr>
        <w:autoSpaceDE w:val="0"/>
        <w:autoSpaceDN w:val="0"/>
        <w:adjustRightInd w:val="0"/>
        <w:spacing w:line="360" w:lineRule="auto"/>
        <w:ind w:firstLine="210" w:firstLineChars="1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（9）承包人发生以上违约情况时，监理人可向承包人发出整改通知，要求其在指定的期限内改正。</w:t>
      </w:r>
    </w:p>
    <w:p>
      <w:pPr>
        <w:spacing w:after="120" w:line="360" w:lineRule="auto"/>
        <w:ind w:firstLine="210" w:firstLineChars="100"/>
        <w:contextualSpacing/>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（10）承包人未能按照国家标准和行业标准施工导致工程出现质量问题而引发的安全事故或纠纷，导致发包人经济损失的，发包人承担及赔偿的所有费用及责任应由承包人全部承担。</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16.2.2承包人违约的责任</w:t>
      </w:r>
    </w:p>
    <w:p>
      <w:pPr>
        <w:snapToGrid w:val="0"/>
        <w:spacing w:line="360" w:lineRule="auto"/>
        <w:ind w:firstLine="420" w:firstLineChars="2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承包人违约责任的承担方式和计算方法：</w:t>
      </w:r>
      <w:r>
        <w:rPr>
          <w:rFonts w:hint="eastAsia" w:ascii="宋体" w:hAnsi="宋体" w:cs="宋体"/>
          <w:color w:val="000000" w:themeColor="text1"/>
          <w:kern w:val="0"/>
          <w:szCs w:val="21"/>
          <w:highlight w:val="none"/>
          <w:u w:val="single"/>
          <w14:textFill>
            <w14:solidFill>
              <w14:schemeClr w14:val="tx1"/>
            </w14:solidFill>
          </w14:textFill>
        </w:rPr>
        <w:t>承包人发生违约情况时，发包人均有权向承包人要求按合同约定支付违约金。其违约行为严重者，发包人将其违约行为上报省级建筑主管部门，作为不良行为记录纳入建设市场信用信息管理系统</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16.2.3 因承包人违约解除合同</w:t>
      </w:r>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关于承包人违约解除合同的特别约定：</w:t>
      </w:r>
      <w:r>
        <w:rPr>
          <w:rFonts w:hint="eastAsia" w:ascii="宋体" w:hAnsi="宋体" w:cs="宋体"/>
          <w:color w:val="000000" w:themeColor="text1"/>
          <w:kern w:val="0"/>
          <w:szCs w:val="21"/>
          <w:highlight w:val="none"/>
          <w:u w:val="single"/>
          <w14:textFill>
            <w14:solidFill>
              <w14:schemeClr w14:val="tx1"/>
            </w14:solidFill>
          </w14:textFill>
        </w:rPr>
        <w:t>见本合同专用条款相关约定</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kern w:val="0"/>
          <w:szCs w:val="21"/>
          <w:highlight w:val="none"/>
          <w:u w:val="single"/>
          <w14:textFill>
            <w14:solidFill>
              <w14:schemeClr w14:val="tx1"/>
            </w14:solidFill>
          </w14:textFill>
        </w:rPr>
        <w:t>因承包人违约解除合同，发包人无义务因上述事宜向承包人支付任何费用，其余同通用条款</w:t>
      </w:r>
      <w:r>
        <w:rPr>
          <w:rFonts w:hint="eastAsia" w:ascii="宋体" w:hAnsi="宋体" w:cs="宋体"/>
          <w:color w:val="000000" w:themeColor="text1"/>
          <w:kern w:val="0"/>
          <w:szCs w:val="21"/>
          <w:highlight w:val="none"/>
          <w14:textFill>
            <w14:solidFill>
              <w14:schemeClr w14:val="tx1"/>
            </w14:solidFill>
          </w14:textFill>
        </w:rPr>
        <w:t>。</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64" w:name="_Toc351203649"/>
      <w:r>
        <w:rPr>
          <w:rFonts w:hint="eastAsia" w:ascii="宋体" w:hAnsi="宋体" w:eastAsia="宋体" w:cs="宋体"/>
          <w:color w:val="000000" w:themeColor="text1"/>
          <w:sz w:val="21"/>
          <w:szCs w:val="21"/>
          <w:highlight w:val="none"/>
          <w14:textFill>
            <w14:solidFill>
              <w14:schemeClr w14:val="tx1"/>
            </w14:solidFill>
          </w14:textFill>
        </w:rPr>
        <w:t>17. 不可抗力</w:t>
      </w:r>
      <w:bookmarkEnd w:id="561"/>
      <w:bookmarkEnd w:id="564"/>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 不可抗力的确认</w:t>
      </w:r>
    </w:p>
    <w:p>
      <w:pPr>
        <w:snapToGrid w:val="0"/>
        <w:spacing w:line="360" w:lineRule="auto"/>
        <w:ind w:firstLine="420" w:firstLineChars="200"/>
        <w:jc w:val="left"/>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kern w:val="0"/>
          <w:szCs w:val="21"/>
          <w:highlight w:val="none"/>
          <w:u w:val="single"/>
          <w14:textFill>
            <w14:solidFill>
              <w14:schemeClr w14:val="tx1"/>
            </w14:solidFill>
          </w14:textFill>
        </w:rPr>
        <w:t>因战争，动乱，空中飞行物坠落；非三方责任造成的爆炸、火灾、四级（含四级）以上地震等造成工程停工，经合同三方确认后，可顺延工期。</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65" w:name="_Toc15132"/>
      <w:r>
        <w:rPr>
          <w:rFonts w:hint="eastAsia" w:ascii="宋体" w:hAnsi="宋体" w:cs="宋体"/>
          <w:color w:val="000000" w:themeColor="text1"/>
          <w:szCs w:val="21"/>
          <w:highlight w:val="none"/>
          <w14:textFill>
            <w14:solidFill>
              <w14:schemeClr w14:val="tx1"/>
            </w14:solidFill>
          </w14:textFill>
        </w:rPr>
        <w:t>17.2 因不可抗力解除合同</w:t>
      </w:r>
      <w:bookmarkEnd w:id="565"/>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sectPr>
          <w:pgSz w:w="11906" w:h="16838"/>
          <w:pgMar w:top="1440" w:right="1800" w:bottom="1440" w:left="1800" w:header="283" w:footer="510" w:gutter="0"/>
          <w:cols w:space="425" w:num="1"/>
          <w:docGrid w:type="lines" w:linePitch="312" w:charSpace="0"/>
        </w:sectPr>
      </w:pPr>
      <w:r>
        <w:rPr>
          <w:rFonts w:hint="eastAsia" w:ascii="宋体" w:hAnsi="宋体" w:cs="宋体"/>
          <w:color w:val="000000" w:themeColor="text1"/>
          <w:szCs w:val="21"/>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Cs w:val="21"/>
          <w:highlight w:val="none"/>
          <w:u w:val="single"/>
          <w14:textFill>
            <w14:solidFill>
              <w14:schemeClr w14:val="tx1"/>
            </w14:solidFill>
          </w14:textFill>
        </w:rPr>
        <w:t>56</w:t>
      </w:r>
      <w:r>
        <w:rPr>
          <w:rFonts w:hint="eastAsia" w:ascii="宋体" w:hAnsi="宋体" w:cs="宋体"/>
          <w:color w:val="000000" w:themeColor="text1"/>
          <w:szCs w:val="21"/>
          <w:highlight w:val="none"/>
          <w14:textFill>
            <w14:solidFill>
              <w14:schemeClr w14:val="tx1"/>
            </w14:solidFill>
          </w14:textFill>
        </w:rPr>
        <w:t>天内完成款项</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的支付。</w:t>
      </w:r>
    </w:p>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66" w:name="_Toc351203650"/>
      <w:r>
        <w:rPr>
          <w:rFonts w:hint="eastAsia" w:ascii="宋体" w:hAnsi="宋体" w:eastAsia="宋体" w:cs="宋体"/>
          <w:color w:val="000000" w:themeColor="text1"/>
          <w:sz w:val="21"/>
          <w:szCs w:val="21"/>
          <w:highlight w:val="none"/>
          <w14:textFill>
            <w14:solidFill>
              <w14:schemeClr w14:val="tx1"/>
            </w14:solidFill>
          </w14:textFill>
        </w:rPr>
        <w:t>18. 保险</w:t>
      </w:r>
      <w:bookmarkEnd w:id="566"/>
    </w:p>
    <w:bookmarkEnd w:id="562"/>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 工程保险</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关于工程保险的特别约定：</w:t>
      </w:r>
      <w:r>
        <w:rPr>
          <w:rFonts w:hint="eastAsia" w:ascii="宋体" w:hAnsi="宋体" w:cs="宋体"/>
          <w:color w:val="000000" w:themeColor="text1"/>
          <w:kern w:val="0"/>
          <w:szCs w:val="21"/>
          <w:highlight w:val="none"/>
          <w:u w:val="single"/>
          <w14:textFill>
            <w14:solidFill>
              <w14:schemeClr w14:val="tx1"/>
            </w14:solidFill>
          </w14:textFill>
        </w:rPr>
        <w:t>承包人负责投保建筑工程一切险，相关费用由承包人自行承担</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67" w:name="_Toc31855"/>
      <w:r>
        <w:rPr>
          <w:rFonts w:hint="eastAsia" w:ascii="宋体" w:hAnsi="宋体" w:cs="宋体"/>
          <w:color w:val="000000" w:themeColor="text1"/>
          <w:szCs w:val="21"/>
          <w:highlight w:val="none"/>
          <w14:textFill>
            <w14:solidFill>
              <w14:schemeClr w14:val="tx1"/>
            </w14:solidFill>
          </w14:textFill>
        </w:rPr>
        <w:t>18.2 其他保险</w:t>
      </w:r>
      <w:bookmarkEnd w:id="567"/>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关于其他保险的约定：</w:t>
      </w:r>
      <w:r>
        <w:rPr>
          <w:rFonts w:hint="eastAsia" w:ascii="宋体" w:hAnsi="宋体" w:cs="宋体"/>
          <w:color w:val="000000" w:themeColor="text1"/>
          <w:kern w:val="0"/>
          <w:szCs w:val="21"/>
          <w:highlight w:val="none"/>
          <w:u w:val="single"/>
          <w14:textFill>
            <w14:solidFill>
              <w14:schemeClr w14:val="tx1"/>
            </w14:solidFill>
          </w14:textFill>
        </w:rPr>
        <w:t>承包人应为其施工现场的全部人员办理意外伤害保险并支付保险费，包括其员工及为履行合同聘请的第三方的人员</w:t>
      </w:r>
      <w:r>
        <w:rPr>
          <w:rFonts w:hint="eastAsia" w:ascii="宋体" w:hAnsi="宋体" w:cs="宋体"/>
          <w:color w:val="000000" w:themeColor="text1"/>
          <w:kern w:val="0"/>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承包人是否应为其施工设备等办理财产保险：</w:t>
      </w:r>
      <w:r>
        <w:rPr>
          <w:rFonts w:hint="eastAsia" w:ascii="宋体" w:hAnsi="宋体" w:cs="宋体"/>
          <w:color w:val="000000" w:themeColor="text1"/>
          <w:szCs w:val="21"/>
          <w:highlight w:val="none"/>
          <w:u w:val="single"/>
          <w14:textFill>
            <w14:solidFill>
              <w14:schemeClr w14:val="tx1"/>
            </w14:solidFill>
          </w14:textFill>
        </w:rPr>
        <w:t>按长沙市有关规定执行。</w:t>
      </w:r>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18.3 通知义务</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关于变更保险合同时的通知义务的约定：</w:t>
      </w:r>
      <w:r>
        <w:rPr>
          <w:rFonts w:hint="eastAsia" w:ascii="宋体" w:hAnsi="宋体" w:cs="宋体"/>
          <w:color w:val="000000" w:themeColor="text1"/>
          <w:szCs w:val="21"/>
          <w:highlight w:val="none"/>
          <w:u w:val="single"/>
          <w14:textFill>
            <w14:solidFill>
              <w14:schemeClr w14:val="tx1"/>
            </w14:solidFill>
          </w14:textFill>
        </w:rPr>
        <w:t>执行通用条款</w:t>
      </w:r>
      <w:r>
        <w:rPr>
          <w:rFonts w:hint="eastAsia" w:ascii="宋体" w:hAnsi="宋体" w:cs="宋体"/>
          <w:color w:val="000000" w:themeColor="text1"/>
          <w:szCs w:val="21"/>
          <w:highlight w:val="none"/>
          <w14:textFill>
            <w14:solidFill>
              <w14:schemeClr w14:val="tx1"/>
            </w14:solidFill>
          </w14:textFill>
        </w:rPr>
        <w:t>。</w:t>
      </w:r>
    </w:p>
    <w:bookmarkEnd w:id="535"/>
    <w:bookmarkEnd w:id="536"/>
    <w:bookmarkEnd w:id="537"/>
    <w:bookmarkEnd w:id="538"/>
    <w:bookmarkEnd w:id="539"/>
    <w:bookmarkEnd w:id="540"/>
    <w:bookmarkEnd w:id="541"/>
    <w:bookmarkEnd w:id="542"/>
    <w:bookmarkEnd w:id="543"/>
    <w:bookmarkEnd w:id="544"/>
    <w:bookmarkEnd w:id="545"/>
    <w:bookmarkEnd w:id="546"/>
    <w:p>
      <w:pPr>
        <w:pStyle w:val="9"/>
        <w:snapToGrid w:val="0"/>
        <w:spacing w:before="0" w:after="0" w:line="360" w:lineRule="auto"/>
        <w:rPr>
          <w:rFonts w:ascii="宋体" w:hAnsi="宋体" w:eastAsia="宋体" w:cs="宋体"/>
          <w:color w:val="000000" w:themeColor="text1"/>
          <w:sz w:val="21"/>
          <w:szCs w:val="21"/>
          <w:highlight w:val="none"/>
          <w14:textFill>
            <w14:solidFill>
              <w14:schemeClr w14:val="tx1"/>
            </w14:solidFill>
          </w14:textFill>
        </w:rPr>
      </w:pPr>
      <w:bookmarkStart w:id="568" w:name="_Toc351203651"/>
      <w:r>
        <w:rPr>
          <w:rFonts w:hint="eastAsia" w:ascii="宋体" w:hAnsi="宋体" w:eastAsia="宋体" w:cs="宋体"/>
          <w:color w:val="000000" w:themeColor="text1"/>
          <w:sz w:val="21"/>
          <w:szCs w:val="21"/>
          <w:highlight w:val="none"/>
          <w14:textFill>
            <w14:solidFill>
              <w14:schemeClr w14:val="tx1"/>
            </w14:solidFill>
          </w14:textFill>
        </w:rPr>
        <w:t>19 争议解决</w:t>
      </w:r>
      <w:bookmarkEnd w:id="568"/>
    </w:p>
    <w:bookmarkEnd w:id="547"/>
    <w:bookmarkEnd w:id="548"/>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69" w:name="_Toc22979"/>
      <w:r>
        <w:rPr>
          <w:rFonts w:hint="eastAsia" w:ascii="宋体" w:hAnsi="宋体" w:cs="宋体"/>
          <w:color w:val="000000" w:themeColor="text1"/>
          <w:szCs w:val="21"/>
          <w:highlight w:val="none"/>
          <w14:textFill>
            <w14:solidFill>
              <w14:schemeClr w14:val="tx1"/>
            </w14:solidFill>
          </w14:textFill>
        </w:rPr>
        <w:t>19.1 争</w:t>
      </w:r>
      <w:bookmarkEnd w:id="549"/>
      <w:r>
        <w:rPr>
          <w:rFonts w:hint="eastAsia" w:ascii="宋体" w:hAnsi="宋体" w:cs="宋体"/>
          <w:color w:val="000000" w:themeColor="text1"/>
          <w:szCs w:val="21"/>
          <w:highlight w:val="none"/>
          <w14:textFill>
            <w14:solidFill>
              <w14:schemeClr w14:val="tx1"/>
            </w14:solidFill>
          </w14:textFill>
        </w:rPr>
        <w:t>议评审</w:t>
      </w:r>
      <w:bookmarkEnd w:id="569"/>
    </w:p>
    <w:p>
      <w:pPr>
        <w:snapToGrid w:val="0"/>
        <w:spacing w:line="360" w:lineRule="auto"/>
        <w:ind w:left="149" w:leftChars="71" w:firstLine="315" w:firstLineChars="15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Cs w:val="21"/>
          <w:highlight w:val="none"/>
          <w:u w:val="single"/>
          <w14:textFill>
            <w14:solidFill>
              <w14:schemeClr w14:val="tx1"/>
            </w14:solidFill>
          </w14:textFill>
        </w:rPr>
        <w:t>否</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outlineLvl w:val="0"/>
        <w:rPr>
          <w:rFonts w:ascii="宋体" w:hAnsi="宋体" w:cs="宋体"/>
          <w:color w:val="000000" w:themeColor="text1"/>
          <w:szCs w:val="21"/>
          <w:highlight w:val="none"/>
          <w14:textFill>
            <w14:solidFill>
              <w14:schemeClr w14:val="tx1"/>
            </w14:solidFill>
          </w14:textFill>
        </w:rPr>
      </w:pPr>
      <w:bookmarkStart w:id="570" w:name="_Toc8912"/>
      <w:r>
        <w:rPr>
          <w:rFonts w:hint="eastAsia" w:ascii="宋体" w:hAnsi="宋体" w:cs="宋体"/>
          <w:color w:val="000000" w:themeColor="text1"/>
          <w:szCs w:val="21"/>
          <w:highlight w:val="none"/>
          <w14:textFill>
            <w14:solidFill>
              <w14:schemeClr w14:val="tx1"/>
            </w14:solidFill>
          </w14:textFill>
        </w:rPr>
        <w:t>19.1.1 争议评审小组的确定</w:t>
      </w:r>
      <w:bookmarkEnd w:id="570"/>
    </w:p>
    <w:p>
      <w:pPr>
        <w:snapToGrid w:val="0"/>
        <w:spacing w:line="360" w:lineRule="auto"/>
        <w:ind w:firstLine="420" w:firstLineChars="200"/>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争议评审小组成员的确定：</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选定争议评审员的期限：</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争议评审小组成员的报酬承担方式：</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其他事项的约定：</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pPr>
        <w:autoSpaceDE w:val="0"/>
        <w:autoSpaceDN w:val="0"/>
        <w:adjustRightInd w:val="0"/>
        <w:snapToGrid w:val="0"/>
        <w:spacing w:line="360" w:lineRule="auto"/>
        <w:ind w:firstLine="420" w:firstLineChars="200"/>
        <w:jc w:val="left"/>
        <w:outlineLvl w:val="0"/>
        <w:rPr>
          <w:rFonts w:ascii="宋体" w:hAnsi="宋体" w:cs="宋体"/>
          <w:color w:val="000000" w:themeColor="text1"/>
          <w:kern w:val="0"/>
          <w:szCs w:val="21"/>
          <w:highlight w:val="none"/>
          <w14:textFill>
            <w14:solidFill>
              <w14:schemeClr w14:val="tx1"/>
            </w14:solidFill>
          </w14:textFill>
        </w:rPr>
      </w:pPr>
      <w:bookmarkStart w:id="571" w:name="_Toc5563"/>
      <w:r>
        <w:rPr>
          <w:rFonts w:hint="eastAsia" w:ascii="宋体" w:hAnsi="宋体" w:cs="宋体"/>
          <w:color w:val="000000" w:themeColor="text1"/>
          <w:kern w:val="0"/>
          <w:szCs w:val="21"/>
          <w:highlight w:val="none"/>
          <w14:textFill>
            <w14:solidFill>
              <w14:schemeClr w14:val="tx1"/>
            </w14:solidFill>
          </w14:textFill>
        </w:rPr>
        <w:t>19.1.2 争议评审小组的决定</w:t>
      </w:r>
      <w:bookmarkEnd w:id="571"/>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合同当事人关于本项的约定：</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bookmarkStart w:id="622" w:name="_GoBack"/>
      <w:bookmarkEnd w:id="622"/>
    </w:p>
    <w:p>
      <w:pPr>
        <w:snapToGrid w:val="0"/>
        <w:spacing w:line="360" w:lineRule="auto"/>
        <w:ind w:firstLine="420" w:firstLineChars="200"/>
        <w:outlineLvl w:val="0"/>
        <w:rPr>
          <w:rFonts w:ascii="宋体" w:hAnsi="宋体" w:cs="宋体"/>
          <w:color w:val="000000" w:themeColor="text1"/>
          <w:szCs w:val="21"/>
          <w:highlight w:val="none"/>
          <w14:textFill>
            <w14:solidFill>
              <w14:schemeClr w14:val="tx1"/>
            </w14:solidFill>
          </w14:textFill>
        </w:rPr>
      </w:pPr>
      <w:bookmarkStart w:id="572" w:name="_Toc16183"/>
      <w:r>
        <w:rPr>
          <w:rFonts w:hint="eastAsia" w:ascii="宋体" w:hAnsi="宋体" w:cs="宋体"/>
          <w:color w:val="000000" w:themeColor="text1"/>
          <w:szCs w:val="21"/>
          <w:highlight w:val="none"/>
          <w14:textFill>
            <w14:solidFill>
              <w14:schemeClr w14:val="tx1"/>
            </w14:solidFill>
          </w14:textFill>
        </w:rPr>
        <w:t>19.2仲裁或诉讼</w:t>
      </w:r>
      <w:bookmarkEnd w:id="550"/>
      <w:bookmarkEnd w:id="572"/>
    </w:p>
    <w:p>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因合同及合同有关事项发生的争议，按下列第</w:t>
      </w:r>
      <w:r>
        <w:rPr>
          <w:rFonts w:hint="eastAsia" w:ascii="宋体" w:hAnsi="宋体" w:cs="宋体"/>
          <w:color w:val="000000" w:themeColor="text1"/>
          <w:szCs w:val="21"/>
          <w:highlight w:val="none"/>
          <w:u w:val="singl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种方式解决：</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仲裁委员会申请仲裁；</w:t>
      </w:r>
    </w:p>
    <w:p>
      <w:pPr>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w:t>
      </w:r>
      <w:r>
        <w:rPr>
          <w:rFonts w:hint="eastAsia" w:ascii="宋体" w:hAnsi="宋体" w:cs="宋体"/>
          <w:color w:val="000000" w:themeColor="text1"/>
          <w:szCs w:val="21"/>
          <w:highlight w:val="none"/>
          <w:u w:val="single"/>
          <w14:textFill>
            <w14:solidFill>
              <w14:schemeClr w14:val="tx1"/>
            </w14:solidFill>
          </w14:textFill>
        </w:rPr>
        <w:t>长沙市芙蓉区</w:t>
      </w:r>
      <w:r>
        <w:rPr>
          <w:rFonts w:hint="eastAsia" w:ascii="宋体" w:hAnsi="宋体" w:cs="宋体"/>
          <w:color w:val="000000" w:themeColor="text1"/>
          <w:szCs w:val="21"/>
          <w:highlight w:val="none"/>
          <w14:textFill>
            <w14:solidFill>
              <w14:schemeClr w14:val="tx1"/>
            </w14:solidFill>
          </w14:textFill>
        </w:rPr>
        <w:t>人民法院起诉。</w:t>
      </w:r>
      <w:bookmarkEnd w:id="551"/>
      <w:bookmarkEnd w:id="552"/>
      <w:bookmarkEnd w:id="553"/>
      <w:bookmarkEnd w:id="554"/>
      <w:bookmarkEnd w:id="555"/>
      <w:bookmarkEnd w:id="556"/>
    </w:p>
    <w:p>
      <w:pPr>
        <w:rPr>
          <w:color w:val="000000" w:themeColor="text1"/>
          <w:highlight w:val="none"/>
          <w14:textFill>
            <w14:solidFill>
              <w14:schemeClr w14:val="tx1"/>
            </w14:solidFill>
          </w14:textFill>
        </w:rPr>
      </w:pPr>
    </w:p>
    <w:p>
      <w:pPr>
        <w:widowControl/>
        <w:jc w:val="lef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r>
    </w:p>
    <w:p>
      <w:pPr>
        <w:widowControl/>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附件：主要设备清单</w:t>
      </w:r>
    </w:p>
    <w:p>
      <w:pPr>
        <w:pStyle w:val="4"/>
        <w:rPr>
          <w:color w:val="000000" w:themeColor="text1"/>
          <w:highlight w:val="none"/>
          <w14:textFill>
            <w14:solidFill>
              <w14:schemeClr w14:val="tx1"/>
            </w14:solidFill>
          </w14:textFill>
        </w:rPr>
      </w:pPr>
    </w:p>
    <w:p>
      <w:pPr>
        <w:pStyle w:val="4"/>
        <w:rPr>
          <w:color w:val="000000" w:themeColor="text1"/>
          <w:highlight w:val="none"/>
          <w14:textFill>
            <w14:solidFill>
              <w14:schemeClr w14:val="tx1"/>
            </w14:solidFill>
          </w14:textFill>
        </w:rPr>
      </w:pPr>
    </w:p>
    <w:tbl>
      <w:tblPr>
        <w:tblStyle w:val="91"/>
        <w:tblW w:w="9348"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435"/>
        <w:gridCol w:w="2101"/>
        <w:gridCol w:w="1015"/>
        <w:gridCol w:w="1558"/>
        <w:gridCol w:w="1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81" w:type="dxa"/>
            <w:vAlign w:val="center"/>
          </w:tcPr>
          <w:p>
            <w:pPr>
              <w:pStyle w:val="2"/>
              <w:ind w:left="0" w:leftChars="0" w:firstLine="0" w:firstLineChars="0"/>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序号</w:t>
            </w:r>
          </w:p>
        </w:tc>
        <w:tc>
          <w:tcPr>
            <w:tcW w:w="2435" w:type="dxa"/>
            <w:vAlign w:val="center"/>
          </w:tcPr>
          <w:p>
            <w:pPr>
              <w:pStyle w:val="2"/>
              <w:ind w:left="0" w:leftChars="0" w:firstLine="0" w:firstLineChars="0"/>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主要设备名称</w:t>
            </w:r>
          </w:p>
        </w:tc>
        <w:tc>
          <w:tcPr>
            <w:tcW w:w="2101" w:type="dxa"/>
            <w:vAlign w:val="center"/>
          </w:tcPr>
          <w:p>
            <w:pPr>
              <w:pStyle w:val="2"/>
              <w:ind w:left="0" w:leftChars="0" w:firstLine="0" w:firstLineChars="0"/>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品牌/型号规格</w:t>
            </w:r>
          </w:p>
        </w:tc>
        <w:tc>
          <w:tcPr>
            <w:tcW w:w="1015" w:type="dxa"/>
            <w:vAlign w:val="center"/>
          </w:tcPr>
          <w:p>
            <w:pPr>
              <w:pStyle w:val="2"/>
              <w:ind w:left="0" w:leftChars="0" w:firstLine="0" w:firstLineChars="0"/>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数量</w:t>
            </w:r>
          </w:p>
        </w:tc>
        <w:tc>
          <w:tcPr>
            <w:tcW w:w="1558" w:type="dxa"/>
            <w:vAlign w:val="center"/>
          </w:tcPr>
          <w:p>
            <w:pPr>
              <w:pStyle w:val="2"/>
              <w:ind w:left="0" w:leftChars="0" w:firstLine="0" w:firstLineChars="0"/>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交货期限</w:t>
            </w:r>
          </w:p>
        </w:tc>
        <w:tc>
          <w:tcPr>
            <w:tcW w:w="1558" w:type="dxa"/>
            <w:vAlign w:val="center"/>
          </w:tcPr>
          <w:p>
            <w:pPr>
              <w:pStyle w:val="2"/>
              <w:ind w:left="0" w:leftChars="0" w:firstLine="0" w:firstLineChars="0"/>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1" w:type="dxa"/>
            <w:vAlign w:val="center"/>
          </w:tcPr>
          <w:p>
            <w:pPr>
              <w:pStyle w:val="2"/>
              <w:ind w:left="0" w:leftChars="0"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243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2101"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01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1" w:type="dxa"/>
            <w:vAlign w:val="center"/>
          </w:tcPr>
          <w:p>
            <w:pPr>
              <w:pStyle w:val="2"/>
              <w:ind w:left="0" w:leftChars="0"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243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2101"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01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1" w:type="dxa"/>
            <w:vAlign w:val="center"/>
          </w:tcPr>
          <w:p>
            <w:pPr>
              <w:pStyle w:val="2"/>
              <w:ind w:left="0" w:leftChars="0"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c>
          <w:tcPr>
            <w:tcW w:w="243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2101"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01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1" w:type="dxa"/>
            <w:vAlign w:val="center"/>
          </w:tcPr>
          <w:p>
            <w:pPr>
              <w:pStyle w:val="2"/>
              <w:ind w:left="0" w:leftChars="0"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p>
        </w:tc>
        <w:tc>
          <w:tcPr>
            <w:tcW w:w="243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2101"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01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1" w:type="dxa"/>
            <w:vAlign w:val="center"/>
          </w:tcPr>
          <w:p>
            <w:pPr>
              <w:pStyle w:val="2"/>
              <w:ind w:left="0" w:leftChars="0"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p>
        </w:tc>
        <w:tc>
          <w:tcPr>
            <w:tcW w:w="243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2101"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01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681" w:type="dxa"/>
            <w:vAlign w:val="center"/>
          </w:tcPr>
          <w:p>
            <w:pPr>
              <w:pStyle w:val="2"/>
              <w:ind w:left="0" w:leftChars="0" w:firstLine="0" w:firstLineChars="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c>
          <w:tcPr>
            <w:tcW w:w="243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2101"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015"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c>
          <w:tcPr>
            <w:tcW w:w="1558" w:type="dxa"/>
            <w:vAlign w:val="center"/>
          </w:tcPr>
          <w:p>
            <w:pPr>
              <w:pStyle w:val="2"/>
              <w:ind w:left="0" w:leftChars="0" w:firstLine="0" w:firstLineChars="0"/>
              <w:jc w:val="center"/>
              <w:rPr>
                <w:color w:val="000000" w:themeColor="text1"/>
                <w:highlight w:val="none"/>
                <w14:textFill>
                  <w14:solidFill>
                    <w14:schemeClr w14:val="tx1"/>
                  </w14:solidFill>
                </w14:textFill>
              </w:rPr>
            </w:pPr>
          </w:p>
        </w:tc>
      </w:tr>
    </w:tbl>
    <w:p>
      <w:pPr>
        <w:pStyle w:val="2"/>
        <w:rPr>
          <w:color w:val="000000" w:themeColor="text1"/>
          <w:highlight w:val="none"/>
          <w14:textFill>
            <w14:solidFill>
              <w14:schemeClr w14:val="tx1"/>
            </w14:solidFill>
          </w14:textFill>
        </w:rPr>
      </w:pPr>
    </w:p>
    <w:p>
      <w:pPr>
        <w:widowControl/>
        <w:jc w:val="lef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r>
    </w:p>
    <w:p>
      <w:pPr>
        <w:rPr>
          <w:rFonts w:asciiTheme="minorEastAsia" w:hAnsiTheme="minorEastAsia" w:eastAsiaTheme="minorEastAsia"/>
          <w:color w:val="000000" w:themeColor="text1"/>
          <w:szCs w:val="21"/>
          <w:highlight w:val="none"/>
          <w14:textFill>
            <w14:solidFill>
              <w14:schemeClr w14:val="tx1"/>
            </w14:solidFill>
          </w14:textFill>
        </w:rPr>
      </w:pPr>
    </w:p>
    <w:p>
      <w:pPr>
        <w:pStyle w:val="17"/>
        <w:rPr>
          <w:color w:val="000000" w:themeColor="text1"/>
          <w:highlight w:val="none"/>
          <w14:textFill>
            <w14:solidFill>
              <w14:schemeClr w14:val="tx1"/>
            </w14:solidFill>
          </w14:textFill>
        </w:rPr>
      </w:pPr>
    </w:p>
    <w:p>
      <w:pPr>
        <w:numPr>
          <w:ilvl w:val="0"/>
          <w:numId w:val="1"/>
        </w:numPr>
        <w:tabs>
          <w:tab w:val="left" w:pos="0"/>
        </w:tabs>
        <w:spacing w:before="120" w:beforeLines="50" w:after="240" w:afterLines="100" w:line="440" w:lineRule="atLeast"/>
        <w:jc w:val="center"/>
        <w:outlineLvl w:val="0"/>
        <w:rPr>
          <w:rFonts w:ascii="宋体" w:hAnsi="宋体"/>
          <w:b/>
          <w:color w:val="000000" w:themeColor="text1"/>
          <w:sz w:val="36"/>
          <w:szCs w:val="36"/>
          <w:highlight w:val="none"/>
          <w14:textFill>
            <w14:solidFill>
              <w14:schemeClr w14:val="tx1"/>
            </w14:solidFill>
          </w14:textFill>
        </w:rPr>
      </w:pPr>
      <w:bookmarkStart w:id="573" w:name="_Toc14008"/>
      <w:r>
        <w:rPr>
          <w:rFonts w:hint="eastAsia" w:ascii="宋体" w:hAnsi="宋体"/>
          <w:b/>
          <w:color w:val="000000" w:themeColor="text1"/>
          <w:sz w:val="36"/>
          <w:szCs w:val="36"/>
          <w:highlight w:val="none"/>
          <w14:textFill>
            <w14:solidFill>
              <w14:schemeClr w14:val="tx1"/>
            </w14:solidFill>
          </w14:textFill>
        </w:rPr>
        <w:t>采购需求</w:t>
      </w:r>
      <w:bookmarkEnd w:id="30"/>
      <w:bookmarkEnd w:id="31"/>
      <w:bookmarkEnd w:id="573"/>
    </w:p>
    <w:p>
      <w:pPr>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第一部分   项目说明</w:t>
      </w:r>
    </w:p>
    <w:p>
      <w:pPr>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本工程为交钥匙工程，供应商应根据招标代理机构提供的采购文件、各自情况等进行投标报价的编制，报价应包括招标范围内的全部内容，含①深化设计、②施工、③货物（包括质保期内的备品备件、易损件、专用工具等）的设计、制造、包装、保险、运输、安装调试、④主管部门验收（含第三方检测）、⑤培训、售后服务及技术支持等相关服务的所有费用。供应商应充分考虑本项目合同实施期间可能发生的一切费用，并承担由此而带来的风险。凡供应商在报价中未列明但又为招标所必备的项目或遗漏项目，采购人将一律视为已包括在其报价中，在合同执行中将不予考虑。</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供应商应对本项目的商务条款响应情况进行说明，若有偏差须在投标文件商务标书《商务条款偏离表》中予以说明；若没有，应注明“无偏离”字样。若没有填写《商务条款偏离表》，即视为供应商声明其完全响应采购文件的商务条款；但评标委员会有权据此就商务标书中实际不响应部分作出废标的决定。</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供应商应对其所报货物的技术指标响应情况进行说明，若有偏差须在投标文件技术标书《技术条款偏离表》中予以说明；若没有，应注明“无偏离”字样。若没有填写《技术条款偏离表》，即视为供应商声明其所报货物的技术指标完全符合采购文件技术规范的要求；带★条款为必须响应条款，有一条不响应即为废标，评标委员会有权据此就技术标书中实际不响应部分做出废标的决定。</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4、售后服务</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供应商应提供及时周到的售后服务，提供全天24小时服务。出现故障，供应商技术人员应在2小时内到达现场维修，确保24小时内修复，如不能修复，应在24小时内提供备用设备，以保障采购人的正常使用至故障设备修复为止。供应商应在响应文件中提出详细的本地化的售后维修服务方案。</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5、验收标准和方法</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装饰装修、电气、空调、医疗气体等专业改造各项内容验收依据以相关国家规范、合同文本和招投标的承诺函为准。智能化示教系统项目验收依据国家相关规范要求，同时达到设计图纸要求，满足临床科室使用要求及合同约定内容。</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6、培训要求</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由厂家组织用户进行现场技术培训，使用一段时间后提供现场的深入技术培训，终生提供免费的应用咨询以及技术帮助。提供免费的仪器操作、维护、维修的国内培训。</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安装调试及技术服务要求</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设备制造商授权的技术人员到现场免费进行安装调试，确保仪器技术指标验收合格，并由生产厂家或投标厂家为用户提供现场技术培训。</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7、计划工期：</w:t>
      </w:r>
      <w:r>
        <w:rPr>
          <w:rFonts w:hint="eastAsia" w:ascii="宋体" w:hAnsi="宋体" w:cs="宋体"/>
          <w:color w:val="000000" w:themeColor="text1"/>
          <w:spacing w:val="-6"/>
          <w:szCs w:val="21"/>
          <w:highlight w:val="none"/>
          <w:u w:val="single"/>
          <w14:textFill>
            <w14:solidFill>
              <w14:schemeClr w14:val="tx1"/>
            </w14:solidFill>
          </w14:textFill>
        </w:rPr>
        <w:t>120</w:t>
      </w:r>
      <w:r>
        <w:rPr>
          <w:rFonts w:hint="eastAsia" w:ascii="宋体" w:hAnsi="宋体" w:cs="宋体"/>
          <w:color w:val="000000" w:themeColor="text1"/>
          <w:spacing w:val="-6"/>
          <w:szCs w:val="21"/>
          <w:highlight w:val="none"/>
          <w14:textFill>
            <w14:solidFill>
              <w14:schemeClr w14:val="tx1"/>
            </w14:solidFill>
          </w14:textFill>
        </w:rPr>
        <w:t>日历天（不包括施工过程中手术间腾挪，搬迁，清空等间歇时间）。</w:t>
      </w:r>
    </w:p>
    <w:p>
      <w:pPr>
        <w:autoSpaceDE w:val="0"/>
        <w:autoSpaceDN w:val="0"/>
        <w:adjustRightInd w:val="0"/>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付款要求：①合同签订后60日内支付合同总金额的30%作为预付款；②空调机组、UPS、隔离变压器等主要设备到达现场并经采购人签收后支付到合同总金额的60%；③竣工验收阶段按单项工程支付进度款，各单项工程竣工验收合格后支付到该单项工程已完成工程量造价的85%；④项目审计结算后支付到结算金额的97%；⑤剩余审计结算金额的3%待保修期满后无质量问题，由成交供应商提交付款申请后甲方一次性付清（无息）。</w:t>
      </w:r>
    </w:p>
    <w:p>
      <w:pPr>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第二部分   技术要求</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本工程为中南大学湘雅二医院疑难病症诊治能力提升工程（心血管方向）业务用房改造，</w:t>
      </w:r>
      <w:r>
        <w:rPr>
          <w:rFonts w:hint="eastAsia"/>
          <w:color w:val="000000" w:themeColor="text1"/>
          <w:highlight w:val="none"/>
          <w14:textFill>
            <w14:solidFill>
              <w14:schemeClr w14:val="tx1"/>
            </w14:solidFill>
          </w14:textFill>
        </w:rPr>
        <w:t>其中建筑工程造价约48559.25元，装饰工程造价约1372722.59元，安装工程造价约10486954.95元，</w:t>
      </w:r>
      <w:r>
        <w:rPr>
          <w:rFonts w:hint="eastAsia" w:ascii="宋体" w:hAnsi="宋体" w:cs="宋体"/>
          <w:color w:val="000000" w:themeColor="text1"/>
          <w:spacing w:val="-6"/>
          <w:szCs w:val="21"/>
          <w:highlight w:val="none"/>
          <w14:textFill>
            <w14:solidFill>
              <w14:schemeClr w14:val="tx1"/>
            </w14:solidFill>
          </w14:textFill>
        </w:rPr>
        <w:t>改造范围为外科楼A座三层手术部心血管领域洁净手术室6-13间相关配套用房。拟对医院外科楼A座3层2005年投入使用的现有心血管方向OP19-</w:t>
      </w:r>
      <w:r>
        <w:rPr>
          <w:rFonts w:ascii="宋体" w:hAnsi="宋体" w:cs="宋体"/>
          <w:color w:val="000000" w:themeColor="text1"/>
          <w:spacing w:val="-6"/>
          <w:szCs w:val="21"/>
          <w:highlight w:val="none"/>
          <w14:textFill>
            <w14:solidFill>
              <w14:schemeClr w14:val="tx1"/>
            </w14:solidFill>
          </w14:textFill>
        </w:rPr>
        <w:t>OP</w:t>
      </w:r>
      <w:r>
        <w:rPr>
          <w:rFonts w:hint="eastAsia" w:ascii="宋体" w:hAnsi="宋体" w:cs="宋体"/>
          <w:color w:val="000000" w:themeColor="text1"/>
          <w:spacing w:val="-6"/>
          <w:szCs w:val="21"/>
          <w:highlight w:val="none"/>
          <w14:textFill>
            <w14:solidFill>
              <w14:schemeClr w14:val="tx1"/>
            </w14:solidFill>
          </w14:textFill>
        </w:rPr>
        <w:t>29共11间手术室及相关辅房进行改造，另外对外科楼A座二层更衣更鞋区部分区域更换装饰墙板、更换钢制成套门以及部分吊顶、照明灯具等。具体内容详见施工图及招标工程量清单。设计的总体原则是：洁污分明，配套设施完善，功能与设施先进完备。</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项目范围内的设计、施工工艺、设备及材料的选择满足现代化医院的使用要求。设备及工艺的安排应具有先进性、高可靠性、实用性、经济性与合理性。全部技术指标，包括设备、材料、包装、运输、安装等都应具有先进性，调试、维修等各项目的技术参数，施工及验收必须符合本采购文件及国家规范的相关要求，包括但不限于下列规范：</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《建筑装饰装修工程质量验收规范》 GB50210-2018</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《建筑地面工程施工质量验收规范》 GB50209-2010</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《建筑工程施工质量验收统一标准》 GB50300-2013</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《建筑地面设计规范》 GB50037-2013</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《建筑设计防火规范》 GB50016-2014(2018年版）</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《建筑内部装修设计防火规范 》 GB50222-2017</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《建筑内部装修防火施工及验收规范》 GB50354-2017</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bookmarkStart w:id="574" w:name="_Hlk57899619"/>
      <w:r>
        <w:rPr>
          <w:rFonts w:hint="eastAsia" w:ascii="宋体" w:hAnsi="宋体" w:cs="宋体"/>
          <w:color w:val="000000" w:themeColor="text1"/>
          <w:spacing w:val="-6"/>
          <w:szCs w:val="21"/>
          <w:highlight w:val="none"/>
          <w14:textFill>
            <w14:solidFill>
              <w14:schemeClr w14:val="tx1"/>
            </w14:solidFill>
          </w14:textFill>
        </w:rPr>
        <w:t>《综合医院建筑设计规范》</w:t>
      </w:r>
      <w:bookmarkEnd w:id="574"/>
      <w:r>
        <w:rPr>
          <w:rFonts w:hint="eastAsia" w:ascii="宋体" w:hAnsi="宋体" w:cs="宋体"/>
          <w:color w:val="000000" w:themeColor="text1"/>
          <w:spacing w:val="-6"/>
          <w:szCs w:val="21"/>
          <w:highlight w:val="none"/>
          <w14:textFill>
            <w14:solidFill>
              <w14:schemeClr w14:val="tx1"/>
            </w14:solidFill>
          </w14:textFill>
        </w:rPr>
        <w:t>GB51039-2014</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《洁净室施工及验收规范》 GB50591-2010</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《洁净厂房设计规范》 GB50073--2013</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《医药工业洁净厂房设计规范》 GB50457-2019 </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《医疗建筑电气设计规范》 JGJ312-2013</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《建筑照明设计标准》 GB50034-2013</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《洁净室用灯具技术要求》GB24461-2009</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《建筑电气工程施工质量验收规范》 GB50303-2011</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《民用建筑供暖通风与空气调节设计规范》 GB50736-2016</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《通风与空调工程施工质量验收规范》 GB50243-2016</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《通风与空调工程施工规范》 GB50738-2011</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《医用气体工程技术规范》 GB50751-2012</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《医用气体管道系统终端 第1部分：用于压缩医用气体和真空的终端》 YY 0801.1-2010</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《医用中心吸引系统通用技术条件》 YY/T 0186-94</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《医用中心供氧系统通用技术条件》 YY/T 0187-94</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《医用气体和真空用无缝铜管》 YS/T 650-2007 </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《建筑给排水设计标准》  GB50015-2019</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《建筑给水排水及采暖工程施工质量验收规范》GB50242-2018</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《建筑排水塑料管道工程技术规程》 CJJ/T29-2010</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《民用建筑隔声设计规范》 GB50118-2010</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以上规范、标准如有新颁布相关国家标准及国家建设工程强制性条文，以最新颁布的为准。</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投标单位应根据招标方提供的图纸和采购文件的要求，对招标范围内的建筑装饰、净化空调系统与自动控制、强电、弱电及示教智能化、医用气体、给排水等各系统项目等进行深化设计。</w:t>
      </w:r>
    </w:p>
    <w:p>
      <w:pPr>
        <w:spacing w:before="120" w:line="360" w:lineRule="auto"/>
        <w:outlineLvl w:val="1"/>
        <w:rPr>
          <w:rFonts w:ascii="宋体" w:hAnsi="宋体" w:cs="宋体"/>
          <w:b/>
          <w:color w:val="000000" w:themeColor="text1"/>
          <w:spacing w:val="-6"/>
          <w:szCs w:val="21"/>
          <w:highlight w:val="none"/>
          <w14:textFill>
            <w14:solidFill>
              <w14:schemeClr w14:val="tx1"/>
            </w14:solidFill>
          </w14:textFill>
        </w:rPr>
      </w:pPr>
      <w:bookmarkStart w:id="575" w:name="_Toc54787911"/>
      <w:bookmarkStart w:id="576" w:name="_Toc33194239"/>
      <w:bookmarkStart w:id="577" w:name="_Toc56111600"/>
      <w:bookmarkStart w:id="578" w:name="_Toc17484"/>
      <w:r>
        <w:rPr>
          <w:rFonts w:hint="eastAsia" w:ascii="宋体" w:hAnsi="宋体" w:cs="宋体"/>
          <w:b/>
          <w:color w:val="000000" w:themeColor="text1"/>
          <w:spacing w:val="-6"/>
          <w:szCs w:val="21"/>
          <w:highlight w:val="none"/>
          <w14:textFill>
            <w14:solidFill>
              <w14:schemeClr w14:val="tx1"/>
            </w14:solidFill>
          </w14:textFill>
        </w:rPr>
        <w:t>一、安装界面划分</w:t>
      </w:r>
      <w:bookmarkEnd w:id="575"/>
      <w:bookmarkEnd w:id="576"/>
      <w:bookmarkEnd w:id="577"/>
      <w:bookmarkEnd w:id="578"/>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1.1招标范围</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①OP19-29共11间手术室改造：每间手术室增加基础示教数字化系统软硬件，硬件包括55寸大屏、32寸吊屏、4K术野摄像系统、门口显示屏、中控+数字化双屏工作站等；更换相应区域的地材、照明灯具、自动平移门、部分强弱电插座面板等；更换净化空调机组段位及空调自控系统，对应三夹层的送风排风管系统，手术间内更换回风口、回风百叶机过滤网、排风口及百叶，更换层流天花高效过滤器及层流过滤阻尼网；部分辅房及公共区域的监控系统安装、装饰改造等。</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②更换手术室现有器械柜、药品柜、麻醉柜柜门的同锁芯和缓冲条。 </w:t>
      </w:r>
    </w:p>
    <w:p>
      <w:pPr>
        <w:spacing w:line="360" w:lineRule="auto"/>
        <w:ind w:firstLine="396"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③OP24-26三间手术室只保留麻醉塔，内镜塔和外科塔拆除，顶面装饰面层修补。</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④更换改造范围内洁净走廊及清洁走廊的PVC地材为橡胶地材。</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⑤整个改造区域（OP19-OP29、辅房及走道）的墙板整体油漆面修补。</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⑥洁净走廊内的不锈钢刷手池更换成新的一体式自动刷手池，挂墙安装，洗手槽上部新增装饰吊柜，每台洗手槽配置一台60L电热水器安装在吊柜内。 </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⑦每间手术室增加UPS不间断电源、隔离变压器系统。</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⑧A座二层更衣更鞋区部分区域更换装饰墙板、更换钢制成套门以及部分吊顶、照明灯具等。</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具体招标范围详见施工图及招标工程量清单。</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1.2消防界面</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项目为改造项目，改造前后建筑功能基本不变，改造区域内的垂直交通核不进行消防改造。成交供应商改造考虑基本维持大楼原有设计标准，改造区域兼顾新规范要求，拆改后的消防系统消防栓、消防排烟、消防喷淋、烟感报警、疏散指示灯、应急照明灯等参照改造前进行恢复。</w:t>
      </w:r>
    </w:p>
    <w:p>
      <w:pPr>
        <w:spacing w:before="120" w:line="360" w:lineRule="auto"/>
        <w:outlineLvl w:val="1"/>
        <w:rPr>
          <w:rFonts w:ascii="宋体" w:hAnsi="宋体" w:cs="宋体"/>
          <w:b/>
          <w:color w:val="000000" w:themeColor="text1"/>
          <w:spacing w:val="-6"/>
          <w:szCs w:val="21"/>
          <w:highlight w:val="none"/>
          <w14:textFill>
            <w14:solidFill>
              <w14:schemeClr w14:val="tx1"/>
            </w14:solidFill>
          </w14:textFill>
        </w:rPr>
      </w:pPr>
      <w:bookmarkStart w:id="579" w:name="_Toc33194240"/>
      <w:bookmarkStart w:id="580" w:name="_Toc54787912"/>
      <w:bookmarkStart w:id="581" w:name="_Toc3964"/>
      <w:bookmarkStart w:id="582" w:name="_Toc56111601"/>
      <w:r>
        <w:rPr>
          <w:rFonts w:hint="eastAsia" w:ascii="宋体" w:hAnsi="宋体" w:cs="宋体"/>
          <w:b/>
          <w:color w:val="000000" w:themeColor="text1"/>
          <w:spacing w:val="-6"/>
          <w:szCs w:val="21"/>
          <w:highlight w:val="none"/>
          <w14:textFill>
            <w14:solidFill>
              <w14:schemeClr w14:val="tx1"/>
            </w14:solidFill>
          </w14:textFill>
        </w:rPr>
        <w:t>二、</w:t>
      </w:r>
      <w:bookmarkEnd w:id="579"/>
      <w:bookmarkEnd w:id="580"/>
      <w:r>
        <w:rPr>
          <w:rFonts w:hint="eastAsia" w:ascii="宋体" w:hAnsi="宋体" w:cs="宋体"/>
          <w:b/>
          <w:color w:val="000000" w:themeColor="text1"/>
          <w:spacing w:val="-6"/>
          <w:szCs w:val="21"/>
          <w:highlight w:val="none"/>
          <w14:textFill>
            <w14:solidFill>
              <w14:schemeClr w14:val="tx1"/>
            </w14:solidFill>
          </w14:textFill>
        </w:rPr>
        <w:t>主要设备材料技术、质量要求</w:t>
      </w:r>
      <w:bookmarkEnd w:id="581"/>
      <w:bookmarkEnd w:id="582"/>
    </w:p>
    <w:p>
      <w:pPr>
        <w:numPr>
          <w:ilvl w:val="0"/>
          <w:numId w:val="5"/>
        </w:numPr>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橡胶地材</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①类型：欧美原装进口橡胶卷材地板。花纹：无方向小颗粒碎花花纹。</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②所用投标产品需为进口品牌生产的产品，贴牌产品不接受投标。</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③地板厚度：2mm ，耐磨层厚度：2mm。经过专业防菌处理，具有抗菌和杀霉菌性能。</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④焊条需为供本项目使用之地板的生产厂家原厂配套产品。</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⑤具备静音吸音性能。</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⑥相关技术参数</w:t>
      </w:r>
    </w:p>
    <w:tbl>
      <w:tblPr>
        <w:tblStyle w:val="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2083"/>
        <w:gridCol w:w="2835"/>
        <w:gridCol w:w="3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序号</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项目</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测试标准</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厚度</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1817</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尺寸稳定性</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23999</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耐烟灼性</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1399</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In accordance达标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硬度</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ISO 7619</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92邵尔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残余凹陷</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24343</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0.05mm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耐磨性</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ISO 4649 (met A -5N)</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150mm³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光照色牢度</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ISO 105-B02 Met. 3</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In accordance达标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分类、分级</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10874</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23/34/42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抗化学品性能</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26987</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OK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脚轮座椅效果</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425 (wheels type W)</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suitable 适合W型脚轮座椅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行走时电学性能</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1815</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&lt;2kw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绝缘性能</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IEC 60093</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&gt;1010欧姆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13</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隔音性能</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ISO 140-3</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 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14</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防滑</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DIN 51 130</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R9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98"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15</w:t>
            </w:r>
          </w:p>
        </w:tc>
        <w:tc>
          <w:tcPr>
            <w:tcW w:w="2083"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防火</w:t>
            </w:r>
          </w:p>
        </w:tc>
        <w:tc>
          <w:tcPr>
            <w:tcW w:w="2835"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EN 13 501</w:t>
            </w:r>
          </w:p>
        </w:tc>
        <w:tc>
          <w:tcPr>
            <w:tcW w:w="3106" w:type="dxa"/>
            <w:vAlign w:val="center"/>
          </w:tcPr>
          <w:p>
            <w:pPr>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满足Bfl-S1级</w:t>
            </w:r>
          </w:p>
        </w:tc>
      </w:tr>
    </w:tbl>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手动气密门</w:t>
      </w:r>
    </w:p>
    <w:p>
      <w:pPr>
        <w:numPr>
          <w:ilvl w:val="0"/>
          <w:numId w:val="6"/>
        </w:numPr>
        <w:spacing w:line="360" w:lineRule="auto"/>
        <w:ind w:left="0" w:firstLine="426"/>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手动门规格需符合使用场所要求，门体采用金属板制作，304不锈钢门套，门体表面均喷塑处理，颜色与邻近墙面协调统一，配套提供五金件、门锁及门吸。严禁使用铝合金门套。</w:t>
      </w:r>
    </w:p>
    <w:p>
      <w:pPr>
        <w:numPr>
          <w:ilvl w:val="0"/>
          <w:numId w:val="6"/>
        </w:numPr>
        <w:spacing w:line="360" w:lineRule="auto"/>
        <w:ind w:left="0" w:firstLine="426"/>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尺寸公差：a.门扇高度(mm):+2～-1；b.门扇宽度(mm):+1～-3；c.门扇厚度(mm):+2～-1；d.门框槽口高度(mm):±3；e.门框侧壁高度(mm):±2。</w:t>
      </w:r>
    </w:p>
    <w:p>
      <w:pPr>
        <w:numPr>
          <w:ilvl w:val="0"/>
          <w:numId w:val="6"/>
        </w:numPr>
        <w:spacing w:line="360" w:lineRule="auto"/>
        <w:ind w:left="0" w:firstLine="426"/>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门框槽口宽度（mm）：±1。</w:t>
      </w:r>
    </w:p>
    <w:p>
      <w:pPr>
        <w:numPr>
          <w:ilvl w:val="0"/>
          <w:numId w:val="6"/>
        </w:numPr>
        <w:spacing w:line="360" w:lineRule="auto"/>
        <w:ind w:left="0" w:firstLine="426"/>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形位公差：a.门框（mm）：槽口两对角线长度差≤3；b.门扇（mm）：两对角线长度差≤3，扭曲度≤5，高度方向弯曲度≤2；c.门框、门扇（mm）：门框与门扇（前表面）高底差≤3。</w:t>
      </w:r>
    </w:p>
    <w:p>
      <w:pPr>
        <w:numPr>
          <w:ilvl w:val="0"/>
          <w:numId w:val="6"/>
        </w:numPr>
        <w:spacing w:line="360" w:lineRule="auto"/>
        <w:ind w:left="0" w:firstLine="426"/>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门框槽口对角线尺寸之差(mm):对角线尺寸&lt;2000时，极限偏差≤2；对角线尺寸2000～3500时，极限偏差≤3；对角线尺寸&gt;3500时，极限偏差≤4。</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电动气密门</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1)必须用单电机驱动单扇220公斤以上门体，</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2)具有高气密性、隔音性，气密性能达到JIS  A4702 A-4等级，隔音性能达到JIS  A4702 T-1等级或以上（提供气密性检测报告及设备原产地证明）。</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3)同时具有手动按钮开启开关，门体打开时与洞口墙体齐平净尺寸为1500×2100；机电梁机箱高度应尽可能小，高度不得超过170mm,含感应装置、控制器、开关、马达、微电脑控制器、导轨、滑轮。</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4)具有全开、带延时关闭功能，并应具有应急手动开门功能，防夹、防撞，开门速度﹤0.7m／s；开门可调停留时间：0-60s可调。</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5)配备高性能安全防夹光线可使用双光束安全光线或使用多点位光幕感应器。</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6)自动门可根据现场环境将程序开关调成自动、锁闭、半开、常开、一方通行功能。</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7)门上要求有观察口300*600，(可选择调光玻璃),并在门上方配有“手术进行中”指示灯，防辐射手术室门增设“放射中”指示灯并与专用CT机电源联动，贴防辐射铅板，观察窗玻璃选用铅玻璃。</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8)门机采用国外生产原装进口；门机、门体必须整体由同一厂商生产。提供相关证明；门机应带动门体完成密闭动作，保证关闭后达到要求密封等级。</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9)门体表面采用抗菌材质，门板材料可选择抗指纹不锈钢板或铝板表面氟碳喷涂处理,颜色可根据采购人要求选择.门芯采用轻质铝蜂窝压铸成型工艺，门体表面光滑、平整以保障门体的隔音、隔热效果</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▲10)自动门门机必须采用先进的进口直流无刷电机驱动并具备进口双曲面波纹减速器，以确保设备的节能性和增加运行可靠性。</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11)产品应具有CE认证、并提供相关复印件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 品应具有TUV认证、并提供相关复印件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13)产品应具有ISO9001认证、并提供相关复印件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▲14) 产品应具有EN12207 class4气密性检测报告并提供相关复印件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▲15) 产品应具有气密性JIS A4702 A-4等级，隔音性JIS A4702 T-1等级检测报告、并提供相关复印件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▲16) 设备机构具有安全性高、使用寿命长，能安全运行2百万次以上、提供有关国内项目2百万次数使用记录证明材料复印件加盖该项目客户公司公章）</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液晶屏多功能控制面板</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①系统采用安卓4.4.4及以上版本、图型动态画面显示，图型界面任意放大、缩小，自由拖拽、可点击、可刷屏。</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②可预设手术、麻醉时间、并通过字体变色及闪烁提醒手术超时、麻醉超时。</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③采用主界面及分界面组合。主界面动态显示手术计时、麻醉计时、北京时间及温度、湿度、压差。并设置控屏、空调、电话、气体监测、音乐、IT监测等分界面操作健，可一健快速操作分界面并查询及设置各种参数值。可一键通快速拨号手术室及各科室。IT监测界面能实时显示绝缘电阻、负载电流、负荷百分比、变压器温度等数据及显示系统过流状态、过温状态、绝缘状态。</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④主界面可自动弹出各种故障信息、可查询。来电可自动弹出电话符号并发出振铃声、可接听。</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⑤点击进入分界面。分界面点击、刷屏回到主界面或三分钟（时间可调）自动回到主界面。</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⑥标准网络接口、RS485通讯接口。</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⑦手术室多功能液晶显示触摸屏整机需通过国家权威机构（工业和信息化部）出具的“质量安全检验报告”（提供复印件）。</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医用涮手槽</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▲1）整个刷手池一体安装，无需零部件拼接</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2）洗手池要求：</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▲2.1  材质为非不锈钢材质，为抗冲击复合材料制造，表面含抗菌涂层。</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2.2  洗手池外观：池体内为圆弧形设计；贝壳型边缘，人体工程学设计的槽体，能够让手术医护人员保持更舒适、健康的站姿，避免使用过程中划伤，表面耐擦洗消毒；水槽深度不低于200mm，给与流水足够的落差，可有效防止水溅。</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▲2.3）膝顶控制废弃物抽屉，保证手术室环境更整洁。</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3）感应龙头：</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▲3.1  智能化三合一设计：水、洗手液、消毒液均在一个水龙头中集成感应出液。避免医护人员刷手时来回走动取液，保证消毒液不会滴落在地面上。免触摸操作设计，出液口为非接触式操作模式，内置红外电子感应系统，可通过非接触晃动实现水/皂液/消毒液的流出控制，同时内置自动关闭系统，可实时捕捉洗手为人员，当手部离开感控位时，自动切断水流；在洗手时，无触碰随时调节水温，可调低或调高，并有直观显示提示使用者。</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3.2 直观的彩色LED指示灯提示哪种液体被触发，直观免误操作。可根据个人需要调节水温。</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▲3.3  水龙头中的配置充气机，增加水中的空气，产生柔和气泡水减少用水量，使得水滴不会飞溅。</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3.4洗手液,消毒液,手刷等洗手用品壁挂式一体化模块设计，便于使用和管理。</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4）、技术参数要求：</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4.1刷手池：墙式安装，双人位高端医用刷手池：洗手池、医帽镜，消毒液存放柜一体成型。便于管理。</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尺寸为：≤ 1600mm×700mm×1600mm。</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4.2池体为雅白色。</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4.3消毒液存放柜，可开合。由EN 1.4301不锈钢制造，表面抛光工艺。刷子、纸巾、皂液和消毒液分配器都置于柜中。</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4.4池体下层由EN 1.4301不锈钢制造，表面抛光工艺。配备两个可脱卸的不锈钢抽屉，用来临时存放废弃物如刷子、纸巾等。</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5）刷手池包含以下基本设备：</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5.1配备感应龙头，可控制温度、出水、皂液、消毒液。</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5.2配备一个可移动托架，用于放置使用过的刷子，颜色和材质与洗手盆一致。</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5.3刷手池总重量约：≤130 kg</w:t>
      </w:r>
    </w:p>
    <w:p>
      <w:pPr>
        <w:overflowPunct w:val="0"/>
        <w:autoSpaceDE w:val="0"/>
        <w:autoSpaceDN w:val="0"/>
        <w:adjustRightInd w:val="0"/>
        <w:spacing w:line="360" w:lineRule="auto"/>
        <w:ind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▲6）配置自净水处理系统，持续85℃-93℃物理热力灭菌，对下水道虹吸管内壁进行全自动消毒，防止感染性微生物产生，减少院内二次交叉感染，并提供CE认证。</w:t>
      </w:r>
    </w:p>
    <w:p>
      <w:pPr>
        <w:numPr>
          <w:ilvl w:val="0"/>
          <w:numId w:val="5"/>
        </w:numPr>
        <w:spacing w:line="360" w:lineRule="auto"/>
        <w:ind w:left="0" w:firstLine="396" w:firstLineChars="200"/>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洁净空调处理机组：</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6.1空调机组生产厂家必须具备通过国家CNAS认证的实验室，提供CNAS中英文认证证书以及CNAS证书，附件内容应包含组合式空气处理机组，提供复印件并加盖公章。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6.2空调机组生产厂家的生产基地有通过国家CNAS认证的风量测试台。</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6.3机组箱板采用防冷桥双面板保温板，内填充保温材料保温层采用高压聚氨脂（PU）发泡材料，密度≥50kg/m3，导热系数≤0.0206W/m.℃，提供检测报告复印件加盖公章。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▲6.4空调机组生产厂家所生产的空调机组整机通过美国空调制冷协会的AHRI认证，提供复印件并加盖公章。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▲6.5空调机组厂家需通过TUV认证，提供认证证书复印件并加盖公章。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▲6.6空调机组生产厂家应具有制冷空调产品认证证书（CRAA）认证，提供复印件并加盖公章。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▲6.7空调机组生产厂家应有欧洲制冷空调、空气处理设备制造商协会颁布的Eurovent认证，提供证书复印件并加盖公章。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▲6.8空调机组生产厂家所生产的空调机组各项性能参数应达到欧洲Eurovent标准，其中，箱体强度需达到D1级，在-400pa和+700pa时，漏风率达到L2级，冷桥因子达到TB2级，提供官网查询数据截图并加盖公章。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▲6.9箱体结构采用无框架式结构，有效降低漏风率、变形率及冷桥因子，提供机组结构证明文件复印件并加盖公章。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▲6.10空调机组箱体的密封应可靠。当机组内保持1000Pa的全静压值时，箱体的漏风率不应大于0.03%，提供第三方检测报告复印件并加盖公章。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6.11表冷盘管采用防腐亲水铝箔，要求换热效率高，并能避免表冷器表面出现水滴改为水珠现象。接水盘采用304不锈钢材质，避免生锈现象。内部结构：内表面应光滑平整，无凹槽、凸起，便于清洗并能顺利排水。空调机组应具有保温措施与防冷桥措施并提供证明文件，要求传热系数不大于0.5w/(m2.k),以降低传热损失，避免外表结露；冷桥因子≥0.88，并提供国际权威认证检测报告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6.12空调机组因具有很好的保温性能，稳定运行4小时无凝露现象，提供权威认证出具的凝露实验报告并加盖公章。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6.13箱体拥有足够的强度，机械强度要求±1000pa＜2mm，并提供国际权威机构认证复印件报告并加盖公章；在运输，启动，运行，停机时都不得出现凹凸变形的现象。</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6.14所有检修门为方便检修，均为外开式，铝合金材质，整体发泡成型，有双重刀口密封，运行无泄露，提供相应的证明文件复印件并加盖公章。 </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6.15采用WIKA指针式压差计，连接管为不锈钢管。</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6.16机组底座有调整水平装置，保证机组在现场对接时不要有缝隙，可以微调地基的不平整度，提供底框带平衡装置的证明文件复印件并加盖公章。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6.17空调机组风机采用EC风机，全封闭外转子电机。</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▲6.18投标单位必须提供生产厂家出具的针对此项目的授权书。</w:t>
      </w:r>
    </w:p>
    <w:p>
      <w:pPr>
        <w:spacing w:line="360" w:lineRule="auto"/>
        <w:ind w:firstLine="396" w:firstLineChars="200"/>
        <w:rPr>
          <w:color w:val="000000" w:themeColor="text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▲6.19空调净化机组的自控系统必须是原厂提供。</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高效过滤器：</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采用无隔板式结构、玻璃纤维滤纸。</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玻璃纤维滤纸必须为优质产品。</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要求每个过滤器出厂前均应经过效率及检漏测试。</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定风量调节阀：</w:t>
      </w:r>
    </w:p>
    <w:p>
      <w:pPr>
        <w:numPr>
          <w:ilvl w:val="0"/>
          <w:numId w:val="7"/>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外部有指标显示流量刻度，刻度误差小于等于±4%。</w:t>
      </w:r>
    </w:p>
    <w:p>
      <w:pPr>
        <w:numPr>
          <w:ilvl w:val="0"/>
          <w:numId w:val="7"/>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外壳采用镀锌钢板、弹簧片采用不锈钢材质。</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排风机：</w:t>
      </w:r>
    </w:p>
    <w:p>
      <w:pPr>
        <w:numPr>
          <w:ilvl w:val="1"/>
          <w:numId w:val="8"/>
        </w:numPr>
        <w:spacing w:line="360" w:lineRule="auto"/>
        <w:ind w:left="0" w:firstLine="425"/>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排风机要求采用低噪声、高静压风机，满足所在房间的排风要求，同时噪声控制在规范规定的范围内。机组要求体积小巧，安装方便，低能耗。</w:t>
      </w:r>
    </w:p>
    <w:p>
      <w:pPr>
        <w:numPr>
          <w:ilvl w:val="1"/>
          <w:numId w:val="8"/>
        </w:numPr>
        <w:spacing w:line="360" w:lineRule="auto"/>
        <w:ind w:left="0" w:firstLine="425"/>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要求选用适合洁净室使用的高质量产品。</w:t>
      </w:r>
    </w:p>
    <w:p>
      <w:pPr>
        <w:numPr>
          <w:ilvl w:val="1"/>
          <w:numId w:val="8"/>
        </w:numPr>
        <w:spacing w:line="360" w:lineRule="auto"/>
        <w:ind w:left="0" w:firstLine="425"/>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采用高效长寿电机。</w:t>
      </w:r>
    </w:p>
    <w:p>
      <w:pPr>
        <w:numPr>
          <w:ilvl w:val="1"/>
          <w:numId w:val="8"/>
        </w:numPr>
        <w:spacing w:line="360" w:lineRule="auto"/>
        <w:ind w:left="0" w:firstLine="425"/>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采用多叶前向离心式风机。</w:t>
      </w:r>
    </w:p>
    <w:p>
      <w:pPr>
        <w:numPr>
          <w:ilvl w:val="1"/>
          <w:numId w:val="8"/>
        </w:numPr>
        <w:spacing w:line="360" w:lineRule="auto"/>
        <w:ind w:left="0" w:firstLine="425"/>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排风机采用吊装形式，成交供应商需配套提供弹簧减振。</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保温材料：</w:t>
      </w:r>
    </w:p>
    <w:p>
      <w:pPr>
        <w:numPr>
          <w:ilvl w:val="1"/>
          <w:numId w:val="9"/>
        </w:numPr>
        <w:spacing w:line="360" w:lineRule="auto"/>
        <w:ind w:left="851"/>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保温材料采用闭泡橡塑保温材料，难燃B1级。</w:t>
      </w:r>
    </w:p>
    <w:p>
      <w:pPr>
        <w:numPr>
          <w:ilvl w:val="1"/>
          <w:numId w:val="9"/>
        </w:numPr>
        <w:spacing w:line="360" w:lineRule="auto"/>
        <w:ind w:left="851"/>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采用与保温材料与之相配套的专用胶水（接口粘接后形成一体）。</w:t>
      </w:r>
    </w:p>
    <w:p>
      <w:pPr>
        <w:numPr>
          <w:ilvl w:val="1"/>
          <w:numId w:val="9"/>
        </w:numPr>
        <w:spacing w:line="360" w:lineRule="auto"/>
        <w:ind w:left="851"/>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湿阻因子≥4500；真空吸水率≤10%。</w:t>
      </w:r>
    </w:p>
    <w:p>
      <w:pPr>
        <w:numPr>
          <w:ilvl w:val="1"/>
          <w:numId w:val="9"/>
        </w:numPr>
        <w:spacing w:line="360" w:lineRule="auto"/>
        <w:ind w:left="851"/>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40℃下导热系数≤0.04W/(m.k)；0℃下导热系数≤0.035W/(m.k)。</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DDC控制器：</w:t>
      </w:r>
    </w:p>
    <w:p>
      <w:pPr>
        <w:numPr>
          <w:ilvl w:val="1"/>
          <w:numId w:val="10"/>
        </w:numPr>
        <w:spacing w:line="360" w:lineRule="auto"/>
        <w:ind w:left="0" w:firstLine="42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微处理器采用32位或者16位工作频率10MHZ及以上。</w:t>
      </w:r>
    </w:p>
    <w:p>
      <w:pPr>
        <w:numPr>
          <w:ilvl w:val="1"/>
          <w:numId w:val="10"/>
        </w:numPr>
        <w:spacing w:line="360" w:lineRule="auto"/>
        <w:ind w:left="0" w:firstLine="42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具有备用电池，可维持内存中的程序和数据信息至少72小时。</w:t>
      </w:r>
    </w:p>
    <w:p>
      <w:pPr>
        <w:numPr>
          <w:ilvl w:val="1"/>
          <w:numId w:val="10"/>
        </w:numPr>
        <w:spacing w:line="360" w:lineRule="auto"/>
        <w:ind w:left="0" w:firstLine="42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预先配置应用程序模块，具有直接数字控制和程序逻辑控制功能，并具有联网协同工作的功能。</w:t>
      </w:r>
    </w:p>
    <w:p>
      <w:pPr>
        <w:numPr>
          <w:ilvl w:val="1"/>
          <w:numId w:val="10"/>
        </w:numPr>
        <w:spacing w:line="360" w:lineRule="auto"/>
        <w:ind w:left="0" w:firstLine="42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可进行应用软件修改与下载程序，并具有密码保护功能。</w:t>
      </w:r>
    </w:p>
    <w:p>
      <w:pPr>
        <w:numPr>
          <w:ilvl w:val="1"/>
          <w:numId w:val="10"/>
        </w:numPr>
        <w:spacing w:line="360" w:lineRule="auto"/>
        <w:ind w:left="0" w:firstLine="42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采用Modbus、Lon或C-bus通讯协议。</w:t>
      </w:r>
    </w:p>
    <w:p>
      <w:pPr>
        <w:numPr>
          <w:ilvl w:val="1"/>
          <w:numId w:val="10"/>
        </w:numPr>
        <w:spacing w:line="360" w:lineRule="auto"/>
        <w:ind w:left="0" w:firstLine="42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安全等级：遵循UL标准的95安全等级；防护等级：IP20以上。</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电动比例积分调节阀、传感器、执行机构：</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a．</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传感器、执行器具有高可靠性，高稳定性，无需经常维护，检修方便，检修时不影响系统运行。</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b．</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测量控制用传感器精度不低于3%；计量用传感器不低于2%。</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c．</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温湿度传感器时间常数不大于20秒。</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d．</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传感器和执行器的变送器要求采用统一的0~10VDC或4~20MA信号。</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配电箱</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1)配电箱内元件应排列整齐、固定可靠、各电气元件应可单独拆装。</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2)配电箱柜体应采用优质冷轧钢板，表面应酸洗、磷化后用静电粉末高温喷涂，板材厚度应符合国家配电柜相关标准要求。</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3)配电箱内所配导线端部应标明线号，箱体内应有一次接线及二次接线原理图。</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4)配电箱内主要二次元器件均应通过国家相应安全认证，必须有“CCC”认证标志。</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5)所有元件应具有经久耐用、操作安全、维护方便等优点。</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电线、电缆</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电线电缆应有国家认可的质量检测机构的检验合格报告和“3C”认证。低烟无卤阻燃、耐火电缆应通过国家级相关质量监督检验机构的型式认可检验。</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隔离变压器：</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1)GB192121-2008/EC61558-1:2005《电力变压器、电源、电抗器和类似产品的安全第1部分:通用要求和试验》</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2)GB19212.16-2005EC61558-2-15:1999《电力变压器、电源装置和类似产品的安全第16部分:医疗场所供电用隔离变压器的特殊要求》</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3)GB16895.24-2005∥EC60364-7-710:2002《建筑物电气装置第7-710部分:特殊装置或场所的要求一医疗场所</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4)绝缘监视报警系统应符合IEC61557-8和IEC60364-7-710标准。4.3、外接报警显示仪应符合IEC60364-7-710:2002-11标准。</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5)实时监视隔离电源系统对地绝缘状况，根据需要设定不同的报警响应值。</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6)实时监视隔离变压器负荷状况及变压器的绕阻温度。</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7)实时监视隔离电源系统各元器件与系统接地的接线状况。</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8)实时显示隔离电源系统用电负荷百分比、系统绝缘阻值。</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9)隔离变压器柜内采用的医用隔离变压器（H级）、绝缘检测仪、电流互感器和外接报警显示仪应该为同一品牌的产品。</w:t>
      </w:r>
    </w:p>
    <w:p>
      <w:pPr>
        <w:numPr>
          <w:ilvl w:val="0"/>
          <w:numId w:val="5"/>
        </w:num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UPS电源</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1）总体要求</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①本次电池品牌要求与UPS同一品牌，生产产品需提供蓄电池制造商排污许可证（有效期内）资质证明文件， 有害物质过程管理体系认证证书。</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②制造商具备CNAS实验室认可资质、国家级高新技术企业证书、两化融合管理体系评定证书、技术创新示范企业。</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2）UPS主机</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①UPS类型：工频UPS，UPS输入制式为单相，输出制式为单相，单台UPS额定输出功率≥10KVA；</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②标配输入电抗器及输出端隔离变压器以抑制来自电网的浪涌电流和降低零地电压，优化UPS末端供电质量；</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③输入参数：输入电压范围220/230±25%Vac；输入频率范围50/60±10%，输入功率因＞0.9；；</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④输出参数：额定电压220/230V±0.5% AC；输出频率（Hz）：50/60Hz(电池模式)；畸变正弦波，THDv＜2%(线性负载)；</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▲⑤系统效率：系统效率≥95%（100%负载），提供第三方证明文件；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⑥系统配置标准RS232通信接口，提供开放的通信协议及配套软件，通过机房动力监控系统能够方便的将UPS 的运行状态、主要运行参数；</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▲⑦要求提供产品泰尔认证及报告；</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3）UPS电池</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①要求配置不低于38AH12V的蓄电池。本项目所购蓄电池产品为固定型密封铅酸蓄电池，与UPS同一品牌。</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▲②蓄电池产品必须提供泰尔认证证书。</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▲③应提供随产品提供蓄电池配套防漏液产品措施或解决方案，供应商应提供相关技术方案证明文件。</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▲④所提供蓄电池应为无镉电池，蓄电池正负极板镉元素平均含量不超高电池板总质量的0.002%。供应商须提供所投蓄电池正负极板相关第三方权威机构提供的检测报告。</w:t>
      </w:r>
    </w:p>
    <w:p>
      <w:pPr>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三、基础数字化技术参数与配置清单：</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1、基础数字化手术室11间（OP19-OP29）</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术室术野摄像机采用无影灯旁置形式，用来拍摄病人手术部位术野视频；高清全景摄像机吊装在天花上，用来观察和录制手术室内医护人员的整体活动；配置一台32寸4K医用吊挂显示器系统，安装于吊装在天花上，墙壁上设置一台4K液晶显示单元，用于显示腔镜画面，术野相机画面，全景相机画面，远程场景、PACS影像和电子病历等其它信号。扩声音箱采用吸顶安装，与医生头戴或领夹佩戴的无线话筒结合，实现与远端示教室的语音互动。其他部件的安装必须符合整体一体化手术室及《医院洁净手术部建筑技术规范》GB50333-2013要求。</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具备兼容性，是一个免费开放的平台，而不能只对某一厂商或特定的设备开放；系统可集成市场上主流的成像设备（内窥镜、显微镜、DSA、C-Arm、X光机等）、医疗设备（监护仪、麻醉机、呼吸机、血气分析仪等）、计算机信号输出的设备（PACS影像工作站等）及医院现有的HIS、LIS、PACS等系统。</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平台采用模块化设计，各个功能可根据需要自由组合搭配，模块包括视频模块（视频传输、视频录像、视频播放）、音频模块、手术示教、远程会诊、和信息系统集成等；通过系统交互界面集中控制，统一管理。</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术室到手术室外部（如示教室）的视音频通信采用光纤连接，并通过医院现有的标准局域网（LAN）传输数字化高清视频信号；视频采集、传输、处理、存储、播放全程采用4K超高清（可向下兼容），采用H.264编码，通过TCP/IP协议的标准网络进行通信和数据传输。</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可将手术室全景摄像机信号、术野高清摄像机信号、专用医学成像设备（DSA、X光机、腔镜、显微镜、监护仪等）信号、床边监护设备（监护仪、麻醉机、呼吸机、血气分析仪等）、术中术者语音信号等同步进行数字化集成和显示。严格录像分级管理机制，同时保护医生、患者隐私。通过触摸屏点击操作，将各类视频或数据分别显示在手术间内的适当位置的多个显示屏上，实现视音频信号和病人医疗数据的切换，即点即看，也中多画面在一块显示屏上同时显示，兼容VGA、DVI、HDMI、色差、HD-SDI等多种信号。</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系统提供友好的操作界面，触摸屏控制，操作直观，简单方便，用户可根据喜好自定义操作界面风格；设备参数配置、预设等图形化展示；开机自动检查。</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系统可与医院的信息系统无缝集成，如HIS、LIS、PACS等，支持国际标准HL7接口与DICOM接口协议。可独立进行病人信息创建与管理，也可以通过HIS集中管理；提供病人信息双向交流的通道。</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系统采用全中文操作界面和帮助文档；包括操作手册在内的各类文档均要求为中文。</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系统的核心处理设备无需单独设置机柜或机房，可在手术室内独立放置，不影响手术室内空间使用。系统可实现一键开关，方便医护人员操作。</w:t>
      </w:r>
    </w:p>
    <w:p>
      <w:pPr>
        <w:spacing w:line="360" w:lineRule="auto"/>
        <w:ind w:firstLine="396"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19-29间手术室示教点位设置在外科楼A座2层、7层、9层、13层、19层、20层等相关专科教研室。</w:t>
      </w:r>
    </w:p>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2、主要设备材料清单与技术参数要求如下</w:t>
      </w:r>
    </w:p>
    <w:tbl>
      <w:tblPr>
        <w:tblStyle w:val="90"/>
        <w:tblW w:w="9356" w:type="dxa"/>
        <w:jc w:val="center"/>
        <w:tblLayout w:type="autofit"/>
        <w:tblCellMar>
          <w:top w:w="0" w:type="dxa"/>
          <w:left w:w="108" w:type="dxa"/>
          <w:bottom w:w="0" w:type="dxa"/>
          <w:right w:w="108" w:type="dxa"/>
        </w:tblCellMar>
      </w:tblPr>
      <w:tblGrid>
        <w:gridCol w:w="557"/>
        <w:gridCol w:w="962"/>
        <w:gridCol w:w="555"/>
        <w:gridCol w:w="736"/>
        <w:gridCol w:w="6546"/>
      </w:tblGrid>
      <w:tr>
        <w:tblPrEx>
          <w:tblCellMar>
            <w:top w:w="0" w:type="dxa"/>
            <w:left w:w="108" w:type="dxa"/>
            <w:bottom w:w="0" w:type="dxa"/>
            <w:right w:w="108" w:type="dxa"/>
          </w:tblCellMar>
        </w:tblPrEx>
        <w:trPr>
          <w:trHeight w:val="440" w:hRule="atLeast"/>
          <w:jc w:val="center"/>
        </w:trPr>
        <w:tc>
          <w:tcPr>
            <w:tcW w:w="9356" w:type="dxa"/>
            <w:gridSpan w:val="5"/>
            <w:tcBorders>
              <w:top w:val="single" w:color="auto" w:sz="8" w:space="0"/>
              <w:left w:val="single" w:color="auto" w:sz="8" w:space="0"/>
              <w:bottom w:val="single" w:color="auto" w:sz="8" w:space="0"/>
              <w:right w:val="single" w:color="auto" w:sz="4" w:space="0"/>
            </w:tcBorders>
            <w:shd w:val="clear" w:color="000000" w:fill="auto"/>
            <w:vAlign w:val="center"/>
          </w:tcPr>
          <w:p>
            <w:pPr>
              <w:pStyle w:val="968"/>
              <w:numPr>
                <w:ilvl w:val="0"/>
                <w:numId w:val="11"/>
              </w:numPr>
              <w:spacing w:line="360" w:lineRule="auto"/>
              <w:ind w:firstLineChars="0"/>
              <w:rPr>
                <w:rFonts w:ascii="宋体" w:hAnsi="宋体" w:cs="宋体"/>
                <w:b/>
                <w:color w:val="000000" w:themeColor="text1"/>
                <w:spacing w:val="-6"/>
                <w:sz w:val="21"/>
                <w:szCs w:val="21"/>
                <w:highlight w:val="none"/>
                <w14:textFill>
                  <w14:solidFill>
                    <w14:schemeClr w14:val="tx1"/>
                  </w14:solidFill>
                </w14:textFill>
              </w:rPr>
            </w:pPr>
            <w:r>
              <w:rPr>
                <w:rFonts w:hint="eastAsia" w:ascii="宋体" w:hAnsi="宋体" w:cs="宋体"/>
                <w:b/>
                <w:color w:val="000000" w:themeColor="text1"/>
                <w:spacing w:val="-6"/>
                <w:sz w:val="21"/>
                <w:szCs w:val="21"/>
                <w:highlight w:val="none"/>
                <w14:textFill>
                  <w14:solidFill>
                    <w14:schemeClr w14:val="tx1"/>
                  </w14:solidFill>
                </w14:textFill>
              </w:rPr>
              <w:t>基础示教数字化手术室</w:t>
            </w:r>
          </w:p>
        </w:tc>
      </w:tr>
      <w:tr>
        <w:tblPrEx>
          <w:tblCellMar>
            <w:top w:w="0" w:type="dxa"/>
            <w:left w:w="108" w:type="dxa"/>
            <w:bottom w:w="0" w:type="dxa"/>
            <w:right w:w="108" w:type="dxa"/>
          </w:tblCellMar>
        </w:tblPrEx>
        <w:trPr>
          <w:trHeight w:val="426" w:hRule="atLeast"/>
          <w:jc w:val="center"/>
        </w:trPr>
        <w:tc>
          <w:tcPr>
            <w:tcW w:w="557" w:type="dxa"/>
            <w:tcBorders>
              <w:top w:val="nil"/>
              <w:left w:val="single" w:color="auto" w:sz="8" w:space="0"/>
              <w:bottom w:val="single" w:color="auto" w:sz="4" w:space="0"/>
              <w:right w:val="single" w:color="auto" w:sz="4" w:space="0"/>
            </w:tcBorders>
            <w:shd w:val="clear" w:color="000000"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序号</w:t>
            </w:r>
          </w:p>
        </w:tc>
        <w:tc>
          <w:tcPr>
            <w:tcW w:w="962" w:type="dxa"/>
            <w:tcBorders>
              <w:top w:val="nil"/>
              <w:left w:val="nil"/>
              <w:bottom w:val="single" w:color="auto" w:sz="4" w:space="0"/>
              <w:right w:val="single" w:color="auto" w:sz="4" w:space="0"/>
            </w:tcBorders>
            <w:shd w:val="clear" w:color="000000"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设备材料名称</w:t>
            </w:r>
          </w:p>
        </w:tc>
        <w:tc>
          <w:tcPr>
            <w:tcW w:w="555" w:type="dxa"/>
            <w:tcBorders>
              <w:top w:val="nil"/>
              <w:left w:val="nil"/>
              <w:bottom w:val="single" w:color="auto" w:sz="4" w:space="0"/>
              <w:right w:val="single" w:color="auto" w:sz="4" w:space="0"/>
            </w:tcBorders>
            <w:shd w:val="clear" w:color="000000"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单位</w:t>
            </w:r>
          </w:p>
        </w:tc>
        <w:tc>
          <w:tcPr>
            <w:tcW w:w="736" w:type="dxa"/>
            <w:tcBorders>
              <w:top w:val="nil"/>
              <w:left w:val="nil"/>
              <w:bottom w:val="single" w:color="auto" w:sz="4" w:space="0"/>
              <w:right w:val="single" w:color="auto" w:sz="4" w:space="0"/>
            </w:tcBorders>
            <w:shd w:val="clear" w:color="000000"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数量</w:t>
            </w:r>
          </w:p>
        </w:tc>
        <w:tc>
          <w:tcPr>
            <w:tcW w:w="6546" w:type="dxa"/>
            <w:tcBorders>
              <w:top w:val="nil"/>
              <w:left w:val="nil"/>
              <w:bottom w:val="single" w:color="auto" w:sz="4" w:space="0"/>
              <w:right w:val="single" w:color="auto" w:sz="4" w:space="0"/>
            </w:tcBorders>
            <w:shd w:val="clear" w:color="000000" w:fill="auto"/>
            <w:vAlign w:val="center"/>
          </w:tcPr>
          <w:p>
            <w:pPr>
              <w:widowControl/>
              <w:spacing w:line="360" w:lineRule="auto"/>
              <w:ind w:right="-2123" w:rightChars="-1011" w:firstLine="2178" w:firstLineChars="110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技术参数要求</w:t>
            </w:r>
          </w:p>
        </w:tc>
      </w:tr>
      <w:tr>
        <w:tblPrEx>
          <w:tblCellMar>
            <w:top w:w="0" w:type="dxa"/>
            <w:left w:w="108" w:type="dxa"/>
            <w:bottom w:w="0" w:type="dxa"/>
            <w:right w:w="108" w:type="dxa"/>
          </w:tblCellMar>
        </w:tblPrEx>
        <w:trPr>
          <w:trHeight w:val="402" w:hRule="atLeast"/>
          <w:jc w:val="center"/>
        </w:trPr>
        <w:tc>
          <w:tcPr>
            <w:tcW w:w="9356" w:type="dxa"/>
            <w:gridSpan w:val="5"/>
            <w:tcBorders>
              <w:top w:val="single" w:color="auto" w:sz="4" w:space="0"/>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手术室显示系统</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▲外挂式液晶显示单元</w:t>
            </w:r>
          </w:p>
        </w:tc>
        <w:tc>
          <w:tcPr>
            <w:tcW w:w="55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15</w:t>
            </w:r>
          </w:p>
        </w:tc>
        <w:tc>
          <w:tcPr>
            <w:tcW w:w="6546"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1.屏幕尺寸：≥55英寸</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2.发光类型：LED</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3.屏幕类型：IPS</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4.显示比例：16:9</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5.显示区域：≥1209.6 x680.40(mm)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6.最大分辨率：≥3840×2160</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7.扫描频率：60Hz</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8.点距：≥0.315 mm x 0.315 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9.可视角度：H:178º,V:178º（CR&gt;10）</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10.亮度：Typ.: ≥500cd/m2</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11.对比度：Typ.:1100:1</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12.响应时间：Typ.:8ms(G-TO-G)</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13.视频信号输入接口：≥DVI×1、HDMI ×1、SDI×1、DP×1</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14.视频信号输出接口：≥SDI×1</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15.远程通讯接口：/</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16.GAMMA设置</w:t>
            </w:r>
            <w:r>
              <w:rPr>
                <w:rFonts w:hint="eastAsia" w:ascii="宋体" w:hAnsi="宋体" w:cs="宋体"/>
                <w:color w:val="000000" w:themeColor="text1"/>
                <w:spacing w:val="-6"/>
                <w:szCs w:val="21"/>
                <w:highlight w:val="none"/>
                <w14:textFill>
                  <w14:solidFill>
                    <w14:schemeClr w14:val="tx1"/>
                  </w14:solidFill>
                </w14:textFill>
              </w:rPr>
              <w:tab/>
            </w:r>
            <w:r>
              <w:rPr>
                <w:rFonts w:hint="eastAsia" w:ascii="宋体" w:hAnsi="宋体" w:cs="宋体"/>
                <w:color w:val="000000" w:themeColor="text1"/>
                <w:spacing w:val="-6"/>
                <w:szCs w:val="21"/>
                <w:highlight w:val="none"/>
                <w14:textFill>
                  <w14:solidFill>
                    <w14:schemeClr w14:val="tx1"/>
                  </w14:solidFill>
                </w14:textFill>
              </w:rPr>
              <w:t>：≥10组内置 GAMMA:、Linear、Gamma 1.8、Gamma 2.0、Gamma 2.2、Gamma 2.4、CRT、DICOM1、DICOM2、DSA、DSI、CT/MRI"</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17.医疗影像标准：符合DICOM3.14标准</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18.GAMMA位数：14bit</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19.色温：标准，冷色，暖色,用户自定义</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20.隐藏式观片夹：/</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21.观片灯模式：支持</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22.表面防护："钢化玻璃（支持医用酒精擦拭消毒，满足手术室洁净要求）"</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23.分屏显示效果独立校对：N/A</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24.配置一体机：N/A</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25.输入电源：100V-240VAC  50-60Hz</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26.工作功率：TBD</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27.待机功率：TBD</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28.电源指示灯：三色指示（通电，开机，待机）</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29.工作环境要求：温度：0℃～40℃湿度：20%～80%RH</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30.储存环境要求：温度：-10℃～60℃ 湿度：10%～60%RH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31.材质：钣金</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32.颜色：医疗白</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33.正面尺寸：≥1270.6*741.5*61 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34.面框边框尺寸：≥30mm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35.壁挂孔尺寸：≥400×400mm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36.安装位置下沿距地1850mm；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37.整机外型平整光滑不易积灰，满足洁净手术室要求；</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38.外壳材质具有抗菌抗菌功能，提供证明材料。</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多路高清医疗服务器</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1.产品形态：纯嵌入式设备，专业DSP芯片，针对手术室医疗设备多样性特点优化采集、编码功能；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▲2.输入接口: ≥ 4*DVI-I视频输入接口，兼容HDMI、VGA、CVBS、YPbPr视频接口  （提供背板图验证）                                                                                                                                4*3G-SDI视频输入接口，兼容HD-SDI、SD-SDI视频接口、1*LINE-IN音频输入接口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3.输出接口：≥4*DVI-I视频环出接口，支持前端输入源无损环出、4*3G-SDI视频环出接口，支持前端输入源无损环出、1*DVI-I视频解码输出接口、1*LINE-OUT音频输出接口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4.控制接口：1*RS232,1*RS485，支持PALCO_D，PALCO_P，VISCA协议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5.通讯接口：≥2*RJ45 10M/100M/1000M自适应网口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6.存储能力：内置≥1TB硬盘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7.扩展接口：≥2*USB 2.0接口，支持U盘、外置硬盘接入；1*DVD刻录机，支持录像刻录</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▲8.交互性组件：7寸全彩液晶电容触控屏，支持设备配置、直播预览、录制启停、信息录入等本地交互功能。（提供实物图片）</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9.视频采集分辨率支持：最高支持≥4K@30Hz高清信号采集，并向下兼容各类高标清信号，包括1080I，720P，UGA，WXGA，XGA，4CI，,D1，CIF等；</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▲10.视频编码算法：H.264 BaseLine Profile/H.264 HighProfile；（提供证明材料）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11.视频质量调节参数：位置调节/三基色调节/亮度调节/饱和度调节/对比度调节/像素时钟调节/源扫描行数调节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▲12.音频编解码算法：G.711/AAC  （提供证明材料）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13.协议支持：HTTP@TCP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14.直播延时：不大于300毫秒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15.单台手术最大画面数：≥4画面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16.画面布局模式：单画面模式、多分屏模式、画外画模式、画中画模式，后3种多画面模式下大小画面间可点击切换。</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▲17.多种工作模式：设备既可以作为服务器模式，也可以支持客户端模式，方便各示教场合；支持手术室和示教室的视频互动，和语音对讲。  （提供证明材料）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18.客户端类型支持：BS客户端\CS客户端（数字化手术室软件、示教工作站软件）\嵌入式解码器客户端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▲19.协议支持：H.264、AAC、TCP、UDP，双流输出：主次双码流输出，次码流指定分辨率；（提供证明材料）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20.文件存储格式：MP4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21.文件分割模式：按时长/按大小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22.文件录制方式：多画面资源模式录制、单画面单文件模式录制、混杂模式录制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23.单文件最大画面数：≥4画面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24.文件查询方式：按日期查询、按文件名查询，支持模糊查询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25.控制方式：触屏本地控制/经网络远程控制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26.画面预览：触屏本地实时预览直播画面或已存储的录像画面，便于手术室管理画面内容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27.画质管理：预设3组高中低配置，可依据实际网络情况及要求动态调节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28.信息管理：支持本地经触屏录入病患资料及主刀资料，便于后期查询或导出所需的录像文件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29.资料管理：支持本地经USB接口导出录像文件或经刻录导出录像文件，并支持FTP远程上传到中心服务器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30.云台控制：支持本地经触屏实现控制全景摄像机或术野摄像机移动、拉伸镜头、调节光圈、快门等功能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▲31.隐私控制：触屏解锁独立密钥管理，防止误操作；直播、录制内容本地管理，保护医患隐私（提供证明材料）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32.可视化交互：可解码一路示教室画面，经一体机DVI-I视频输出口显示在手术室本地大屏，增强交互时的环境体验</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高清术野相机</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 采用Sony 4K机芯, 1/2.5 Exmor R CMOS Sensor；</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 支持超短焦镜头设计，超短焦镜头可以比普通镜头的术野摄像机在手术拍摄过程中取得更好的细节，避免摄像机在变倍拉大过程中虚焦问题。</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 可在距离被拍物 80cm 处全焦段（1 倍~20 倍）对焦;</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 可通过菜单调节曝光，一键加减亮度；本术野摄像机专为无影灯下手术过程拍摄而设计，一键加减亮暗度可轻松面对高达150000lx的无影灯强光，操作简单，图像不曝光；</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 支持4K/30、1080P/60等，可手动切换；</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 采用双层医用镀膜，防水、抗菌、防污；易于清洁，可直接喷洒消毒药水清洁；</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 外壳采用铝镁合金外壳，厚度高达1.4mm，可有效减少手术室内大型医疗设备带来的电磁干扰；</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 支持手动、自动对焦，支持E-CORD模式；</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 白平衡：具备超级白平衡功能，摄像机在调节曝光后可自动调节白平衡，色彩还原真实；</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 输出接口采用HDMI-D接口；</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 控制支持VISA、PELCO协议，采用2根线控制，便于布线穿管；</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 采用HDMI光纤延长线和超细电源延长线设计，延长线直径不超过4mm，易于从吊臂中穿线，视频质量好，抗干扰能力强；</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13. 一体式支架设计，所有线缆内部走线，便于清洁；</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14. 遥控器采用2.4G zigbee 无线通信技术，遥控稳定、距离远、抗干扰能力强、没有方向要求(遥控时无需用遥控器对着术野相机)；</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功率&lt;12W</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吊屏显示器</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1.屏幕尺寸：31.5英寸</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2.分辨率：3840×2160</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3.亮度：1000cd/m2</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4.响应时间：16ms</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5.对比度：1000:1</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6.支持彩色：10.7亿</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7.视角：178°</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8.电源适配器：独立外置电源适配器</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9.4K影像显示技术：采用4K超高清影像增强显示技术</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10.医疗影像曲线：多组备选影像效果曲线，包括Gamma1.8,1.9,2.0,2.1,2.2,2.3,2.4,DICOM, Linear等</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11.显示防护处理：显示屏正面采用医用高透光率减反射有机玻璃</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12.促进散热设计：采用金属后壳，促进热量散发，保障整机长时间稳定运行</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13.触摸按键：隐藏式电容触控按键，复合功能，操作方便，使用寿命长，保证一体化设计，方便清洁。</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14.按键锁定：支持按键锁定，防止误操作</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15.支持影像信号源一键选择：快捷选择信号源设计，支持一键切换选择信号源</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16.支持一键切换不同显示效果：支持影像效果一键快捷切换，支持显示色温调节，满足不同设备的影像显示需求</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17.输入信号接口：DP 1.2：计算机数字视频接口；</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18.HDMI 2.0：计算机数字视频接口；</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19.DVI-D：计算机数字视频接口；</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20.VGA：模拟信号视频接口""</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21.多屏显示：支持画中画/画边画等多种显示模式，多种设备影像同时输出显示；</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22.抗扰接地设计：专用的接地柱设计，确保机器具有良好的抗干扰性能和安全性能</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23.产品认证：产品通过CCC认证</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24.符合EICC电子行业准则，ANSI/ESD静放电协会标准，ISO9001、14001、13485体系，SGS体系</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术野/吊屏支臂系统</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22</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包含三个部分：用于水平旋转的旋转臂、用于高度调节的弹簧臂平衡系统、用于悬挂医用显示器的悬挂系统。六组万向关节联动，320度全方位设计，具备疲劳校正装置和定位手感调节装置，长时间使用后便于定位调校。</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详细参数：</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1、工作电源： AC220V、50Hz；输入功率:1KVA；</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2、旋转臂活动范围（半径）：≥850mm+910mm；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3、水平旋转角度：≥0～320°；</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4、平衡臂活动范围（半径）：≥910mm；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5、升降高度≥1000 mm；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6、配置机械阻尼刹车制动装置；</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7、净载重量：约7～10kg/套；</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8、标配BNC接口1个/套；</w:t>
            </w:r>
            <w:r>
              <w:rPr>
                <w:rFonts w:hint="eastAsia" w:ascii="宋体" w:hAnsi="宋体" w:cs="宋体"/>
                <w:color w:val="000000" w:themeColor="text1"/>
                <w:spacing w:val="-6"/>
                <w:szCs w:val="21"/>
                <w:highlight w:val="none"/>
                <w14:textFill>
                  <w14:solidFill>
                    <w14:schemeClr w14:val="tx1"/>
                  </w14:solidFill>
                </w14:textFill>
              </w:rPr>
              <w:cr/>
            </w:r>
            <w:r>
              <w:rPr>
                <w:rFonts w:hint="eastAsia" w:ascii="宋体" w:hAnsi="宋体" w:cs="宋体"/>
                <w:color w:val="000000" w:themeColor="text1"/>
                <w:spacing w:val="-6"/>
                <w:szCs w:val="21"/>
                <w:highlight w:val="none"/>
                <w14:textFill>
                  <w14:solidFill>
                    <w14:schemeClr w14:val="tx1"/>
                  </w14:solidFill>
                </w14:textFill>
              </w:rPr>
              <w:t>9、电源线及插头1个/套；</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10、主体材料采用高强度铝合金型材或高强度钢材；</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11、表面采用模具成型塑胶件；</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12、吸顶式安装，稳定牢固。</w:t>
            </w:r>
          </w:p>
        </w:tc>
      </w:tr>
      <w:tr>
        <w:tblPrEx>
          <w:tblCellMar>
            <w:top w:w="0" w:type="dxa"/>
            <w:left w:w="108" w:type="dxa"/>
            <w:bottom w:w="0" w:type="dxa"/>
            <w:right w:w="108" w:type="dxa"/>
          </w:tblCellMar>
        </w:tblPrEx>
        <w:trPr>
          <w:trHeight w:val="402" w:hRule="atLeast"/>
          <w:jc w:val="center"/>
        </w:trPr>
        <w:tc>
          <w:tcPr>
            <w:tcW w:w="9356" w:type="dxa"/>
            <w:gridSpan w:val="5"/>
            <w:tcBorders>
              <w:top w:val="single" w:color="auto" w:sz="4" w:space="0"/>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系统软件</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一键设置模块</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根据不同用户的使用习惯，对系统常用配置设置成模板，存储后可一键调用恢复所有设置，方便迅速</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权限管理模块</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管理数字化手术室所有的角色定义、人员定义和权限定义，模块提供如下功能：</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1、角色管理界面，由用户定义角色，给角色赋权限；</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2、用户角色管理界面，由用户给系统用户赋予角色。</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3、支持用户定义权限，这样新增功能的时候，可以将需要保护的功能添加到系统。</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设备数据采集模块</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实现设备之间的数据采集、数据同步、数据交换、数据集成、数据调用等功能，大大减少在各功能模块之间建立的各种数据调用接口，提升对各功能模块管理效率 </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视音频混编模块</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支持多路高清视频和1路语音同时编解码即时传输，实现视音频同步</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HD视频录像模块</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全面解决医学影像获取、显示、处理、储存、和管理，负责数字化手术室所有数据的集中存储与管理</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手术示教会诊核心数据单元</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术示教会诊核心数据单元用于管理所有示教客户端的连接和数据交换，可将手术室腔镜视频、全景摄像机视频、术野视频、导航视频、监护仪视频等各类医疗影像自由输送到指定会诊室。PACS影像等病人基础信息同步显示。</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用于管理所有示教客户端的连接和数据交换。</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提供一体化手术室系统软件著作权</w:t>
            </w:r>
          </w:p>
        </w:tc>
      </w:tr>
      <w:tr>
        <w:tblPrEx>
          <w:tblCellMar>
            <w:top w:w="0" w:type="dxa"/>
            <w:left w:w="108" w:type="dxa"/>
            <w:bottom w:w="0" w:type="dxa"/>
            <w:right w:w="108" w:type="dxa"/>
          </w:tblCellMar>
        </w:tblPrEx>
        <w:trPr>
          <w:trHeight w:val="431" w:hRule="atLeast"/>
          <w:jc w:val="center"/>
        </w:trPr>
        <w:tc>
          <w:tcPr>
            <w:tcW w:w="9356" w:type="dxa"/>
            <w:gridSpan w:val="5"/>
            <w:tcBorders>
              <w:top w:val="nil"/>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其它</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24口千兆交换机</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标准机架式</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≥24个10/100/1000M自适应以太网电口</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功耗&lt;14.2W</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包换容率≥48Gbps</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包转发率≥36Mpps</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无线扫码枪</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移动适应性（手持）:13 密尔 UPC 下每秒高达 5 英寸/13 厘米</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扫描速度（免持）:13 密尔 UPC 下每秒高达 30.0 英寸/76.2 厘米</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光源:瞄准模式：≥624 纳米线性琥珀色 LED 灯</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照明:(2) ≥ 645 纳米超红 LED 灯</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扫描器视域:32.8° H x 24.8° V（额定）</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图像传感器: ≥640 x 480 像素</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最小打印对比度:最小反射差 25%</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左右摆动/前后摆动/旋转公差:+/- 65°；+/- 65°；0-360°</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最小元素分辨率: Code 39：4.0 密尔；Code 128：4.0 密尔；</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Data Matrix：≥6.0 密尔；QR 码：≥6.7 密尔</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工作温度:DS2208/DS2278 成像仪：</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0.0°C 至 50.0°C（32.0°F 至 122.0°F）</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投射通讯座：</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0.0°C 至 40.0°C（32.0°F 至 104.0°F）</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存储温度:-40.0°C 至 70.0°C（-40.0°F 至 158.0°F）</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湿度:5% – 95% 相对湿度（无冷凝）</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跌落规格:坚固可靠的设计，可承受多次从 5.0 英尺/1.5 米高处跌落至混凝土地面的冲击</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滚落规格:设计可承受 ≥250 次从 1.5 英尺/0.5 米的高度滚落1</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环境密封:IP52</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静电释放 (ESD):DS2208/DS2278 和 CR2278 底座：ESD/EN61000-4-2、+/-15 KV 空气、+/-8 KV 直接、+/-8 KV 间接</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抗环境光干扰强度:0 到 10,000 英尺烛光/0 到 107,600 勒克斯</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脚踏板控制器</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触点：纯银     额定电压：DC220V</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额定电流：3-10A         重量：1.3KG</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触点形式：一常闭，一常开        外壳材质：铸铝外壳</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防水等级：IP68             数据接口：USB2.0*15M</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w:t>
            </w:r>
          </w:p>
        </w:tc>
        <w:tc>
          <w:tcPr>
            <w:tcW w:w="962"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胸外科电脑工作站</w:t>
            </w:r>
          </w:p>
        </w:tc>
        <w:tc>
          <w:tcPr>
            <w:tcW w:w="555" w:type="dxa"/>
            <w:tcBorders>
              <w:top w:val="nil"/>
              <w:left w:val="nil"/>
              <w:bottom w:val="single" w:color="auto" w:sz="4" w:space="0"/>
              <w:right w:val="single" w:color="auto" w:sz="4" w:space="0"/>
            </w:tcBorders>
            <w:vAlign w:val="center"/>
          </w:tcPr>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1.8核16线程 5.1GHz CPU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2.独立显卡192bit显存位宽，8GB GDDR5显存，核心频率1506MHz，Boost频率1709MHz，等效显存频率8GHz</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3.16g内存套装</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4.500GB SSD固态硬盘 M.2接口(NVMe协议) 980</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5.配套存储 2TB SATA6Gb/s 64M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6.4U工控机箱 30CM 黑色</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7.12cm薄款机箱散热风扇</w:t>
            </w:r>
          </w:p>
        </w:tc>
      </w:tr>
      <w:tr>
        <w:tblPrEx>
          <w:tblCellMar>
            <w:top w:w="0" w:type="dxa"/>
            <w:left w:w="108" w:type="dxa"/>
            <w:bottom w:w="0" w:type="dxa"/>
            <w:right w:w="108" w:type="dxa"/>
          </w:tblCellMar>
        </w:tblPrEx>
        <w:trPr>
          <w:trHeight w:val="600" w:hRule="atLeast"/>
          <w:jc w:val="center"/>
        </w:trPr>
        <w:tc>
          <w:tcPr>
            <w:tcW w:w="9356" w:type="dxa"/>
            <w:gridSpan w:val="5"/>
            <w:tcBorders>
              <w:top w:val="single" w:color="auto" w:sz="4" w:space="0"/>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视频处理系统</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高清全景摄像机</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支持1080P、720P、576I、480I等多种分辨率</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传感器：≥1/2.7英寸, CMOS, 有效像素：207万</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水平视场角：72.5° ~ 6.9°， 垂直视场角：44.8° ~ 3.9°</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水平转动范围：±170°，垂直转动范围：-30° ~ +90°</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▲支持HDMI、SDI、网络三路同时输出（提供视频输出接口图片证明）</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▲视频编码标准：H.265/H.264/MJEPG（提供证明资料）</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视频码流：主码流, 辅码流</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主码流分辨率：≥1920x1080, 1280x720, 1024x576</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辅码流分辨率：720x576, 720x480, 320x240</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支持协议：TCP/IP, HTTP, RTSP, RTMP, Onvif, DHCP, 组播等</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高清医疗影像采集系统</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可支持多达6路全高清医疗影像（PACS/腔镜/超声/DSA/监护仪/术野等）的采集、编码与传输，分辨率自动检测，无需手动设定。</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输入格式：支持SDI、DVI（VGA\DVI\HDMI）、YPbPr、CVBS</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输出格式：SDI、VGA、DVI、HDMI、YPbPr</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编码方式： 视频：H.265 音频 AAC-LC、G711</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支持分辨率：VAG：≥1920*1200@60Hz、1080P@60/50Hz、1080I@60/50/30Hz、720P@60Hz等；</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HDMI、DVI、YPbPr：≥4K@30hz、1080P@60/50Hz、1080I@60/50Hz、720P@60/50Hz等；</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SDI：≥4K@30hz、1080P@60/50/30/25Hz、1080I@60/50Hz、720P@60Hz等；</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CVBS：N/P制式；</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视频码率：64Kbps-20Mbp，支持主次双码流输出，</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支持TS、RTSP、RTMP、HTTP流服务模式输出。</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支持单播、组播；支持TCP、UDP、UDT等协议。</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通讯接口：RS485、RS232，可控制手术内全景相机、术野相机等设备。</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支持POE供电</w:t>
            </w:r>
            <w:r>
              <w:rPr>
                <w:rFonts w:hint="eastAsia" w:ascii="宋体" w:hAnsi="宋体" w:cs="宋体"/>
                <w:color w:val="000000" w:themeColor="text1"/>
                <w:spacing w:val="-6"/>
                <w:szCs w:val="21"/>
                <w:highlight w:val="none"/>
                <w14:textFill>
                  <w14:solidFill>
                    <w14:schemeClr w14:val="tx1"/>
                  </w14:solidFill>
                </w14:textFill>
              </w:rPr>
              <w:br w:type="textWrapping"/>
            </w:r>
            <w:r>
              <w:rPr>
                <w:rFonts w:hint="eastAsia" w:ascii="宋体" w:hAnsi="宋体" w:cs="宋体"/>
                <w:color w:val="000000" w:themeColor="text1"/>
                <w:spacing w:val="-6"/>
                <w:szCs w:val="21"/>
                <w:highlight w:val="none"/>
                <w14:textFill>
                  <w14:solidFill>
                    <w14:schemeClr w14:val="tx1"/>
                  </w14:solidFill>
                </w14:textFill>
              </w:rPr>
              <w:t>前面板提供了按键和显示屏操作界面，方便对设备进行控制。同时提供嵌入式WEB服务，可通过浏览器进行操作与配置。</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手术室门口屏（含控制系统软件）</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1、32位处理器,RK3288 GPU Mail-T764 GPU MP4 四核 GPU 内存≥ 2GB （2G/4G 可选）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2、硬盘 ≥8GB (8G/16G/32G/64G/128G 可选)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3、I/O接口及功能 网络 Giga LAN *1 串口 UART TTL *1 USB USB *3 OTG调试 Micro USB *1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4、DP/VGA/HDMI Mini HDMI *1 WIFI/BT 2.4G,802.11 b/g/n + BT 3.0/4.0 TF卡 TF卡槽 *1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5、液晶屏 尺寸/类型 ≥10.1" TFT LCD 分辨率 ≥1280×800 像素间距≥ 0.17925（H）× 0.17925（V）mm 最大色彩 16.7M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6、内置孔外感应模块，可以开手术室自动门</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7、实现手术室环境参数的实时显示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8、实现对手术室内空调、无影灯的快捷控制  </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9、近距离红外感应手术室自动门控制功能</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10、手术排班对接模块</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4</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高清视频传输组件</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支持1080P@60/50/30/25Hz、1080I@60/50Hz、720P@60Hz等多种高清信号的长距离传输，支持SDI、DVI、VGA、YPbPr等格式自适应调整，无需手动设置。</w:t>
            </w:r>
          </w:p>
        </w:tc>
      </w:tr>
      <w:tr>
        <w:tblPrEx>
          <w:tblCellMar>
            <w:top w:w="0" w:type="dxa"/>
            <w:left w:w="108" w:type="dxa"/>
            <w:bottom w:w="0" w:type="dxa"/>
            <w:right w:w="108" w:type="dxa"/>
          </w:tblCellMar>
        </w:tblPrEx>
        <w:trPr>
          <w:trHeight w:val="402" w:hRule="atLeast"/>
          <w:jc w:val="center"/>
        </w:trPr>
        <w:tc>
          <w:tcPr>
            <w:tcW w:w="9356" w:type="dxa"/>
            <w:gridSpan w:val="5"/>
            <w:tcBorders>
              <w:top w:val="single" w:color="auto" w:sz="4" w:space="0"/>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音频处理单元</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音乐播放器</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多媒体控制模块可通过系统播放音乐，缓解病人紧张情绪，同时调节手术室气氛，也让医护人员得到放松；</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▲系统可播放mp3/wma/wav等常用音频格式，具备有随机播放/顺序播放/重复播放等多种播放模式，并可调节音量。</w:t>
            </w:r>
          </w:p>
        </w:tc>
      </w:tr>
      <w:tr>
        <w:tblPrEx>
          <w:tblCellMar>
            <w:top w:w="0" w:type="dxa"/>
            <w:left w:w="108" w:type="dxa"/>
            <w:bottom w:w="0" w:type="dxa"/>
            <w:right w:w="108" w:type="dxa"/>
          </w:tblCellMar>
        </w:tblPrEx>
        <w:trPr>
          <w:trHeight w:val="735"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962"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高保真音响系统</w:t>
            </w:r>
          </w:p>
        </w:tc>
        <w:tc>
          <w:tcPr>
            <w:tcW w:w="55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电源电压：AC 220V</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功率：80 W</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通道数量：24</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信躁比：&gt;85 dB</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提供立体声混音ST、两编组GROUP1/2和辅助AUX等信号输出</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XLR输入插孔提供+48V幻像电源，以便为需要外接电源的电容麦克风提供方便的连接</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PHONES插孔可监听各分路输入信号、混响效果或立体声ST混合输出信号。</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提供XLR麦克风和TRS耳机线性的平衡输入插孔，能处理从麦克风线性级设备和立体声输出合成器的宽范围声源</w:t>
            </w:r>
          </w:p>
        </w:tc>
      </w:tr>
      <w:tr>
        <w:tblPrEx>
          <w:tblCellMar>
            <w:top w:w="0" w:type="dxa"/>
            <w:left w:w="108" w:type="dxa"/>
            <w:bottom w:w="0" w:type="dxa"/>
            <w:right w:w="108" w:type="dxa"/>
          </w:tblCellMar>
        </w:tblPrEx>
        <w:trPr>
          <w:trHeight w:val="4633"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962"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头戴式无线耳麦</w:t>
            </w:r>
          </w:p>
        </w:tc>
        <w:tc>
          <w:tcPr>
            <w:tcW w:w="555"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nil"/>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频率范围： 700-800MHz</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可调信道数： 128+128</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频率稳定性：±10ppm</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接收方式：超外差二次变频</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接收灵敏度： -95dBm 到 -75dBm 每步 2dBm 可调</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音频频响： 40-18000Hz</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谐波失真：≤0.5%</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信噪比：≥100dB</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音频输出： XLR 卡侬座独立平衡输出和φ 6.35 插座混合不平衡输出</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电源规格：100-240V 50-60Hz</w:t>
            </w:r>
          </w:p>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电源消耗：≤10W</w:t>
            </w:r>
          </w:p>
        </w:tc>
      </w:tr>
      <w:tr>
        <w:tblPrEx>
          <w:tblCellMar>
            <w:top w:w="0" w:type="dxa"/>
            <w:left w:w="108" w:type="dxa"/>
            <w:bottom w:w="0" w:type="dxa"/>
            <w:right w:w="108" w:type="dxa"/>
          </w:tblCellMar>
        </w:tblPrEx>
        <w:trPr>
          <w:trHeight w:val="402" w:hRule="atLeast"/>
          <w:jc w:val="center"/>
        </w:trPr>
        <w:tc>
          <w:tcPr>
            <w:tcW w:w="9356" w:type="dxa"/>
            <w:gridSpan w:val="5"/>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系统实施与调试</w:t>
            </w:r>
          </w:p>
        </w:tc>
      </w:tr>
      <w:tr>
        <w:tblPrEx>
          <w:tblCellMar>
            <w:top w:w="0" w:type="dxa"/>
            <w:left w:w="108" w:type="dxa"/>
            <w:bottom w:w="0" w:type="dxa"/>
            <w:right w:w="108" w:type="dxa"/>
          </w:tblCellMar>
        </w:tblPrEx>
        <w:trPr>
          <w:trHeight w:val="720"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串口扩展卡</w:t>
            </w:r>
          </w:p>
        </w:tc>
        <w:tc>
          <w:tcPr>
            <w:tcW w:w="5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p>
          <w:p>
            <w:pPr>
              <w:spacing w:line="360" w:lineRule="auto"/>
              <w:jc w:val="left"/>
              <w:rPr>
                <w:rFonts w:ascii="宋体" w:hAnsi="宋体" w:cs="宋体"/>
                <w:color w:val="000000" w:themeColor="text1"/>
                <w:szCs w:val="21"/>
                <w:highlight w:val="none"/>
                <w14:textFill>
                  <w14:solidFill>
                    <w14:schemeClr w14:val="tx1"/>
                  </w14:solidFill>
                </w14:textFill>
              </w:rPr>
            </w:pPr>
          </w:p>
        </w:tc>
        <w:tc>
          <w:tcPr>
            <w:tcW w:w="654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支持设备串口控制协议的集中控制组件，可通过RS485/232等控制协议采集控制全景相机的焦距和镜头拉近拉远操作。</w:t>
            </w:r>
          </w:p>
        </w:tc>
      </w:tr>
      <w:tr>
        <w:tblPrEx>
          <w:tblCellMar>
            <w:top w:w="0" w:type="dxa"/>
            <w:left w:w="108" w:type="dxa"/>
            <w:bottom w:w="0" w:type="dxa"/>
            <w:right w:w="108" w:type="dxa"/>
          </w:tblCellMar>
        </w:tblPrEx>
        <w:trPr>
          <w:trHeight w:val="720"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2</w:t>
            </w:r>
          </w:p>
        </w:tc>
        <w:tc>
          <w:tcPr>
            <w:tcW w:w="962"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设备安装调试</w:t>
            </w:r>
          </w:p>
        </w:tc>
        <w:tc>
          <w:tcPr>
            <w:tcW w:w="5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套</w:t>
            </w:r>
          </w:p>
        </w:tc>
        <w:tc>
          <w:tcPr>
            <w:tcW w:w="7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系统实施与调试费用：包含布线、设备安装等施工以及系统运行调试。,包含HIS,LIS,PACS等系统对接。</w:t>
            </w:r>
          </w:p>
        </w:tc>
      </w:tr>
      <w:tr>
        <w:tblPrEx>
          <w:tblCellMar>
            <w:top w:w="0" w:type="dxa"/>
            <w:left w:w="108" w:type="dxa"/>
            <w:bottom w:w="0" w:type="dxa"/>
            <w:right w:w="108" w:type="dxa"/>
          </w:tblCellMar>
        </w:tblPrEx>
        <w:trPr>
          <w:trHeight w:val="720" w:hRule="atLeast"/>
          <w:jc w:val="center"/>
        </w:trPr>
        <w:tc>
          <w:tcPr>
            <w:tcW w:w="557"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3</w:t>
            </w:r>
          </w:p>
        </w:tc>
        <w:tc>
          <w:tcPr>
            <w:tcW w:w="962"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线缆辅材</w:t>
            </w:r>
          </w:p>
        </w:tc>
        <w:tc>
          <w:tcPr>
            <w:tcW w:w="55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批</w:t>
            </w:r>
          </w:p>
        </w:tc>
        <w:tc>
          <w:tcPr>
            <w:tcW w:w="7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高清视频线、光纤、控制线、接头、相关管路桥架等</w:t>
            </w:r>
          </w:p>
        </w:tc>
      </w:tr>
      <w:tr>
        <w:tblPrEx>
          <w:tblCellMar>
            <w:top w:w="0" w:type="dxa"/>
            <w:left w:w="108" w:type="dxa"/>
            <w:bottom w:w="0" w:type="dxa"/>
            <w:right w:w="108" w:type="dxa"/>
          </w:tblCellMar>
        </w:tblPrEx>
        <w:trPr>
          <w:trHeight w:val="720" w:hRule="atLeast"/>
          <w:jc w:val="center"/>
        </w:trPr>
        <w:tc>
          <w:tcPr>
            <w:tcW w:w="9356" w:type="dxa"/>
            <w:gridSpan w:val="5"/>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术中视频谈话</w:t>
            </w:r>
          </w:p>
        </w:tc>
      </w:tr>
      <w:tr>
        <w:tblPrEx>
          <w:tblCellMar>
            <w:top w:w="0" w:type="dxa"/>
            <w:left w:w="108" w:type="dxa"/>
            <w:bottom w:w="0" w:type="dxa"/>
            <w:right w:w="108" w:type="dxa"/>
          </w:tblCellMar>
        </w:tblPrEx>
        <w:trPr>
          <w:trHeight w:val="720" w:hRule="atLeast"/>
          <w:jc w:val="center"/>
        </w:trPr>
        <w:tc>
          <w:tcPr>
            <w:tcW w:w="557"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w:t>
            </w:r>
          </w:p>
        </w:tc>
        <w:tc>
          <w:tcPr>
            <w:tcW w:w="962"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手术室内谈话摄像头</w:t>
            </w:r>
          </w:p>
        </w:tc>
        <w:tc>
          <w:tcPr>
            <w:tcW w:w="555"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台</w:t>
            </w:r>
          </w:p>
        </w:tc>
        <w:tc>
          <w:tcPr>
            <w:tcW w:w="736"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11</w:t>
            </w:r>
          </w:p>
        </w:tc>
        <w:tc>
          <w:tcPr>
            <w:tcW w:w="654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F2.0镜头，满足60度视角范围200W像素。</w:t>
            </w:r>
          </w:p>
        </w:tc>
      </w:tr>
    </w:tbl>
    <w:p>
      <w:pPr>
        <w:spacing w:before="120" w:line="360" w:lineRule="auto"/>
        <w:outlineLvl w:val="1"/>
        <w:rPr>
          <w:rFonts w:ascii="宋体" w:hAnsi="宋体" w:cs="宋体"/>
          <w:b/>
          <w:color w:val="000000" w:themeColor="text1"/>
          <w:spacing w:val="-6"/>
          <w:szCs w:val="21"/>
          <w:highlight w:val="none"/>
          <w14:textFill>
            <w14:solidFill>
              <w14:schemeClr w14:val="tx1"/>
            </w14:solidFill>
          </w14:textFill>
        </w:rPr>
      </w:pPr>
      <w:bookmarkStart w:id="583" w:name="_Toc8597"/>
      <w:r>
        <w:rPr>
          <w:rFonts w:hint="eastAsia" w:ascii="宋体" w:hAnsi="宋体" w:cs="宋体"/>
          <w:b/>
          <w:color w:val="000000" w:themeColor="text1"/>
          <w:spacing w:val="-6"/>
          <w:szCs w:val="21"/>
          <w:highlight w:val="none"/>
          <w14:textFill>
            <w14:solidFill>
              <w14:schemeClr w14:val="tx1"/>
            </w14:solidFill>
          </w14:textFill>
        </w:rPr>
        <w:t>四、系统测试及验收要求</w:t>
      </w:r>
      <w:bookmarkEnd w:id="583"/>
      <w:r>
        <w:rPr>
          <w:rFonts w:hint="eastAsia" w:ascii="宋体" w:hAnsi="宋体" w:cs="宋体"/>
          <w:b/>
          <w:color w:val="000000" w:themeColor="text1"/>
          <w:spacing w:val="-6"/>
          <w:szCs w:val="21"/>
          <w:highlight w:val="none"/>
          <w14:textFill>
            <w14:solidFill>
              <w14:schemeClr w14:val="tx1"/>
            </w14:solidFill>
          </w14:textFill>
        </w:rPr>
        <w:tab/>
      </w:r>
    </w:p>
    <w:p>
      <w:pPr>
        <w:numPr>
          <w:ilvl w:val="0"/>
          <w:numId w:val="12"/>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项目竣工验收时，由成交供应商邀请国家授权的疾控等权威部门对净化系统工程有关项目进行测试以及空气质量检测，并出具检测报告，所发生的费用均在本次招标范围内。</w:t>
      </w:r>
    </w:p>
    <w:p>
      <w:pPr>
        <w:numPr>
          <w:ilvl w:val="0"/>
          <w:numId w:val="12"/>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对测试不合格项目，成交供应商应按照采购人要求限时整改，在整改后，对主要指标仍不能达标的，采购人扣除全部质保金并保留追究其经济及法律责任的权利。</w:t>
      </w:r>
    </w:p>
    <w:p>
      <w:pPr>
        <w:autoSpaceDE w:val="0"/>
        <w:autoSpaceDN w:val="0"/>
        <w:adjustRightInd w:val="0"/>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五、成交供应商服务要求</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供应商竣工后应提供产品全套技术标准、技术资料及安装维护使用手册等资料。</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供应商对因产品质量、运输包装原因不能保证合格使用的本系统设备，应予以退货或更换。</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成交供应商应在系统竣工验收30日内，对采购人本系统管理操作人员免费提供操作及维护培训，人员数量为5-7名。</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供应商对各种型号的设备须提供足够的备件、附件和易损件并保证是原厂生产的产品，以满足设备正常运行的需要。供应商须在投标文件中提供备品备件清单和价格。</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供应商应严格按照工程进度，合理安全施工，确保工程按时验收，交付使用。</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供应商对所供应的设备从质保期开始免费保修(≥24个月)，并且终生提供维修服务。供应商中标后须提供全面、详细的售后服务计划和承诺书。</w:t>
      </w:r>
    </w:p>
    <w:p>
      <w:pPr>
        <w:numPr>
          <w:ilvl w:val="0"/>
          <w:numId w:val="13"/>
        </w:numPr>
        <w:autoSpaceDE w:val="0"/>
        <w:autoSpaceDN w:val="0"/>
        <w:adjustRightInd w:val="0"/>
        <w:spacing w:line="360" w:lineRule="auto"/>
        <w:ind w:left="0" w:firstLine="420"/>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根据使用需求，提供免费的手术室基础数字化系统的完善改进，并且医院后期规划升级信息化平台涉及信息接口改造事宜，供应商应无偿予以配合，确保手术室数字化系统与医院信息化平台数据互联互通。</w:t>
      </w:r>
    </w:p>
    <w:p>
      <w:pPr>
        <w:widowControl/>
        <w:spacing w:line="360" w:lineRule="auto"/>
        <w:jc w:val="left"/>
        <w:outlineLvl w:val="1"/>
        <w:rPr>
          <w:rFonts w:ascii="宋体" w:hAnsi="宋体" w:cs="宋体"/>
          <w:b/>
          <w:color w:val="000000" w:themeColor="text1"/>
          <w:spacing w:val="-6"/>
          <w:szCs w:val="21"/>
          <w:highlight w:val="none"/>
          <w14:textFill>
            <w14:solidFill>
              <w14:schemeClr w14:val="tx1"/>
            </w14:solidFill>
          </w14:textFill>
        </w:rPr>
      </w:pPr>
      <w:bookmarkStart w:id="584" w:name="_Toc25086"/>
      <w:r>
        <w:rPr>
          <w:rFonts w:hint="eastAsia" w:ascii="宋体" w:hAnsi="宋体" w:cs="宋体"/>
          <w:b/>
          <w:color w:val="000000" w:themeColor="text1"/>
          <w:spacing w:val="-6"/>
          <w:szCs w:val="21"/>
          <w:highlight w:val="none"/>
          <w14:textFill>
            <w14:solidFill>
              <w14:schemeClr w14:val="tx1"/>
            </w14:solidFill>
          </w14:textFill>
        </w:rPr>
        <w:t>六、所有设备及材料必须符合中华人民共和国有关节能、环保方面的规范、规程、规定等要求，且施工过程中，工程所用设备、材料的品牌须经建设单位书面同意后方可安排进场施工、安装。</w:t>
      </w:r>
      <w:bookmarkEnd w:id="584"/>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第三部分 工程量清单：另册</w:t>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第四部分 施工图纸：另册</w:t>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p>
    <w:p>
      <w:pPr>
        <w:pStyle w:val="17"/>
        <w:rPr>
          <w:color w:val="000000" w:themeColor="text1"/>
          <w:highlight w:val="none"/>
          <w14:textFill>
            <w14:solidFill>
              <w14:schemeClr w14:val="tx1"/>
            </w14:solidFill>
          </w14:textFill>
        </w:rPr>
      </w:pPr>
    </w:p>
    <w:p>
      <w:pPr>
        <w:pStyle w:val="17"/>
        <w:rPr>
          <w:color w:val="000000" w:themeColor="text1"/>
          <w:highlight w:val="none"/>
          <w14:textFill>
            <w14:solidFill>
              <w14:schemeClr w14:val="tx1"/>
            </w14:solidFill>
          </w14:textFill>
        </w:rPr>
      </w:pPr>
    </w:p>
    <w:bookmarkEnd w:id="32"/>
    <w:p>
      <w:pPr>
        <w:numPr>
          <w:ilvl w:val="0"/>
          <w:numId w:val="1"/>
        </w:numPr>
        <w:tabs>
          <w:tab w:val="left" w:pos="0"/>
        </w:tabs>
        <w:spacing w:before="120" w:beforeLines="50" w:after="240" w:afterLines="100" w:line="440" w:lineRule="atLeast"/>
        <w:jc w:val="center"/>
        <w:outlineLvl w:val="0"/>
        <w:rPr>
          <w:rFonts w:ascii="宋体" w:hAnsi="宋体"/>
          <w:b/>
          <w:color w:val="000000" w:themeColor="text1"/>
          <w:sz w:val="36"/>
          <w:szCs w:val="36"/>
          <w:highlight w:val="none"/>
          <w14:textFill>
            <w14:solidFill>
              <w14:schemeClr w14:val="tx1"/>
            </w14:solidFill>
          </w14:textFill>
        </w:rPr>
      </w:pPr>
      <w:bookmarkStart w:id="585" w:name="_Toc489882268"/>
      <w:bookmarkStart w:id="586" w:name="_Toc1939"/>
      <w:r>
        <w:rPr>
          <w:rFonts w:hint="eastAsia" w:ascii="宋体" w:hAnsi="宋体"/>
          <w:b/>
          <w:color w:val="000000" w:themeColor="text1"/>
          <w:sz w:val="36"/>
          <w:szCs w:val="36"/>
          <w:highlight w:val="none"/>
          <w14:textFill>
            <w14:solidFill>
              <w14:schemeClr w14:val="tx1"/>
            </w14:solidFill>
          </w14:textFill>
        </w:rPr>
        <w:t>响应文件组成</w:t>
      </w:r>
      <w:bookmarkEnd w:id="585"/>
      <w:bookmarkEnd w:id="586"/>
    </w:p>
    <w:p>
      <w:pPr>
        <w:adjustRightInd w:val="0"/>
        <w:snapToGrid w:val="0"/>
        <w:spacing w:line="360" w:lineRule="auto"/>
        <w:rPr>
          <w:rFonts w:ascii="宋体" w:hAnsi="宋体"/>
          <w:b/>
          <w:color w:val="000000" w:themeColor="text1"/>
          <w:szCs w:val="21"/>
          <w:highlight w:val="none"/>
          <w14:textFill>
            <w14:solidFill>
              <w14:schemeClr w14:val="tx1"/>
            </w14:solidFill>
          </w14:textFill>
        </w:rPr>
      </w:pPr>
    </w:p>
    <w:p>
      <w:pPr>
        <w:widowControl/>
        <w:tabs>
          <w:tab w:val="left" w:pos="753"/>
        </w:tabs>
        <w:adjustRightInd w:val="0"/>
        <w:snapToGrid w:val="0"/>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目</w:t>
      </w:r>
      <w:r>
        <w:rPr>
          <w:rFonts w:ascii="宋体" w:hAnsi="宋体"/>
          <w:b/>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录</w:t>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供应商的响应文件应包含以下部分：</w:t>
      </w:r>
    </w:p>
    <w:p>
      <w:pPr>
        <w:adjustRightInd w:val="0"/>
        <w:snapToGrid w:val="0"/>
        <w:spacing w:line="360" w:lineRule="auto"/>
        <w:jc w:val="left"/>
        <w:outlineLvl w:val="0"/>
        <w:rPr>
          <w:rFonts w:ascii="宋体" w:hAnsi="宋体"/>
          <w:b/>
          <w:color w:val="000000" w:themeColor="text1"/>
          <w:szCs w:val="21"/>
          <w:highlight w:val="none"/>
          <w14:textFill>
            <w14:solidFill>
              <w14:schemeClr w14:val="tx1"/>
            </w14:solidFill>
          </w14:textFill>
        </w:rPr>
      </w:pPr>
      <w:bookmarkStart w:id="587" w:name="_Toc16794"/>
      <w:r>
        <w:rPr>
          <w:rFonts w:hint="eastAsia" w:ascii="宋体" w:hAnsi="宋体"/>
          <w:b/>
          <w:color w:val="000000" w:themeColor="text1"/>
          <w:szCs w:val="21"/>
          <w:highlight w:val="none"/>
          <w14:textFill>
            <w14:solidFill>
              <w14:schemeClr w14:val="tx1"/>
            </w14:solidFill>
          </w14:textFill>
        </w:rPr>
        <w:t>一、磋商响应声明</w:t>
      </w:r>
      <w:bookmarkEnd w:id="587"/>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88" w:name="_Toc13731"/>
      <w:r>
        <w:rPr>
          <w:rFonts w:hint="eastAsia" w:ascii="宋体" w:hAnsi="宋体"/>
          <w:color w:val="000000" w:themeColor="text1"/>
          <w:szCs w:val="21"/>
          <w:highlight w:val="none"/>
          <w14:textFill>
            <w14:solidFill>
              <w14:schemeClr w14:val="tx1"/>
            </w14:solidFill>
          </w14:textFill>
        </w:rPr>
        <w:t>附件1-1 法定代表人身份证明</w:t>
      </w:r>
      <w:bookmarkEnd w:id="588"/>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89" w:name="_Toc19421"/>
      <w:r>
        <w:rPr>
          <w:rFonts w:hint="eastAsia" w:ascii="宋体" w:hAnsi="宋体"/>
          <w:color w:val="000000" w:themeColor="text1"/>
          <w:szCs w:val="21"/>
          <w:highlight w:val="none"/>
          <w14:textFill>
            <w14:solidFill>
              <w14:schemeClr w14:val="tx1"/>
            </w14:solidFill>
          </w14:textFill>
        </w:rPr>
        <w:t>附件1-2 法定代表人授权委托书</w:t>
      </w:r>
      <w:bookmarkEnd w:id="589"/>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90" w:name="_Toc26655"/>
      <w:r>
        <w:rPr>
          <w:rFonts w:hint="eastAsia" w:ascii="宋体" w:hAnsi="宋体"/>
          <w:color w:val="000000" w:themeColor="text1"/>
          <w:szCs w:val="21"/>
          <w:highlight w:val="none"/>
          <w14:textFill>
            <w14:solidFill>
              <w14:schemeClr w14:val="tx1"/>
            </w14:solidFill>
          </w14:textFill>
        </w:rPr>
        <w:t>附件1-3：工程质量保修书</w:t>
      </w:r>
      <w:bookmarkEnd w:id="590"/>
    </w:p>
    <w:p>
      <w:pPr>
        <w:adjustRightInd w:val="0"/>
        <w:snapToGrid w:val="0"/>
        <w:spacing w:line="360" w:lineRule="auto"/>
        <w:jc w:val="left"/>
        <w:outlineLvl w:val="0"/>
        <w:rPr>
          <w:rFonts w:ascii="宋体" w:hAnsi="宋体"/>
          <w:b/>
          <w:color w:val="000000" w:themeColor="text1"/>
          <w:szCs w:val="21"/>
          <w:highlight w:val="none"/>
          <w14:textFill>
            <w14:solidFill>
              <w14:schemeClr w14:val="tx1"/>
            </w14:solidFill>
          </w14:textFill>
        </w:rPr>
      </w:pPr>
      <w:bookmarkStart w:id="591" w:name="_Toc5300"/>
      <w:r>
        <w:rPr>
          <w:rFonts w:hint="eastAsia" w:ascii="宋体" w:hAnsi="宋体"/>
          <w:b/>
          <w:color w:val="000000" w:themeColor="text1"/>
          <w:szCs w:val="21"/>
          <w:highlight w:val="none"/>
          <w14:textFill>
            <w14:solidFill>
              <w14:schemeClr w14:val="tx1"/>
            </w14:solidFill>
          </w14:textFill>
        </w:rPr>
        <w:t>二、保证金</w:t>
      </w:r>
      <w:bookmarkEnd w:id="591"/>
    </w:p>
    <w:p>
      <w:pPr>
        <w:adjustRightInd w:val="0"/>
        <w:snapToGrid w:val="0"/>
        <w:spacing w:line="360" w:lineRule="auto"/>
        <w:jc w:val="left"/>
        <w:outlineLvl w:val="0"/>
        <w:rPr>
          <w:rFonts w:ascii="宋体" w:hAnsi="宋体"/>
          <w:b/>
          <w:color w:val="000000" w:themeColor="text1"/>
          <w:szCs w:val="21"/>
          <w:highlight w:val="none"/>
          <w14:textFill>
            <w14:solidFill>
              <w14:schemeClr w14:val="tx1"/>
            </w14:solidFill>
          </w14:textFill>
        </w:rPr>
      </w:pPr>
      <w:bookmarkStart w:id="592" w:name="_Toc28758"/>
      <w:r>
        <w:rPr>
          <w:rFonts w:hint="eastAsia" w:ascii="宋体" w:hAnsi="宋体"/>
          <w:b/>
          <w:color w:val="000000" w:themeColor="text1"/>
          <w:szCs w:val="21"/>
          <w:highlight w:val="none"/>
          <w14:textFill>
            <w14:solidFill>
              <w14:schemeClr w14:val="tx1"/>
            </w14:solidFill>
          </w14:textFill>
        </w:rPr>
        <w:t>三、供应商的资格证明资料</w:t>
      </w:r>
      <w:bookmarkEnd w:id="592"/>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93" w:name="_Toc18687"/>
      <w:r>
        <w:rPr>
          <w:rFonts w:hint="eastAsia" w:ascii="宋体" w:hAnsi="宋体"/>
          <w:color w:val="000000" w:themeColor="text1"/>
          <w:szCs w:val="21"/>
          <w:highlight w:val="none"/>
          <w14:textFill>
            <w14:solidFill>
              <w14:schemeClr w14:val="tx1"/>
            </w14:solidFill>
          </w14:textFill>
        </w:rPr>
        <w:t>附件3-1 供应商基本情况表</w:t>
      </w:r>
      <w:bookmarkEnd w:id="593"/>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94" w:name="_Toc3398"/>
      <w:r>
        <w:rPr>
          <w:rFonts w:hint="eastAsia" w:ascii="宋体" w:hAnsi="宋体"/>
          <w:color w:val="000000" w:themeColor="text1"/>
          <w:szCs w:val="21"/>
          <w:highlight w:val="none"/>
          <w14:textFill>
            <w14:solidFill>
              <w14:schemeClr w14:val="tx1"/>
            </w14:solidFill>
          </w14:textFill>
        </w:rPr>
        <w:t>附件3-2联合体协议</w:t>
      </w:r>
      <w:bookmarkEnd w:id="594"/>
    </w:p>
    <w:p>
      <w:pPr>
        <w:adjustRightInd w:val="0"/>
        <w:snapToGrid w:val="0"/>
        <w:spacing w:line="360" w:lineRule="auto"/>
        <w:ind w:firstLine="420" w:firstLineChars="200"/>
        <w:outlineLvl w:val="0"/>
        <w:rPr>
          <w:rFonts w:ascii="宋体" w:hAnsi="宋体"/>
          <w:color w:val="000000" w:themeColor="text1"/>
          <w:szCs w:val="21"/>
          <w:highlight w:val="none"/>
          <w14:textFill>
            <w14:solidFill>
              <w14:schemeClr w14:val="tx1"/>
            </w14:solidFill>
          </w14:textFill>
        </w:rPr>
      </w:pPr>
      <w:bookmarkStart w:id="595" w:name="_Toc25307"/>
      <w:r>
        <w:rPr>
          <w:rFonts w:hint="eastAsia" w:ascii="宋体" w:hAnsi="宋体"/>
          <w:color w:val="000000" w:themeColor="text1"/>
          <w:szCs w:val="21"/>
          <w:highlight w:val="none"/>
          <w14:textFill>
            <w14:solidFill>
              <w14:schemeClr w14:val="tx1"/>
            </w14:solidFill>
          </w14:textFill>
        </w:rPr>
        <w:t>附件3-3 磋商文件规定的基本资格条件证明资料</w:t>
      </w:r>
      <w:bookmarkEnd w:id="595"/>
    </w:p>
    <w:p>
      <w:pPr>
        <w:adjustRightInd w:val="0"/>
        <w:snapToGrid w:val="0"/>
        <w:spacing w:line="360" w:lineRule="auto"/>
        <w:ind w:firstLine="420" w:firstLineChars="200"/>
        <w:outlineLvl w:val="0"/>
        <w:rPr>
          <w:rFonts w:ascii="宋体" w:hAnsi="宋体"/>
          <w:color w:val="000000" w:themeColor="text1"/>
          <w:szCs w:val="21"/>
          <w:highlight w:val="none"/>
          <w14:textFill>
            <w14:solidFill>
              <w14:schemeClr w14:val="tx1"/>
            </w14:solidFill>
          </w14:textFill>
        </w:rPr>
      </w:pPr>
      <w:bookmarkStart w:id="596" w:name="_Toc4939"/>
      <w:r>
        <w:rPr>
          <w:rFonts w:hint="eastAsia" w:ascii="宋体" w:hAnsi="宋体"/>
          <w:color w:val="000000" w:themeColor="text1"/>
          <w:szCs w:val="21"/>
          <w:highlight w:val="none"/>
          <w14:textFill>
            <w14:solidFill>
              <w14:schemeClr w14:val="tx1"/>
            </w14:solidFill>
          </w14:textFill>
        </w:rPr>
        <w:t>附件3-4 磋商文件规定的特定资格条件证明资料</w:t>
      </w:r>
      <w:bookmarkEnd w:id="596"/>
    </w:p>
    <w:p>
      <w:pPr>
        <w:adjustRightInd w:val="0"/>
        <w:snapToGrid w:val="0"/>
        <w:spacing w:line="360" w:lineRule="auto"/>
        <w:ind w:firstLine="420" w:firstLineChars="200"/>
        <w:outlineLvl w:val="0"/>
        <w:rPr>
          <w:rFonts w:ascii="宋体" w:hAnsi="宋体"/>
          <w:bCs/>
          <w:color w:val="000000" w:themeColor="text1"/>
          <w:szCs w:val="21"/>
          <w:highlight w:val="none"/>
          <w14:textFill>
            <w14:solidFill>
              <w14:schemeClr w14:val="tx1"/>
            </w14:solidFill>
          </w14:textFill>
        </w:rPr>
      </w:pPr>
      <w:bookmarkStart w:id="597" w:name="_Toc25890"/>
      <w:r>
        <w:rPr>
          <w:rFonts w:hint="eastAsia" w:ascii="宋体" w:hAnsi="宋体"/>
          <w:bCs/>
          <w:color w:val="000000" w:themeColor="text1"/>
          <w:szCs w:val="21"/>
          <w:highlight w:val="none"/>
          <w14:textFill>
            <w14:solidFill>
              <w14:schemeClr w14:val="tx1"/>
            </w14:solidFill>
          </w14:textFill>
        </w:rPr>
        <w:t>附件3-5 其他说明</w:t>
      </w:r>
      <w:bookmarkEnd w:id="597"/>
    </w:p>
    <w:p>
      <w:pPr>
        <w:pStyle w:val="47"/>
        <w:adjustRightInd w:val="0"/>
        <w:snapToGrid w:val="0"/>
        <w:spacing w:line="360" w:lineRule="auto"/>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四、施工方案说明</w:t>
      </w:r>
    </w:p>
    <w:p>
      <w:pPr>
        <w:pStyle w:val="47"/>
        <w:adjustRightInd w:val="0"/>
        <w:snapToGrid w:val="0"/>
        <w:spacing w:line="360" w:lineRule="auto"/>
        <w:ind w:firstLine="435"/>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附件4-1 施工方案说明</w:t>
      </w:r>
    </w:p>
    <w:p>
      <w:pPr>
        <w:pStyle w:val="47"/>
        <w:adjustRightInd w:val="0"/>
        <w:snapToGrid w:val="0"/>
        <w:spacing w:line="360" w:lineRule="auto"/>
        <w:ind w:firstLine="435"/>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附件4-2 主要人员简历表</w:t>
      </w:r>
    </w:p>
    <w:p>
      <w:pPr>
        <w:adjustRightInd w:val="0"/>
        <w:snapToGrid w:val="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五、技术/商务响应与偏离表</w:t>
      </w:r>
    </w:p>
    <w:p>
      <w:pPr>
        <w:pStyle w:val="47"/>
        <w:adjustRightInd w:val="0"/>
        <w:snapToGrid w:val="0"/>
        <w:spacing w:line="360" w:lineRule="auto"/>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六、报价一览表</w:t>
      </w:r>
    </w:p>
    <w:p>
      <w:pPr>
        <w:pStyle w:val="47"/>
        <w:adjustRightInd w:val="0"/>
        <w:snapToGrid w:val="0"/>
        <w:spacing w:line="360" w:lineRule="auto"/>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七、提供享受政府采购政策优惠的证明资料和清单表</w:t>
      </w:r>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98" w:name="_Toc8730"/>
      <w:r>
        <w:rPr>
          <w:rFonts w:hint="eastAsia" w:ascii="宋体" w:hAnsi="宋体"/>
          <w:color w:val="000000" w:themeColor="text1"/>
          <w:szCs w:val="21"/>
          <w:highlight w:val="none"/>
          <w14:textFill>
            <w14:solidFill>
              <w14:schemeClr w14:val="tx1"/>
            </w14:solidFill>
          </w14:textFill>
        </w:rPr>
        <w:t>附件7-1 中小企业声明函</w:t>
      </w:r>
      <w:bookmarkEnd w:id="598"/>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599" w:name="_Toc32746"/>
      <w:r>
        <w:rPr>
          <w:rFonts w:hint="eastAsia" w:ascii="宋体" w:hAnsi="宋体"/>
          <w:color w:val="000000" w:themeColor="text1"/>
          <w:szCs w:val="21"/>
          <w:highlight w:val="none"/>
          <w14:textFill>
            <w14:solidFill>
              <w14:schemeClr w14:val="tx1"/>
            </w14:solidFill>
          </w14:textFill>
        </w:rPr>
        <w:t>附件7-2残疾人福利性单位声明函</w:t>
      </w:r>
      <w:bookmarkEnd w:id="599"/>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600" w:name="_Toc25539"/>
      <w:r>
        <w:rPr>
          <w:rFonts w:hint="eastAsia" w:ascii="宋体" w:hAnsi="宋体"/>
          <w:color w:val="000000" w:themeColor="text1"/>
          <w:szCs w:val="21"/>
          <w:highlight w:val="none"/>
          <w14:textFill>
            <w14:solidFill>
              <w14:schemeClr w14:val="tx1"/>
            </w14:solidFill>
          </w14:textFill>
        </w:rPr>
        <w:t>附件7-3监狱企业证明资料</w:t>
      </w:r>
      <w:bookmarkEnd w:id="600"/>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601" w:name="_Toc19984"/>
      <w:r>
        <w:rPr>
          <w:rFonts w:hint="eastAsia" w:ascii="宋体" w:hAnsi="宋体"/>
          <w:color w:val="000000" w:themeColor="text1"/>
          <w:szCs w:val="21"/>
          <w:highlight w:val="none"/>
          <w14:textFill>
            <w14:solidFill>
              <w14:schemeClr w14:val="tx1"/>
            </w14:solidFill>
          </w14:textFill>
        </w:rPr>
        <w:t>附件7-4 提供中小企业货物清单表</w:t>
      </w:r>
      <w:bookmarkEnd w:id="601"/>
    </w:p>
    <w:p>
      <w:pPr>
        <w:adjustRightInd w:val="0"/>
        <w:snapToGrid w:val="0"/>
        <w:spacing w:line="360" w:lineRule="auto"/>
        <w:ind w:firstLine="420" w:firstLineChars="200"/>
        <w:jc w:val="left"/>
        <w:outlineLvl w:val="0"/>
        <w:rPr>
          <w:rFonts w:ascii="宋体" w:hAnsi="宋体"/>
          <w:color w:val="000000" w:themeColor="text1"/>
          <w:szCs w:val="21"/>
          <w:highlight w:val="none"/>
          <w14:textFill>
            <w14:solidFill>
              <w14:schemeClr w14:val="tx1"/>
            </w14:solidFill>
          </w14:textFill>
        </w:rPr>
      </w:pPr>
      <w:bookmarkStart w:id="602" w:name="_Toc25742"/>
      <w:r>
        <w:rPr>
          <w:rFonts w:hint="eastAsia" w:ascii="宋体" w:hAnsi="宋体"/>
          <w:color w:val="000000" w:themeColor="text1"/>
          <w:szCs w:val="21"/>
          <w:highlight w:val="none"/>
          <w14:textFill>
            <w14:solidFill>
              <w14:schemeClr w14:val="tx1"/>
            </w14:solidFill>
          </w14:textFill>
        </w:rPr>
        <w:t>附件7-5 节能产品、环境标志产品、两型产品的证明材料</w:t>
      </w:r>
      <w:bookmarkEnd w:id="602"/>
    </w:p>
    <w:p>
      <w:pPr>
        <w:adjustRightInd w:val="0"/>
        <w:snapToGrid w:val="0"/>
        <w:spacing w:line="360" w:lineRule="auto"/>
        <w:ind w:firstLine="420" w:firstLineChars="200"/>
        <w:jc w:val="left"/>
        <w:outlineLvl w:val="0"/>
        <w:rPr>
          <w:rFonts w:ascii="宋体" w:hAnsi="宋体"/>
          <w:b/>
          <w:color w:val="000000" w:themeColor="text1"/>
          <w:szCs w:val="21"/>
          <w:highlight w:val="none"/>
          <w14:textFill>
            <w14:solidFill>
              <w14:schemeClr w14:val="tx1"/>
            </w14:solidFill>
          </w14:textFill>
        </w:rPr>
      </w:pPr>
      <w:bookmarkStart w:id="603" w:name="_Toc7189"/>
      <w:r>
        <w:rPr>
          <w:rFonts w:hint="eastAsia" w:ascii="宋体" w:hAnsi="宋体"/>
          <w:color w:val="000000" w:themeColor="text1"/>
          <w:szCs w:val="21"/>
          <w:highlight w:val="none"/>
          <w14:textFill>
            <w14:solidFill>
              <w14:schemeClr w14:val="tx1"/>
            </w14:solidFill>
          </w14:textFill>
        </w:rPr>
        <w:t>附件7-6 提供节能产品、环境标志产品、两型产品清单</w:t>
      </w:r>
      <w:bookmarkEnd w:id="603"/>
    </w:p>
    <w:p>
      <w:pPr>
        <w:pStyle w:val="47"/>
        <w:adjustRightInd w:val="0"/>
        <w:snapToGrid w:val="0"/>
        <w:spacing w:line="360" w:lineRule="auto"/>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八、供应商认为需提供的其它资料</w:t>
      </w:r>
    </w:p>
    <w:p>
      <w:pPr>
        <w:pStyle w:val="47"/>
        <w:adjustRightInd w:val="0"/>
        <w:snapToGrid w:val="0"/>
        <w:spacing w:line="360" w:lineRule="auto"/>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九、最后报价</w:t>
      </w:r>
    </w:p>
    <w:p>
      <w:pPr>
        <w:adjustRightInd w:val="0"/>
        <w:snapToGrid w:val="0"/>
        <w:spacing w:line="360" w:lineRule="auto"/>
        <w:rPr>
          <w:rFonts w:ascii="宋体" w:hAnsi="宋体"/>
          <w:b/>
          <w:color w:val="000000" w:themeColor="text1"/>
          <w:szCs w:val="21"/>
          <w:highlight w:val="none"/>
          <w14:textFill>
            <w14:solidFill>
              <w14:schemeClr w14:val="tx1"/>
            </w14:solidFill>
          </w14:textFill>
        </w:rPr>
      </w:pPr>
    </w:p>
    <w:p>
      <w:pPr>
        <w:adjustRightInd w:val="0"/>
        <w:snapToGrid w:val="0"/>
        <w:spacing w:line="360" w:lineRule="auto"/>
        <w:rPr>
          <w:rFonts w:ascii="宋体" w:hAnsi="宋体"/>
          <w:b/>
          <w:color w:val="000000" w:themeColor="text1"/>
          <w:szCs w:val="21"/>
          <w:highlight w:val="none"/>
          <w14:textFill>
            <w14:solidFill>
              <w14:schemeClr w14:val="tx1"/>
            </w14:solidFill>
          </w14:textFill>
        </w:rPr>
      </w:pPr>
    </w:p>
    <w:p>
      <w:pPr>
        <w:adjustRightInd w:val="0"/>
        <w:snapToGrid w:val="0"/>
        <w:spacing w:line="360" w:lineRule="auto"/>
        <w:rPr>
          <w:rFonts w:ascii="宋体" w:hAnsi="宋体"/>
          <w:b/>
          <w:color w:val="000000" w:themeColor="text1"/>
          <w:szCs w:val="21"/>
          <w:highlight w:val="none"/>
          <w14:textFill>
            <w14:solidFill>
              <w14:schemeClr w14:val="tx1"/>
            </w14:solidFill>
          </w14:textFill>
        </w:rPr>
      </w:pPr>
    </w:p>
    <w:p>
      <w:pPr>
        <w:adjustRightInd w:val="0"/>
        <w:snapToGrid w:val="0"/>
        <w:spacing w:line="360" w:lineRule="auto"/>
        <w:rPr>
          <w:rFonts w:ascii="宋体" w:hAnsi="宋体"/>
          <w:b/>
          <w:color w:val="000000" w:themeColor="text1"/>
          <w:szCs w:val="21"/>
          <w:highlight w:val="none"/>
          <w14:textFill>
            <w14:solidFill>
              <w14:schemeClr w14:val="tx1"/>
            </w14:solidFill>
          </w14:textFill>
        </w:rPr>
      </w:pPr>
    </w:p>
    <w:p>
      <w:pPr>
        <w:adjustRightInd w:val="0"/>
        <w:snapToGrid w:val="0"/>
        <w:spacing w:line="360" w:lineRule="auto"/>
        <w:rPr>
          <w:rFonts w:ascii="宋体" w:hAnsi="宋体"/>
          <w:b/>
          <w:color w:val="000000" w:themeColor="text1"/>
          <w:szCs w:val="21"/>
          <w:highlight w:val="none"/>
          <w14:textFill>
            <w14:solidFill>
              <w14:schemeClr w14:val="tx1"/>
            </w14:solidFill>
          </w14:textFill>
        </w:rPr>
      </w:pPr>
    </w:p>
    <w:p>
      <w:pPr>
        <w:numPr>
          <w:ilvl w:val="0"/>
          <w:numId w:val="14"/>
        </w:numPr>
        <w:spacing w:before="120" w:beforeLines="50" w:after="240" w:afterLines="100" w:line="440" w:lineRule="exact"/>
        <w:jc w:val="center"/>
        <w:outlineLvl w:val="1"/>
        <w:rPr>
          <w:rFonts w:ascii="微软雅黑" w:hAnsi="微软雅黑" w:eastAsia="微软雅黑"/>
          <w:color w:val="000000" w:themeColor="text1"/>
          <w:sz w:val="30"/>
          <w:szCs w:val="30"/>
          <w:highlight w:val="none"/>
          <w14:textFill>
            <w14:solidFill>
              <w14:schemeClr w14:val="tx1"/>
            </w14:solidFill>
          </w14:textFill>
        </w:rPr>
      </w:pPr>
      <w:bookmarkStart w:id="604" w:name="_Toc472022213"/>
      <w:bookmarkStart w:id="605" w:name="_Toc21228"/>
      <w:r>
        <w:rPr>
          <w:rFonts w:hint="eastAsia" w:ascii="微软雅黑" w:hAnsi="微软雅黑" w:eastAsia="微软雅黑"/>
          <w:color w:val="000000" w:themeColor="text1"/>
          <w:sz w:val="30"/>
          <w:szCs w:val="30"/>
          <w:highlight w:val="none"/>
          <w14:textFill>
            <w14:solidFill>
              <w14:schemeClr w14:val="tx1"/>
            </w14:solidFill>
          </w14:textFill>
        </w:rPr>
        <w:t>磋商响应声明</w:t>
      </w:r>
      <w:bookmarkEnd w:id="604"/>
      <w:bookmarkEnd w:id="605"/>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(采购人或采购代理机构)：</w:t>
      </w:r>
    </w:p>
    <w:p>
      <w:pPr>
        <w:adjustRightInd w:val="0"/>
        <w:snapToGrid w:val="0"/>
        <w:spacing w:before="120" w:beforeLines="50" w:after="120" w:after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我方已仔细研究了中南大学湘雅二医院疑难病症诊治能力提升工程（心血管方向）业务用房改造标段七：心血管领域洁净手术室6-13间相关配套用房改造工程的竞争性磋商文件（委托代理编号：</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）的全部内容，知悉参加竞争性磋商的风险，我方承诺接受磋商文件的全部条款且无任何异议。</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一、我方同意在磋商文件中规定的提交首次响应文件截止时间起</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日内</w:t>
      </w:r>
      <w:r>
        <w:rPr>
          <w:rFonts w:ascii="宋体" w:hAnsi="宋体"/>
          <w:color w:val="000000" w:themeColor="text1"/>
          <w:highlight w:val="none"/>
          <w14:textFill>
            <w14:solidFill>
              <w14:schemeClr w14:val="tx1"/>
            </w14:solidFill>
          </w14:textFill>
        </w:rPr>
        <w:t>(响应文件有效期)遵守本响应文件中的承诺且在此期限期满之前均具有法律约束力。</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二、我方提交响应文件正本一份和副本一式</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份，并保证响应文件提供的数据和资料全部内容真实、合法、准确和完整，我们对此负责，并愿承担由此引起的法律责任。</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三、我方愿意向贵方提供任何与本项采购有关的数据、情况和技术资料。若贵方需要，我方愿意提供我方作出的一切承诺的证明材料。</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四、我方愿意按磋商文件规定和磋商小组要求重新提交响应文件和最后报价。</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六、我方在此声明：</w:t>
      </w:r>
      <w:r>
        <w:rPr>
          <w:rFonts w:ascii="宋体" w:hAnsi="宋体"/>
          <w:color w:val="000000" w:themeColor="text1"/>
          <w:highlight w:val="none"/>
          <w14:textFill>
            <w14:solidFill>
              <w14:schemeClr w14:val="tx1"/>
            </w14:solidFill>
          </w14:textFill>
        </w:rPr>
        <w:t xml:space="preserve"> </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（一）我方与采购人或采购代理机构不存在隶属关系或者其他利害关系。</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（二）与我单位存在“单位负责人为同一人或者存在直接控股、管理关系”的其他单位信息如下（如无，填写“无”）：</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1、与我单位的法定代表人（单位负责人）为同一人的其他单位如下：</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2、我单位直接控股的其他单位如下：</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3、与我单位存在管理关系的其他单位如下：</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（三）我方未为本项目前期准备提供设计或咨询服务。</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（四）我方承诺（承诺期：成立三年以上的，为提交首次响应文件截止时间前三年内；成立不足三年的，为实际时间）：</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1、我方依法缴纳了各项税费及各项社会保障资金，没有偷税、漏税及欠缴行为。</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2、我单位未被“国家企业信用信息系统”列入经营异常名录或者严重违法企业名单。</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3、我单位具有良好的商业信誉和健全的财务会计制度。</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4、我单位依法进行纳税和社会保险申报并实际履行了义务。</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5、我单位具有履行本项目采购合同所必需的设备和专业技术能力，并具有履行合同的良好记录。</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6、我方在经营活动中没有存在下列重大违法记录：</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(1)受到刑事处罚；</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(2)受到200万元以上的罚款、责令停产停业、在一至三年内禁止参加政府采购活动、暂扣或者吊销许可证、暂扣或者吊销执照的行政处罚。</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7、我单位不属于为本项目提供整体设计、规范编制或者项目管理、监理、检测等服务的投标人。</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8、我单位无以下不良信用记录情形：</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1）、在“信用中国”网站被列入失信被执行人和重大税收违法案件当事人名单；</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2）、在“中国政府采购网”网站被列入政府采购严重违法失信行为记录名单；</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3）、不符合《政府采购法》第二十二条规定的条件。</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我单位保证上述声明的事项都是真实的，如有虚假，我单位愿意承担相应的法律责任，并承担因此所造成的一切损失。</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“良好的商业信誉”是指投标人经营状况良好，无本资格声明第</w:t>
      </w:r>
      <w:r>
        <w:rPr>
          <w:rFonts w:ascii="宋体" w:hAnsi="宋体"/>
          <w:color w:val="000000" w:themeColor="text1"/>
          <w:highlight w:val="none"/>
          <w14:textFill>
            <w14:solidFill>
              <w14:schemeClr w14:val="tx1"/>
            </w14:solidFill>
          </w14:textFill>
        </w:rPr>
        <w:t>8条情形。</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附件</w:t>
      </w:r>
      <w:r>
        <w:rPr>
          <w:rFonts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-1</w:t>
      </w:r>
      <w:r>
        <w:rPr>
          <w:rFonts w:ascii="宋体" w:hAnsi="宋体"/>
          <w:color w:val="000000" w:themeColor="text1"/>
          <w:highlight w:val="none"/>
          <w14:textFill>
            <w14:solidFill>
              <w14:schemeClr w14:val="tx1"/>
            </w14:solidFill>
          </w14:textFill>
        </w:rPr>
        <w:t>：法定代表人身份证明(法定代表人参加磋商)</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附件1-</w:t>
      </w:r>
      <w:r>
        <w:rPr>
          <w:rFonts w:ascii="宋体" w:hAnsi="宋体"/>
          <w:color w:val="000000" w:themeColor="text1"/>
          <w:highlight w:val="none"/>
          <w14:textFill>
            <w14:solidFill>
              <w14:schemeClr w14:val="tx1"/>
            </w14:solidFill>
          </w14:textFill>
        </w:rPr>
        <w:t>2：法定代表人授权书(委托代理人参加磋商)</w:t>
      </w:r>
    </w:p>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附件1-3</w:t>
      </w:r>
      <w:r>
        <w:rPr>
          <w:rFonts w:hint="eastAsia" w:ascii="宋体" w:hAnsi="宋体"/>
          <w:color w:val="000000" w:themeColor="text1"/>
          <w:szCs w:val="21"/>
          <w:highlight w:val="none"/>
          <w14:textFill>
            <w14:solidFill>
              <w14:schemeClr w14:val="tx1"/>
            </w14:solidFill>
          </w14:textFill>
        </w:rPr>
        <w:t>：工程质量保修书(工程类项目适用)</w:t>
      </w:r>
    </w:p>
    <w:p>
      <w:pPr>
        <w:adjustRightInd w:val="0"/>
        <w:snapToGrid w:val="0"/>
        <w:spacing w:before="120" w:beforeLines="50" w:after="120" w:afterLines="50" w:line="360" w:lineRule="auto"/>
        <w:rPr>
          <w:rFonts w:ascii="宋体" w:hAnsi="宋体"/>
          <w:color w:val="000000" w:themeColor="text1"/>
          <w:highlight w:val="none"/>
          <w14:textFill>
            <w14:solidFill>
              <w14:schemeClr w14:val="tx1"/>
            </w14:solidFill>
          </w14:textFill>
        </w:rPr>
      </w:pPr>
    </w:p>
    <w:p>
      <w:pPr>
        <w:adjustRightInd w:val="0"/>
        <w:snapToGrid w:val="0"/>
        <w:spacing w:before="120" w:beforeLines="50" w:after="120" w:afterLines="50"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供应商名称</w:t>
      </w:r>
      <w:r>
        <w:rPr>
          <w:rFonts w:ascii="宋体" w:hAnsi="宋体"/>
          <w:color w:val="000000" w:themeColor="text1"/>
          <w:highlight w:val="none"/>
          <w14:textFill>
            <w14:solidFill>
              <w14:schemeClr w14:val="tx1"/>
            </w14:solidFill>
          </w14:textFill>
        </w:rPr>
        <w:t xml:space="preserve">(盖单位章)：                           </w:t>
      </w:r>
    </w:p>
    <w:p>
      <w:pPr>
        <w:adjustRightInd w:val="0"/>
        <w:snapToGrid w:val="0"/>
        <w:spacing w:before="120" w:beforeLines="50" w:after="120" w:afterLines="50"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法定代表人或其委托代理人</w:t>
      </w:r>
      <w:r>
        <w:rPr>
          <w:rFonts w:ascii="宋体" w:hAnsi="宋体"/>
          <w:color w:val="000000" w:themeColor="text1"/>
          <w:highlight w:val="none"/>
          <w14:textFill>
            <w14:solidFill>
              <w14:schemeClr w14:val="tx1"/>
            </w14:solidFill>
          </w14:textFill>
        </w:rPr>
        <w:t xml:space="preserve"> (签字)：            </w:t>
      </w:r>
    </w:p>
    <w:p>
      <w:pPr>
        <w:adjustRightInd w:val="0"/>
        <w:snapToGrid w:val="0"/>
        <w:spacing w:before="120" w:beforeLines="50" w:after="120" w:afterLines="50" w:line="360" w:lineRule="exact"/>
        <w:rPr>
          <w:rFonts w:ascii="宋体" w:hAnsi="宋体"/>
          <w:color w:val="000000" w:themeColor="text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r>
        <w:rPr>
          <w:rFonts w:hint="eastAsia" w:ascii="宋体" w:hAnsi="宋体"/>
          <w:color w:val="000000" w:themeColor="text1"/>
          <w:highlight w:val="none"/>
          <w14:textFill>
            <w14:solidFill>
              <w14:schemeClr w14:val="tx1"/>
            </w14:solidFill>
          </w14:textFill>
        </w:rPr>
        <w:t>日期：</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adjustRightInd w:val="0"/>
        <w:snapToGrid w:val="0"/>
        <w:spacing w:line="280" w:lineRule="exact"/>
        <w:ind w:right="420"/>
        <w:outlineLvl w:val="2"/>
        <w:rPr>
          <w:rFonts w:ascii="宋体" w:hAnsi="宋体"/>
          <w:b/>
          <w:color w:val="000000" w:themeColor="text1"/>
          <w:sz w:val="28"/>
          <w:szCs w:val="28"/>
          <w:highlight w:val="none"/>
          <w14:textFill>
            <w14:solidFill>
              <w14:schemeClr w14:val="tx1"/>
            </w14:solidFill>
          </w14:textFill>
        </w:rPr>
      </w:pPr>
    </w:p>
    <w:p>
      <w:pPr>
        <w:adjustRightInd w:val="0"/>
        <w:snapToGrid w:val="0"/>
        <w:spacing w:line="280" w:lineRule="exact"/>
        <w:ind w:right="420"/>
        <w:outlineLvl w:val="2"/>
        <w:rPr>
          <w:rFonts w:ascii="宋体" w:hAnsi="宋体"/>
          <w:color w:val="000000" w:themeColor="text1"/>
          <w:szCs w:val="21"/>
          <w:highlight w:val="none"/>
          <w14:textFill>
            <w14:solidFill>
              <w14:schemeClr w14:val="tx1"/>
            </w14:solidFill>
          </w14:textFill>
        </w:rPr>
      </w:pPr>
      <w:bookmarkStart w:id="606" w:name="_Toc27345"/>
      <w:r>
        <w:rPr>
          <w:rFonts w:hint="eastAsia" w:ascii="宋体" w:hAnsi="宋体"/>
          <w:b/>
          <w:color w:val="000000" w:themeColor="text1"/>
          <w:sz w:val="28"/>
          <w:szCs w:val="28"/>
          <w:highlight w:val="none"/>
          <w14:textFill>
            <w14:solidFill>
              <w14:schemeClr w14:val="tx1"/>
            </w14:solidFill>
          </w14:textFill>
        </w:rPr>
        <w:t>附件1-1</w:t>
      </w:r>
      <w:bookmarkEnd w:id="606"/>
      <w:r>
        <w:rPr>
          <w:rFonts w:hint="eastAsia" w:ascii="宋体" w:hAnsi="宋体"/>
          <w:color w:val="000000" w:themeColor="text1"/>
          <w:szCs w:val="21"/>
          <w:highlight w:val="none"/>
          <w14:textFill>
            <w14:solidFill>
              <w14:schemeClr w14:val="tx1"/>
            </w14:solidFill>
          </w14:textFill>
        </w:rPr>
        <w:t xml:space="preserve">  </w:t>
      </w:r>
    </w:p>
    <w:p>
      <w:pPr>
        <w:spacing w:before="240" w:beforeLines="100"/>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法定代表人身份证明</w:t>
      </w:r>
    </w:p>
    <w:p>
      <w:pPr>
        <w:snapToGrid w:val="0"/>
        <w:spacing w:line="48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w:t>
      </w:r>
      <w:r>
        <w:rPr>
          <w:rFonts w:hint="eastAsia" w:ascii="宋体" w:hAnsi="宋体"/>
          <w:color w:val="000000" w:themeColor="text1"/>
          <w:kern w:val="0"/>
          <w:highlight w:val="none"/>
          <w14:textFill>
            <w14:solidFill>
              <w14:schemeClr w14:val="tx1"/>
            </w14:solidFill>
          </w14:textFill>
        </w:rPr>
        <w:t>名称：</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注册号：</w:t>
      </w:r>
      <w:r>
        <w:rPr>
          <w:rFonts w:ascii="宋体" w:hAnsi="宋体"/>
          <w:color w:val="000000" w:themeColor="text1"/>
          <w:kern w:val="0"/>
          <w:highlight w:val="none"/>
          <w:u w:val="single"/>
          <w14:textFill>
            <w14:solidFill>
              <w14:schemeClr w14:val="tx1"/>
            </w14:solidFill>
          </w14:textFill>
        </w:rPr>
        <w:t xml:space="preserve">                  </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注册地址：</w:t>
      </w:r>
      <w:r>
        <w:rPr>
          <w:rFonts w:ascii="宋体" w:hAnsi="宋体"/>
          <w:color w:val="000000" w:themeColor="text1"/>
          <w:kern w:val="0"/>
          <w:highlight w:val="none"/>
          <w:u w:val="single"/>
          <w14:textFill>
            <w14:solidFill>
              <w14:schemeClr w14:val="tx1"/>
            </w14:solidFill>
          </w14:textFill>
        </w:rPr>
        <w:t xml:space="preserve">                                    </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成立时间：</w:t>
      </w:r>
      <w:r>
        <w:rPr>
          <w:rFonts w:ascii="宋体" w:hAnsi="宋体"/>
          <w:color w:val="000000" w:themeColor="text1"/>
          <w:kern w:val="0"/>
          <w:highlight w:val="none"/>
          <w14:textFill>
            <w14:solidFill>
              <w14:schemeClr w14:val="tx1"/>
            </w14:solidFill>
          </w14:textFill>
        </w:rPr>
        <w:t xml:space="preserve"> </w:t>
      </w:r>
      <w:r>
        <w:rPr>
          <w:rFonts w:ascii="宋体" w:hAnsi="宋体"/>
          <w:color w:val="000000" w:themeColor="text1"/>
          <w:kern w:val="0"/>
          <w:highlight w:val="none"/>
          <w:u w:val="single"/>
          <w14:textFill>
            <w14:solidFill>
              <w14:schemeClr w14:val="tx1"/>
            </w14:solidFill>
          </w14:textFill>
        </w:rPr>
        <w:t xml:space="preserve">       </w:t>
      </w:r>
      <w:r>
        <w:rPr>
          <w:rFonts w:hint="eastAsia" w:ascii="宋体" w:hAnsi="宋体"/>
          <w:color w:val="000000" w:themeColor="text1"/>
          <w:kern w:val="0"/>
          <w:highlight w:val="none"/>
          <w14:textFill>
            <w14:solidFill>
              <w14:schemeClr w14:val="tx1"/>
            </w14:solidFill>
          </w14:textFill>
        </w:rPr>
        <w:t>年</w:t>
      </w:r>
      <w:r>
        <w:rPr>
          <w:rFonts w:ascii="宋体" w:hAnsi="宋体"/>
          <w:color w:val="000000" w:themeColor="text1"/>
          <w:kern w:val="0"/>
          <w:highlight w:val="none"/>
          <w14:textFill>
            <w14:solidFill>
              <w14:schemeClr w14:val="tx1"/>
            </w14:solidFill>
          </w14:textFill>
        </w:rPr>
        <w:t xml:space="preserve"> </w:t>
      </w:r>
      <w:r>
        <w:rPr>
          <w:rFonts w:ascii="宋体" w:hAnsi="宋体"/>
          <w:color w:val="000000" w:themeColor="text1"/>
          <w:kern w:val="0"/>
          <w:highlight w:val="none"/>
          <w:u w:val="single"/>
          <w14:textFill>
            <w14:solidFill>
              <w14:schemeClr w14:val="tx1"/>
            </w14:solidFill>
          </w14:textFill>
        </w:rPr>
        <w:t xml:space="preserve">     </w:t>
      </w:r>
      <w:r>
        <w:rPr>
          <w:rFonts w:hint="eastAsia" w:ascii="宋体" w:hAnsi="宋体"/>
          <w:color w:val="000000" w:themeColor="text1"/>
          <w:kern w:val="0"/>
          <w:highlight w:val="none"/>
          <w14:textFill>
            <w14:solidFill>
              <w14:schemeClr w14:val="tx1"/>
            </w14:solidFill>
          </w14:textFill>
        </w:rPr>
        <w:t>月</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日</w:t>
      </w:r>
    </w:p>
    <w:p>
      <w:pPr>
        <w:autoSpaceDE w:val="0"/>
        <w:autoSpaceDN w:val="0"/>
        <w:adjustRightInd w:val="0"/>
        <w:snapToGrid w:val="0"/>
        <w:spacing w:before="120" w:beforeLines="50" w:line="360" w:lineRule="auto"/>
        <w:jc w:val="left"/>
        <w:rPr>
          <w:rFonts w:ascii="宋体" w:hAnsi="宋体"/>
          <w:color w:val="000000" w:themeColor="text1"/>
          <w:kern w:val="0"/>
          <w:highlight w:val="none"/>
          <w:u w:val="singl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经营期限：</w:t>
      </w:r>
      <w:r>
        <w:rPr>
          <w:rFonts w:ascii="宋体" w:hAnsi="宋体"/>
          <w:color w:val="000000" w:themeColor="text1"/>
          <w:kern w:val="0"/>
          <w:highlight w:val="none"/>
          <w:u w:val="single"/>
          <w14:textFill>
            <w14:solidFill>
              <w14:schemeClr w14:val="tx1"/>
            </w14:solidFill>
          </w14:textFill>
        </w:rPr>
        <w:t xml:space="preserve">                  </w:t>
      </w:r>
    </w:p>
    <w:p>
      <w:pPr>
        <w:autoSpaceDE w:val="0"/>
        <w:autoSpaceDN w:val="0"/>
        <w:adjustRightInd w:val="0"/>
        <w:snapToGrid w:val="0"/>
        <w:spacing w:before="120" w:beforeLines="50" w:line="360" w:lineRule="auto"/>
        <w:jc w:val="left"/>
        <w:rPr>
          <w:rFonts w:ascii="宋体" w:hAnsi="宋体"/>
          <w:color w:val="000000" w:themeColor="text1"/>
          <w:kern w:val="0"/>
          <w:highlight w:val="none"/>
          <w:u w:val="singl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经营范围：主营：</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；兼营：</w:t>
      </w:r>
      <w:r>
        <w:rPr>
          <w:rFonts w:ascii="宋体" w:hAnsi="宋体"/>
          <w:color w:val="000000" w:themeColor="text1"/>
          <w:kern w:val="0"/>
          <w:highlight w:val="none"/>
          <w:u w:val="single"/>
          <w14:textFill>
            <w14:solidFill>
              <w14:schemeClr w14:val="tx1"/>
            </w14:solidFill>
          </w14:textFill>
        </w:rPr>
        <w:t xml:space="preserve">              </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姓名：</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性别：</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年龄：</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系</w:t>
      </w:r>
      <w:r>
        <w:rPr>
          <w:rFonts w:ascii="宋体" w:hAnsi="宋体"/>
          <w:color w:val="000000" w:themeColor="text1"/>
          <w:kern w:val="0"/>
          <w:highlight w:val="none"/>
          <w:u w:val="single"/>
          <w14:textFill>
            <w14:solidFill>
              <w14:schemeClr w14:val="tx1"/>
            </w14:solidFill>
          </w14:textFill>
        </w:rPr>
        <w:t xml:space="preserve">      </w:t>
      </w:r>
      <w:r>
        <w:rPr>
          <w:rFonts w:hint="eastAsia" w:ascii="宋体" w:hAnsi="宋体"/>
          <w:color w:val="000000" w:themeColor="text1"/>
          <w:kern w:val="0"/>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供应商</w:t>
      </w:r>
      <w:r>
        <w:rPr>
          <w:rFonts w:hint="eastAsia" w:ascii="宋体" w:hAnsi="宋体"/>
          <w:color w:val="000000" w:themeColor="text1"/>
          <w:kern w:val="0"/>
          <w:highlight w:val="none"/>
          <w14:textFill>
            <w14:solidFill>
              <w14:schemeClr w14:val="tx1"/>
            </w14:solidFill>
          </w14:textFill>
        </w:rPr>
        <w:t>名称）的法定代表人。</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特此证明。</w:t>
      </w:r>
    </w:p>
    <w:p>
      <w:pPr>
        <w:autoSpaceDE w:val="0"/>
        <w:autoSpaceDN w:val="0"/>
        <w:adjustRightInd w:val="0"/>
        <w:snapToGrid w:val="0"/>
        <w:spacing w:before="120" w:beforeLines="50" w:line="360" w:lineRule="auto"/>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附：法定代表人身份证复印件或影印件</w:t>
      </w:r>
    </w:p>
    <w:tbl>
      <w:tblPr>
        <w:tblStyle w:val="90"/>
        <w:tblW w:w="0" w:type="auto"/>
        <w:tblInd w:w="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6520" w:type="dxa"/>
            <w:tcBorders>
              <w:top w:val="single" w:color="auto" w:sz="4" w:space="0"/>
              <w:left w:val="single" w:color="auto" w:sz="4" w:space="0"/>
              <w:bottom w:val="single" w:color="auto" w:sz="4" w:space="0"/>
              <w:right w:val="single" w:color="auto" w:sz="4" w:space="0"/>
            </w:tcBorders>
            <w:vAlign w:val="center"/>
          </w:tcPr>
          <w:p>
            <w:pPr>
              <w:widowControl/>
              <w:tabs>
                <w:tab w:val="left" w:pos="753"/>
              </w:tabs>
              <w:adjustRightInd w:val="0"/>
              <w:snapToGrid w:val="0"/>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二代身份证复印件或影印件</w:t>
            </w:r>
          </w:p>
        </w:tc>
      </w:tr>
    </w:tbl>
    <w:p>
      <w:pPr>
        <w:snapToGrid w:val="0"/>
        <w:spacing w:line="480" w:lineRule="auto"/>
        <w:rPr>
          <w:rFonts w:ascii="宋体" w:hAnsi="宋体"/>
          <w:color w:val="000000" w:themeColor="text1"/>
          <w:sz w:val="24"/>
          <w:highlight w:val="none"/>
          <w14:textFill>
            <w14:solidFill>
              <w14:schemeClr w14:val="tx1"/>
            </w14:solidFill>
          </w14:textFill>
        </w:rPr>
      </w:pPr>
    </w:p>
    <w:p>
      <w:pPr>
        <w:snapToGrid w:val="0"/>
        <w:spacing w:line="480" w:lineRule="auto"/>
        <w:rPr>
          <w:rFonts w:ascii="宋体" w:hAnsi="宋体"/>
          <w:color w:val="000000" w:themeColor="text1"/>
          <w:highlight w:val="none"/>
          <w14:textFill>
            <w14:solidFill>
              <w14:schemeClr w14:val="tx1"/>
            </w14:solidFill>
          </w14:textFill>
        </w:rPr>
      </w:pPr>
    </w:p>
    <w:p>
      <w:pPr>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pStyle w:val="47"/>
        <w:adjustRightInd w:val="0"/>
        <w:snapToGrid w:val="0"/>
        <w:spacing w:before="120" w:beforeLines="50" w:after="120" w:afterLines="50" w:line="36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供应商名称</w:t>
      </w:r>
      <w:r>
        <w:rPr>
          <w:rFonts w:hAnsi="宋体"/>
          <w:color w:val="000000" w:themeColor="text1"/>
          <w:highlight w:val="none"/>
          <w14:textFill>
            <w14:solidFill>
              <w14:schemeClr w14:val="tx1"/>
            </w14:solidFill>
          </w14:textFill>
        </w:rPr>
        <w:t>(盖单位章)：</w:t>
      </w:r>
      <w:r>
        <w:rPr>
          <w:rFonts w:hAnsi="宋体"/>
          <w:color w:val="000000" w:themeColor="text1"/>
          <w:highlight w:val="none"/>
          <w:u w:val="single"/>
          <w14:textFill>
            <w14:solidFill>
              <w14:schemeClr w14:val="tx1"/>
            </w14:solidFill>
          </w14:textFill>
        </w:rPr>
        <w:t xml:space="preserve">                           </w:t>
      </w:r>
    </w:p>
    <w:p>
      <w:pPr>
        <w:adjustRightInd w:val="0"/>
        <w:snapToGrid w:val="0"/>
        <w:spacing w:before="50" w:after="50"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日期：</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spacing w:line="360" w:lineRule="exact"/>
        <w:rPr>
          <w:rFonts w:ascii="宋体" w:hAnsi="宋体"/>
          <w:color w:val="000000" w:themeColor="text1"/>
          <w:highlight w:val="none"/>
          <w14:textFill>
            <w14:solidFill>
              <w14:schemeClr w14:val="tx1"/>
            </w14:solidFill>
          </w14:textFill>
        </w:rPr>
      </w:pPr>
    </w:p>
    <w:p>
      <w:pPr>
        <w:spacing w:line="360" w:lineRule="exact"/>
        <w:rPr>
          <w:rFonts w:ascii="宋体" w:hAnsi="宋体"/>
          <w:b/>
          <w:bCs/>
          <w:color w:val="000000" w:themeColor="text1"/>
          <w:highlight w:val="none"/>
          <w14:textFill>
            <w14:solidFill>
              <w14:schemeClr w14:val="tx1"/>
            </w14:solidFill>
          </w14:textFill>
        </w:rPr>
      </w:pPr>
    </w:p>
    <w:p>
      <w:pP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注：</w:t>
      </w:r>
      <w:r>
        <w:rPr>
          <w:rFonts w:hint="eastAsia" w:ascii="宋体" w:hAnsi="宋体"/>
          <w:color w:val="000000" w:themeColor="text1"/>
          <w:highlight w:val="none"/>
          <w14:textFill>
            <w14:solidFill>
              <w14:schemeClr w14:val="tx1"/>
            </w14:solidFill>
          </w14:textFill>
        </w:rPr>
        <w:t>法定代表人参加磋商必须提供本文件，不需要提供“法定代表人授权书”。</w:t>
      </w:r>
    </w:p>
    <w:p>
      <w:pP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p>
    <w:p>
      <w:pPr>
        <w:adjustRightInd w:val="0"/>
        <w:snapToGrid w:val="0"/>
        <w:spacing w:line="360" w:lineRule="auto"/>
        <w:ind w:right="420"/>
        <w:rPr>
          <w:rFonts w:ascii="宋体" w:hAnsi="宋体"/>
          <w:color w:val="000000" w:themeColor="text1"/>
          <w:szCs w:val="2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spacing w:line="280" w:lineRule="exact"/>
        <w:ind w:right="420"/>
        <w:outlineLvl w:val="2"/>
        <w:rPr>
          <w:rFonts w:ascii="宋体" w:hAnsi="宋体"/>
          <w:b/>
          <w:color w:val="000000" w:themeColor="text1"/>
          <w:sz w:val="28"/>
          <w:szCs w:val="28"/>
          <w:highlight w:val="none"/>
          <w14:textFill>
            <w14:solidFill>
              <w14:schemeClr w14:val="tx1"/>
            </w14:solidFill>
          </w14:textFill>
        </w:rPr>
      </w:pPr>
    </w:p>
    <w:p>
      <w:pPr>
        <w:adjustRightInd w:val="0"/>
        <w:snapToGrid w:val="0"/>
        <w:spacing w:line="280" w:lineRule="exact"/>
        <w:ind w:right="420"/>
        <w:outlineLvl w:val="2"/>
        <w:rPr>
          <w:rFonts w:ascii="宋体" w:hAnsi="宋体"/>
          <w:color w:val="000000" w:themeColor="text1"/>
          <w:szCs w:val="21"/>
          <w:highlight w:val="none"/>
          <w14:textFill>
            <w14:solidFill>
              <w14:schemeClr w14:val="tx1"/>
            </w14:solidFill>
          </w14:textFill>
        </w:rPr>
      </w:pPr>
      <w:bookmarkStart w:id="607" w:name="_Toc12250"/>
      <w:r>
        <w:rPr>
          <w:rFonts w:hint="eastAsia" w:ascii="宋体" w:hAnsi="宋体"/>
          <w:b/>
          <w:color w:val="000000" w:themeColor="text1"/>
          <w:sz w:val="28"/>
          <w:szCs w:val="28"/>
          <w:highlight w:val="none"/>
          <w14:textFill>
            <w14:solidFill>
              <w14:schemeClr w14:val="tx1"/>
            </w14:solidFill>
          </w14:textFill>
        </w:rPr>
        <w:t>附件1-2</w:t>
      </w:r>
      <w:bookmarkEnd w:id="607"/>
      <w:r>
        <w:rPr>
          <w:rFonts w:hint="eastAsia" w:ascii="宋体" w:hAnsi="宋体"/>
          <w:b/>
          <w:color w:val="000000" w:themeColor="text1"/>
          <w:sz w:val="28"/>
          <w:szCs w:val="28"/>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pPr>
        <w:spacing w:before="360" w:beforeLines="150"/>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法定代表人授权书</w:t>
      </w:r>
    </w:p>
    <w:p>
      <w:pPr>
        <w:adjustRightInd w:val="0"/>
        <w:snapToGrid w:val="0"/>
        <w:spacing w:line="360" w:lineRule="auto"/>
        <w:jc w:val="center"/>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 </w:t>
      </w:r>
    </w:p>
    <w:p>
      <w:pPr>
        <w:autoSpaceDE w:val="0"/>
        <w:autoSpaceDN w:val="0"/>
        <w:adjustRightInd w:val="0"/>
        <w:snapToGrid w:val="0"/>
        <w:spacing w:before="120" w:beforeLines="50" w:line="360" w:lineRule="auto"/>
        <w:ind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本人</w:t>
      </w:r>
      <w:r>
        <w:rPr>
          <w:rFonts w:ascii="宋体" w:hAnsi="宋体"/>
          <w:color w:val="000000" w:themeColor="text1"/>
          <w:kern w:val="0"/>
          <w:highlight w:val="none"/>
          <w:u w:val="single"/>
          <w14:textFill>
            <w14:solidFill>
              <w14:schemeClr w14:val="tx1"/>
            </w14:solidFill>
          </w14:textFill>
        </w:rPr>
        <w:t xml:space="preserve">          </w:t>
      </w:r>
      <w:r>
        <w:rPr>
          <w:rFonts w:hint="eastAsia" w:ascii="宋体" w:hAnsi="宋体"/>
          <w:color w:val="000000" w:themeColor="text1"/>
          <w:kern w:val="0"/>
          <w:highlight w:val="none"/>
          <w14:textFill>
            <w14:solidFill>
              <w14:schemeClr w14:val="tx1"/>
            </w14:solidFill>
          </w14:textFill>
        </w:rPr>
        <w:t>（姓名、职务）系</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供应商</w:t>
      </w:r>
      <w:r>
        <w:rPr>
          <w:rFonts w:hint="eastAsia" w:ascii="宋体" w:hAnsi="宋体"/>
          <w:color w:val="000000" w:themeColor="text1"/>
          <w:kern w:val="0"/>
          <w:highlight w:val="none"/>
          <w14:textFill>
            <w14:solidFill>
              <w14:schemeClr w14:val="tx1"/>
            </w14:solidFill>
          </w14:textFill>
        </w:rPr>
        <w:t>名称）的法定代表人，现授权</w:t>
      </w:r>
      <w:r>
        <w:rPr>
          <w:rFonts w:ascii="宋体" w:hAnsi="宋体"/>
          <w:color w:val="000000" w:themeColor="text1"/>
          <w:kern w:val="0"/>
          <w:highlight w:val="none"/>
          <w:u w:val="single"/>
          <w14:textFill>
            <w14:solidFill>
              <w14:schemeClr w14:val="tx1"/>
            </w14:solidFill>
          </w14:textFill>
        </w:rPr>
        <w:t xml:space="preserve">          </w:t>
      </w:r>
      <w:r>
        <w:rPr>
          <w:rFonts w:hint="eastAsia" w:ascii="宋体" w:hAnsi="宋体"/>
          <w:color w:val="000000" w:themeColor="text1"/>
          <w:kern w:val="0"/>
          <w:highlight w:val="none"/>
          <w14:textFill>
            <w14:solidFill>
              <w14:schemeClr w14:val="tx1"/>
            </w14:solidFill>
          </w14:textFill>
        </w:rPr>
        <w:t>（姓名、职务）为我方代理人。代理人根据授权，以我方名义：</w:t>
      </w:r>
      <w:r>
        <w:rPr>
          <w:rFonts w:ascii="宋体" w:hAnsi="宋体"/>
          <w:color w:val="000000" w:themeColor="text1"/>
          <w:kern w:val="0"/>
          <w:highlight w:val="none"/>
          <w14:textFill>
            <w14:solidFill>
              <w14:schemeClr w14:val="tx1"/>
            </w14:solidFill>
          </w14:textFill>
        </w:rPr>
        <w:t>(1)签署、澄清、补正、修改、撤回、提交</w:t>
      </w:r>
      <w:r>
        <w:rPr>
          <w:rFonts w:ascii="宋体" w:hAnsi="宋体"/>
          <w:color w:val="000000" w:themeColor="text1"/>
          <w:kern w:val="0"/>
          <w:highlight w:val="none"/>
          <w:u w:val="single"/>
          <w14:textFill>
            <w14:solidFill>
              <w14:schemeClr w14:val="tx1"/>
            </w14:solidFill>
          </w14:textFill>
        </w:rPr>
        <w:t xml:space="preserve">                     </w:t>
      </w:r>
      <w:r>
        <w:rPr>
          <w:rFonts w:hint="eastAsia" w:ascii="宋体" w:hAnsi="宋体"/>
          <w:color w:val="000000" w:themeColor="text1"/>
          <w:kern w:val="0"/>
          <w:highlight w:val="none"/>
          <w14:textFill>
            <w14:solidFill>
              <w14:schemeClr w14:val="tx1"/>
            </w14:solidFill>
          </w14:textFill>
        </w:rPr>
        <w:t>（项目名称、采购代理机构编号）响应文件；</w:t>
      </w:r>
      <w:r>
        <w:rPr>
          <w:rFonts w:ascii="宋体" w:hAnsi="宋体"/>
          <w:color w:val="000000" w:themeColor="text1"/>
          <w:kern w:val="0"/>
          <w:highlight w:val="none"/>
          <w14:textFill>
            <w14:solidFill>
              <w14:schemeClr w14:val="tx1"/>
            </w14:solidFill>
          </w14:textFill>
        </w:rPr>
        <w:t>(2)签署并重新提交响应文件及最后报价；(3)退出磋商；(4)签订合同和处理有关事宜，其法律后果由我方承担。</w:t>
      </w:r>
    </w:p>
    <w:p>
      <w:pPr>
        <w:autoSpaceDE w:val="0"/>
        <w:autoSpaceDN w:val="0"/>
        <w:adjustRightInd w:val="0"/>
        <w:snapToGrid w:val="0"/>
        <w:spacing w:before="120" w:beforeLines="50" w:line="360" w:lineRule="auto"/>
        <w:ind w:firstLine="420" w:firstLineChars="20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委托期限：</w:t>
      </w:r>
      <w:r>
        <w:rPr>
          <w:rFonts w:ascii="宋体" w:hAnsi="宋体"/>
          <w:color w:val="000000" w:themeColor="text1"/>
          <w:kern w:val="0"/>
          <w:highlight w:val="none"/>
          <w:u w:val="single"/>
          <w14:textFill>
            <w14:solidFill>
              <w14:schemeClr w14:val="tx1"/>
            </w14:solidFill>
          </w14:textFill>
        </w:rPr>
        <w:t xml:space="preserve">                                     </w:t>
      </w:r>
      <w:r>
        <w:rPr>
          <w:rFonts w:ascii="宋体" w:hAnsi="宋体"/>
          <w:color w:val="000000" w:themeColor="text1"/>
          <w:kern w:val="0"/>
          <w:highlight w:val="none"/>
          <w14:textFill>
            <w14:solidFill>
              <w14:schemeClr w14:val="tx1"/>
            </w14:solidFill>
          </w14:textFill>
        </w:rPr>
        <w:t xml:space="preserve"> 。</w:t>
      </w:r>
    </w:p>
    <w:p>
      <w:pPr>
        <w:spacing w:line="360" w:lineRule="auto"/>
        <w:ind w:firstLine="435"/>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代理人无转委托权。</w:t>
      </w:r>
    </w:p>
    <w:p>
      <w:pPr>
        <w:spacing w:line="360" w:lineRule="auto"/>
        <w:ind w:firstLine="4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本授权书于</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日签字生效，特此声明。</w:t>
      </w:r>
    </w:p>
    <w:p>
      <w:pPr>
        <w:adjustRightInd w:val="0"/>
        <w:snapToGrid w:val="0"/>
        <w:spacing w:before="120"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附：授权代表身份证复印件或影印件及法定代表人身份证明</w:t>
      </w:r>
      <w:r>
        <w:rPr>
          <w:rFonts w:ascii="宋体" w:hAnsi="宋体"/>
          <w:color w:val="000000" w:themeColor="text1"/>
          <w:highlight w:val="none"/>
          <w14:textFill>
            <w14:solidFill>
              <w14:schemeClr w14:val="tx1"/>
            </w14:solidFill>
          </w14:textFill>
        </w:rPr>
        <w:t>(附件1原件)</w:t>
      </w:r>
    </w:p>
    <w:p>
      <w:pPr>
        <w:adjustRightInd w:val="0"/>
        <w:snapToGrid w:val="0"/>
        <w:spacing w:line="360" w:lineRule="auto"/>
        <w:ind w:right="420"/>
        <w:rPr>
          <w:rFonts w:ascii="宋体" w:hAnsi="宋体"/>
          <w:color w:val="000000" w:themeColor="text1"/>
          <w:highlight w:val="none"/>
          <w14:textFill>
            <w14:solidFill>
              <w14:schemeClr w14:val="tx1"/>
            </w14:solidFill>
          </w14:textFill>
        </w:rPr>
      </w:pPr>
    </w:p>
    <w:tbl>
      <w:tblPr>
        <w:tblStyle w:val="90"/>
        <w:tblW w:w="0" w:type="auto"/>
        <w:tblInd w:w="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6520" w:type="dxa"/>
            <w:tcBorders>
              <w:top w:val="single" w:color="auto" w:sz="4" w:space="0"/>
              <w:left w:val="single" w:color="auto" w:sz="4" w:space="0"/>
              <w:bottom w:val="single" w:color="auto" w:sz="4" w:space="0"/>
              <w:right w:val="single" w:color="auto" w:sz="4" w:space="0"/>
            </w:tcBorders>
            <w:vAlign w:val="center"/>
          </w:tcPr>
          <w:p>
            <w:pPr>
              <w:widowControl/>
              <w:tabs>
                <w:tab w:val="left" w:pos="753"/>
              </w:tabs>
              <w:adjustRightInd w:val="0"/>
              <w:snapToGrid w:val="0"/>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二代身份证复印件或影印件</w:t>
            </w:r>
          </w:p>
        </w:tc>
      </w:tr>
    </w:tbl>
    <w:p>
      <w:pPr>
        <w:snapToGrid w:val="0"/>
        <w:spacing w:line="480" w:lineRule="auto"/>
        <w:rPr>
          <w:rFonts w:ascii="宋体" w:hAnsi="宋体"/>
          <w:color w:val="000000" w:themeColor="text1"/>
          <w:sz w:val="24"/>
          <w:highlight w:val="none"/>
          <w14:textFill>
            <w14:solidFill>
              <w14:schemeClr w14:val="tx1"/>
            </w14:solidFill>
          </w14:textFill>
        </w:rPr>
      </w:pPr>
    </w:p>
    <w:p>
      <w:pPr>
        <w:snapToGrid w:val="0"/>
        <w:spacing w:line="480" w:lineRule="auto"/>
        <w:rPr>
          <w:rFonts w:ascii="宋体" w:hAnsi="宋体"/>
          <w:color w:val="000000" w:themeColor="text1"/>
          <w:highlight w:val="none"/>
          <w14:textFill>
            <w14:solidFill>
              <w14:schemeClr w14:val="tx1"/>
            </w14:solidFill>
          </w14:textFill>
        </w:rPr>
      </w:pPr>
    </w:p>
    <w:p>
      <w:pPr>
        <w:adjustRightInd w:val="0"/>
        <w:snapToGrid w:val="0"/>
        <w:spacing w:line="360" w:lineRule="auto"/>
        <w:ind w:right="420"/>
        <w:rPr>
          <w:rFonts w:ascii="宋体" w:hAnsi="宋体"/>
          <w:color w:val="000000" w:themeColor="text1"/>
          <w:highlight w:val="none"/>
          <w14:textFill>
            <w14:solidFill>
              <w14:schemeClr w14:val="tx1"/>
            </w14:solidFill>
          </w14:textFill>
        </w:rPr>
      </w:pPr>
    </w:p>
    <w:p>
      <w:pPr>
        <w:adjustRightInd w:val="0"/>
        <w:snapToGrid w:val="0"/>
        <w:spacing w:line="360" w:lineRule="auto"/>
        <w:ind w:right="420"/>
        <w:rPr>
          <w:rFonts w:ascii="宋体" w:hAnsi="宋体"/>
          <w:color w:val="000000" w:themeColor="text1"/>
          <w:highlight w:val="none"/>
          <w14:textFill>
            <w14:solidFill>
              <w14:schemeClr w14:val="tx1"/>
            </w14:solidFill>
          </w14:textFill>
        </w:rPr>
      </w:pPr>
    </w:p>
    <w:p>
      <w:pPr>
        <w:adjustRightInd w:val="0"/>
        <w:snapToGrid w:val="0"/>
        <w:spacing w:line="360" w:lineRule="auto"/>
        <w:ind w:right="420"/>
        <w:rPr>
          <w:rFonts w:ascii="宋体" w:hAnsi="宋体"/>
          <w:color w:val="000000" w:themeColor="text1"/>
          <w:highlight w:val="none"/>
          <w14:textFill>
            <w14:solidFill>
              <w14:schemeClr w14:val="tx1"/>
            </w14:solidFill>
          </w14:textFill>
        </w:rPr>
      </w:pPr>
    </w:p>
    <w:p>
      <w:pPr>
        <w:adjustRightInd w:val="0"/>
        <w:snapToGrid w:val="0"/>
        <w:spacing w:line="360" w:lineRule="auto"/>
        <w:ind w:right="420"/>
        <w:rPr>
          <w:rFonts w:ascii="宋体" w:hAnsi="宋体"/>
          <w:color w:val="000000" w:themeColor="text1"/>
          <w:highlight w:val="none"/>
          <w14:textFill>
            <w14:solidFill>
              <w14:schemeClr w14:val="tx1"/>
            </w14:solidFill>
          </w14:textFill>
        </w:rPr>
      </w:pPr>
    </w:p>
    <w:p>
      <w:pPr>
        <w:adjustRightInd w:val="0"/>
        <w:snapToGrid w:val="0"/>
        <w:spacing w:line="360" w:lineRule="auto"/>
        <w:ind w:right="420"/>
        <w:rPr>
          <w:rFonts w:ascii="宋体" w:hAnsi="宋体"/>
          <w:color w:val="000000" w:themeColor="text1"/>
          <w:highlight w:val="none"/>
          <w14:textFill>
            <w14:solidFill>
              <w14:schemeClr w14:val="tx1"/>
            </w14:solidFill>
          </w14:textFill>
        </w:rPr>
      </w:pPr>
    </w:p>
    <w:p>
      <w:pPr>
        <w:adjustRightInd w:val="0"/>
        <w:snapToGrid w:val="0"/>
        <w:spacing w:before="120" w:beforeLines="50" w:after="120" w:afterLines="50" w:line="360" w:lineRule="auto"/>
        <w:ind w:right="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法定代表人（签字）：</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before="120" w:beforeLines="50" w:after="120" w:afterLines="50" w:line="360" w:lineRule="auto"/>
        <w:ind w:right="42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授权代表（签字）：</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before="120" w:beforeLines="50" w:after="120" w:afterLines="50" w:line="360" w:lineRule="auto"/>
        <w:ind w:right="24"/>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spacing w:line="360" w:lineRule="exact"/>
        <w:rPr>
          <w:rFonts w:ascii="宋体" w:hAnsi="宋体"/>
          <w:b/>
          <w:bCs/>
          <w:color w:val="000000" w:themeColor="text1"/>
          <w:highlight w:val="none"/>
          <w14:textFill>
            <w14:solidFill>
              <w14:schemeClr w14:val="tx1"/>
            </w14:solidFill>
          </w14:textFill>
        </w:rPr>
      </w:pPr>
    </w:p>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注：</w:t>
      </w:r>
      <w:r>
        <w:rPr>
          <w:rFonts w:hint="eastAsia" w:ascii="宋体" w:hAnsi="宋体"/>
          <w:color w:val="000000" w:themeColor="text1"/>
          <w:szCs w:val="21"/>
          <w:highlight w:val="none"/>
          <w14:textFill>
            <w14:solidFill>
              <w14:schemeClr w14:val="tx1"/>
            </w14:solidFill>
          </w14:textFill>
        </w:rPr>
        <w:t>法定代表人参加磋商不需要本授权书</w:t>
      </w:r>
    </w:p>
    <w:p>
      <w:pPr>
        <w:spacing w:line="360" w:lineRule="exact"/>
        <w:rPr>
          <w:rFonts w:ascii="宋体" w:hAnsi="宋体"/>
          <w:b/>
          <w:bCs/>
          <w:color w:val="000000" w:themeColor="text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spacing w:line="280" w:lineRule="exact"/>
        <w:ind w:right="420"/>
        <w:outlineLvl w:val="2"/>
        <w:rPr>
          <w:rFonts w:ascii="宋体" w:hAnsi="宋体"/>
          <w:b/>
          <w:color w:val="000000" w:themeColor="text1"/>
          <w:sz w:val="28"/>
          <w:szCs w:val="28"/>
          <w:highlight w:val="none"/>
          <w14:textFill>
            <w14:solidFill>
              <w14:schemeClr w14:val="tx1"/>
            </w14:solidFill>
          </w14:textFill>
        </w:rPr>
      </w:pPr>
      <w:bookmarkStart w:id="608" w:name="_Toc13509"/>
    </w:p>
    <w:p>
      <w:pPr>
        <w:adjustRightInd w:val="0"/>
        <w:snapToGrid w:val="0"/>
        <w:spacing w:line="280" w:lineRule="exact"/>
        <w:ind w:right="420"/>
        <w:outlineLvl w:val="2"/>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附件1-3</w:t>
      </w:r>
      <w:bookmarkEnd w:id="608"/>
    </w:p>
    <w:p>
      <w:pPr>
        <w:adjustRightInd w:val="0"/>
        <w:snapToGrid w:val="0"/>
        <w:spacing w:before="240" w:beforeLines="100" w:line="480" w:lineRule="exact"/>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工程质量保修书</w:t>
      </w:r>
    </w:p>
    <w:p>
      <w:pPr>
        <w:adjustRightInd w:val="0"/>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ind w:firstLine="480"/>
        <w:rPr>
          <w:rFonts w:ascii="宋体" w:hAnsi="宋体"/>
          <w:color w:val="000000" w:themeColor="text1"/>
          <w:highlight w:val="none"/>
          <w:u w:val="single"/>
          <w14:textFill>
            <w14:solidFill>
              <w14:schemeClr w14:val="tx1"/>
            </w14:solidFill>
          </w14:textFill>
        </w:rPr>
      </w:pP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为保证</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工程名称）在合理使用期限内正常使用，发包人和承包人根据《中华人民共和国建筑法》、《建设工程质量管理条例》和《房屋建筑工程质量保修办法》，经协商一致，签订工程质量保修书，承包人在质量保修期内应按照有关规定及双方约定承担工程质量保修责任。</w:t>
      </w:r>
    </w:p>
    <w:p>
      <w:pPr>
        <w:adjustRightInd w:val="0"/>
        <w:snapToGrid w:val="0"/>
        <w:spacing w:line="360" w:lineRule="auto"/>
        <w:ind w:firstLine="422" w:firstLineChars="200"/>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1 </w:t>
      </w:r>
      <w:r>
        <w:rPr>
          <w:rFonts w:hint="eastAsia" w:ascii="宋体" w:hAnsi="宋体"/>
          <w:b/>
          <w:bCs/>
          <w:color w:val="000000" w:themeColor="text1"/>
          <w:highlight w:val="none"/>
          <w14:textFill>
            <w14:solidFill>
              <w14:schemeClr w14:val="tx1"/>
            </w14:solidFill>
          </w14:textFill>
        </w:rPr>
        <w:t>质量保修范围</w:t>
      </w:r>
    </w:p>
    <w:p>
      <w:pPr>
        <w:adjustRightInd w:val="0"/>
        <w:snapToGrid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根据施工单位的中标书和建设单位签定的《建筑工程合同》和工程决算书所包括的工程量与质量内容要求，施工单位应对该工程以下保修范围的部门、工序承担保修义务：</w:t>
      </w:r>
    </w:p>
    <w:p>
      <w:pPr>
        <w:adjustRightInd w:val="0"/>
        <w:snapToGrid w:val="0"/>
        <w:spacing w:line="360" w:lineRule="auto"/>
        <w:ind w:firstLine="420" w:firstLineChars="200"/>
        <w:rPr>
          <w:color w:val="000000" w:themeColor="text1"/>
          <w:highlight w:val="none"/>
          <w14:textFill>
            <w14:solidFill>
              <w14:schemeClr w14:val="tx1"/>
            </w14:solidFill>
          </w14:textFill>
        </w:rPr>
      </w:pPr>
    </w:p>
    <w:p>
      <w:pPr>
        <w:adjustRightInd w:val="0"/>
        <w:snapToGrid w:val="0"/>
        <w:spacing w:line="360" w:lineRule="auto"/>
        <w:ind w:firstLine="422" w:firstLineChars="200"/>
        <w:jc w:val="center"/>
        <w:rPr>
          <w:b/>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中南大学湘雅二医院疑难病症诊治能力提升工程（心血管方向）业务用房改造标段七：心血管领域洁净手术室6-13间相关配套用房改造工程</w:t>
      </w:r>
    </w:p>
    <w:p>
      <w:pPr>
        <w:adjustRightInd w:val="0"/>
        <w:snapToGrid w:val="0"/>
        <w:spacing w:line="360" w:lineRule="auto"/>
        <w:ind w:firstLine="422" w:firstLineChars="200"/>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2 </w:t>
      </w:r>
      <w:r>
        <w:rPr>
          <w:rFonts w:hint="eastAsia" w:ascii="宋体" w:hAnsi="宋体"/>
          <w:b/>
          <w:bCs/>
          <w:color w:val="000000" w:themeColor="text1"/>
          <w:highlight w:val="none"/>
          <w14:textFill>
            <w14:solidFill>
              <w14:schemeClr w14:val="tx1"/>
            </w14:solidFill>
          </w14:textFill>
        </w:rPr>
        <w:t>质量保修期</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2.1 </w:t>
      </w:r>
      <w:r>
        <w:rPr>
          <w:rFonts w:hint="eastAsia" w:ascii="宋体" w:hAnsi="宋体"/>
          <w:color w:val="000000" w:themeColor="text1"/>
          <w:highlight w:val="none"/>
          <w14:textFill>
            <w14:solidFill>
              <w14:schemeClr w14:val="tx1"/>
            </w14:solidFill>
          </w14:textFill>
        </w:rPr>
        <w:t>质量保修期从工程实际竣工验收合格之日起计算。单项竣工验收的工程，按单项工程分别计算质量保修期。</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2.2 </w:t>
      </w:r>
      <w:r>
        <w:rPr>
          <w:rFonts w:hint="eastAsia" w:ascii="宋体" w:hAnsi="宋体"/>
          <w:color w:val="000000" w:themeColor="text1"/>
          <w:highlight w:val="none"/>
          <w14:textFill>
            <w14:solidFill>
              <w14:schemeClr w14:val="tx1"/>
            </w14:solidFill>
          </w14:textFill>
        </w:rPr>
        <w:t>双方根据《建设工程质量管理条例》及有关规定，约定本工程质量保修期如下：</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1）地基基础工程、主体结构工程为设计文件规定的合理使用年限；</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2）屋面防水工程、有防水要求的卫生间、房间和外墙面的防渗漏工程为：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3）电气管线工程、给排水管道、设备安装工程为：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4）供热、供冷系统工程为：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个采暖期、供冷期；</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5）装饰装修工程为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6）其他项目</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p>
    <w:p>
      <w:pPr>
        <w:adjustRightInd w:val="0"/>
        <w:snapToGrid w:val="0"/>
        <w:spacing w:line="360" w:lineRule="auto"/>
        <w:ind w:firstLine="422" w:firstLineChars="200"/>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3 </w:t>
      </w:r>
      <w:r>
        <w:rPr>
          <w:rFonts w:hint="eastAsia" w:ascii="宋体" w:hAnsi="宋体"/>
          <w:b/>
          <w:bCs/>
          <w:color w:val="000000" w:themeColor="text1"/>
          <w:highlight w:val="none"/>
          <w14:textFill>
            <w14:solidFill>
              <w14:schemeClr w14:val="tx1"/>
            </w14:solidFill>
          </w14:textFill>
        </w:rPr>
        <w:t>质量保修责任</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3.1 </w:t>
      </w:r>
      <w:r>
        <w:rPr>
          <w:rFonts w:hint="eastAsia" w:ascii="宋体" w:hAnsi="宋体"/>
          <w:color w:val="000000" w:themeColor="text1"/>
          <w:highlight w:val="none"/>
          <w14:textFill>
            <w14:solidFill>
              <w14:schemeClr w14:val="tx1"/>
            </w14:solidFill>
          </w14:textFill>
        </w:rPr>
        <w:t>属于保修范围的项目，承包人应在接到通知后的</w:t>
      </w:r>
      <w:r>
        <w:rPr>
          <w:rFonts w:ascii="宋体" w:hAnsi="宋体"/>
          <w:color w:val="000000" w:themeColor="text1"/>
          <w:highlight w:val="none"/>
          <w14:textFill>
            <w14:solidFill>
              <w14:schemeClr w14:val="tx1"/>
            </w14:solidFill>
          </w14:textFill>
        </w:rPr>
        <w:t>7天内派人保修，承包人不在约定期限内派人保修，发包人可自行或指派第三方保修。</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3.2 </w:t>
      </w:r>
      <w:r>
        <w:rPr>
          <w:rFonts w:hint="eastAsia" w:ascii="宋体" w:hAnsi="宋体"/>
          <w:color w:val="000000" w:themeColor="text1"/>
          <w:highlight w:val="none"/>
          <w14:textFill>
            <w14:solidFill>
              <w14:schemeClr w14:val="tx1"/>
            </w14:solidFill>
          </w14:textFill>
        </w:rPr>
        <w:t>发生紧急抢修事故的，承包人在接到通知后，应立即到达事故现场抢修。</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3.3 </w:t>
      </w:r>
      <w:r>
        <w:rPr>
          <w:rFonts w:hint="eastAsia" w:ascii="宋体" w:hAnsi="宋体"/>
          <w:color w:val="000000" w:themeColor="text1"/>
          <w:highlight w:val="none"/>
          <w14:textFill>
            <w14:solidFill>
              <w14:schemeClr w14:val="tx1"/>
            </w14:solidFill>
          </w14:textFill>
        </w:rPr>
        <w:t>在国家规定的工程合理使用期限内，承包人应确保地基基础工程和主体结构的安全和质量。凡出现其质量问题，应立即报告当地建设行政主管部门，由设计单位提出保修方案，承包人应立即实施保修。</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3.4 </w:t>
      </w:r>
      <w:r>
        <w:rPr>
          <w:rFonts w:hint="eastAsia" w:ascii="宋体" w:hAnsi="宋体"/>
          <w:color w:val="000000" w:themeColor="text1"/>
          <w:highlight w:val="none"/>
          <w14:textFill>
            <w14:solidFill>
              <w14:schemeClr w14:val="tx1"/>
            </w14:solidFill>
          </w14:textFill>
        </w:rPr>
        <w:t>质量保修完成后，由发包人组织验收。</w:t>
      </w:r>
    </w:p>
    <w:p>
      <w:pPr>
        <w:adjustRightInd w:val="0"/>
        <w:snapToGrid w:val="0"/>
        <w:spacing w:line="360" w:lineRule="auto"/>
        <w:ind w:firstLine="422" w:firstLineChars="200"/>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4 </w:t>
      </w:r>
      <w:r>
        <w:rPr>
          <w:rFonts w:hint="eastAsia" w:ascii="宋体" w:hAnsi="宋体"/>
          <w:b/>
          <w:bCs/>
          <w:color w:val="000000" w:themeColor="text1"/>
          <w:highlight w:val="none"/>
          <w14:textFill>
            <w14:solidFill>
              <w14:schemeClr w14:val="tx1"/>
            </w14:solidFill>
          </w14:textFill>
        </w:rPr>
        <w:t>质量保修费用</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质量保修费用及相关的损害赔偿费，由造成质量缺陷的责任方承担。</w:t>
      </w:r>
    </w:p>
    <w:p>
      <w:pPr>
        <w:adjustRightInd w:val="0"/>
        <w:snapToGrid w:val="0"/>
        <w:spacing w:line="360" w:lineRule="auto"/>
        <w:ind w:firstLine="422" w:firstLineChars="200"/>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5 </w:t>
      </w:r>
      <w:r>
        <w:rPr>
          <w:rFonts w:hint="eastAsia" w:ascii="宋体" w:hAnsi="宋体"/>
          <w:b/>
          <w:bCs/>
          <w:color w:val="000000" w:themeColor="text1"/>
          <w:highlight w:val="none"/>
          <w14:textFill>
            <w14:solidFill>
              <w14:schemeClr w14:val="tx1"/>
            </w14:solidFill>
          </w14:textFill>
        </w:rPr>
        <w:t>质量保证金</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质量保证金的使用、约定、支付、返还与本合同的质量保证金赋予的约定一致。</w:t>
      </w:r>
    </w:p>
    <w:p>
      <w:pPr>
        <w:adjustRightInd w:val="0"/>
        <w:snapToGrid w:val="0"/>
        <w:spacing w:line="360" w:lineRule="auto"/>
        <w:ind w:firstLine="422" w:firstLineChars="200"/>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6 </w:t>
      </w:r>
      <w:r>
        <w:rPr>
          <w:rFonts w:hint="eastAsia" w:ascii="宋体" w:hAnsi="宋体"/>
          <w:b/>
          <w:bCs/>
          <w:color w:val="000000" w:themeColor="text1"/>
          <w:highlight w:val="none"/>
          <w14:textFill>
            <w14:solidFill>
              <w14:schemeClr w14:val="tx1"/>
            </w14:solidFill>
          </w14:textFill>
        </w:rPr>
        <w:t>其他</w:t>
      </w:r>
    </w:p>
    <w:p>
      <w:pPr>
        <w:adjustRightInd w:val="0"/>
        <w:snapToGrid w:val="0"/>
        <w:spacing w:line="360" w:lineRule="auto"/>
        <w:ind w:firstLine="420" w:firstLineChars="200"/>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6.1 </w:t>
      </w:r>
      <w:r>
        <w:rPr>
          <w:rFonts w:hint="eastAsia" w:ascii="宋体" w:hAnsi="宋体"/>
          <w:color w:val="000000" w:themeColor="text1"/>
          <w:highlight w:val="none"/>
          <w14:textFill>
            <w14:solidFill>
              <w14:schemeClr w14:val="tx1"/>
            </w14:solidFill>
          </w14:textFill>
        </w:rPr>
        <w:t>双方约定的其它工程质量保修事项：</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6.2 </w:t>
      </w:r>
      <w:r>
        <w:rPr>
          <w:rFonts w:hint="eastAsia" w:ascii="宋体" w:hAnsi="宋体"/>
          <w:color w:val="000000" w:themeColor="text1"/>
          <w:highlight w:val="none"/>
          <w14:textFill>
            <w14:solidFill>
              <w14:schemeClr w14:val="tx1"/>
            </w14:solidFill>
          </w14:textFill>
        </w:rPr>
        <w:t>本工程质量保修书，由发包人承包人在工程竣工验收前签署，作为合同附件，其有效期限至保修期满。</w:t>
      </w:r>
    </w:p>
    <w:p>
      <w:pPr>
        <w:adjustRightInd w:val="0"/>
        <w:snapToGrid w:val="0"/>
        <w:spacing w:line="360" w:lineRule="auto"/>
        <w:ind w:firstLine="48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spacing w:line="360" w:lineRule="auto"/>
        <w:ind w:firstLine="48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发包人（公章）：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承包人（公章）：</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法定代表人（签字）：</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法定代表人（签字）：</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ind w:firstLine="420" w:firstLineChars="200"/>
        <w:rPr>
          <w:rFonts w:ascii="宋体" w:hAnsi="宋体"/>
          <w:b/>
          <w:bCs/>
          <w:color w:val="000000" w:themeColor="text1"/>
          <w:highlight w:val="none"/>
          <w14:textFill>
            <w14:solidFill>
              <w14:schemeClr w14:val="tx1"/>
            </w14:solidFill>
          </w14:textFill>
        </w:rPr>
      </w:pP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pStyle w:val="47"/>
        <w:adjustRightInd w:val="0"/>
        <w:snapToGrid w:val="0"/>
        <w:spacing w:line="360" w:lineRule="auto"/>
        <w:jc w:val="center"/>
        <w:rPr>
          <w:rFonts w:hAnsi="宋体"/>
          <w:b/>
          <w:bCs/>
          <w:color w:val="000000" w:themeColor="text1"/>
          <w:sz w:val="32"/>
          <w:szCs w:val="32"/>
          <w:highlight w:val="none"/>
          <w14:textFill>
            <w14:solidFill>
              <w14:schemeClr w14:val="tx1"/>
            </w14:solidFill>
          </w14:textFill>
        </w:rPr>
      </w:pPr>
      <w:r>
        <w:rPr>
          <w:rFonts w:hAnsi="宋体"/>
          <w:b/>
          <w:bCs/>
          <w:color w:val="000000" w:themeColor="text1"/>
          <w:sz w:val="32"/>
          <w:szCs w:val="32"/>
          <w:highlight w:val="none"/>
          <w14:textFill>
            <w14:solidFill>
              <w14:schemeClr w14:val="tx1"/>
            </w14:solidFill>
          </w14:textFill>
        </w:rPr>
        <w:t xml:space="preserve"> </w:t>
      </w:r>
    </w:p>
    <w:p>
      <w:pPr>
        <w:pStyle w:val="3"/>
        <w:spacing w:line="500" w:lineRule="exact"/>
        <w:rPr>
          <w:color w:val="000000" w:themeColor="text1"/>
          <w:highlight w:val="none"/>
          <w14:textFill>
            <w14:solidFill>
              <w14:schemeClr w14:val="tx1"/>
            </w14:solidFill>
          </w14:textFill>
        </w:rPr>
      </w:pPr>
    </w:p>
    <w:p>
      <w:pPr>
        <w:spacing w:line="500" w:lineRule="exact"/>
        <w:ind w:firstLine="420" w:firstLineChars="200"/>
        <w:rPr>
          <w:color w:val="000000" w:themeColor="text1"/>
          <w:highlight w:val="none"/>
          <w14:textFill>
            <w14:solidFill>
              <w14:schemeClr w14:val="tx1"/>
            </w14:solidFill>
          </w14:textFill>
        </w:rPr>
      </w:pPr>
    </w:p>
    <w:p>
      <w:pPr>
        <w:spacing w:line="500" w:lineRule="exact"/>
        <w:ind w:firstLine="420" w:firstLineChars="200"/>
        <w:rPr>
          <w:color w:val="000000" w:themeColor="text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pStyle w:val="47"/>
        <w:adjustRightInd w:val="0"/>
        <w:snapToGrid w:val="0"/>
        <w:spacing w:line="360" w:lineRule="auto"/>
        <w:jc w:val="center"/>
        <w:rPr>
          <w:rFonts w:hAnsi="宋体"/>
          <w:b/>
          <w:bCs/>
          <w:color w:val="000000" w:themeColor="text1"/>
          <w:sz w:val="30"/>
          <w:szCs w:val="30"/>
          <w:highlight w:val="none"/>
          <w14:textFill>
            <w14:solidFill>
              <w14:schemeClr w14:val="tx1"/>
            </w14:solidFill>
          </w14:textFill>
        </w:rPr>
      </w:pPr>
    </w:p>
    <w:p>
      <w:pPr>
        <w:adjustRightInd w:val="0"/>
        <w:snapToGrid w:val="0"/>
        <w:spacing w:line="480" w:lineRule="exact"/>
        <w:jc w:val="center"/>
        <w:rPr>
          <w:rFonts w:ascii="宋体" w:hAnsi="宋体"/>
          <w:b/>
          <w:color w:val="000000" w:themeColor="text1"/>
          <w:sz w:val="32"/>
          <w:szCs w:val="32"/>
          <w:highlight w:val="none"/>
          <w14:textFill>
            <w14:solidFill>
              <w14:schemeClr w14:val="tx1"/>
            </w14:solidFill>
          </w14:textFill>
        </w:rPr>
      </w:pPr>
      <w:r>
        <w:rPr>
          <w:rFonts w:hint="eastAsia" w:ascii="微软雅黑" w:hAnsi="微软雅黑" w:eastAsia="微软雅黑"/>
          <w:color w:val="000000" w:themeColor="text1"/>
          <w:sz w:val="30"/>
          <w:szCs w:val="30"/>
          <w:highlight w:val="none"/>
          <w14:textFill>
            <w14:solidFill>
              <w14:schemeClr w14:val="tx1"/>
            </w14:solidFill>
          </w14:textFill>
        </w:rPr>
        <w:t>二、磋商保证金缴纳证明材料</w:t>
      </w:r>
    </w:p>
    <w:p>
      <w:pPr>
        <w:pStyle w:val="47"/>
        <w:adjustRightInd w:val="0"/>
        <w:snapToGrid w:val="0"/>
        <w:spacing w:before="120" w:beforeLines="50"/>
        <w:rPr>
          <w:rFonts w:hAnsi="宋体"/>
          <w:color w:val="000000" w:themeColor="text1"/>
          <w:highlight w:val="none"/>
          <w14:textFill>
            <w14:solidFill>
              <w14:schemeClr w14:val="tx1"/>
            </w14:solidFill>
          </w14:textFill>
        </w:rPr>
      </w:pPr>
    </w:p>
    <w:p>
      <w:pPr>
        <w:adjustRightInd w:val="0"/>
        <w:snapToGrid w:val="0"/>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1、提供付款凭证复印件或金融机构、担保机构出具的保函原件。</w:t>
      </w:r>
    </w:p>
    <w:p>
      <w:pPr>
        <w:pStyle w:val="47"/>
        <w:adjustRightInd w:val="0"/>
        <w:snapToGrid w:val="0"/>
        <w:spacing w:before="120" w:beforeLines="50"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 </w:t>
      </w:r>
    </w:p>
    <w:p>
      <w:pPr>
        <w:adjustRightInd w:val="0"/>
        <w:snapToGrid w:val="0"/>
        <w:spacing w:line="360" w:lineRule="auto"/>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w:t>
      </w:r>
    </w:p>
    <w:p>
      <w:pPr>
        <w:adjustRightInd w:val="0"/>
        <w:snapToGrid w:val="0"/>
        <w:spacing w:line="360" w:lineRule="auto"/>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w:t>
      </w:r>
    </w:p>
    <w:p>
      <w:pPr>
        <w:adjustRightInd w:val="0"/>
        <w:snapToGrid w:val="0"/>
        <w:spacing w:line="360" w:lineRule="auto"/>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w:t>
      </w:r>
    </w:p>
    <w:p>
      <w:pPr>
        <w:adjustRightInd w:val="0"/>
        <w:snapToGrid w:val="0"/>
        <w:spacing w:line="360" w:lineRule="auto"/>
        <w:jc w:val="center"/>
        <w:rPr>
          <w:rFonts w:ascii="宋体" w:hAnsi="宋体"/>
          <w:b/>
          <w:bCs/>
          <w:color w:val="000000" w:themeColor="text1"/>
          <w:sz w:val="32"/>
          <w:szCs w:val="32"/>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spacing w:before="120" w:beforeLines="50" w:after="240" w:afterLines="100" w:line="440" w:lineRule="exact"/>
        <w:jc w:val="center"/>
        <w:outlineLvl w:val="1"/>
        <w:rPr>
          <w:rFonts w:ascii="微软雅黑" w:hAnsi="微软雅黑" w:eastAsia="微软雅黑"/>
          <w:color w:val="000000" w:themeColor="text1"/>
          <w:sz w:val="30"/>
          <w:szCs w:val="30"/>
          <w:highlight w:val="none"/>
          <w14:textFill>
            <w14:solidFill>
              <w14:schemeClr w14:val="tx1"/>
            </w14:solidFill>
          </w14:textFill>
        </w:rPr>
      </w:pPr>
      <w:bookmarkStart w:id="609" w:name="_Toc31586"/>
      <w:bookmarkStart w:id="610" w:name="_Toc472022215"/>
      <w:r>
        <w:rPr>
          <w:rFonts w:hint="eastAsia" w:ascii="微软雅黑" w:hAnsi="微软雅黑" w:eastAsia="微软雅黑"/>
          <w:color w:val="000000" w:themeColor="text1"/>
          <w:sz w:val="30"/>
          <w:szCs w:val="30"/>
          <w:highlight w:val="none"/>
          <w14:textFill>
            <w14:solidFill>
              <w14:schemeClr w14:val="tx1"/>
            </w14:solidFill>
          </w14:textFill>
        </w:rPr>
        <w:t>三、供应商的资格证明材料</w:t>
      </w:r>
      <w:bookmarkEnd w:id="609"/>
      <w:bookmarkEnd w:id="610"/>
    </w:p>
    <w:p>
      <w:pPr>
        <w:adjustRightInd w:val="0"/>
        <w:snapToGrid w:val="0"/>
        <w:spacing w:line="280" w:lineRule="exact"/>
        <w:ind w:right="420"/>
        <w:outlineLvl w:val="2"/>
        <w:rPr>
          <w:rFonts w:ascii="宋体" w:hAnsi="宋体"/>
          <w:color w:val="000000" w:themeColor="text1"/>
          <w:szCs w:val="21"/>
          <w:highlight w:val="none"/>
          <w14:textFill>
            <w14:solidFill>
              <w14:schemeClr w14:val="tx1"/>
            </w14:solidFill>
          </w14:textFill>
        </w:rPr>
      </w:pPr>
      <w:bookmarkStart w:id="611" w:name="_Toc29471"/>
      <w:r>
        <w:rPr>
          <w:rFonts w:hint="eastAsia" w:ascii="宋体" w:hAnsi="宋体"/>
          <w:b/>
          <w:color w:val="000000" w:themeColor="text1"/>
          <w:sz w:val="28"/>
          <w:szCs w:val="28"/>
          <w:highlight w:val="none"/>
          <w14:textFill>
            <w14:solidFill>
              <w14:schemeClr w14:val="tx1"/>
            </w14:solidFill>
          </w14:textFill>
        </w:rPr>
        <w:t>附件3-1</w:t>
      </w:r>
      <w:bookmarkEnd w:id="611"/>
    </w:p>
    <w:p>
      <w:pPr>
        <w:adjustRightInd w:val="0"/>
        <w:snapToGrid w:val="0"/>
        <w:spacing w:before="360" w:beforeLines="150" w:line="360" w:lineRule="auto"/>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供应商基本情况表</w:t>
      </w:r>
    </w:p>
    <w:p>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盖供应商单位章</w:t>
      </w:r>
    </w:p>
    <w:tbl>
      <w:tblPr>
        <w:tblStyle w:val="90"/>
        <w:tblW w:w="0" w:type="auto"/>
        <w:tblInd w:w="108" w:type="dxa"/>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2067"/>
        <w:gridCol w:w="25"/>
        <w:gridCol w:w="9"/>
      </w:tblGrid>
      <w:tr>
        <w:tblPrEx>
          <w:tblCellMar>
            <w:top w:w="0" w:type="dxa"/>
            <w:left w:w="108" w:type="dxa"/>
            <w:bottom w:w="0" w:type="dxa"/>
            <w:right w:w="108" w:type="dxa"/>
          </w:tblCellMar>
        </w:tblPrEx>
        <w:trPr>
          <w:trHeight w:val="561" w:hRule="atLeast"/>
        </w:trPr>
        <w:tc>
          <w:tcPr>
            <w:tcW w:w="1620" w:type="dxa"/>
            <w:gridSpan w:val="3"/>
            <w:tcBorders>
              <w:top w:val="double" w:color="auto" w:sz="2"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供应商名称</w:t>
            </w:r>
          </w:p>
        </w:tc>
        <w:tc>
          <w:tcPr>
            <w:tcW w:w="3960" w:type="dxa"/>
            <w:gridSpan w:val="5"/>
            <w:tcBorders>
              <w:top w:val="double" w:color="auto" w:sz="2"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329" w:type="dxa"/>
            <w:tcBorders>
              <w:top w:val="double" w:color="auto" w:sz="2"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w:t>
            </w:r>
          </w:p>
        </w:tc>
        <w:tc>
          <w:tcPr>
            <w:tcW w:w="2101" w:type="dxa"/>
            <w:gridSpan w:val="3"/>
            <w:tcBorders>
              <w:top w:val="double" w:color="auto" w:sz="2"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611" w:hRule="atLeast"/>
        </w:trPr>
        <w:tc>
          <w:tcPr>
            <w:tcW w:w="1620" w:type="dxa"/>
            <w:gridSpan w:val="3"/>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组织机构代码</w:t>
            </w:r>
          </w:p>
        </w:tc>
        <w:tc>
          <w:tcPr>
            <w:tcW w:w="3960" w:type="dxa"/>
            <w:gridSpan w:val="5"/>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329"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邮政编码</w:t>
            </w:r>
          </w:p>
        </w:tc>
        <w:tc>
          <w:tcPr>
            <w:tcW w:w="2092" w:type="dxa"/>
            <w:gridSpan w:val="2"/>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608" w:hRule="atLeast"/>
        </w:trPr>
        <w:tc>
          <w:tcPr>
            <w:tcW w:w="1620" w:type="dxa"/>
            <w:gridSpan w:val="3"/>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授权代表</w:t>
            </w:r>
          </w:p>
        </w:tc>
        <w:tc>
          <w:tcPr>
            <w:tcW w:w="3960" w:type="dxa"/>
            <w:gridSpan w:val="5"/>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329"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电子邮箱</w:t>
            </w:r>
          </w:p>
        </w:tc>
        <w:tc>
          <w:tcPr>
            <w:tcW w:w="2092" w:type="dxa"/>
            <w:gridSpan w:val="2"/>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608" w:hRule="atLeast"/>
        </w:trPr>
        <w:tc>
          <w:tcPr>
            <w:tcW w:w="1620" w:type="dxa"/>
            <w:gridSpan w:val="3"/>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上年营业收入</w:t>
            </w:r>
          </w:p>
        </w:tc>
        <w:tc>
          <w:tcPr>
            <w:tcW w:w="3960" w:type="dxa"/>
            <w:gridSpan w:val="5"/>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329"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员工总人数</w:t>
            </w:r>
          </w:p>
        </w:tc>
        <w:tc>
          <w:tcPr>
            <w:tcW w:w="2092" w:type="dxa"/>
            <w:gridSpan w:val="2"/>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624" w:hRule="atLeast"/>
        </w:trPr>
        <w:tc>
          <w:tcPr>
            <w:tcW w:w="719" w:type="dxa"/>
            <w:vMerge w:val="restart"/>
            <w:tcBorders>
              <w:top w:val="nil"/>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营业执照</w:t>
            </w:r>
          </w:p>
        </w:tc>
        <w:tc>
          <w:tcPr>
            <w:tcW w:w="2044" w:type="dxa"/>
            <w:gridSpan w:val="3"/>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注册号码</w:t>
            </w:r>
          </w:p>
        </w:tc>
        <w:tc>
          <w:tcPr>
            <w:tcW w:w="1440"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377" w:type="dxa"/>
            <w:gridSpan w:val="2"/>
            <w:tcBorders>
              <w:top w:val="single" w:color="auto" w:sz="6" w:space="0"/>
              <w:left w:val="nil"/>
              <w:bottom w:val="single" w:color="auto" w:sz="6" w:space="0"/>
              <w:right w:val="single" w:color="auto" w:sz="6" w:space="0"/>
            </w:tcBorders>
            <w:vAlign w:val="center"/>
          </w:tcPr>
          <w:p>
            <w:pPr>
              <w:topLinePunct/>
              <w:spacing w:line="440" w:lineRule="exact"/>
              <w:ind w:firstLine="105" w:firstLineChar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注册地址</w:t>
            </w:r>
          </w:p>
        </w:tc>
        <w:tc>
          <w:tcPr>
            <w:tcW w:w="3421" w:type="dxa"/>
            <w:gridSpan w:val="3"/>
            <w:tcBorders>
              <w:top w:val="single" w:color="auto" w:sz="6" w:space="0"/>
              <w:left w:val="nil"/>
              <w:bottom w:val="single" w:color="auto" w:sz="6" w:space="0"/>
              <w:right w:val="double" w:color="auto" w:sz="2" w:space="0"/>
            </w:tcBorders>
            <w:vAlign w:val="center"/>
          </w:tcPr>
          <w:p>
            <w:pPr>
              <w:topLinePunct/>
              <w:spacing w:line="440" w:lineRule="exact"/>
              <w:ind w:firstLine="105" w:firstLineChars="50"/>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2"/>
          <w:wAfter w:w="34" w:type="dxa"/>
          <w:trHeight w:val="624" w:hRule="atLeast"/>
        </w:trPr>
        <w:tc>
          <w:tcPr>
            <w:tcW w:w="719" w:type="dxa"/>
            <w:vMerge w:val="continue"/>
            <w:tcBorders>
              <w:top w:val="nil"/>
              <w:left w:val="double" w:color="auto" w:sz="2" w:space="0"/>
              <w:bottom w:val="single" w:color="auto" w:sz="6" w:space="0"/>
              <w:right w:val="single" w:color="auto" w:sz="6" w:space="0"/>
            </w:tcBorders>
            <w:vAlign w:val="center"/>
          </w:tcPr>
          <w:p>
            <w:pPr>
              <w:widowControl/>
              <w:jc w:val="left"/>
              <w:rPr>
                <w:rFonts w:ascii="宋体" w:hAnsi="宋体"/>
                <w:color w:val="000000" w:themeColor="text1"/>
                <w:szCs w:val="21"/>
                <w:highlight w:val="none"/>
                <w14:textFill>
                  <w14:solidFill>
                    <w14:schemeClr w14:val="tx1"/>
                  </w14:solidFill>
                </w14:textFill>
              </w:rPr>
            </w:pPr>
          </w:p>
        </w:tc>
        <w:tc>
          <w:tcPr>
            <w:tcW w:w="2044" w:type="dxa"/>
            <w:gridSpan w:val="3"/>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发证机关</w:t>
            </w:r>
          </w:p>
        </w:tc>
        <w:tc>
          <w:tcPr>
            <w:tcW w:w="1440"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377" w:type="dxa"/>
            <w:gridSpan w:val="2"/>
            <w:tcBorders>
              <w:top w:val="single" w:color="auto" w:sz="6" w:space="0"/>
              <w:left w:val="nil"/>
              <w:bottom w:val="single" w:color="auto" w:sz="6" w:space="0"/>
              <w:right w:val="single" w:color="auto" w:sz="6" w:space="0"/>
            </w:tcBorders>
            <w:vAlign w:val="center"/>
          </w:tcPr>
          <w:p>
            <w:pPr>
              <w:topLinePunct/>
              <w:spacing w:line="440" w:lineRule="exact"/>
              <w:ind w:firstLine="105" w:firstLineChars="5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发证日期</w:t>
            </w:r>
          </w:p>
        </w:tc>
        <w:tc>
          <w:tcPr>
            <w:tcW w:w="3396" w:type="dxa"/>
            <w:gridSpan w:val="2"/>
            <w:tcBorders>
              <w:top w:val="single" w:color="auto" w:sz="6" w:space="0"/>
              <w:left w:val="nil"/>
              <w:bottom w:val="single" w:color="auto" w:sz="6" w:space="0"/>
              <w:right w:val="double" w:color="auto" w:sz="2" w:space="0"/>
            </w:tcBorders>
            <w:vAlign w:val="center"/>
          </w:tcPr>
          <w:p>
            <w:pPr>
              <w:topLinePunct/>
              <w:spacing w:line="440" w:lineRule="exact"/>
              <w:ind w:firstLine="105" w:firstLineChars="50"/>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624" w:hRule="atLeast"/>
        </w:trPr>
        <w:tc>
          <w:tcPr>
            <w:tcW w:w="719" w:type="dxa"/>
            <w:vMerge w:val="continue"/>
            <w:tcBorders>
              <w:top w:val="nil"/>
              <w:left w:val="double" w:color="auto" w:sz="2" w:space="0"/>
              <w:bottom w:val="single" w:color="auto" w:sz="6" w:space="0"/>
              <w:right w:val="single" w:color="auto" w:sz="6" w:space="0"/>
            </w:tcBorders>
            <w:vAlign w:val="center"/>
          </w:tcPr>
          <w:p>
            <w:pPr>
              <w:widowControl/>
              <w:jc w:val="left"/>
              <w:rPr>
                <w:rFonts w:ascii="宋体" w:hAnsi="宋体"/>
                <w:color w:val="000000" w:themeColor="text1"/>
                <w:szCs w:val="21"/>
                <w:highlight w:val="none"/>
                <w14:textFill>
                  <w14:solidFill>
                    <w14:schemeClr w14:val="tx1"/>
                  </w14:solidFill>
                </w14:textFill>
              </w:rPr>
            </w:pPr>
          </w:p>
        </w:tc>
        <w:tc>
          <w:tcPr>
            <w:tcW w:w="2044" w:type="dxa"/>
            <w:gridSpan w:val="3"/>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营业范围（主营）</w:t>
            </w:r>
          </w:p>
        </w:tc>
        <w:tc>
          <w:tcPr>
            <w:tcW w:w="6238" w:type="dxa"/>
            <w:gridSpan w:val="7"/>
            <w:tcBorders>
              <w:top w:val="single" w:color="auto" w:sz="6" w:space="0"/>
              <w:left w:val="nil"/>
              <w:bottom w:val="single" w:color="auto" w:sz="6" w:space="0"/>
              <w:right w:val="double" w:color="auto" w:sz="2" w:space="0"/>
            </w:tcBorders>
            <w:vAlign w:val="center"/>
          </w:tcPr>
          <w:p>
            <w:pPr>
              <w:topLinePunct/>
              <w:spacing w:line="440" w:lineRule="exact"/>
              <w:ind w:firstLine="105" w:firstLineChars="50"/>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624" w:hRule="atLeast"/>
        </w:trPr>
        <w:tc>
          <w:tcPr>
            <w:tcW w:w="719" w:type="dxa"/>
            <w:vMerge w:val="continue"/>
            <w:tcBorders>
              <w:top w:val="nil"/>
              <w:left w:val="double" w:color="auto" w:sz="2" w:space="0"/>
              <w:bottom w:val="single" w:color="auto" w:sz="6" w:space="0"/>
              <w:right w:val="single" w:color="auto" w:sz="6" w:space="0"/>
            </w:tcBorders>
            <w:vAlign w:val="center"/>
          </w:tcPr>
          <w:p>
            <w:pPr>
              <w:widowControl/>
              <w:jc w:val="left"/>
              <w:rPr>
                <w:rFonts w:ascii="宋体" w:hAnsi="宋体"/>
                <w:color w:val="000000" w:themeColor="text1"/>
                <w:szCs w:val="21"/>
                <w:highlight w:val="none"/>
                <w14:textFill>
                  <w14:solidFill>
                    <w14:schemeClr w14:val="tx1"/>
                  </w14:solidFill>
                </w14:textFill>
              </w:rPr>
            </w:pPr>
          </w:p>
        </w:tc>
        <w:tc>
          <w:tcPr>
            <w:tcW w:w="2044" w:type="dxa"/>
            <w:gridSpan w:val="3"/>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营业范围（兼营）</w:t>
            </w:r>
          </w:p>
        </w:tc>
        <w:tc>
          <w:tcPr>
            <w:tcW w:w="6238" w:type="dxa"/>
            <w:gridSpan w:val="7"/>
            <w:tcBorders>
              <w:top w:val="single" w:color="auto" w:sz="6" w:space="0"/>
              <w:left w:val="nil"/>
              <w:bottom w:val="single" w:color="auto" w:sz="6" w:space="0"/>
              <w:right w:val="double" w:color="auto" w:sz="2" w:space="0"/>
            </w:tcBorders>
            <w:vAlign w:val="center"/>
          </w:tcPr>
          <w:p>
            <w:pPr>
              <w:topLinePunct/>
              <w:spacing w:line="440" w:lineRule="exact"/>
              <w:ind w:firstLine="105" w:firstLineChars="50"/>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cantSplit/>
          <w:trHeight w:val="658" w:hRule="atLeast"/>
        </w:trPr>
        <w:tc>
          <w:tcPr>
            <w:tcW w:w="2763" w:type="dxa"/>
            <w:gridSpan w:val="4"/>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基本账户开户行及帐号</w:t>
            </w:r>
          </w:p>
        </w:tc>
        <w:tc>
          <w:tcPr>
            <w:tcW w:w="6238" w:type="dxa"/>
            <w:gridSpan w:val="7"/>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cantSplit/>
          <w:trHeight w:val="658" w:hRule="atLeast"/>
        </w:trPr>
        <w:tc>
          <w:tcPr>
            <w:tcW w:w="2763" w:type="dxa"/>
            <w:gridSpan w:val="4"/>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税务登记机关</w:t>
            </w:r>
          </w:p>
        </w:tc>
        <w:tc>
          <w:tcPr>
            <w:tcW w:w="6238" w:type="dxa"/>
            <w:gridSpan w:val="7"/>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cantSplit/>
          <w:trHeight w:val="604" w:hRule="atLeast"/>
        </w:trPr>
        <w:tc>
          <w:tcPr>
            <w:tcW w:w="3613" w:type="dxa"/>
            <w:gridSpan w:val="5"/>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资质名称</w:t>
            </w:r>
          </w:p>
        </w:tc>
        <w:tc>
          <w:tcPr>
            <w:tcW w:w="884"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等级</w:t>
            </w:r>
          </w:p>
        </w:tc>
        <w:tc>
          <w:tcPr>
            <w:tcW w:w="1083"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发证机关</w:t>
            </w:r>
          </w:p>
        </w:tc>
        <w:tc>
          <w:tcPr>
            <w:tcW w:w="3421" w:type="dxa"/>
            <w:gridSpan w:val="3"/>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有效期</w:t>
            </w:r>
          </w:p>
        </w:tc>
      </w:tr>
      <w:tr>
        <w:tblPrEx>
          <w:tblCellMar>
            <w:top w:w="0" w:type="dxa"/>
            <w:left w:w="108" w:type="dxa"/>
            <w:bottom w:w="0" w:type="dxa"/>
            <w:right w:w="108" w:type="dxa"/>
          </w:tblCellMar>
        </w:tblPrEx>
        <w:trPr>
          <w:gridAfter w:val="1"/>
          <w:wAfter w:w="9" w:type="dxa"/>
          <w:cantSplit/>
          <w:trHeight w:val="626" w:hRule="atLeast"/>
        </w:trPr>
        <w:tc>
          <w:tcPr>
            <w:tcW w:w="3613" w:type="dxa"/>
            <w:gridSpan w:val="5"/>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884"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083"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3421" w:type="dxa"/>
            <w:gridSpan w:val="3"/>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cantSplit/>
          <w:trHeight w:val="626" w:hRule="atLeast"/>
        </w:trPr>
        <w:tc>
          <w:tcPr>
            <w:tcW w:w="3613" w:type="dxa"/>
            <w:gridSpan w:val="5"/>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884"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083"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3421" w:type="dxa"/>
            <w:gridSpan w:val="3"/>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cantSplit/>
          <w:trHeight w:val="626" w:hRule="atLeast"/>
        </w:trPr>
        <w:tc>
          <w:tcPr>
            <w:tcW w:w="3613" w:type="dxa"/>
            <w:gridSpan w:val="5"/>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884"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083"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3421" w:type="dxa"/>
            <w:gridSpan w:val="3"/>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cantSplit/>
          <w:trHeight w:val="626" w:hRule="atLeast"/>
        </w:trPr>
        <w:tc>
          <w:tcPr>
            <w:tcW w:w="3613" w:type="dxa"/>
            <w:gridSpan w:val="5"/>
            <w:tcBorders>
              <w:top w:val="single" w:color="auto" w:sz="6" w:space="0"/>
              <w:left w:val="double" w:color="auto" w:sz="2" w:space="0"/>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884" w:type="dxa"/>
            <w:gridSpan w:val="2"/>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1083" w:type="dxa"/>
            <w:tcBorders>
              <w:top w:val="single" w:color="auto" w:sz="6" w:space="0"/>
              <w:left w:val="nil"/>
              <w:bottom w:val="single" w:color="auto" w:sz="6"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c>
          <w:tcPr>
            <w:tcW w:w="3421" w:type="dxa"/>
            <w:gridSpan w:val="3"/>
            <w:tcBorders>
              <w:top w:val="single" w:color="auto" w:sz="6" w:space="0"/>
              <w:left w:val="nil"/>
              <w:bottom w:val="single" w:color="auto" w:sz="6" w:space="0"/>
              <w:right w:val="double" w:color="auto" w:sz="2"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p>
        </w:tc>
      </w:tr>
      <w:tr>
        <w:tblPrEx>
          <w:tblCellMar>
            <w:top w:w="0" w:type="dxa"/>
            <w:left w:w="108" w:type="dxa"/>
            <w:bottom w:w="0" w:type="dxa"/>
            <w:right w:w="108" w:type="dxa"/>
          </w:tblCellMar>
        </w:tblPrEx>
        <w:trPr>
          <w:gridAfter w:val="1"/>
          <w:wAfter w:w="9" w:type="dxa"/>
          <w:trHeight w:val="1777" w:hRule="atLeast"/>
        </w:trPr>
        <w:tc>
          <w:tcPr>
            <w:tcW w:w="1258" w:type="dxa"/>
            <w:gridSpan w:val="2"/>
            <w:tcBorders>
              <w:top w:val="single" w:color="auto" w:sz="6" w:space="0"/>
              <w:left w:val="double" w:color="auto" w:sz="2" w:space="0"/>
              <w:bottom w:val="double" w:color="auto" w:sz="2" w:space="0"/>
              <w:right w:val="single" w:color="auto" w:sz="6" w:space="0"/>
            </w:tcBorders>
            <w:vAlign w:val="center"/>
          </w:tcPr>
          <w:p>
            <w:pPr>
              <w:topLinePunct/>
              <w:spacing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备注</w:t>
            </w:r>
          </w:p>
        </w:tc>
        <w:tc>
          <w:tcPr>
            <w:tcW w:w="7743" w:type="dxa"/>
            <w:gridSpan w:val="9"/>
            <w:tcBorders>
              <w:top w:val="single" w:color="auto" w:sz="6" w:space="0"/>
              <w:left w:val="nil"/>
              <w:bottom w:val="double" w:color="auto" w:sz="2" w:space="0"/>
              <w:right w:val="double" w:color="auto" w:sz="2" w:space="0"/>
            </w:tcBorders>
            <w:vAlign w:val="center"/>
          </w:tcPr>
          <w:p>
            <w:pPr>
              <w:rPr>
                <w:rFonts w:ascii="微软雅黑" w:hAnsi="微软雅黑" w:eastAsia="微软雅黑"/>
                <w:color w:val="000000" w:themeColor="text1"/>
                <w:highlight w:val="none"/>
                <w14:textFill>
                  <w14:solidFill>
                    <w14:schemeClr w14:val="tx1"/>
                  </w14:solidFill>
                </w14:textFill>
              </w:rPr>
            </w:pPr>
          </w:p>
        </w:tc>
      </w:tr>
    </w:tbl>
    <w:p>
      <w:pPr>
        <w:rPr>
          <w:rFonts w:ascii="宋体" w:hAnsi="宋体"/>
          <w:color w:val="000000" w:themeColor="text1"/>
          <w:sz w:val="24"/>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spacing w:line="280" w:lineRule="exact"/>
        <w:ind w:right="420"/>
        <w:outlineLvl w:val="2"/>
        <w:rPr>
          <w:rFonts w:ascii="宋体" w:hAnsi="宋体"/>
          <w:b/>
          <w:color w:val="000000" w:themeColor="text1"/>
          <w:sz w:val="28"/>
          <w:szCs w:val="28"/>
          <w:highlight w:val="none"/>
          <w14:textFill>
            <w14:solidFill>
              <w14:schemeClr w14:val="tx1"/>
            </w14:solidFill>
          </w14:textFill>
        </w:rPr>
      </w:pPr>
    </w:p>
    <w:p>
      <w:pPr>
        <w:adjustRightInd w:val="0"/>
        <w:snapToGrid w:val="0"/>
        <w:spacing w:line="280" w:lineRule="exact"/>
        <w:ind w:right="420"/>
        <w:outlineLvl w:val="2"/>
        <w:rPr>
          <w:rFonts w:ascii="宋体" w:hAnsi="宋体"/>
          <w:color w:val="000000" w:themeColor="text1"/>
          <w:szCs w:val="21"/>
          <w:highlight w:val="none"/>
          <w14:textFill>
            <w14:solidFill>
              <w14:schemeClr w14:val="tx1"/>
            </w14:solidFill>
          </w14:textFill>
        </w:rPr>
      </w:pPr>
      <w:bookmarkStart w:id="612" w:name="_Toc1568"/>
      <w:r>
        <w:rPr>
          <w:rFonts w:hint="eastAsia" w:ascii="宋体" w:hAnsi="宋体"/>
          <w:b/>
          <w:color w:val="000000" w:themeColor="text1"/>
          <w:sz w:val="28"/>
          <w:szCs w:val="28"/>
          <w:highlight w:val="none"/>
          <w14:textFill>
            <w14:solidFill>
              <w14:schemeClr w14:val="tx1"/>
            </w14:solidFill>
          </w14:textFill>
        </w:rPr>
        <w:t>附件3-2</w:t>
      </w:r>
      <w:bookmarkEnd w:id="612"/>
    </w:p>
    <w:p>
      <w:pPr>
        <w:adjustRightInd w:val="0"/>
        <w:snapToGrid w:val="0"/>
        <w:spacing w:line="360" w:lineRule="auto"/>
        <w:ind w:firstLine="720" w:firstLineChars="200"/>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联合体协议</w:t>
      </w:r>
    </w:p>
    <w:p>
      <w:pPr>
        <w:adjustRightInd w:val="0"/>
        <w:snapToGrid w:val="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p>
    <w:p>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(采购人或采购代理机构)：</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经研究，我们决定自愿组成联合体共同申请参加</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（项目名称）项目</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（采购代理编号）的竞争性磋商。现就联合体事宜订立如下协议：</w:t>
      </w:r>
    </w:p>
    <w:p>
      <w:pPr>
        <w:adjustRightInd w:val="0"/>
        <w:snapToGrid w:val="0"/>
        <w:spacing w:line="360" w:lineRule="auto"/>
        <w:ind w:firstLine="420" w:firstLineChars="20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一、联合体基本信息：</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（各方公司名称、地址、营业执照、法定代表人姓名）。</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（某成员单位名称）为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（联合体名称）牵头人。</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四．联合体将严格按照磋商文件的各项要求，递交响应文件，参加磋商，履行成交义务和成交后的合同，并向采购人承担连带责任。</w:t>
      </w:r>
    </w:p>
    <w:p>
      <w:pPr>
        <w:adjustRightInd w:val="0"/>
        <w:snapToGrid w:val="0"/>
        <w:spacing w:line="360" w:lineRule="auto"/>
        <w:ind w:firstLine="420" w:firstLineChars="200"/>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五、联合体各成员单位内部的职责分工如下：</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。按照本条上述分工，联合体成员单位各自所承担的合同工作量比例如下：</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六、本协议书自签署之日起生效，合同履行完毕后自动失效。</w:t>
      </w:r>
    </w:p>
    <w:p>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七、本协议书一式</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份，联合体成员和采购人各执一份。</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牵头人名称（盖单位章）：</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法定代表人或其授权代表（签字）：</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成员二名称（盖单位章）：</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法定代表人或其授权代表（签字）：</w:t>
      </w:r>
      <w:r>
        <w:rPr>
          <w:rFonts w:ascii="宋体" w:hAnsi="宋体"/>
          <w:color w:val="000000" w:themeColor="text1"/>
          <w:highlight w:val="none"/>
          <w:u w:val="single"/>
          <w14:textFill>
            <w14:solidFill>
              <w14:schemeClr w14:val="tx1"/>
            </w14:solidFill>
          </w14:textFill>
        </w:rPr>
        <w:t xml:space="preserve">           </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r>
        <w:rPr>
          <w:rFonts w:ascii="宋体" w:hAnsi="宋体"/>
          <w:color w:val="000000" w:themeColor="text1"/>
          <w:highlight w:val="none"/>
          <w14:textFill>
            <w14:solidFill>
              <w14:schemeClr w14:val="tx1"/>
            </w14:solidFill>
          </w14:textFill>
        </w:rPr>
        <w:t xml:space="preserve">  </w:t>
      </w:r>
    </w:p>
    <w:p>
      <w:pPr>
        <w:adjustRightInd w:val="0"/>
        <w:snapToGrid w:val="0"/>
        <w:spacing w:before="600" w:beforeLines="250" w:line="32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说明：</w:t>
      </w:r>
      <w:r>
        <w:rPr>
          <w:rFonts w:ascii="宋体" w:hAnsi="宋体"/>
          <w:color w:val="000000" w:themeColor="text1"/>
          <w:highlight w:val="none"/>
          <w14:textFill>
            <w14:solidFill>
              <w14:schemeClr w14:val="tx1"/>
            </w14:solidFill>
          </w14:textFill>
        </w:rPr>
        <w:t>1、本协议书由授权代表签字的，应附法定代表人签字的授权委托书。</w:t>
      </w:r>
    </w:p>
    <w:p>
      <w:pPr>
        <w:adjustRightInd w:val="0"/>
        <w:snapToGrid w:val="0"/>
        <w:spacing w:before="120" w:beforeLines="50" w:line="320" w:lineRule="exact"/>
        <w:rPr>
          <w:rFonts w:ascii="宋体" w:hAnsi="宋体" w:cs="宋体"/>
          <w:color w:val="000000" w:themeColor="text1"/>
          <w:spacing w:val="6"/>
          <w:kern w:val="0"/>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spacing w:line="480" w:lineRule="exact"/>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附件3-3</w:t>
      </w:r>
      <w:r>
        <w:rPr>
          <w:rFonts w:hint="eastAsia" w:ascii="宋体" w:hAnsi="宋体"/>
          <w:color w:val="000000" w:themeColor="text1"/>
          <w:sz w:val="30"/>
          <w:szCs w:val="30"/>
          <w:highlight w:val="none"/>
          <w14:textFill>
            <w14:solidFill>
              <w14:schemeClr w14:val="tx1"/>
            </w14:solidFill>
          </w14:textFill>
        </w:rPr>
        <w:t xml:space="preserve">      </w:t>
      </w:r>
    </w:p>
    <w:p>
      <w:pPr>
        <w:adjustRightInd w:val="0"/>
        <w:snapToGrid w:val="0"/>
        <w:spacing w:line="48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磋商文件规定的基本资格条件证明资料</w:t>
      </w:r>
    </w:p>
    <w:p>
      <w:pPr>
        <w:spacing w:line="480" w:lineRule="exact"/>
        <w:rPr>
          <w:rFonts w:ascii="宋体" w:hAnsi="宋体"/>
          <w:color w:val="000000" w:themeColor="text1"/>
          <w:szCs w:val="21"/>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1、提供供应商主体资格证明文件复印件(法人提交营业执照副本或者法人登记证书)； </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2、提供上年度经会计师事务所审计的财务报告复印件（至少包含资产负债表、利润表和现金流量表），或银行出具的资信证明。</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3、依法缴纳税收和社会保险费的证明资料：</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缴纳税收证明资料:《税务登记证》复印件，或者近三个月依法缴纳税收的证明（纳税凭证复印件），或者委托他人缴纳的委托代办协议和近三个月的缴纳证明（收据复印件），或者法定征收机关出具的依法免缴税收的证明复印件。</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缴纳社会保险证明资料：《社会保险登记证》复印件，或者近三个月依法缴纳社会保险的证明（缴费凭证复印件），或者委托他人缴纳的委托代办协议和近三个月的缴纳证明（收据复印件），或者法定征收机关出具的依法免缴保险费的证明复印件。</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4、供应商</w:t>
      </w:r>
      <w:r>
        <w:rPr>
          <w:rFonts w:ascii="宋体" w:hAnsi="宋体"/>
          <w:color w:val="000000" w:themeColor="text1"/>
          <w:szCs w:val="21"/>
          <w:highlight w:val="none"/>
          <w14:textFill>
            <w14:solidFill>
              <w14:schemeClr w14:val="tx1"/>
            </w14:solidFill>
          </w14:textFill>
        </w:rPr>
        <w:t>参加本次政府采购活动前3年内没有重大违法记录的书面声明</w:t>
      </w:r>
      <w:r>
        <w:rPr>
          <w:rFonts w:hint="eastAsia" w:ascii="宋体" w:hAnsi="宋体"/>
          <w:color w:val="000000" w:themeColor="text1"/>
          <w:szCs w:val="21"/>
          <w:highlight w:val="none"/>
          <w14:textFill>
            <w14:solidFill>
              <w14:schemeClr w14:val="tx1"/>
            </w14:solidFill>
          </w14:textFill>
        </w:rPr>
        <w:t>。</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5、提供第二章 磋商须知第3.1款供应商基本资格条件：法律、行政法规规定的其他条件 (如果有的话)证明资料的复印件。</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6、实行由一个登记机关核发一个加载法人和其他组织统一社会信用代码的营业执照登记制度的：</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(1)实行营业执照、组织机构代码、税务登记“三证合一”登记模式的可不再提供《税务登记证》；</w:t>
      </w:r>
    </w:p>
    <w:p>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(2)实行营业执照、组织机构代码、税务登记、社会保险登记证、统计证“五证合一”登记模式的可不再提供《社会保险登记证》。</w:t>
      </w:r>
    </w:p>
    <w:p>
      <w:pPr>
        <w:adjustRightInd w:val="0"/>
        <w:snapToGrid w:val="0"/>
        <w:spacing w:before="120" w:beforeLines="50" w:line="360" w:lineRule="auto"/>
        <w:rPr>
          <w:rFonts w:ascii="宋体" w:hAnsi="宋体" w:cs="宋体"/>
          <w:color w:val="000000" w:themeColor="text1"/>
          <w:kern w:val="0"/>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spacing w:line="480" w:lineRule="exact"/>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附:参加政府采购活动前三年内在经营活动中没有重大违法记录的书面声明</w:t>
      </w:r>
    </w:p>
    <w:p>
      <w:pPr>
        <w:adjustRightInd w:val="0"/>
        <w:snapToGrid w:val="0"/>
        <w:spacing w:before="120" w:beforeLines="50"/>
        <w:outlineLvl w:val="0"/>
        <w:rPr>
          <w:rFonts w:ascii="宋体" w:hAnsi="宋体"/>
          <w:color w:val="000000" w:themeColor="text1"/>
          <w:sz w:val="24"/>
          <w:highlight w:val="none"/>
          <w14:textFill>
            <w14:solidFill>
              <w14:schemeClr w14:val="tx1"/>
            </w14:solidFill>
          </w14:textFill>
        </w:rPr>
      </w:pPr>
    </w:p>
    <w:p>
      <w:pPr>
        <w:adjustRightInd w:val="0"/>
        <w:snapToGrid w:val="0"/>
        <w:spacing w:before="120" w:beforeLines="50"/>
        <w:ind w:left="-88" w:leftChars="-42"/>
        <w:outlineLvl w:val="0"/>
        <w:rPr>
          <w:rFonts w:ascii="宋体" w:hAnsi="宋体"/>
          <w:color w:val="000000" w:themeColor="text1"/>
          <w:szCs w:val="21"/>
          <w:highlight w:val="none"/>
          <w14:textFill>
            <w14:solidFill>
              <w14:schemeClr w14:val="tx1"/>
            </w14:solidFill>
          </w14:textFill>
        </w:rPr>
      </w:pPr>
      <w:bookmarkStart w:id="613" w:name="_Toc1956"/>
      <w:r>
        <w:rPr>
          <w:rFonts w:hint="eastAsia" w:ascii="宋体" w:hAnsi="宋体"/>
          <w:color w:val="000000" w:themeColor="text1"/>
          <w:szCs w:val="21"/>
          <w:highlight w:val="none"/>
          <w14:textFill>
            <w14:solidFill>
              <w14:schemeClr w14:val="tx1"/>
            </w14:solidFill>
          </w14:textFill>
        </w:rPr>
        <w:t>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(采购代理机构)：</w:t>
      </w:r>
      <w:bookmarkEnd w:id="613"/>
    </w:p>
    <w:p>
      <w:pPr>
        <w:adjustRightInd w:val="0"/>
        <w:snapToGrid w:val="0"/>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我单位郑重声明，参加本政府采购项目前 3 年内在经营活动中没有重大违法记录（重大违法记录是指供应商因违法经营受到刑事处罚或责令停产停业、吊销许可证或者执照、较大数额等行政处罚）。</w:t>
      </w:r>
    </w:p>
    <w:p>
      <w:pPr>
        <w:widowControl/>
        <w:adjustRightInd w:val="0"/>
        <w:snapToGrid w:val="0"/>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我单位对上述声明的真实性负责。如有虚假，将依法承担相应责任。</w:t>
      </w:r>
    </w:p>
    <w:p>
      <w:pPr>
        <w:widowControl/>
        <w:adjustRightInd w:val="0"/>
        <w:snapToGrid w:val="0"/>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特此声明。</w:t>
      </w:r>
    </w:p>
    <w:p>
      <w:pPr>
        <w:widowControl/>
        <w:adjustRightInd w:val="0"/>
        <w:snapToGrid w:val="0"/>
        <w:spacing w:before="120" w:beforeLines="50"/>
        <w:ind w:firstLine="420" w:firstLineChars="200"/>
        <w:rPr>
          <w:rFonts w:ascii="宋体" w:hAnsi="宋体"/>
          <w:color w:val="000000" w:themeColor="text1"/>
          <w:szCs w:val="21"/>
          <w:highlight w:val="none"/>
          <w14:textFill>
            <w14:solidFill>
              <w14:schemeClr w14:val="tx1"/>
            </w14:solidFill>
          </w14:textFill>
        </w:rPr>
      </w:pPr>
    </w:p>
    <w:p>
      <w:pPr>
        <w:adjustRightInd w:val="0"/>
        <w:snapToGrid w:val="0"/>
        <w:spacing w:before="120" w:beforeLine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供应商名称（单位章）： </w:t>
      </w:r>
    </w:p>
    <w:p>
      <w:pPr>
        <w:adjustRightInd w:val="0"/>
        <w:snapToGrid w:val="0"/>
        <w:spacing w:before="120" w:beforeLine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w:t>
      </w:r>
      <w:r>
        <w:rPr>
          <w:rFonts w:hint="eastAsia" w:ascii="宋体" w:hAnsi="宋体"/>
          <w:color w:val="000000" w:themeColor="text1"/>
          <w:szCs w:val="21"/>
          <w:highlight w:val="none"/>
          <w:u w:val="single"/>
          <w14:textFill>
            <w14:solidFill>
              <w14:schemeClr w14:val="tx1"/>
            </w14:solidFill>
          </w14:textFill>
        </w:rPr>
        <w:t xml:space="preserve">              </w:t>
      </w:r>
    </w:p>
    <w:p>
      <w:pPr>
        <w:spacing w:line="480" w:lineRule="exact"/>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80" w:lineRule="exact"/>
        <w:rPr>
          <w:rFonts w:ascii="宋体" w:hAnsi="宋体"/>
          <w:color w:val="000000" w:themeColor="text1"/>
          <w:sz w:val="30"/>
          <w:szCs w:val="30"/>
          <w:highlight w:val="none"/>
          <w14:textFill>
            <w14:solidFill>
              <w14:schemeClr w14:val="tx1"/>
            </w14:solidFill>
          </w14:textFill>
        </w:rPr>
      </w:pPr>
    </w:p>
    <w:p>
      <w:pPr>
        <w:spacing w:line="480" w:lineRule="exact"/>
        <w:rPr>
          <w:rFonts w:ascii="宋体" w:hAnsi="宋体"/>
          <w:color w:val="000000" w:themeColor="text1"/>
          <w:sz w:val="30"/>
          <w:szCs w:val="30"/>
          <w:highlight w:val="none"/>
          <w14:textFill>
            <w14:solidFill>
              <w14:schemeClr w14:val="tx1"/>
            </w14:solidFill>
          </w14:textFill>
        </w:rPr>
      </w:pPr>
    </w:p>
    <w:p>
      <w:pPr>
        <w:widowControl/>
        <w:jc w:val="lef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r>
    </w:p>
    <w:p>
      <w:pPr>
        <w:spacing w:line="480" w:lineRule="exact"/>
        <w:rPr>
          <w:rFonts w:ascii="宋体" w:hAnsi="宋体"/>
          <w:color w:val="000000" w:themeColor="text1"/>
          <w:sz w:val="30"/>
          <w:szCs w:val="30"/>
          <w:highlight w:val="none"/>
          <w14:textFill>
            <w14:solidFill>
              <w14:schemeClr w14:val="tx1"/>
            </w14:solidFill>
          </w14:textFill>
        </w:rPr>
      </w:pPr>
    </w:p>
    <w:p>
      <w:pPr>
        <w:adjustRightInd w:val="0"/>
        <w:snapToGrid w:val="0"/>
        <w:spacing w:line="48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附件3-4</w:t>
      </w:r>
    </w:p>
    <w:p>
      <w:pPr>
        <w:adjustRightInd w:val="0"/>
        <w:snapToGrid w:val="0"/>
        <w:spacing w:line="480" w:lineRule="exact"/>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磋商文件规定的特定资格条件证明资料</w:t>
      </w:r>
    </w:p>
    <w:p>
      <w:pPr>
        <w:spacing w:line="480" w:lineRule="exact"/>
        <w:rPr>
          <w:rFonts w:ascii="宋体" w:hAnsi="宋体"/>
          <w:color w:val="000000" w:themeColor="text1"/>
          <w:szCs w:val="21"/>
          <w:highlight w:val="none"/>
          <w14:textFill>
            <w14:solidFill>
              <w14:schemeClr w14:val="tx1"/>
            </w14:solidFill>
          </w14:textFill>
        </w:rPr>
      </w:pPr>
    </w:p>
    <w:p>
      <w:pPr>
        <w:spacing w:line="48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备注：提供第二章 磋商须知第3.1款供应商特定资格条件证明资料的复印件。项目经理部关键岗位人员无在建工程，由供应商自行承诺，并对</w:t>
      </w:r>
      <w:r>
        <w:rPr>
          <w:rFonts w:hint="eastAsia" w:ascii="宋体" w:hAnsi="宋体" w:cs="宋体"/>
          <w:color w:val="000000" w:themeColor="text1"/>
          <w:szCs w:val="21"/>
          <w:highlight w:val="none"/>
          <w14:textFill>
            <w14:solidFill>
              <w14:schemeClr w14:val="tx1"/>
            </w14:solidFill>
          </w14:textFill>
        </w:rPr>
        <w:t>真实性负责。</w:t>
      </w:r>
      <w:r>
        <w:rPr>
          <w:rFonts w:hint="eastAsia" w:ascii="宋体" w:hAnsi="宋体"/>
          <w:color w:val="000000" w:themeColor="text1"/>
          <w:szCs w:val="21"/>
          <w:highlight w:val="none"/>
          <w14:textFill>
            <w14:solidFill>
              <w14:schemeClr w14:val="tx1"/>
            </w14:solidFill>
          </w14:textFill>
        </w:rPr>
        <w:t>格式自拟。</w:t>
      </w:r>
    </w:p>
    <w:p>
      <w:pPr>
        <w:spacing w:line="480" w:lineRule="exact"/>
        <w:rPr>
          <w:rFonts w:ascii="宋体" w:hAnsi="宋体"/>
          <w:color w:val="000000" w:themeColor="text1"/>
          <w:szCs w:val="21"/>
          <w:highlight w:val="none"/>
          <w14:textFill>
            <w14:solidFill>
              <w14:schemeClr w14:val="tx1"/>
            </w14:solidFill>
          </w14:textFill>
        </w:rPr>
      </w:pPr>
    </w:p>
    <w:p>
      <w:pPr>
        <w:spacing w:line="480" w:lineRule="exact"/>
        <w:rPr>
          <w:rFonts w:ascii="宋体" w:hAnsi="宋体"/>
          <w:color w:val="000000" w:themeColor="text1"/>
          <w:sz w:val="30"/>
          <w:szCs w:val="30"/>
          <w:highlight w:val="none"/>
          <w14:textFill>
            <w14:solidFill>
              <w14:schemeClr w14:val="tx1"/>
            </w14:solidFill>
          </w14:textFill>
        </w:rPr>
      </w:pPr>
    </w:p>
    <w:p>
      <w:pPr>
        <w:widowControl/>
        <w:jc w:val="lef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r>
    </w:p>
    <w:p>
      <w:pPr>
        <w:spacing w:line="480" w:lineRule="exact"/>
        <w:rPr>
          <w:rFonts w:ascii="宋体" w:hAnsi="宋体"/>
          <w:color w:val="000000" w:themeColor="text1"/>
          <w:sz w:val="30"/>
          <w:szCs w:val="30"/>
          <w:highlight w:val="none"/>
          <w14:textFill>
            <w14:solidFill>
              <w14:schemeClr w14:val="tx1"/>
            </w14:solidFill>
          </w14:textFill>
        </w:rPr>
      </w:pPr>
    </w:p>
    <w:p>
      <w:pPr>
        <w:adjustRightInd w:val="0"/>
        <w:snapToGrid w:val="0"/>
        <w:spacing w:line="48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附件3-5</w:t>
      </w:r>
    </w:p>
    <w:p>
      <w:pPr>
        <w:adjustRightInd w:val="0"/>
        <w:snapToGrid w:val="0"/>
        <w:spacing w:line="480" w:lineRule="exact"/>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其他证明资料或说明</w:t>
      </w:r>
    </w:p>
    <w:p>
      <w:pPr>
        <w:adjustRightInd w:val="0"/>
        <w:snapToGrid w:val="0"/>
        <w:spacing w:line="360" w:lineRule="auto"/>
        <w:jc w:val="center"/>
        <w:rPr>
          <w:rFonts w:ascii="宋体" w:hAnsi="宋体"/>
          <w:b/>
          <w:bCs/>
          <w:color w:val="000000" w:themeColor="text1"/>
          <w:sz w:val="32"/>
          <w:szCs w:val="32"/>
          <w:highlight w:val="none"/>
          <w14:textFill>
            <w14:solidFill>
              <w14:schemeClr w14:val="tx1"/>
            </w14:solidFill>
          </w14:textFill>
        </w:rPr>
      </w:pPr>
    </w:p>
    <w:p>
      <w:pPr>
        <w:adjustRightInd w:val="0"/>
        <w:snapToGrid w:val="0"/>
        <w:spacing w:line="360" w:lineRule="auto"/>
        <w:jc w:val="center"/>
        <w:rPr>
          <w:rFonts w:ascii="宋体" w:hAnsi="宋体"/>
          <w:b/>
          <w:bCs/>
          <w:color w:val="000000" w:themeColor="text1"/>
          <w:sz w:val="32"/>
          <w:szCs w:val="32"/>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jc w:val="center"/>
        <w:rPr>
          <w:rFonts w:ascii="宋体" w:hAnsi="宋体"/>
          <w:b/>
          <w:color w:val="000000" w:themeColor="text1"/>
          <w:sz w:val="28"/>
          <w:szCs w:val="28"/>
          <w:highlight w:val="none"/>
          <w14:textFill>
            <w14:solidFill>
              <w14:schemeClr w14:val="tx1"/>
            </w14:solidFill>
          </w14:textFill>
        </w:rPr>
      </w:pPr>
    </w:p>
    <w:p>
      <w:pPr>
        <w:adjustRightInd w:val="0"/>
        <w:snapToGrid w:val="0"/>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四、施工方案说明</w:t>
      </w:r>
    </w:p>
    <w:p>
      <w:pPr>
        <w:adjustRightInd w:val="0"/>
        <w:snapToGrid w:val="0"/>
        <w:spacing w:line="48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附件4-1：</w:t>
      </w:r>
    </w:p>
    <w:p>
      <w:pPr>
        <w:pStyle w:val="52"/>
        <w:adjustRightInd w:val="0"/>
        <w:snapToGrid w:val="0"/>
        <w:ind w:left="5250" w:firstLine="420" w:firstLineChars="200"/>
        <w:outlineLvl w:val="0"/>
        <w:rPr>
          <w:rFonts w:ascii="宋体" w:hAnsi="宋体"/>
          <w:bCs/>
          <w:color w:val="000000" w:themeColor="text1"/>
          <w:szCs w:val="21"/>
          <w:highlight w:val="none"/>
          <w14:textFill>
            <w14:solidFill>
              <w14:schemeClr w14:val="tx1"/>
            </w14:solidFill>
          </w14:textFill>
        </w:rPr>
      </w:pPr>
    </w:p>
    <w:p>
      <w:pPr>
        <w:pStyle w:val="52"/>
        <w:wordWrap w:val="0"/>
        <w:adjustRightInd w:val="0"/>
        <w:snapToGrid w:val="0"/>
        <w:spacing w:line="360" w:lineRule="auto"/>
        <w:ind w:left="0" w:leftChars="0" w:firstLine="420" w:firstLineChars="200"/>
        <w:outlineLvl w:val="0"/>
        <w:rPr>
          <w:rFonts w:ascii="宋体" w:hAnsi="宋体"/>
          <w:color w:val="000000" w:themeColor="text1"/>
          <w:szCs w:val="21"/>
          <w:highlight w:val="none"/>
          <w14:textFill>
            <w14:solidFill>
              <w14:schemeClr w14:val="tx1"/>
            </w14:solidFill>
          </w14:textFill>
        </w:rPr>
      </w:pPr>
      <w:bookmarkStart w:id="614" w:name="_Toc6133"/>
      <w:r>
        <w:rPr>
          <w:rFonts w:hint="eastAsia" w:ascii="宋体" w:hAnsi="宋体"/>
          <w:bCs/>
          <w:color w:val="000000" w:themeColor="text1"/>
          <w:szCs w:val="21"/>
          <w:highlight w:val="none"/>
          <w14:textFill>
            <w14:solidFill>
              <w14:schemeClr w14:val="tx1"/>
            </w14:solidFill>
          </w14:textFill>
        </w:rPr>
        <w:t>说明：投标供应商须根据项目特点编写技术标（施工组织设计）。技术标为明标，内容包括：</w:t>
      </w:r>
      <w:r>
        <w:rPr>
          <w:rFonts w:hint="eastAsia" w:ascii="宋体" w:hAnsi="宋体"/>
          <w:color w:val="000000" w:themeColor="text1"/>
          <w:szCs w:val="21"/>
          <w:highlight w:val="none"/>
          <w14:textFill>
            <w14:solidFill>
              <w14:schemeClr w14:val="tx1"/>
            </w14:solidFill>
          </w14:textFill>
        </w:rPr>
        <w:t>⑴施工方案与技术措施、⑵质量管理体系与措施、⑶安全管理体系与措施、⑷环境保护管理体系与措施、⑸工程进度计划与保证措施、⑹资源配备计划。</w:t>
      </w:r>
      <w:bookmarkEnd w:id="614"/>
    </w:p>
    <w:p>
      <w:pP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p>
    <w:p>
      <w:pPr>
        <w:adjustRightInd w:val="0"/>
        <w:snapToGrid w:val="0"/>
        <w:spacing w:line="48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附件4-2：</w:t>
      </w:r>
    </w:p>
    <w:p>
      <w:pPr>
        <w:spacing w:line="360" w:lineRule="atLeast"/>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主要人员简历表</w:t>
      </w:r>
    </w:p>
    <w:p>
      <w:pPr>
        <w:spacing w:line="360" w:lineRule="atLeast"/>
        <w:jc w:val="center"/>
        <w:rPr>
          <w:rFonts w:ascii="宋体" w:hAnsi="宋体"/>
          <w:color w:val="000000" w:themeColor="text1"/>
          <w:szCs w:val="21"/>
          <w:highlight w:val="none"/>
          <w14:textFill>
            <w14:solidFill>
              <w14:schemeClr w14:val="tx1"/>
            </w14:solidFill>
          </w14:textFill>
        </w:rPr>
      </w:pPr>
    </w:p>
    <w:tbl>
      <w:tblPr>
        <w:tblStyle w:val="90"/>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60"/>
        <w:gridCol w:w="833"/>
        <w:gridCol w:w="2664"/>
        <w:gridCol w:w="428"/>
        <w:gridCol w:w="1515"/>
        <w:gridCol w:w="583"/>
        <w:gridCol w:w="179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4" w:hRule="exact"/>
        </w:trPr>
        <w:tc>
          <w:tcPr>
            <w:tcW w:w="2193"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姓</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名</w:t>
            </w:r>
          </w:p>
        </w:tc>
        <w:tc>
          <w:tcPr>
            <w:tcW w:w="2664"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526"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性</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别</w:t>
            </w:r>
          </w:p>
        </w:tc>
        <w:tc>
          <w:tcPr>
            <w:tcW w:w="1795" w:type="dxa"/>
            <w:vAlign w:val="center"/>
          </w:tcPr>
          <w:p>
            <w:pPr>
              <w:spacing w:line="360" w:lineRule="atLeast"/>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6" w:hRule="exact"/>
        </w:trPr>
        <w:tc>
          <w:tcPr>
            <w:tcW w:w="2193"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职</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务</w:t>
            </w:r>
          </w:p>
        </w:tc>
        <w:tc>
          <w:tcPr>
            <w:tcW w:w="2664"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526"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职</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称</w:t>
            </w:r>
          </w:p>
        </w:tc>
        <w:tc>
          <w:tcPr>
            <w:tcW w:w="1795" w:type="dxa"/>
            <w:vAlign w:val="center"/>
          </w:tcPr>
          <w:p>
            <w:pPr>
              <w:spacing w:line="360" w:lineRule="atLeast"/>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4" w:hRule="exact"/>
        </w:trPr>
        <w:tc>
          <w:tcPr>
            <w:tcW w:w="2193"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毕业学校、专业</w:t>
            </w:r>
          </w:p>
        </w:tc>
        <w:tc>
          <w:tcPr>
            <w:tcW w:w="6985" w:type="dxa"/>
            <w:gridSpan w:val="5"/>
            <w:vAlign w:val="center"/>
          </w:tcPr>
          <w:p>
            <w:pPr>
              <w:spacing w:line="360" w:lineRule="atLeast"/>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5" w:hRule="exact"/>
        </w:trPr>
        <w:tc>
          <w:tcPr>
            <w:tcW w:w="2193"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身份证号</w:t>
            </w:r>
          </w:p>
        </w:tc>
        <w:tc>
          <w:tcPr>
            <w:tcW w:w="2664"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526"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拟在本合同任职</w:t>
            </w:r>
          </w:p>
        </w:tc>
        <w:tc>
          <w:tcPr>
            <w:tcW w:w="1795" w:type="dxa"/>
            <w:vAlign w:val="center"/>
          </w:tcPr>
          <w:p>
            <w:pPr>
              <w:spacing w:line="360" w:lineRule="atLeast"/>
              <w:ind w:right="-105" w:rightChars="-50"/>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5" w:hRule="exact"/>
        </w:trPr>
        <w:tc>
          <w:tcPr>
            <w:tcW w:w="2193"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执业资格证</w:t>
            </w:r>
          </w:p>
        </w:tc>
        <w:tc>
          <w:tcPr>
            <w:tcW w:w="2664"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526"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执业资格证书号</w:t>
            </w:r>
          </w:p>
        </w:tc>
        <w:tc>
          <w:tcPr>
            <w:tcW w:w="1795" w:type="dxa"/>
            <w:vAlign w:val="center"/>
          </w:tcPr>
          <w:p>
            <w:pPr>
              <w:spacing w:line="360" w:lineRule="atLeast"/>
              <w:ind w:right="-105" w:rightChars="-50"/>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3" w:hRule="exact"/>
        </w:trPr>
        <w:tc>
          <w:tcPr>
            <w:tcW w:w="9178" w:type="dxa"/>
            <w:gridSpan w:val="7"/>
            <w:vAlign w:val="center"/>
          </w:tcPr>
          <w:p>
            <w:pPr>
              <w:spacing w:line="36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近三年承担项目情况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360" w:type="dxa"/>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时间</w:t>
            </w:r>
          </w:p>
        </w:tc>
        <w:tc>
          <w:tcPr>
            <w:tcW w:w="3925"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类似项目名称</w:t>
            </w:r>
          </w:p>
        </w:tc>
        <w:tc>
          <w:tcPr>
            <w:tcW w:w="1515" w:type="dxa"/>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担任职务</w:t>
            </w:r>
          </w:p>
        </w:tc>
        <w:tc>
          <w:tcPr>
            <w:tcW w:w="2378"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项目单位名称及电话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360"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3925"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1515"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378"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360"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3925"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1515"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378"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360"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3925"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1515"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378"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360"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3925" w:type="dxa"/>
            <w:gridSpan w:val="3"/>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1515" w:type="dxa"/>
            <w:vAlign w:val="center"/>
          </w:tcPr>
          <w:p>
            <w:pPr>
              <w:spacing w:line="360" w:lineRule="atLeast"/>
              <w:jc w:val="center"/>
              <w:rPr>
                <w:rFonts w:ascii="宋体" w:hAnsi="宋体"/>
                <w:color w:val="000000" w:themeColor="text1"/>
                <w:highlight w:val="none"/>
                <w14:textFill>
                  <w14:solidFill>
                    <w14:schemeClr w14:val="tx1"/>
                  </w14:solidFill>
                </w14:textFill>
              </w:rPr>
            </w:pPr>
          </w:p>
        </w:tc>
        <w:tc>
          <w:tcPr>
            <w:tcW w:w="2378" w:type="dxa"/>
            <w:gridSpan w:val="2"/>
            <w:vAlign w:val="center"/>
          </w:tcPr>
          <w:p>
            <w:pPr>
              <w:spacing w:line="360" w:lineRule="atLeast"/>
              <w:jc w:val="center"/>
              <w:rPr>
                <w:rFonts w:ascii="宋体" w:hAnsi="宋体"/>
                <w:color w:val="000000" w:themeColor="text1"/>
                <w:highlight w:val="none"/>
                <w14:textFill>
                  <w14:solidFill>
                    <w14:schemeClr w14:val="tx1"/>
                  </w14:solidFill>
                </w14:textFill>
              </w:rPr>
            </w:pPr>
          </w:p>
        </w:tc>
      </w:tr>
    </w:tbl>
    <w:p>
      <w:pPr>
        <w:spacing w:line="36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r>
        <w:rPr>
          <w:rFonts w:hint="eastAsia" w:ascii="宋体" w:hAnsi="宋体"/>
          <w:color w:val="000000" w:themeColor="text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主要人员证书、</w:t>
      </w:r>
      <w:r>
        <w:rPr>
          <w:rFonts w:hint="eastAsia" w:ascii="宋体" w:hAnsi="宋体"/>
          <w:color w:val="000000" w:themeColor="text1"/>
          <w:highlight w:val="none"/>
          <w14:textFill>
            <w14:solidFill>
              <w14:schemeClr w14:val="tx1"/>
            </w14:solidFill>
          </w14:textFill>
        </w:rPr>
        <w:t>类似项目证明资料等按第二章第41.1款或第四章要求提供。</w:t>
      </w:r>
    </w:p>
    <w:p>
      <w:pPr>
        <w:adjustRightInd w:val="0"/>
        <w:snapToGrid w:val="0"/>
        <w:rPr>
          <w:rFonts w:ascii="宋体" w:hAnsi="宋体"/>
          <w:color w:val="000000" w:themeColor="text1"/>
          <w:szCs w:val="21"/>
          <w:highlight w:val="none"/>
          <w14:textFill>
            <w14:solidFill>
              <w14:schemeClr w14:val="tx1"/>
            </w14:solidFill>
          </w14:textFill>
        </w:rPr>
      </w:pPr>
    </w:p>
    <w:p>
      <w:pPr>
        <w:pStyle w:val="52"/>
        <w:adjustRightInd w:val="0"/>
        <w:snapToGrid w:val="0"/>
        <w:ind w:left="5250"/>
        <w:outlineLvl w:val="0"/>
        <w:rPr>
          <w:rFonts w:ascii="宋体" w:hAnsi="宋体"/>
          <w:bCs/>
          <w:color w:val="000000" w:themeColor="text1"/>
          <w:szCs w:val="21"/>
          <w:highlight w:val="none"/>
          <w14:textFill>
            <w14:solidFill>
              <w14:schemeClr w14:val="tx1"/>
            </w14:solidFill>
          </w14:textFill>
        </w:rPr>
      </w:pPr>
      <w:bookmarkStart w:id="615" w:name="_Toc6938"/>
      <w:r>
        <w:rPr>
          <w:rFonts w:hint="eastAsia" w:ascii="宋体" w:hAnsi="宋体"/>
          <w:color w:val="000000" w:themeColor="text1"/>
          <w:szCs w:val="21"/>
          <w:highlight w:val="none"/>
          <w14:textFill>
            <w14:solidFill>
              <w14:schemeClr w14:val="tx1"/>
            </w14:solidFill>
          </w14:textFill>
        </w:rPr>
        <w:t>供应商名称：</w:t>
      </w:r>
      <w:bookmarkEnd w:id="615"/>
      <w:r>
        <w:rPr>
          <w:rFonts w:hint="eastAsia" w:ascii="宋体" w:hAnsi="宋体"/>
          <w:color w:val="000000" w:themeColor="text1"/>
          <w:szCs w:val="21"/>
          <w:highlight w:val="none"/>
          <w:u w:val="single"/>
          <w14:textFill>
            <w14:solidFill>
              <w14:schemeClr w14:val="tx1"/>
            </w14:solidFill>
          </w14:textFill>
        </w:rPr>
        <w:t xml:space="preserve">                </w:t>
      </w:r>
    </w:p>
    <w:p>
      <w:pPr>
        <w:adjustRightInd w:val="0"/>
        <w:snapToGrid w:val="0"/>
        <w:outlineLvl w:val="0"/>
        <w:rPr>
          <w:rFonts w:ascii="宋体" w:hAnsi="宋体"/>
          <w:color w:val="000000" w:themeColor="text1"/>
          <w:szCs w:val="21"/>
          <w:highlight w:val="none"/>
          <w14:textFill>
            <w14:solidFill>
              <w14:schemeClr w14:val="tx1"/>
            </w14:solidFill>
          </w14:textFill>
        </w:rPr>
      </w:pPr>
      <w:bookmarkStart w:id="616" w:name="_Toc23887"/>
      <w:r>
        <w:rPr>
          <w:rFonts w:hint="eastAsia" w:ascii="宋体" w:hAnsi="宋体"/>
          <w:color w:val="000000" w:themeColor="text1"/>
          <w:szCs w:val="21"/>
          <w:highlight w:val="none"/>
          <w14:textFill>
            <w14:solidFill>
              <w14:schemeClr w14:val="tx1"/>
            </w14:solidFill>
          </w14:textFill>
        </w:rPr>
        <w:t>法定代表人或其委托代理人(签字)：</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_</w:t>
      </w:r>
      <w:bookmarkEnd w:id="616"/>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spacing w:line="360" w:lineRule="auto"/>
        <w:ind w:firstLine="630" w:firstLineChars="3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jc w:val="center"/>
        <w:outlineLvl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pPr>
        <w:adjustRightInd w:val="0"/>
        <w:snapToGrid w:val="0"/>
        <w:jc w:val="center"/>
        <w:outlineLvl w:val="0"/>
        <w:rPr>
          <w:rFonts w:ascii="宋体" w:hAnsi="宋体"/>
          <w:color w:val="000000" w:themeColor="text1"/>
          <w:highlight w:val="none"/>
          <w14:textFill>
            <w14:solidFill>
              <w14:schemeClr w14:val="tx1"/>
            </w14:solidFill>
          </w14:textFill>
        </w:rPr>
      </w:pPr>
    </w:p>
    <w:p>
      <w:pPr>
        <w:adjustRightInd w:val="0"/>
        <w:snapToGrid w:val="0"/>
        <w:jc w:val="center"/>
        <w:outlineLvl w:val="0"/>
        <w:rPr>
          <w:rFonts w:ascii="宋体" w:hAnsi="宋体"/>
          <w:b/>
          <w:color w:val="000000" w:themeColor="text1"/>
          <w:sz w:val="30"/>
          <w:szCs w:val="30"/>
          <w:highlight w:val="none"/>
          <w14:textFill>
            <w14:solidFill>
              <w14:schemeClr w14:val="tx1"/>
            </w14:solidFill>
          </w14:textFill>
        </w:rPr>
      </w:pPr>
      <w:bookmarkStart w:id="617" w:name="_Toc15347"/>
      <w:r>
        <w:rPr>
          <w:rFonts w:hint="eastAsia" w:ascii="宋体" w:hAnsi="宋体"/>
          <w:b/>
          <w:color w:val="000000" w:themeColor="text1"/>
          <w:sz w:val="30"/>
          <w:szCs w:val="30"/>
          <w:highlight w:val="none"/>
          <w14:textFill>
            <w14:solidFill>
              <w14:schemeClr w14:val="tx1"/>
            </w14:solidFill>
          </w14:textFill>
        </w:rPr>
        <w:t>五、技术/商务响应与偏离表</w:t>
      </w:r>
      <w:bookmarkEnd w:id="617"/>
    </w:p>
    <w:p>
      <w:pPr>
        <w:adjustRightInd w:val="0"/>
        <w:snapToGrid w:val="0"/>
        <w:ind w:left="-88" w:leftChars="-42" w:firstLine="315" w:firstLineChars="150"/>
        <w:rPr>
          <w:rFonts w:ascii="宋体" w:hAnsi="宋体"/>
          <w:color w:val="000000" w:themeColor="text1"/>
          <w:szCs w:val="21"/>
          <w:highlight w:val="none"/>
          <w:u w:val="single"/>
          <w14:textFill>
            <w14:solidFill>
              <w14:schemeClr w14:val="tx1"/>
            </w14:solidFill>
          </w14:textFill>
        </w:rPr>
      </w:pPr>
    </w:p>
    <w:tbl>
      <w:tblPr>
        <w:tblStyle w:val="9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79"/>
        <w:gridCol w:w="1803"/>
        <w:gridCol w:w="2085"/>
        <w:gridCol w:w="2783"/>
        <w:gridCol w:w="1299"/>
        <w:gridCol w:w="7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2" w:hRule="atLeast"/>
          <w:jc w:val="center"/>
        </w:trPr>
        <w:tc>
          <w:tcPr>
            <w:tcW w:w="679" w:type="dxa"/>
            <w:vAlign w:val="center"/>
          </w:tcPr>
          <w:p>
            <w:pPr>
              <w:adjustRightInd w:val="0"/>
              <w:snapToGrid w:val="0"/>
              <w:ind w:left="-88" w:leftChars="-42"/>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序号</w:t>
            </w:r>
          </w:p>
        </w:tc>
        <w:tc>
          <w:tcPr>
            <w:tcW w:w="180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磋商文件条目号</w:t>
            </w:r>
          </w:p>
        </w:tc>
        <w:tc>
          <w:tcPr>
            <w:tcW w:w="2085"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采购规格/商务条款</w:t>
            </w:r>
          </w:p>
        </w:tc>
        <w:tc>
          <w:tcPr>
            <w:tcW w:w="278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响应文件的规格/商务条款</w:t>
            </w:r>
          </w:p>
        </w:tc>
        <w:tc>
          <w:tcPr>
            <w:tcW w:w="1299"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响应与偏离</w:t>
            </w:r>
          </w:p>
        </w:tc>
        <w:tc>
          <w:tcPr>
            <w:tcW w:w="708"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80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085"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78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299"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708"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80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085"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78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299"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708"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80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085"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78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299"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708"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80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085"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78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299"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708"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80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085"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2783"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1299"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c>
          <w:tcPr>
            <w:tcW w:w="708" w:type="dxa"/>
            <w:vAlign w:val="center"/>
          </w:tcPr>
          <w:p>
            <w:pPr>
              <w:adjustRightInd w:val="0"/>
              <w:snapToGrid w:val="0"/>
              <w:ind w:left="-88" w:leftChars="-42"/>
              <w:jc w:val="center"/>
              <w:rPr>
                <w:rFonts w:ascii="宋体" w:hAnsi="宋体"/>
                <w:color w:val="000000" w:themeColor="text1"/>
                <w:szCs w:val="21"/>
                <w:highlight w:val="none"/>
                <w14:textFill>
                  <w14:solidFill>
                    <w14:schemeClr w14:val="tx1"/>
                  </w14:solidFill>
                </w14:textFill>
              </w:rPr>
            </w:pPr>
          </w:p>
        </w:tc>
      </w:tr>
    </w:tbl>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1、“响应与偏离”应注明“响应”或“偏离”。</w:t>
      </w:r>
    </w:p>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2、属磋商文件规定可能变动的内容在“说明”栏中注明。</w:t>
      </w:r>
    </w:p>
    <w:p>
      <w:pPr>
        <w:adjustRightInd w:val="0"/>
        <w:snapToGrid w:val="0"/>
        <w:rPr>
          <w:rFonts w:ascii="宋体" w:hAnsi="宋体"/>
          <w:color w:val="000000" w:themeColor="text1"/>
          <w:szCs w:val="21"/>
          <w:highlight w:val="none"/>
          <w14:textFill>
            <w14:solidFill>
              <w14:schemeClr w14:val="tx1"/>
            </w14:solidFill>
          </w14:textFill>
        </w:rPr>
      </w:pPr>
    </w:p>
    <w:p>
      <w:pPr>
        <w:pStyle w:val="52"/>
        <w:adjustRightInd w:val="0"/>
        <w:snapToGrid w:val="0"/>
        <w:ind w:left="5250"/>
        <w:outlineLvl w:val="0"/>
        <w:rPr>
          <w:rFonts w:ascii="宋体" w:hAnsi="宋体"/>
          <w:bCs/>
          <w:color w:val="000000" w:themeColor="text1"/>
          <w:szCs w:val="21"/>
          <w:highlight w:val="none"/>
          <w14:textFill>
            <w14:solidFill>
              <w14:schemeClr w14:val="tx1"/>
            </w14:solidFill>
          </w14:textFill>
        </w:rPr>
      </w:pPr>
      <w:bookmarkStart w:id="618" w:name="_Toc22445"/>
      <w:r>
        <w:rPr>
          <w:rFonts w:hint="eastAsia" w:ascii="宋体" w:hAnsi="宋体"/>
          <w:color w:val="000000" w:themeColor="text1"/>
          <w:szCs w:val="21"/>
          <w:highlight w:val="none"/>
          <w14:textFill>
            <w14:solidFill>
              <w14:schemeClr w14:val="tx1"/>
            </w14:solidFill>
          </w14:textFill>
        </w:rPr>
        <w:t>供应商名称（盖单位章）：</w:t>
      </w:r>
      <w:bookmarkEnd w:id="618"/>
      <w:r>
        <w:rPr>
          <w:rFonts w:hint="eastAsia" w:ascii="宋体" w:hAnsi="宋体"/>
          <w:color w:val="000000" w:themeColor="text1"/>
          <w:szCs w:val="21"/>
          <w:highlight w:val="none"/>
          <w:u w:val="single"/>
          <w14:textFill>
            <w14:solidFill>
              <w14:schemeClr w14:val="tx1"/>
            </w14:solidFill>
          </w14:textFill>
        </w:rPr>
        <w:t xml:space="preserve">                   </w:t>
      </w:r>
    </w:p>
    <w:p>
      <w:pPr>
        <w:adjustRightInd w:val="0"/>
        <w:snapToGrid w:val="0"/>
        <w:outlineLvl w:val="0"/>
        <w:rPr>
          <w:rFonts w:ascii="宋体" w:hAnsi="宋体"/>
          <w:color w:val="000000" w:themeColor="text1"/>
          <w:szCs w:val="21"/>
          <w:highlight w:val="none"/>
          <w14:textFill>
            <w14:solidFill>
              <w14:schemeClr w14:val="tx1"/>
            </w14:solidFill>
          </w14:textFill>
        </w:rPr>
      </w:pPr>
      <w:bookmarkStart w:id="619" w:name="_Toc10045"/>
      <w:r>
        <w:rPr>
          <w:rFonts w:hint="eastAsia" w:ascii="宋体" w:hAnsi="宋体"/>
          <w:color w:val="000000" w:themeColor="text1"/>
          <w:szCs w:val="21"/>
          <w:highlight w:val="none"/>
          <w14:textFill>
            <w14:solidFill>
              <w14:schemeClr w14:val="tx1"/>
            </w14:solidFill>
          </w14:textFill>
        </w:rPr>
        <w:t>法定代表人或其委托代理人(签字)：</w:t>
      </w:r>
      <w:bookmarkEnd w:id="619"/>
      <w:r>
        <w:rPr>
          <w:rFonts w:hint="eastAsia" w:ascii="宋体" w:hAnsi="宋体"/>
          <w:color w:val="000000" w:themeColor="text1"/>
          <w:szCs w:val="21"/>
          <w:highlight w:val="none"/>
          <w:u w:val="single"/>
          <w14:textFill>
            <w14:solidFill>
              <w14:schemeClr w14:val="tx1"/>
            </w14:solidFill>
          </w14:textFill>
        </w:rPr>
        <w:t xml:space="preserve">                   </w:t>
      </w:r>
    </w:p>
    <w:p>
      <w:pPr>
        <w:adjustRightInd w:val="0"/>
        <w:snapToGrid w:val="0"/>
        <w:outlineLvl w:val="0"/>
        <w:rPr>
          <w:rFonts w:ascii="宋体" w:hAnsi="宋体"/>
          <w:color w:val="000000" w:themeColor="text1"/>
          <w:szCs w:val="21"/>
          <w:highlight w:val="none"/>
          <w14:textFill>
            <w14:solidFill>
              <w14:schemeClr w14:val="tx1"/>
            </w14:solidFill>
          </w14:textFill>
        </w:rPr>
      </w:pPr>
      <w:bookmarkStart w:id="620" w:name="_Toc13128"/>
      <w:r>
        <w:rPr>
          <w:rFonts w:hint="eastAsia" w:ascii="宋体" w:hAnsi="宋体"/>
          <w:color w:val="000000" w:themeColor="text1"/>
          <w:szCs w:val="21"/>
          <w:highlight w:val="none"/>
          <w14:textFill>
            <w14:solidFill>
              <w14:schemeClr w14:val="tx1"/>
            </w14:solidFill>
          </w14:textFill>
        </w:rPr>
        <w:t xml:space="preserve">日          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w:t>
      </w:r>
      <w:bookmarkEnd w:id="620"/>
    </w:p>
    <w:p>
      <w:pPr>
        <w:spacing w:line="360" w:lineRule="exact"/>
        <w:rPr>
          <w:rFonts w:ascii="宋体" w:hAnsi="宋体"/>
          <w:color w:val="000000" w:themeColor="text1"/>
          <w:highlight w:val="none"/>
          <w14:textFill>
            <w14:solidFill>
              <w14:schemeClr w14:val="tx1"/>
            </w14:solidFill>
          </w14:textFill>
        </w:rPr>
      </w:pPr>
    </w:p>
    <w:p>
      <w:pPr>
        <w:spacing w:line="360" w:lineRule="exact"/>
        <w:rPr>
          <w:rFonts w:ascii="宋体" w:hAnsi="宋体"/>
          <w:color w:val="000000" w:themeColor="text1"/>
          <w:highlight w:val="none"/>
          <w14:textFill>
            <w14:solidFill>
              <w14:schemeClr w14:val="tx1"/>
            </w14:solidFill>
          </w14:textFill>
        </w:rPr>
      </w:pPr>
    </w:p>
    <w:p>
      <w:pPr>
        <w:spacing w:line="360" w:lineRule="exact"/>
        <w:rPr>
          <w:rFonts w:ascii="宋体" w:hAnsi="宋体"/>
          <w:color w:val="000000" w:themeColor="text1"/>
          <w:highlight w:val="none"/>
          <w14:textFill>
            <w14:solidFill>
              <w14:schemeClr w14:val="tx1"/>
            </w14:solidFill>
          </w14:textFill>
        </w:rPr>
      </w:pPr>
    </w:p>
    <w:p>
      <w:pPr>
        <w:jc w:val="center"/>
        <w:rPr>
          <w:rFonts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六、 报价一览表（格式）</w:t>
      </w:r>
    </w:p>
    <w:p>
      <w:pPr>
        <w:adjustRightInd w:val="0"/>
        <w:snapToGrid w:val="0"/>
        <w:ind w:left="-88" w:leftChars="-42"/>
        <w:rPr>
          <w:rFonts w:ascii="宋体" w:hAnsi="宋体"/>
          <w:b/>
          <w:color w:val="000000" w:themeColor="text1"/>
          <w:szCs w:val="21"/>
          <w:highlight w:val="none"/>
          <w14:textFill>
            <w14:solidFill>
              <w14:schemeClr w14:val="tx1"/>
            </w14:solidFill>
          </w14:textFill>
        </w:rPr>
      </w:pPr>
    </w:p>
    <w:tbl>
      <w:tblPr>
        <w:tblStyle w:val="90"/>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620"/>
        <w:gridCol w:w="252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620" w:type="dxa"/>
            <w:vMerge w:val="restart"/>
            <w:tcBorders>
              <w:top w:val="double" w:color="auto" w:sz="4" w:space="0"/>
              <w:left w:val="double" w:color="auto" w:sz="4" w:space="0"/>
              <w:bottom w:val="single" w:color="auto" w:sz="6" w:space="0"/>
              <w:right w:val="single" w:color="auto" w:sz="6" w:space="0"/>
            </w:tcBorders>
            <w:vAlign w:val="center"/>
          </w:tcPr>
          <w:p>
            <w:pPr>
              <w:tabs>
                <w:tab w:val="left" w:pos="403"/>
                <w:tab w:val="center" w:pos="3781"/>
              </w:tabs>
              <w:spacing w:line="420" w:lineRule="exact"/>
              <w:ind w:right="-5206" w:rightChars="-2479" w:firstLine="210" w:firstLineChars="1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项目名称</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项目名称</w:t>
            </w:r>
          </w:p>
        </w:tc>
        <w:tc>
          <w:tcPr>
            <w:tcW w:w="3060" w:type="dxa"/>
            <w:vMerge w:val="restart"/>
            <w:tcBorders>
              <w:top w:val="double" w:color="auto" w:sz="4" w:space="0"/>
              <w:left w:val="single" w:color="auto" w:sz="6" w:space="0"/>
              <w:bottom w:val="single" w:color="auto" w:sz="6"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p>
        </w:tc>
        <w:tc>
          <w:tcPr>
            <w:tcW w:w="1620" w:type="dxa"/>
            <w:tcBorders>
              <w:top w:val="double" w:color="auto" w:sz="4" w:space="0"/>
              <w:left w:val="single" w:color="auto" w:sz="6" w:space="0"/>
              <w:bottom w:val="single" w:color="auto" w:sz="6"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w:t>
            </w:r>
            <w:r>
              <w:rPr>
                <w:rFonts w:ascii="宋体" w:hAnsi="宋体"/>
                <w:color w:val="000000" w:themeColor="text1"/>
                <w:szCs w:val="21"/>
                <w:highlight w:val="none"/>
                <w14:textFill>
                  <w14:solidFill>
                    <w14:schemeClr w14:val="tx1"/>
                  </w14:solidFill>
                </w14:textFill>
              </w:rPr>
              <w:t>编号</w:t>
            </w:r>
          </w:p>
        </w:tc>
        <w:tc>
          <w:tcPr>
            <w:tcW w:w="2520" w:type="dxa"/>
            <w:tcBorders>
              <w:top w:val="double" w:color="auto" w:sz="4" w:space="0"/>
              <w:left w:val="single" w:color="auto" w:sz="6" w:space="0"/>
              <w:bottom w:val="single" w:color="auto" w:sz="6" w:space="0"/>
              <w:right w:val="double" w:color="auto" w:sz="4"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20" w:type="dxa"/>
            <w:vMerge w:val="continue"/>
            <w:tcBorders>
              <w:top w:val="single" w:color="auto" w:sz="6" w:space="0"/>
              <w:left w:val="double" w:color="auto" w:sz="4" w:space="0"/>
              <w:bottom w:val="single" w:color="auto" w:sz="6" w:space="0"/>
              <w:right w:val="single" w:color="auto" w:sz="6" w:space="0"/>
            </w:tcBorders>
            <w:vAlign w:val="center"/>
          </w:tcPr>
          <w:p>
            <w:pPr>
              <w:tabs>
                <w:tab w:val="left" w:pos="403"/>
                <w:tab w:val="center" w:pos="3781"/>
              </w:tabs>
              <w:spacing w:line="420" w:lineRule="exact"/>
              <w:ind w:right="-5206" w:rightChars="-2479"/>
              <w:rPr>
                <w:rFonts w:ascii="宋体" w:hAnsi="宋体"/>
                <w:color w:val="000000" w:themeColor="text1"/>
                <w:szCs w:val="21"/>
                <w:highlight w:val="none"/>
                <w14:textFill>
                  <w14:solidFill>
                    <w14:schemeClr w14:val="tx1"/>
                  </w14:solidFill>
                </w14:textFill>
              </w:rPr>
            </w:pPr>
          </w:p>
        </w:tc>
        <w:tc>
          <w:tcPr>
            <w:tcW w:w="3060" w:type="dxa"/>
            <w:vMerge w:val="continue"/>
            <w:tcBorders>
              <w:top w:val="single" w:color="auto" w:sz="6" w:space="0"/>
              <w:left w:val="single" w:color="auto" w:sz="6" w:space="0"/>
              <w:bottom w:val="single" w:color="auto" w:sz="6"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p>
        </w:tc>
        <w:tc>
          <w:tcPr>
            <w:tcW w:w="1620" w:type="dxa"/>
            <w:tcBorders>
              <w:top w:val="single" w:color="auto" w:sz="6" w:space="0"/>
              <w:left w:val="single" w:color="auto" w:sz="6" w:space="0"/>
              <w:bottom w:val="single" w:color="auto" w:sz="6"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采购代理</w:t>
            </w:r>
            <w:r>
              <w:rPr>
                <w:rFonts w:ascii="宋体" w:hAnsi="宋体"/>
                <w:color w:val="000000" w:themeColor="text1"/>
                <w:szCs w:val="21"/>
                <w:highlight w:val="none"/>
                <w14:textFill>
                  <w14:solidFill>
                    <w14:schemeClr w14:val="tx1"/>
                  </w14:solidFill>
                </w14:textFill>
              </w:rPr>
              <w:t>编号</w:t>
            </w:r>
          </w:p>
        </w:tc>
        <w:tc>
          <w:tcPr>
            <w:tcW w:w="2520" w:type="dxa"/>
            <w:tcBorders>
              <w:top w:val="single" w:color="auto" w:sz="6" w:space="0"/>
              <w:left w:val="single" w:color="auto" w:sz="6" w:space="0"/>
              <w:bottom w:val="single" w:color="auto" w:sz="6" w:space="0"/>
              <w:right w:val="double" w:color="auto" w:sz="4"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品目分类编码</w:t>
            </w:r>
          </w:p>
        </w:tc>
        <w:tc>
          <w:tcPr>
            <w:tcW w:w="7200" w:type="dxa"/>
            <w:gridSpan w:val="3"/>
            <w:tcBorders>
              <w:top w:val="single" w:color="auto" w:sz="6" w:space="0"/>
              <w:left w:val="single" w:color="auto" w:sz="6" w:space="0"/>
              <w:bottom w:val="single" w:color="auto" w:sz="6" w:space="0"/>
              <w:right w:val="double" w:color="auto" w:sz="4" w:space="0"/>
            </w:tcBorders>
            <w:vAlign w:val="center"/>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1620" w:type="dxa"/>
            <w:tcBorders>
              <w:top w:val="single" w:color="auto" w:sz="6" w:space="0"/>
              <w:left w:val="double" w:color="auto" w:sz="4"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报价</w:t>
            </w:r>
          </w:p>
        </w:tc>
        <w:tc>
          <w:tcPr>
            <w:tcW w:w="7200" w:type="dxa"/>
            <w:gridSpan w:val="3"/>
            <w:tcBorders>
              <w:top w:val="single" w:color="auto" w:sz="6" w:space="0"/>
              <w:left w:val="single" w:color="auto" w:sz="6" w:space="0"/>
              <w:bottom w:val="single" w:color="auto" w:sz="6" w:space="0"/>
              <w:right w:val="double" w:color="auto" w:sz="4" w:space="0"/>
            </w:tcBorders>
            <w:vAlign w:val="center"/>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元人民币整</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元人民币整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4"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合同工期</w:t>
            </w:r>
          </w:p>
        </w:tc>
        <w:tc>
          <w:tcPr>
            <w:tcW w:w="7200" w:type="dxa"/>
            <w:gridSpan w:val="3"/>
            <w:tcBorders>
              <w:top w:val="single" w:color="auto" w:sz="6" w:space="0"/>
              <w:left w:val="single" w:color="auto" w:sz="6" w:space="0"/>
              <w:bottom w:val="single" w:color="auto" w:sz="4" w:space="0"/>
              <w:right w:val="double" w:color="auto" w:sz="4" w:space="0"/>
            </w:tcBorders>
            <w:vAlign w:val="center"/>
          </w:tcPr>
          <w:p>
            <w:pP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4" w:space="0"/>
              <w:left w:val="double" w:color="auto" w:sz="4"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质量标准</w:t>
            </w:r>
          </w:p>
        </w:tc>
        <w:tc>
          <w:tcPr>
            <w:tcW w:w="7200" w:type="dxa"/>
            <w:gridSpan w:val="3"/>
            <w:tcBorders>
              <w:top w:val="single" w:color="auto" w:sz="4" w:space="0"/>
              <w:left w:val="single" w:color="auto" w:sz="6" w:space="0"/>
              <w:bottom w:val="single" w:color="auto" w:sz="6" w:space="0"/>
              <w:right w:val="double" w:color="auto" w:sz="4" w:space="0"/>
            </w:tcBorders>
            <w:vAlign w:val="center"/>
          </w:tcPr>
          <w:p>
            <w:pP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6" w:space="0"/>
              <w:right w:val="single" w:color="auto" w:sz="6" w:space="0"/>
            </w:tcBorders>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保修承诺</w:t>
            </w:r>
          </w:p>
        </w:tc>
        <w:tc>
          <w:tcPr>
            <w:tcW w:w="7200" w:type="dxa"/>
            <w:gridSpan w:val="3"/>
            <w:tcBorders>
              <w:top w:val="single" w:color="auto" w:sz="6" w:space="0"/>
              <w:left w:val="single" w:color="auto" w:sz="6" w:space="0"/>
              <w:bottom w:val="single" w:color="auto" w:sz="6" w:space="0"/>
              <w:right w:val="double" w:color="auto" w:sz="4" w:space="0"/>
            </w:tcBorders>
            <w:vAlign w:val="center"/>
          </w:tcPr>
          <w:p>
            <w:pPr>
              <w:spacing w:line="420" w:lineRule="exact"/>
              <w:rPr>
                <w:rFonts w:ascii="宋体" w:hAnsi="宋体"/>
                <w:iCs/>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6" w:space="0"/>
              <w:right w:val="single" w:color="auto" w:sz="6" w:space="0"/>
            </w:tcBorders>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项目负责人</w:t>
            </w:r>
          </w:p>
        </w:tc>
        <w:tc>
          <w:tcPr>
            <w:tcW w:w="7200" w:type="dxa"/>
            <w:gridSpan w:val="3"/>
            <w:tcBorders>
              <w:top w:val="single" w:color="auto" w:sz="6" w:space="0"/>
              <w:left w:val="single" w:color="auto" w:sz="6" w:space="0"/>
              <w:bottom w:val="single" w:color="auto" w:sz="6" w:space="0"/>
              <w:right w:val="double" w:color="auto" w:sz="4" w:space="0"/>
            </w:tcBorders>
            <w:vAlign w:val="center"/>
          </w:tcPr>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级别：</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注册证号：</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B类安全生产考核合格证号：</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double" w:color="auto" w:sz="4" w:space="0"/>
              <w:right w:val="single" w:color="auto" w:sz="6" w:space="0"/>
            </w:tcBorders>
            <w:vAlign w:val="center"/>
          </w:tcPr>
          <w:p>
            <w:pPr>
              <w:spacing w:line="42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  注</w:t>
            </w:r>
          </w:p>
        </w:tc>
        <w:tc>
          <w:tcPr>
            <w:tcW w:w="7200" w:type="dxa"/>
            <w:gridSpan w:val="3"/>
            <w:tcBorders>
              <w:top w:val="single" w:color="auto" w:sz="6" w:space="0"/>
              <w:left w:val="single" w:color="auto" w:sz="6" w:space="0"/>
              <w:bottom w:val="double" w:color="auto" w:sz="4" w:space="0"/>
              <w:right w:val="double" w:color="auto" w:sz="4" w:space="0"/>
            </w:tcBorders>
            <w:vAlign w:val="center"/>
          </w:tcPr>
          <w:p>
            <w:pPr>
              <w:spacing w:line="420" w:lineRule="exact"/>
              <w:rPr>
                <w:rFonts w:ascii="宋体" w:hAnsi="宋体"/>
                <w:color w:val="000000" w:themeColor="text1"/>
                <w:szCs w:val="21"/>
                <w:highlight w:val="none"/>
                <w14:textFill>
                  <w14:solidFill>
                    <w14:schemeClr w14:val="tx1"/>
                  </w14:solidFill>
                </w14:textFill>
              </w:rPr>
            </w:pPr>
          </w:p>
        </w:tc>
      </w:tr>
    </w:tbl>
    <w:p>
      <w:pPr>
        <w:adjustRightInd w:val="0"/>
        <w:snapToGrid w:val="0"/>
        <w:ind w:left="-88" w:leftChars="-42"/>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供应商（盖单位章）：</w:t>
      </w:r>
    </w:p>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法定代表人或其委托代理人签字：</w:t>
      </w:r>
      <w:r>
        <w:rPr>
          <w:rFonts w:hint="eastAsia" w:ascii="宋体" w:hAnsi="宋体"/>
          <w:color w:val="000000" w:themeColor="text1"/>
          <w:szCs w:val="21"/>
          <w:highlight w:val="none"/>
          <w:u w:val="single"/>
          <w14:textFill>
            <w14:solidFill>
              <w14:schemeClr w14:val="tx1"/>
            </w14:solidFill>
          </w14:textFill>
        </w:rPr>
        <w:t xml:space="preserve">       </w:t>
      </w:r>
    </w:p>
    <w:p>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pStyle w:val="4"/>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pStyle w:val="4"/>
        <w:rPr>
          <w:color w:val="000000" w:themeColor="text1"/>
          <w:highlight w:val="none"/>
          <w14:textFill>
            <w14:solidFill>
              <w14:schemeClr w14:val="tx1"/>
            </w14:solidFill>
          </w14:textFill>
        </w:rPr>
      </w:pPr>
    </w:p>
    <w:p>
      <w:pPr>
        <w:adjustRightInd w:val="0"/>
        <w:snapToGrid w:val="0"/>
        <w:jc w:val="center"/>
        <w:rPr>
          <w:rFonts w:ascii="宋体" w:hAnsi="宋体"/>
          <w:b/>
          <w:bCs/>
          <w:color w:val="000000" w:themeColor="text1"/>
          <w:sz w:val="28"/>
          <w:szCs w:val="28"/>
          <w:highlight w:val="none"/>
          <w14:textFill>
            <w14:solidFill>
              <w14:schemeClr w14:val="tx1"/>
            </w14:solidFill>
          </w14:textFill>
        </w:rPr>
      </w:pPr>
    </w:p>
    <w:p>
      <w:pPr>
        <w:adjustRightInd w:val="0"/>
        <w:snapToGrid w:val="0"/>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分项价格表</w:t>
      </w:r>
      <w:r>
        <w:rPr>
          <w:rFonts w:ascii="宋体" w:hAnsi="宋体"/>
          <w:b/>
          <w:bCs/>
          <w:color w:val="000000" w:themeColor="text1"/>
          <w:sz w:val="28"/>
          <w:szCs w:val="28"/>
          <w:highlight w:val="none"/>
          <w14:textFill>
            <w14:solidFill>
              <w14:schemeClr w14:val="tx1"/>
            </w14:solidFill>
          </w14:textFill>
        </w:rPr>
        <w:t xml:space="preserve"> </w:t>
      </w:r>
    </w:p>
    <w:p>
      <w:pPr>
        <w:spacing w:before="120" w:beforeLines="50" w:line="320" w:lineRule="exact"/>
        <w:ind w:left="437" w:leftChars="208"/>
        <w:rPr>
          <w:rFonts w:ascii="宋体" w:hAnsi="宋体"/>
          <w:b/>
          <w:i/>
          <w:color w:val="000000" w:themeColor="text1"/>
          <w:sz w:val="24"/>
          <w:highlight w:val="none"/>
          <w14:textFill>
            <w14:solidFill>
              <w14:schemeClr w14:val="tx1"/>
            </w14:solidFill>
          </w14:textFill>
        </w:rPr>
      </w:pPr>
      <w:r>
        <w:rPr>
          <w:rFonts w:hint="eastAsia" w:ascii="宋体" w:hAnsi="宋体"/>
          <w:b/>
          <w:bCs/>
          <w:i/>
          <w:color w:val="000000" w:themeColor="text1"/>
          <w:sz w:val="24"/>
          <w:highlight w:val="none"/>
          <w14:textFill>
            <w14:solidFill>
              <w14:schemeClr w14:val="tx1"/>
            </w14:solidFill>
          </w14:textFill>
        </w:rPr>
        <w:t>按磋商文件提供的工程量清单要求及格式要求报价</w:t>
      </w:r>
      <w:r>
        <w:rPr>
          <w:rFonts w:hint="eastAsia" w:ascii="宋体" w:hAnsi="宋体"/>
          <w:b/>
          <w:i/>
          <w:color w:val="000000" w:themeColor="text1"/>
          <w:sz w:val="24"/>
          <w:highlight w:val="none"/>
          <w14:textFill>
            <w14:solidFill>
              <w14:schemeClr w14:val="tx1"/>
            </w14:solidFill>
          </w14:textFill>
        </w:rPr>
        <w:t>。</w:t>
      </w:r>
    </w:p>
    <w:p>
      <w:pPr>
        <w:adjustRightInd w:val="0"/>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p>
    <w:p>
      <w:pPr>
        <w:adjustRightInd w:val="0"/>
        <w:snapToGrid w:val="0"/>
        <w:rPr>
          <w:rFonts w:ascii="宋体" w:hAnsi="宋体"/>
          <w:color w:val="000000" w:themeColor="text1"/>
          <w:highlight w:val="none"/>
          <w14:textFill>
            <w14:solidFill>
              <w14:schemeClr w14:val="tx1"/>
            </w14:solidFill>
          </w14:textFill>
        </w:rPr>
      </w:pPr>
    </w:p>
    <w:p>
      <w:pPr>
        <w:adjustRightInd w:val="0"/>
        <w:snapToGrid w:val="0"/>
        <w:rPr>
          <w:rFonts w:ascii="宋体" w:hAnsi="宋体"/>
          <w:color w:val="000000" w:themeColor="text1"/>
          <w:highlight w:val="none"/>
          <w14:textFill>
            <w14:solidFill>
              <w14:schemeClr w14:val="tx1"/>
            </w14:solidFill>
          </w14:textFill>
        </w:rPr>
      </w:pPr>
    </w:p>
    <w:p>
      <w:pPr>
        <w:adjustRightInd w:val="0"/>
        <w:snapToGrid w:val="0"/>
        <w:spacing w:line="360" w:lineRule="auto"/>
        <w:rPr>
          <w:rFonts w:ascii="宋体" w:hAnsi="宋体"/>
          <w:color w:val="000000" w:themeColor="text1"/>
          <w:highlight w:val="none"/>
          <w14:textFill>
            <w14:solidFill>
              <w14:schemeClr w14:val="tx1"/>
            </w14:solidFill>
          </w14:textFill>
        </w:rPr>
      </w:pPr>
    </w:p>
    <w:p>
      <w:pPr>
        <w:adjustRightInd w:val="0"/>
        <w:snapToGrid w:val="0"/>
        <w:spacing w:line="360" w:lineRule="auto"/>
        <w:rPr>
          <w:rFonts w:ascii="宋体" w:hAnsi="宋体"/>
          <w:color w:val="000000" w:themeColor="text1"/>
          <w:highlight w:val="none"/>
          <w14:textFill>
            <w14:solidFill>
              <w14:schemeClr w14:val="tx1"/>
            </w14:solidFill>
          </w14:textFill>
        </w:rPr>
      </w:pP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供应商（盖单位章）：</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法定代表人或其授权代表签字：</w:t>
      </w:r>
      <w:r>
        <w:rPr>
          <w:rFonts w:ascii="宋体" w:hAnsi="宋体"/>
          <w:color w:val="000000" w:themeColor="text1"/>
          <w:highlight w:val="none"/>
          <w:u w:val="single"/>
          <w14:textFill>
            <w14:solidFill>
              <w14:schemeClr w14:val="tx1"/>
            </w14:solidFill>
          </w14:textFill>
        </w:rPr>
        <w:t xml:space="preserve">       </w:t>
      </w:r>
    </w:p>
    <w:p>
      <w:pPr>
        <w:adjustRightInd w:val="0"/>
        <w:snapToGrid w:val="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p>
      <w:pPr>
        <w:pStyle w:val="4"/>
        <w:rPr>
          <w:color w:val="000000" w:themeColor="text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ind w:left="-88" w:leftChars="-42"/>
        <w:jc w:val="center"/>
        <w:rPr>
          <w:rFonts w:ascii="宋体" w:hAnsi="宋体"/>
          <w:b/>
          <w:color w:val="000000" w:themeColor="text1"/>
          <w:sz w:val="32"/>
          <w:szCs w:val="32"/>
          <w:highlight w:val="none"/>
          <w14:textFill>
            <w14:solidFill>
              <w14:schemeClr w14:val="tx1"/>
            </w14:solidFill>
          </w14:textFill>
        </w:rPr>
      </w:pPr>
    </w:p>
    <w:p>
      <w:pPr>
        <w:adjustRightInd w:val="0"/>
        <w:snapToGrid w:val="0"/>
        <w:ind w:left="-88" w:leftChars="-42"/>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七、提供享受政府采购政策优惠的证明资料和清单表</w:t>
      </w:r>
    </w:p>
    <w:p>
      <w:pPr>
        <w:adjustRightInd w:val="0"/>
        <w:snapToGrid w:val="0"/>
        <w:ind w:left="-88" w:leftChars="-42"/>
        <w:jc w:val="left"/>
        <w:rPr>
          <w:rFonts w:ascii="宋体" w:hAnsi="宋体"/>
          <w:b/>
          <w:color w:val="000000" w:themeColor="text1"/>
          <w:sz w:val="28"/>
          <w:szCs w:val="28"/>
          <w:highlight w:val="none"/>
          <w14:textFill>
            <w14:solidFill>
              <w14:schemeClr w14:val="tx1"/>
            </w14:solidFill>
          </w14:textFill>
        </w:rPr>
      </w:pPr>
    </w:p>
    <w:p>
      <w:pPr>
        <w:adjustRightInd w:val="0"/>
        <w:snapToGrid w:val="0"/>
        <w:ind w:left="-88" w:leftChars="-4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附件7-1 </w:t>
      </w:r>
    </w:p>
    <w:p>
      <w:pPr>
        <w:adjustRightInd w:val="0"/>
        <w:snapToGrid w:val="0"/>
        <w:jc w:val="center"/>
        <w:rPr>
          <w:rFonts w:ascii="宋体" w:hAnsi="宋体" w:cs="宋体"/>
          <w:color w:val="000000" w:themeColor="text1"/>
          <w:spacing w:val="6"/>
          <w:kern w:val="0"/>
          <w:sz w:val="36"/>
          <w:szCs w:val="36"/>
          <w:highlight w:val="none"/>
          <w14:textFill>
            <w14:solidFill>
              <w14:schemeClr w14:val="tx1"/>
            </w14:solidFill>
          </w14:textFill>
        </w:rPr>
      </w:pPr>
      <w:r>
        <w:rPr>
          <w:rFonts w:hint="eastAsia" w:ascii="宋体" w:hAnsi="宋体" w:cs="宋体"/>
          <w:color w:val="000000" w:themeColor="text1"/>
          <w:spacing w:val="6"/>
          <w:kern w:val="0"/>
          <w:sz w:val="36"/>
          <w:szCs w:val="36"/>
          <w:highlight w:val="none"/>
          <w14:textFill>
            <w14:solidFill>
              <w14:schemeClr w14:val="tx1"/>
            </w14:solidFill>
          </w14:textFill>
        </w:rPr>
        <w:t>中小企业声明函（工程、服务）</w:t>
      </w:r>
    </w:p>
    <w:p>
      <w:pPr>
        <w:adjustRightInd w:val="0"/>
        <w:snapToGrid w:val="0"/>
        <w:jc w:val="center"/>
        <w:rPr>
          <w:rFonts w:ascii="宋体" w:hAnsi="宋体" w:cs="宋体"/>
          <w:color w:val="000000" w:themeColor="text1"/>
          <w:spacing w:val="6"/>
          <w:kern w:val="0"/>
          <w:sz w:val="36"/>
          <w:szCs w:val="36"/>
          <w:highlight w:val="none"/>
          <w14:textFill>
            <w14:solidFill>
              <w14:schemeClr w14:val="tx1"/>
            </w14:solidFill>
          </w14:textFill>
        </w:rPr>
      </w:pP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本公司（联合体）郑重声明，根据《政府采购促进中小企业发展管理办法》（财库﹝</w:t>
      </w:r>
      <w:r>
        <w:rPr>
          <w:rFonts w:ascii="宋体" w:hAnsi="宋体"/>
          <w:color w:val="000000" w:themeColor="text1"/>
          <w:spacing w:val="6"/>
          <w:szCs w:val="21"/>
          <w:highlight w:val="none"/>
          <w14:textFill>
            <w14:solidFill>
              <w14:schemeClr w14:val="tx1"/>
            </w14:solidFill>
          </w14:textFill>
        </w:rPr>
        <w:t>2020﹞46号）的规定，本公司</w:t>
      </w:r>
      <w:r>
        <w:rPr>
          <w:rFonts w:hint="eastAsia" w:ascii="宋体" w:hAnsi="宋体"/>
          <w:color w:val="000000" w:themeColor="text1"/>
          <w:spacing w:val="6"/>
          <w:szCs w:val="21"/>
          <w:highlight w:val="none"/>
          <w:u w:val="single"/>
          <w14:textFill>
            <w14:solidFill>
              <w14:schemeClr w14:val="tx1"/>
            </w14:solidFill>
          </w14:textFill>
        </w:rPr>
        <w:t>（联合体）参加</w:t>
      </w:r>
      <w:r>
        <w:rPr>
          <w:rFonts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u w:val="single"/>
          <w14:textFill>
            <w14:solidFill>
              <w14:schemeClr w14:val="tx1"/>
            </w14:solidFill>
          </w14:textFill>
        </w:rPr>
        <w:t>（单位名称）的</w:t>
      </w:r>
      <w:r>
        <w:rPr>
          <w:rFonts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u w:val="single"/>
          <w14:textFill>
            <w14:solidFill>
              <w14:schemeClr w14:val="tx1"/>
            </w14:solidFill>
          </w14:textFill>
        </w:rPr>
        <w:t>（项目名称）</w:t>
      </w:r>
      <w:r>
        <w:rPr>
          <w:rFonts w:hint="eastAsia" w:ascii="宋体" w:hAnsi="宋体"/>
          <w:color w:val="000000" w:themeColor="text1"/>
          <w:spacing w:val="6"/>
          <w:szCs w:val="2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t xml:space="preserve">1. </w:t>
      </w:r>
      <w:r>
        <w:rPr>
          <w:rFonts w:ascii="宋体" w:hAnsi="宋体"/>
          <w:color w:val="000000" w:themeColor="text1"/>
          <w:spacing w:val="6"/>
          <w:szCs w:val="21"/>
          <w:highlight w:val="none"/>
          <w:u w:val="single"/>
          <w14:textFill>
            <w14:solidFill>
              <w14:schemeClr w14:val="tx1"/>
            </w14:solidFill>
          </w14:textFill>
        </w:rPr>
        <w:t xml:space="preserve">   （标的名称）</w:t>
      </w:r>
      <w:r>
        <w:rPr>
          <w:rFonts w:hint="eastAsia" w:ascii="宋体" w:hAnsi="宋体"/>
          <w:color w:val="000000" w:themeColor="text1"/>
          <w:spacing w:val="6"/>
          <w:szCs w:val="21"/>
          <w:highlight w:val="none"/>
          <w14:textFill>
            <w14:solidFill>
              <w14:schemeClr w14:val="tx1"/>
            </w14:solidFill>
          </w14:textFill>
        </w:rPr>
        <w:t>，属于</w:t>
      </w:r>
      <w:r>
        <w:rPr>
          <w:rFonts w:hint="eastAsia" w:ascii="宋体" w:hAnsi="宋体"/>
          <w:color w:val="000000" w:themeColor="text1"/>
          <w:spacing w:val="6"/>
          <w:szCs w:val="21"/>
          <w:highlight w:val="none"/>
          <w:u w:val="single"/>
          <w14:textFill>
            <w14:solidFill>
              <w14:schemeClr w14:val="tx1"/>
            </w14:solidFill>
          </w14:textFill>
        </w:rPr>
        <w:t>建筑业</w:t>
      </w:r>
      <w:r>
        <w:rPr>
          <w:rFonts w:hint="eastAsia" w:ascii="宋体" w:hAnsi="宋体"/>
          <w:color w:val="000000" w:themeColor="text1"/>
          <w:spacing w:val="6"/>
          <w:szCs w:val="21"/>
          <w:highlight w:val="none"/>
          <w14:textFill>
            <w14:solidFill>
              <w14:schemeClr w14:val="tx1"/>
            </w14:solidFill>
          </w14:textFill>
        </w:rPr>
        <w:t>，承建（承接）企业为（企业名称），</w:t>
      </w:r>
      <w:r>
        <w:rPr>
          <w:rFonts w:hint="eastAsia" w:ascii="宋体" w:hAnsi="宋体"/>
          <w:color w:val="000000" w:themeColor="text1"/>
          <w:spacing w:val="6"/>
          <w:szCs w:val="21"/>
          <w:highlight w:val="none"/>
          <w:u w:val="single"/>
          <w14:textFill>
            <w14:solidFill>
              <w14:schemeClr w14:val="tx1"/>
            </w14:solidFill>
          </w14:textFill>
        </w:rPr>
        <w:t>从业人员</w:t>
      </w:r>
      <w:r>
        <w:rPr>
          <w:rFonts w:ascii="宋体" w:hAnsi="宋体"/>
          <w:color w:val="000000" w:themeColor="text1"/>
          <w:spacing w:val="6"/>
          <w:szCs w:val="21"/>
          <w:highlight w:val="none"/>
          <w:u w:val="single"/>
          <w14:textFill>
            <w14:solidFill>
              <w14:schemeClr w14:val="tx1"/>
            </w14:solidFill>
          </w14:textFill>
        </w:rPr>
        <w:t xml:space="preserve">   人，营业收入为   万元，资产总额为   万元，属于     </w:t>
      </w:r>
      <w:r>
        <w:rPr>
          <w:rFonts w:hint="eastAsia" w:ascii="宋体" w:hAnsi="宋体"/>
          <w:color w:val="000000" w:themeColor="text1"/>
          <w:spacing w:val="6"/>
          <w:szCs w:val="21"/>
          <w:highlight w:val="none"/>
          <w14:textFill>
            <w14:solidFill>
              <w14:schemeClr w14:val="tx1"/>
            </w14:solidFill>
          </w14:textFill>
        </w:rPr>
        <w:t>（中型企业、小型企业、微型企业）；</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t xml:space="preserve">2. </w:t>
      </w:r>
      <w:r>
        <w:rPr>
          <w:rFonts w:ascii="宋体" w:hAnsi="宋体"/>
          <w:color w:val="000000" w:themeColor="text1"/>
          <w:spacing w:val="6"/>
          <w:szCs w:val="21"/>
          <w:highlight w:val="none"/>
          <w:u w:val="single"/>
          <w14:textFill>
            <w14:solidFill>
              <w14:schemeClr w14:val="tx1"/>
            </w14:solidFill>
          </w14:textFill>
        </w:rPr>
        <w:t xml:space="preserve">  （标的名称）</w:t>
      </w:r>
      <w:r>
        <w:rPr>
          <w:rFonts w:hint="eastAsia" w:ascii="宋体" w:hAnsi="宋体"/>
          <w:color w:val="000000" w:themeColor="text1"/>
          <w:spacing w:val="6"/>
          <w:szCs w:val="21"/>
          <w:highlight w:val="none"/>
          <w14:textFill>
            <w14:solidFill>
              <w14:schemeClr w14:val="tx1"/>
            </w14:solidFill>
          </w14:textFill>
        </w:rPr>
        <w:t>，属于</w:t>
      </w:r>
      <w:r>
        <w:rPr>
          <w:rFonts w:hint="eastAsia" w:ascii="宋体" w:hAnsi="宋体"/>
          <w:color w:val="000000" w:themeColor="text1"/>
          <w:spacing w:val="6"/>
          <w:szCs w:val="21"/>
          <w:highlight w:val="none"/>
          <w:u w:val="single"/>
          <w14:textFill>
            <w14:solidFill>
              <w14:schemeClr w14:val="tx1"/>
            </w14:solidFill>
          </w14:textFill>
        </w:rPr>
        <w:t>建筑业</w:t>
      </w:r>
      <w:r>
        <w:rPr>
          <w:rFonts w:hint="eastAsia" w:ascii="宋体" w:hAnsi="宋体"/>
          <w:color w:val="000000" w:themeColor="text1"/>
          <w:spacing w:val="6"/>
          <w:szCs w:val="21"/>
          <w:highlight w:val="none"/>
          <w14:textFill>
            <w14:solidFill>
              <w14:schemeClr w14:val="tx1"/>
            </w14:solidFill>
          </w14:textFill>
        </w:rPr>
        <w:t>，承建（承接）企业为</w:t>
      </w:r>
      <w:r>
        <w:rPr>
          <w:rFonts w:hint="eastAsia" w:ascii="宋体" w:hAnsi="宋体"/>
          <w:color w:val="000000" w:themeColor="text1"/>
          <w:spacing w:val="6"/>
          <w:szCs w:val="21"/>
          <w:highlight w:val="none"/>
          <w:u w:val="single"/>
          <w14:textFill>
            <w14:solidFill>
              <w14:schemeClr w14:val="tx1"/>
            </w14:solidFill>
          </w14:textFill>
        </w:rPr>
        <w:t xml:space="preserve">     （企业名称）</w:t>
      </w:r>
      <w:r>
        <w:rPr>
          <w:rFonts w:hint="eastAsia" w:ascii="宋体" w:hAnsi="宋体"/>
          <w:color w:val="000000" w:themeColor="text1"/>
          <w:spacing w:val="6"/>
          <w:szCs w:val="21"/>
          <w:highlight w:val="none"/>
          <w14:textFill>
            <w14:solidFill>
              <w14:schemeClr w14:val="tx1"/>
            </w14:solidFill>
          </w14:textFill>
        </w:rPr>
        <w:t>，从业人员</w:t>
      </w:r>
      <w:r>
        <w:rPr>
          <w:rFonts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人，营业收入为</w:t>
      </w:r>
      <w:r>
        <w:rPr>
          <w:rFonts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万元，资产总额为</w:t>
      </w:r>
      <w:r>
        <w:rPr>
          <w:rFonts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万元，属于</w:t>
      </w:r>
      <w:r>
        <w:rPr>
          <w:rFonts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（中型企业、小型企业、微型企业）；</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t>……</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以上企业，不属于大企业的分支机构，不存在控股股东为大企业的情形，也不存在与大企业的负责人为同一人的情形。</w:t>
      </w:r>
    </w:p>
    <w:p>
      <w:pPr>
        <w:adjustRightInd w:val="0"/>
        <w:snapToGrid w:val="0"/>
        <w:spacing w:line="360" w:lineRule="auto"/>
        <w:ind w:firstLine="446" w:firstLineChars="200"/>
        <w:rPr>
          <w:rFonts w:ascii="宋体" w:hAnsi="宋体"/>
          <w:b/>
          <w:bCs/>
          <w:color w:val="000000" w:themeColor="text1"/>
          <w:spacing w:val="6"/>
          <w:szCs w:val="21"/>
          <w:highlight w:val="none"/>
          <w14:textFill>
            <w14:solidFill>
              <w14:schemeClr w14:val="tx1"/>
            </w14:solidFill>
          </w14:textFill>
        </w:rPr>
      </w:pPr>
      <w:r>
        <w:rPr>
          <w:rFonts w:hint="eastAsia" w:ascii="宋体" w:hAnsi="宋体"/>
          <w:b/>
          <w:bCs/>
          <w:color w:val="000000" w:themeColor="text1"/>
          <w:spacing w:val="6"/>
          <w:szCs w:val="21"/>
          <w:highlight w:val="none"/>
          <w14:textFill>
            <w14:solidFill>
              <w14:schemeClr w14:val="tx1"/>
            </w14:solidFill>
          </w14:textFill>
        </w:rPr>
        <w:t>本企业对上述声明内容的真实性负责。如有虚假，将依法承担相应责任。</w:t>
      </w:r>
    </w:p>
    <w:p>
      <w:pPr>
        <w:adjustRightInd w:val="0"/>
        <w:snapToGrid w:val="0"/>
        <w:spacing w:line="360" w:lineRule="auto"/>
        <w:ind w:firstLine="443" w:firstLineChars="199"/>
        <w:rPr>
          <w:rFonts w:ascii="宋体" w:hAnsi="宋体"/>
          <w:b/>
          <w:color w:val="000000" w:themeColor="text1"/>
          <w:spacing w:val="6"/>
          <w:szCs w:val="21"/>
          <w:highlight w:val="none"/>
          <w14:textFill>
            <w14:solidFill>
              <w14:schemeClr w14:val="tx1"/>
            </w14:solidFill>
          </w14:textFill>
        </w:rPr>
      </w:pPr>
    </w:p>
    <w:p>
      <w:pPr>
        <w:adjustRightInd w:val="0"/>
        <w:snapToGrid w:val="0"/>
        <w:spacing w:line="360" w:lineRule="auto"/>
        <w:ind w:firstLine="443" w:firstLineChars="199"/>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企业名称（盖章）：</w:t>
      </w:r>
    </w:p>
    <w:p>
      <w:pPr>
        <w:adjustRightInd w:val="0"/>
        <w:snapToGrid w:val="0"/>
        <w:spacing w:line="360" w:lineRule="auto"/>
        <w:ind w:firstLine="446" w:firstLineChars="200"/>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日期：</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从业人员、营业收入、资产总额填报上一年度数据，无上一年度数据的新成立企业可不填报。</w:t>
      </w:r>
    </w:p>
    <w:p>
      <w:pPr>
        <w:pStyle w:val="108"/>
        <w:spacing w:line="320" w:lineRule="exact"/>
        <w:ind w:left="0"/>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说明：</w:t>
      </w:r>
      <w:r>
        <w:rPr>
          <w:rFonts w:asciiTheme="minorEastAsia" w:hAnsiTheme="minorEastAsia" w:eastAsiaTheme="minorEastAsia"/>
          <w:b/>
          <w:color w:val="000000" w:themeColor="text1"/>
          <w:szCs w:val="21"/>
          <w:highlight w:val="none"/>
          <w14:textFill>
            <w14:solidFill>
              <w14:schemeClr w14:val="tx1"/>
            </w14:solidFill>
          </w14:textFill>
        </w:rPr>
        <w:t xml:space="preserve">1、填写前请认真阅读《工业和信息化部、国家统计局、国家发展和改革委员会、财政部关于印发中小企业划型标准规定的通知》（工信部联企业[2011]300号）和《财政部 </w:t>
      </w:r>
      <w:r>
        <w:rPr>
          <w:rFonts w:hint="eastAsia" w:asciiTheme="minorEastAsia" w:hAnsiTheme="minorEastAsia" w:eastAsiaTheme="minorEastAsia"/>
          <w:b/>
          <w:color w:val="000000" w:themeColor="text1"/>
          <w:szCs w:val="21"/>
          <w:highlight w:val="none"/>
          <w14:textFill>
            <w14:solidFill>
              <w14:schemeClr w14:val="tx1"/>
            </w14:solidFill>
          </w14:textFill>
        </w:rPr>
        <w:t>工业和信息化部关于印发＜政府采购促进中小企业发展暂行办法＞的通知》</w:t>
      </w:r>
      <w:r>
        <w:rPr>
          <w:rFonts w:asciiTheme="minorEastAsia" w:hAnsiTheme="minorEastAsia" w:eastAsiaTheme="minorEastAsia"/>
          <w:b/>
          <w:color w:val="000000" w:themeColor="text1"/>
          <w:szCs w:val="21"/>
          <w:highlight w:val="none"/>
          <w14:textFill>
            <w14:solidFill>
              <w14:schemeClr w14:val="tx1"/>
            </w14:solidFill>
          </w14:textFill>
        </w:rPr>
        <w:t>(财库【2020】46号))相关规定。</w:t>
      </w:r>
    </w:p>
    <w:p>
      <w:pPr>
        <w:widowControl/>
        <w:snapToGrid w:val="0"/>
        <w:spacing w:line="320" w:lineRule="exact"/>
        <w:jc w:val="left"/>
        <w:rPr>
          <w:rFonts w:asciiTheme="minorEastAsia" w:hAnsiTheme="minorEastAsia" w:eastAsiaTheme="minorEastAsia"/>
          <w:b/>
          <w:color w:val="000000" w:themeColor="text1"/>
          <w:spacing w:val="6"/>
          <w:szCs w:val="21"/>
          <w:highlight w:val="none"/>
          <w14:textFill>
            <w14:solidFill>
              <w14:schemeClr w14:val="tx1"/>
            </w14:solidFill>
          </w14:textFill>
        </w:rPr>
      </w:pPr>
      <w:r>
        <w:rPr>
          <w:rFonts w:asciiTheme="minorEastAsia" w:hAnsiTheme="minorEastAsia" w:eastAsiaTheme="minorEastAsia"/>
          <w:b/>
          <w:color w:val="000000" w:themeColor="text1"/>
          <w:spacing w:val="6"/>
          <w:szCs w:val="21"/>
          <w:highlight w:val="none"/>
          <w14:textFill>
            <w14:solidFill>
              <w14:schemeClr w14:val="tx1"/>
            </w14:solidFill>
          </w14:textFill>
        </w:rPr>
        <w:t>2、从业人员、营业收入、资产总额填报上一年度数据，无上一年度数据的新成立企业可不填报。</w:t>
      </w:r>
    </w:p>
    <w:p>
      <w:pPr>
        <w:pStyle w:val="108"/>
        <w:spacing w:line="320" w:lineRule="exact"/>
        <w:ind w:left="0"/>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3、未按上述要求提供、填写的，评审时不予以考虑。</w:t>
      </w:r>
    </w:p>
    <w:p>
      <w:pPr>
        <w:adjustRightInd w:val="0"/>
        <w:snapToGrid w:val="0"/>
        <w:ind w:left="-88" w:leftChars="-42"/>
        <w:jc w:val="lef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br w:type="page"/>
      </w:r>
    </w:p>
    <w:p>
      <w:pPr>
        <w:adjustRightInd w:val="0"/>
        <w:snapToGrid w:val="0"/>
        <w:ind w:left="-88" w:leftChars="-42"/>
        <w:jc w:val="left"/>
        <w:rPr>
          <w:rFonts w:ascii="宋体" w:hAnsi="宋体"/>
          <w:b/>
          <w:bCs/>
          <w:color w:val="000000" w:themeColor="text1"/>
          <w:sz w:val="28"/>
          <w:szCs w:val="28"/>
          <w:highlight w:val="none"/>
          <w14:textFill>
            <w14:solidFill>
              <w14:schemeClr w14:val="tx1"/>
            </w14:solidFill>
          </w14:textFill>
        </w:rPr>
      </w:pPr>
    </w:p>
    <w:p>
      <w:pPr>
        <w:adjustRightInd w:val="0"/>
        <w:snapToGrid w:val="0"/>
        <w:ind w:left="-88" w:leftChars="-42"/>
        <w:jc w:val="left"/>
        <w:rPr>
          <w:rFonts w:ascii="宋体" w:hAnsi="宋体"/>
          <w:b/>
          <w:bCs/>
          <w:color w:val="000000" w:themeColor="text1"/>
          <w:sz w:val="28"/>
          <w:szCs w:val="28"/>
          <w:highlight w:val="none"/>
          <w14:textFill>
            <w14:solidFill>
              <w14:schemeClr w14:val="tx1"/>
            </w14:solidFill>
          </w14:textFill>
        </w:rPr>
      </w:pPr>
    </w:p>
    <w:p>
      <w:pPr>
        <w:adjustRightInd w:val="0"/>
        <w:snapToGrid w:val="0"/>
        <w:ind w:left="-88" w:leftChars="-4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附7-2：残疾人福利性单位声明函</w:t>
      </w:r>
    </w:p>
    <w:p>
      <w:pPr>
        <w:pStyle w:val="2"/>
        <w:rPr>
          <w:color w:val="000000" w:themeColor="text1"/>
          <w:highlight w:val="none"/>
          <w14:textFill>
            <w14:solidFill>
              <w14:schemeClr w14:val="tx1"/>
            </w14:solidFill>
          </w14:textFill>
        </w:rPr>
      </w:pPr>
    </w:p>
    <w:p>
      <w:pPr>
        <w:adjustRightInd w:val="0"/>
        <w:snapToGrid w:val="0"/>
        <w:ind w:left="-88" w:leftChars="-42"/>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(不属于残疾人福利性单位的无需填写)</w:t>
      </w:r>
    </w:p>
    <w:p>
      <w:pPr>
        <w:adjustRightInd w:val="0"/>
        <w:snapToGrid w:val="0"/>
        <w:ind w:firstLine="444" w:firstLineChars="200"/>
        <w:rPr>
          <w:rFonts w:ascii="宋体" w:hAnsi="宋体"/>
          <w:color w:val="000000" w:themeColor="text1"/>
          <w:spacing w:val="6"/>
          <w:szCs w:val="21"/>
          <w:highlight w:val="none"/>
          <w14:textFill>
            <w14:solidFill>
              <w14:schemeClr w14:val="tx1"/>
            </w14:solidFill>
          </w14:textFill>
        </w:rPr>
      </w:pP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〔2017〕141</w:t>
      </w:r>
      <w:r>
        <w:rPr>
          <w:rFonts w:hint="eastAsia" w:ascii="宋体" w:hAnsi="宋体"/>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本单位对上述声明的真实性负责。如有虚假，将依法承担相应责任。</w:t>
      </w: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pP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单位名称（盖章）：</w:t>
      </w:r>
    </w:p>
    <w:p>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日  期：</w:t>
      </w:r>
    </w:p>
    <w:p>
      <w:pPr>
        <w:widowControl/>
        <w:jc w:val="left"/>
        <w:rPr>
          <w:rFonts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br w:type="page"/>
      </w:r>
    </w:p>
    <w:p>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p>
    <w:p>
      <w:pPr>
        <w:widowControl/>
        <w:adjustRightInd w:val="0"/>
        <w:snapToGrid w:val="0"/>
        <w:spacing w:line="360" w:lineRule="auto"/>
        <w:jc w:val="left"/>
        <w:rPr>
          <w:rFonts w:ascii="宋体" w:hAnsi="宋体" w:cs="宋体"/>
          <w:color w:val="000000" w:themeColor="text1"/>
          <w:kern w:val="0"/>
          <w:szCs w:val="21"/>
          <w:highlight w:val="none"/>
          <w14:textFill>
            <w14:solidFill>
              <w14:schemeClr w14:val="tx1"/>
            </w14:solidFill>
          </w14:textFill>
        </w:rPr>
      </w:pPr>
    </w:p>
    <w:p>
      <w:pPr>
        <w:adjustRightInd w:val="0"/>
        <w:snapToGrid w:val="0"/>
        <w:ind w:left="-88" w:leftChars="-4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附7-3：监狱企业证明资料</w:t>
      </w:r>
    </w:p>
    <w:p>
      <w:pPr>
        <w:pStyle w:val="2"/>
        <w:rPr>
          <w:color w:val="000000" w:themeColor="text1"/>
          <w:highlight w:val="none"/>
          <w14:textFill>
            <w14:solidFill>
              <w14:schemeClr w14:val="tx1"/>
            </w14:solidFill>
          </w14:textFill>
        </w:rPr>
      </w:pPr>
    </w:p>
    <w:p>
      <w:pPr>
        <w:adjustRightInd w:val="0"/>
        <w:snapToGrid w:val="0"/>
        <w:jc w:val="center"/>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(不属于监狱企业的无需提供)</w:t>
      </w: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ind w:firstLine="444" w:firstLineChars="200"/>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pacing w:val="6"/>
          <w:kern w:val="0"/>
          <w:szCs w:val="2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按</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财政部 司法部关于政府采购支持监狱企业发展有关问题的通知</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(财库〔2014〕68号)文件规定提供证明文件（复印件）。</w:t>
      </w:r>
    </w:p>
    <w:p>
      <w:pP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pPr>
        <w:adjustRightInd w:val="0"/>
        <w:snapToGrid w:val="0"/>
        <w:spacing w:before="50" w:line="360" w:lineRule="auto"/>
        <w:jc w:val="center"/>
        <w:rPr>
          <w:rFonts w:ascii="宋体" w:hAnsi="宋体"/>
          <w:b/>
          <w:bCs/>
          <w:color w:val="000000" w:themeColor="text1"/>
          <w:sz w:val="28"/>
          <w:szCs w:val="28"/>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ind w:left="-88" w:leftChars="-4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附件7-4</w:t>
      </w:r>
    </w:p>
    <w:p>
      <w:pPr>
        <w:adjustRightInd w:val="0"/>
        <w:snapToGrid w:val="0"/>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提供中小企业货物清单表</w:t>
      </w:r>
    </w:p>
    <w:p>
      <w:pPr>
        <w:pStyle w:val="47"/>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采购代理编号：</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                          </w:t>
      </w:r>
    </w:p>
    <w:tbl>
      <w:tblPr>
        <w:tblStyle w:val="9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134"/>
        <w:gridCol w:w="709"/>
        <w:gridCol w:w="850"/>
        <w:gridCol w:w="709"/>
        <w:gridCol w:w="1134"/>
        <w:gridCol w:w="2552"/>
        <w:gridCol w:w="113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8931" w:type="dxa"/>
            <w:gridSpan w:val="8"/>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本公司对本表的真实性负责。如有虚假，将依法承担相应责任。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w:t>
            </w:r>
          </w:p>
        </w:tc>
        <w:tc>
          <w:tcPr>
            <w:tcW w:w="113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w:t>
            </w:r>
          </w:p>
        </w:tc>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w:t>
            </w:r>
          </w:p>
        </w:tc>
        <w:tc>
          <w:tcPr>
            <w:tcW w:w="850"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w:t>
            </w:r>
          </w:p>
        </w:tc>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w:t>
            </w:r>
          </w:p>
        </w:tc>
        <w:tc>
          <w:tcPr>
            <w:tcW w:w="113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w:t>
            </w:r>
          </w:p>
        </w:tc>
        <w:tc>
          <w:tcPr>
            <w:tcW w:w="2552"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w:t>
            </w:r>
          </w:p>
        </w:tc>
        <w:tc>
          <w:tcPr>
            <w:tcW w:w="113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jc w:val="center"/>
        </w:trPr>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序号</w:t>
            </w:r>
          </w:p>
        </w:tc>
        <w:tc>
          <w:tcPr>
            <w:tcW w:w="113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货物名称</w:t>
            </w:r>
          </w:p>
        </w:tc>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数量</w:t>
            </w:r>
          </w:p>
        </w:tc>
        <w:tc>
          <w:tcPr>
            <w:tcW w:w="850"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单价</w:t>
            </w:r>
          </w:p>
        </w:tc>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总额</w:t>
            </w:r>
          </w:p>
        </w:tc>
        <w:tc>
          <w:tcPr>
            <w:tcW w:w="113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货物制造商名称</w:t>
            </w:r>
          </w:p>
        </w:tc>
        <w:tc>
          <w:tcPr>
            <w:tcW w:w="2552"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货物制造商类型</w:t>
            </w:r>
          </w:p>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(填写中型或小型、微型)</w:t>
            </w:r>
          </w:p>
        </w:tc>
        <w:tc>
          <w:tcPr>
            <w:tcW w:w="113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商标名称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8931" w:type="dxa"/>
            <w:gridSpan w:val="8"/>
            <w:vAlign w:val="center"/>
          </w:tcPr>
          <w:p>
            <w:pPr>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中型</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left"/>
              <w:rPr>
                <w:rFonts w:ascii="宋体" w:hAnsi="宋体"/>
                <w:color w:val="000000" w:themeColor="text1"/>
                <w:szCs w:val="21"/>
                <w:highlight w:val="none"/>
                <w14:textFill>
                  <w14:solidFill>
                    <w14:schemeClr w14:val="tx1"/>
                  </w14:solidFill>
                </w14:textFill>
              </w:rPr>
            </w:pPr>
          </w:p>
        </w:tc>
        <w:tc>
          <w:tcPr>
            <w:tcW w:w="2552" w:type="dxa"/>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left"/>
              <w:rPr>
                <w:rFonts w:ascii="宋体" w:hAnsi="宋体"/>
                <w:color w:val="000000" w:themeColor="text1"/>
                <w:szCs w:val="21"/>
                <w:highlight w:val="none"/>
                <w14:textFill>
                  <w14:solidFill>
                    <w14:schemeClr w14:val="tx1"/>
                  </w14:solidFill>
                </w14:textFill>
              </w:rPr>
            </w:pPr>
          </w:p>
        </w:tc>
        <w:tc>
          <w:tcPr>
            <w:tcW w:w="2552" w:type="dxa"/>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left"/>
              <w:rPr>
                <w:rFonts w:ascii="宋体" w:hAnsi="宋体"/>
                <w:color w:val="000000" w:themeColor="text1"/>
                <w:szCs w:val="21"/>
                <w:highlight w:val="none"/>
                <w14:textFill>
                  <w14:solidFill>
                    <w14:schemeClr w14:val="tx1"/>
                  </w14:solidFill>
                </w14:textFill>
              </w:rPr>
            </w:pPr>
          </w:p>
        </w:tc>
        <w:tc>
          <w:tcPr>
            <w:tcW w:w="2552" w:type="dxa"/>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8931" w:type="dxa"/>
            <w:gridSpan w:val="8"/>
            <w:vAlign w:val="center"/>
          </w:tcPr>
          <w:p>
            <w:pPr>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小型、微型</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2552" w:type="dxa"/>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2552" w:type="dxa"/>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709"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c>
          <w:tcPr>
            <w:tcW w:w="2552" w:type="dxa"/>
          </w:tcPr>
          <w:p>
            <w:pPr>
              <w:jc w:val="center"/>
              <w:rPr>
                <w:rFonts w:ascii="宋体" w:hAnsi="宋体"/>
                <w:color w:val="000000" w:themeColor="text1"/>
                <w:szCs w:val="21"/>
                <w:highlight w:val="none"/>
                <w14:textFill>
                  <w14:solidFill>
                    <w14:schemeClr w14:val="tx1"/>
                  </w14:solidFill>
                </w14:textFill>
              </w:rPr>
            </w:pPr>
          </w:p>
        </w:tc>
        <w:tc>
          <w:tcPr>
            <w:tcW w:w="1134" w:type="dxa"/>
            <w:vAlign w:val="center"/>
          </w:tcPr>
          <w:p>
            <w:pPr>
              <w:jc w:val="center"/>
              <w:rPr>
                <w:rFonts w:ascii="宋体" w:hAnsi="宋体"/>
                <w:color w:val="000000" w:themeColor="text1"/>
                <w:szCs w:val="21"/>
                <w:highlight w:val="none"/>
                <w14:textFill>
                  <w14:solidFill>
                    <w14:schemeClr w14:val="tx1"/>
                  </w14:solidFill>
                </w14:textFill>
              </w:rPr>
            </w:pPr>
          </w:p>
        </w:tc>
      </w:tr>
    </w:tbl>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1、本表用于计算中小企业应享受的政策功能价格扣除。</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2、栏目4“单价”为综合单价，包含货物所有隐含的内容，如运输费、保险费、管理费和利润等。</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3、未提供《中小企业声明函》及未按上述要求填写的，评审时本表所有优惠不予以考虑。</w:t>
      </w:r>
    </w:p>
    <w:p>
      <w:pPr>
        <w:ind w:firstLine="630" w:firstLineChars="300"/>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名称（盖单位章）：</w:t>
      </w:r>
    </w:p>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代表（签字）：</w:t>
      </w:r>
      <w:r>
        <w:rPr>
          <w:rFonts w:hint="eastAsia" w:ascii="宋体" w:hAnsi="宋体"/>
          <w:color w:val="000000" w:themeColor="text1"/>
          <w:szCs w:val="21"/>
          <w:highlight w:val="none"/>
          <w:u w:val="single"/>
          <w14:textFill>
            <w14:solidFill>
              <w14:schemeClr w14:val="tx1"/>
            </w14:solidFill>
          </w14:textFill>
        </w:rPr>
        <w:t xml:space="preserve">       </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adjustRightInd w:val="0"/>
        <w:snapToGrid w:val="0"/>
        <w:spacing w:before="50" w:line="360" w:lineRule="auto"/>
        <w:rPr>
          <w:rFonts w:ascii="宋体" w:hAnsi="宋体"/>
          <w:color w:val="000000" w:themeColor="text1"/>
          <w:szCs w:val="2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adjustRightInd w:val="0"/>
        <w:snapToGrid w:val="0"/>
        <w:spacing w:before="50"/>
        <w:rPr>
          <w:rFonts w:ascii="宋体" w:hAnsi="宋体" w:cs="宋体"/>
          <w:bCs/>
          <w:color w:val="000000" w:themeColor="text1"/>
          <w:spacing w:val="6"/>
          <w:kern w:val="0"/>
          <w:sz w:val="30"/>
          <w:szCs w:val="30"/>
          <w:highlight w:val="none"/>
          <w14:textFill>
            <w14:solidFill>
              <w14:schemeClr w14:val="tx1"/>
            </w14:solidFill>
          </w14:textFill>
        </w:rPr>
      </w:pPr>
    </w:p>
    <w:p>
      <w:pPr>
        <w:adjustRightInd w:val="0"/>
        <w:snapToGrid w:val="0"/>
        <w:spacing w:before="50"/>
        <w:rPr>
          <w:rFonts w:ascii="宋体" w:hAnsi="宋体" w:cs="宋体"/>
          <w:bCs/>
          <w:color w:val="000000" w:themeColor="text1"/>
          <w:spacing w:val="6"/>
          <w:kern w:val="0"/>
          <w:sz w:val="30"/>
          <w:szCs w:val="30"/>
          <w:highlight w:val="none"/>
          <w14:textFill>
            <w14:solidFill>
              <w14:schemeClr w14:val="tx1"/>
            </w14:solidFill>
          </w14:textFill>
        </w:rPr>
      </w:pPr>
      <w:r>
        <w:rPr>
          <w:rFonts w:hint="eastAsia" w:ascii="宋体" w:hAnsi="宋体" w:cs="宋体"/>
          <w:bCs/>
          <w:color w:val="000000" w:themeColor="text1"/>
          <w:spacing w:val="6"/>
          <w:kern w:val="0"/>
          <w:sz w:val="30"/>
          <w:szCs w:val="30"/>
          <w:highlight w:val="none"/>
          <w14:textFill>
            <w14:solidFill>
              <w14:schemeClr w14:val="tx1"/>
            </w14:solidFill>
          </w14:textFill>
        </w:rPr>
        <w:t xml:space="preserve">附件7-5  </w:t>
      </w:r>
    </w:p>
    <w:p>
      <w:pPr>
        <w:adjustRightInd w:val="0"/>
        <w:snapToGrid w:val="0"/>
        <w:spacing w:before="50"/>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节能产品、环境标志产品、两型产品的证明材料</w:t>
      </w:r>
    </w:p>
    <w:p>
      <w:pPr>
        <w:spacing w:line="480" w:lineRule="exact"/>
        <w:rPr>
          <w:rFonts w:ascii="宋体" w:hAnsi="宋体"/>
          <w:color w:val="000000" w:themeColor="text1"/>
          <w:sz w:val="24"/>
          <w:highlight w:val="none"/>
          <w14:textFill>
            <w14:solidFill>
              <w14:schemeClr w14:val="tx1"/>
            </w14:solidFill>
          </w14:textFill>
        </w:rPr>
      </w:pP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提供的产品属于强制采购或者优先采购的，应按第二章第9.1款或者第9.2款规定提供产品列入《节能产品政府采购清单》、《环境标志产品政府采购清单》或《湖南省两型产品政府采购目录》所在页或证书复印件（该页包含制造商或企业名称或申请单位名称、规格型号、有效截止日期等内容），并加盖供应商单位章。在本章附7-6《提供节能产品、环境标志产品、两型产品清单》中提供相应数据。</w:t>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2、未按上述要求提供的，评审时不予以考虑。</w:t>
      </w:r>
    </w:p>
    <w:p>
      <w:pPr>
        <w:adjustRightInd w:val="0"/>
        <w:snapToGrid w:val="0"/>
        <w:spacing w:line="360" w:lineRule="auto"/>
        <w:ind w:firstLine="422" w:firstLineChars="200"/>
        <w:rPr>
          <w:rFonts w:ascii="宋体" w:hAnsi="宋体"/>
          <w:b/>
          <w:color w:val="000000" w:themeColor="text1"/>
          <w:szCs w:val="21"/>
          <w:highlight w:val="none"/>
          <w14:textFill>
            <w14:solidFill>
              <w14:schemeClr w14:val="tx1"/>
            </w14:solidFill>
          </w14:textFill>
        </w:rPr>
      </w:pPr>
    </w:p>
    <w:p>
      <w:pPr>
        <w:adjustRightInd w:val="0"/>
        <w:snapToGrid w:val="0"/>
        <w:spacing w:line="360" w:lineRule="auto"/>
        <w:rPr>
          <w:rFonts w:ascii="宋体" w:hAnsi="宋体"/>
          <w:color w:val="000000" w:themeColor="text1"/>
          <w:szCs w:val="21"/>
          <w:highlight w:val="none"/>
          <w14:textFill>
            <w14:solidFill>
              <w14:schemeClr w14:val="tx1"/>
            </w14:solidFill>
          </w14:textFill>
        </w:rPr>
      </w:pPr>
    </w:p>
    <w:p>
      <w:pPr>
        <w:adjustRightInd w:val="0"/>
        <w:snapToGrid w:val="0"/>
        <w:spacing w:before="50" w:line="360" w:lineRule="auto"/>
        <w:rPr>
          <w:rFonts w:ascii="宋体" w:hAnsi="宋体"/>
          <w:color w:val="000000" w:themeColor="text1"/>
          <w:szCs w:val="21"/>
          <w:highlight w:val="none"/>
          <w14:textFill>
            <w14:solidFill>
              <w14:schemeClr w14:val="tx1"/>
            </w14:solidFill>
          </w14:textFill>
        </w:rPr>
      </w:pPr>
    </w:p>
    <w:p>
      <w:pPr>
        <w:adjustRightInd w:val="0"/>
        <w:snapToGrid w:val="0"/>
        <w:spacing w:before="50" w:line="360" w:lineRule="auto"/>
        <w:rPr>
          <w:rFonts w:ascii="宋体" w:hAnsi="宋体"/>
          <w:color w:val="000000" w:themeColor="text1"/>
          <w:szCs w:val="21"/>
          <w:highlight w:val="none"/>
          <w14:textFill>
            <w14:solidFill>
              <w14:schemeClr w14:val="tx1"/>
            </w14:solidFill>
          </w14:textFill>
        </w:rPr>
      </w:pPr>
    </w:p>
    <w:p>
      <w:pPr>
        <w:adjustRightInd w:val="0"/>
        <w:snapToGrid w:val="0"/>
        <w:spacing w:before="50" w:line="360" w:lineRule="auto"/>
        <w:rPr>
          <w:rFonts w:ascii="宋体" w:hAnsi="宋体"/>
          <w:color w:val="000000" w:themeColor="text1"/>
          <w:szCs w:val="21"/>
          <w:highlight w:val="none"/>
          <w14:textFill>
            <w14:solidFill>
              <w14:schemeClr w14:val="tx1"/>
            </w14:solidFill>
          </w14:textFill>
        </w:rPr>
      </w:pP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pPr>
        <w:adjustRightInd w:val="0"/>
        <w:snapToGrid w:val="0"/>
        <w:spacing w:before="50"/>
        <w:rPr>
          <w:rFonts w:ascii="宋体" w:hAnsi="宋体"/>
          <w:color w:val="000000" w:themeColor="text1"/>
          <w:sz w:val="30"/>
          <w:szCs w:val="30"/>
          <w:highlight w:val="none"/>
          <w14:textFill>
            <w14:solidFill>
              <w14:schemeClr w14:val="tx1"/>
            </w14:solidFill>
          </w14:textFill>
        </w:rPr>
      </w:pPr>
    </w:p>
    <w:p>
      <w:pPr>
        <w:adjustRightInd w:val="0"/>
        <w:snapToGrid w:val="0"/>
        <w:spacing w:before="50"/>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附件7-6</w:t>
      </w:r>
    </w:p>
    <w:p>
      <w:pPr>
        <w:adjustRightInd w:val="0"/>
        <w:snapToGrid w:val="0"/>
        <w:spacing w:before="50"/>
        <w:jc w:val="center"/>
        <w:rPr>
          <w:rFonts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提供节能产品、环境标志产品、两型产品清单</w:t>
      </w:r>
    </w:p>
    <w:p>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p>
    <w:p>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采购代理编号： </w:t>
      </w:r>
    </w:p>
    <w:tbl>
      <w:tblPr>
        <w:tblStyle w:val="9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709"/>
        <w:gridCol w:w="850"/>
        <w:gridCol w:w="993"/>
        <w:gridCol w:w="1984"/>
        <w:gridCol w:w="184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8789" w:type="dxa"/>
            <w:gridSpan w:val="7"/>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本公司对本表的真实性负责。如有虚假，将依法承担相应责任。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671"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w:t>
            </w:r>
          </w:p>
        </w:tc>
        <w:tc>
          <w:tcPr>
            <w:tcW w:w="173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w:t>
            </w:r>
          </w:p>
        </w:tc>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w:t>
            </w:r>
          </w:p>
        </w:tc>
        <w:tc>
          <w:tcPr>
            <w:tcW w:w="850"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w:t>
            </w:r>
          </w:p>
        </w:tc>
        <w:tc>
          <w:tcPr>
            <w:tcW w:w="993"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w:t>
            </w:r>
          </w:p>
        </w:tc>
        <w:tc>
          <w:tcPr>
            <w:tcW w:w="198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w:t>
            </w:r>
          </w:p>
        </w:tc>
        <w:tc>
          <w:tcPr>
            <w:tcW w:w="1843"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671"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序号</w:t>
            </w:r>
          </w:p>
        </w:tc>
        <w:tc>
          <w:tcPr>
            <w:tcW w:w="173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货物名称</w:t>
            </w:r>
          </w:p>
        </w:tc>
        <w:tc>
          <w:tcPr>
            <w:tcW w:w="709"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数量</w:t>
            </w:r>
          </w:p>
        </w:tc>
        <w:tc>
          <w:tcPr>
            <w:tcW w:w="850"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单价</w:t>
            </w:r>
          </w:p>
        </w:tc>
        <w:tc>
          <w:tcPr>
            <w:tcW w:w="993"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总额</w:t>
            </w:r>
          </w:p>
        </w:tc>
        <w:tc>
          <w:tcPr>
            <w:tcW w:w="1984"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货物制造商名称</w:t>
            </w:r>
          </w:p>
        </w:tc>
        <w:tc>
          <w:tcPr>
            <w:tcW w:w="1843" w:type="dxa"/>
            <w:vAlign w:val="center"/>
          </w:tcPr>
          <w:p>
            <w:pPr>
              <w:widowControl/>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政策功能编码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789" w:type="dxa"/>
            <w:gridSpan w:val="7"/>
            <w:vAlign w:val="center"/>
          </w:tcPr>
          <w:p>
            <w:pPr>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vAlign w:val="center"/>
          </w:tcPr>
          <w:p>
            <w:pPr>
              <w:jc w:val="center"/>
              <w:rPr>
                <w:rFonts w:ascii="宋体" w:hAnsi="宋体"/>
                <w:b/>
                <w:color w:val="000000" w:themeColor="text1"/>
                <w:szCs w:val="21"/>
                <w:highlight w:val="none"/>
                <w14:textFill>
                  <w14:solidFill>
                    <w14:schemeClr w14:val="tx1"/>
                  </w14:solidFill>
                </w14:textFill>
              </w:rPr>
            </w:pPr>
          </w:p>
        </w:tc>
        <w:tc>
          <w:tcPr>
            <w:tcW w:w="1739" w:type="dxa"/>
            <w:vAlign w:val="center"/>
          </w:tcPr>
          <w:p>
            <w:pPr>
              <w:jc w:val="center"/>
              <w:rPr>
                <w:rFonts w:ascii="宋体" w:hAnsi="宋体"/>
                <w:b/>
                <w:color w:val="000000" w:themeColor="text1"/>
                <w:szCs w:val="21"/>
                <w:highlight w:val="none"/>
                <w14:textFill>
                  <w14:solidFill>
                    <w14:schemeClr w14:val="tx1"/>
                  </w14:solidFill>
                </w14:textFill>
              </w:rPr>
            </w:pPr>
          </w:p>
        </w:tc>
        <w:tc>
          <w:tcPr>
            <w:tcW w:w="709" w:type="dxa"/>
            <w:vAlign w:val="center"/>
          </w:tcPr>
          <w:p>
            <w:pPr>
              <w:jc w:val="center"/>
              <w:rPr>
                <w:rFonts w:ascii="宋体" w:hAnsi="宋体"/>
                <w:b/>
                <w:color w:val="000000" w:themeColor="text1"/>
                <w:szCs w:val="21"/>
                <w:highlight w:val="none"/>
                <w14:textFill>
                  <w14:solidFill>
                    <w14:schemeClr w14:val="tx1"/>
                  </w14:solidFill>
                </w14:textFill>
              </w:rPr>
            </w:pPr>
          </w:p>
        </w:tc>
        <w:tc>
          <w:tcPr>
            <w:tcW w:w="850" w:type="dxa"/>
            <w:vAlign w:val="center"/>
          </w:tcPr>
          <w:p>
            <w:pPr>
              <w:jc w:val="center"/>
              <w:rPr>
                <w:rFonts w:ascii="宋体" w:hAnsi="宋体"/>
                <w:b/>
                <w:color w:val="000000" w:themeColor="text1"/>
                <w:szCs w:val="21"/>
                <w:highlight w:val="none"/>
                <w14:textFill>
                  <w14:solidFill>
                    <w14:schemeClr w14:val="tx1"/>
                  </w14:solidFill>
                </w14:textFill>
              </w:rPr>
            </w:pPr>
          </w:p>
        </w:tc>
        <w:tc>
          <w:tcPr>
            <w:tcW w:w="993" w:type="dxa"/>
            <w:vAlign w:val="center"/>
          </w:tcPr>
          <w:p>
            <w:pPr>
              <w:jc w:val="left"/>
              <w:rPr>
                <w:rFonts w:ascii="宋体" w:hAnsi="宋体"/>
                <w:b/>
                <w:color w:val="000000" w:themeColor="text1"/>
                <w:szCs w:val="21"/>
                <w:highlight w:val="none"/>
                <w14:textFill>
                  <w14:solidFill>
                    <w14:schemeClr w14:val="tx1"/>
                  </w14:solidFill>
                </w14:textFill>
              </w:rPr>
            </w:pPr>
          </w:p>
        </w:tc>
        <w:tc>
          <w:tcPr>
            <w:tcW w:w="1984" w:type="dxa"/>
            <w:vAlign w:val="center"/>
          </w:tcPr>
          <w:p>
            <w:pPr>
              <w:jc w:val="center"/>
              <w:rPr>
                <w:rFonts w:ascii="宋体" w:hAnsi="宋体"/>
                <w:b/>
                <w:color w:val="000000" w:themeColor="text1"/>
                <w:szCs w:val="21"/>
                <w:highlight w:val="none"/>
                <w14:textFill>
                  <w14:solidFill>
                    <w14:schemeClr w14:val="tx1"/>
                  </w14:solidFill>
                </w14:textFill>
              </w:rPr>
            </w:pPr>
          </w:p>
        </w:tc>
        <w:tc>
          <w:tcPr>
            <w:tcW w:w="1843" w:type="dxa"/>
          </w:tcPr>
          <w:p>
            <w:pPr>
              <w:jc w:val="center"/>
              <w:rPr>
                <w:rFonts w:ascii="宋体" w:hAnsi="宋体"/>
                <w:b/>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739" w:type="dxa"/>
            <w:vAlign w:val="center"/>
          </w:tcPr>
          <w:p>
            <w:pPr>
              <w:jc w:val="center"/>
              <w:rPr>
                <w:rFonts w:ascii="宋体" w:hAnsi="宋体"/>
                <w:b/>
                <w:color w:val="000000" w:themeColor="text1"/>
                <w:szCs w:val="21"/>
                <w:highlight w:val="none"/>
                <w14:textFill>
                  <w14:solidFill>
                    <w14:schemeClr w14:val="tx1"/>
                  </w14:solidFill>
                </w14:textFill>
              </w:rPr>
            </w:pPr>
          </w:p>
        </w:tc>
        <w:tc>
          <w:tcPr>
            <w:tcW w:w="709" w:type="dxa"/>
            <w:vAlign w:val="center"/>
          </w:tcPr>
          <w:p>
            <w:pPr>
              <w:jc w:val="center"/>
              <w:rPr>
                <w:rFonts w:ascii="宋体" w:hAnsi="宋体"/>
                <w:b/>
                <w:color w:val="000000" w:themeColor="text1"/>
                <w:szCs w:val="21"/>
                <w:highlight w:val="none"/>
                <w14:textFill>
                  <w14:solidFill>
                    <w14:schemeClr w14:val="tx1"/>
                  </w14:solidFill>
                </w14:textFill>
              </w:rPr>
            </w:pPr>
          </w:p>
        </w:tc>
        <w:tc>
          <w:tcPr>
            <w:tcW w:w="850" w:type="dxa"/>
            <w:vAlign w:val="center"/>
          </w:tcPr>
          <w:p>
            <w:pPr>
              <w:jc w:val="center"/>
              <w:rPr>
                <w:rFonts w:ascii="宋体" w:hAnsi="宋体"/>
                <w:b/>
                <w:color w:val="000000" w:themeColor="text1"/>
                <w:szCs w:val="21"/>
                <w:highlight w:val="none"/>
                <w14:textFill>
                  <w14:solidFill>
                    <w14:schemeClr w14:val="tx1"/>
                  </w14:solidFill>
                </w14:textFill>
              </w:rPr>
            </w:pPr>
          </w:p>
        </w:tc>
        <w:tc>
          <w:tcPr>
            <w:tcW w:w="993" w:type="dxa"/>
            <w:vAlign w:val="center"/>
          </w:tcPr>
          <w:p>
            <w:pPr>
              <w:jc w:val="left"/>
              <w:rPr>
                <w:rFonts w:ascii="宋体" w:hAnsi="宋体"/>
                <w:b/>
                <w:color w:val="000000" w:themeColor="text1"/>
                <w:szCs w:val="21"/>
                <w:highlight w:val="none"/>
                <w14:textFill>
                  <w14:solidFill>
                    <w14:schemeClr w14:val="tx1"/>
                  </w14:solidFill>
                </w14:textFill>
              </w:rPr>
            </w:pPr>
          </w:p>
        </w:tc>
        <w:tc>
          <w:tcPr>
            <w:tcW w:w="1984" w:type="dxa"/>
            <w:vAlign w:val="center"/>
          </w:tcPr>
          <w:p>
            <w:pPr>
              <w:jc w:val="center"/>
              <w:rPr>
                <w:rFonts w:ascii="宋体" w:hAnsi="宋体"/>
                <w:b/>
                <w:color w:val="000000" w:themeColor="text1"/>
                <w:szCs w:val="21"/>
                <w:highlight w:val="none"/>
                <w14:textFill>
                  <w14:solidFill>
                    <w14:schemeClr w14:val="tx1"/>
                  </w14:solidFill>
                </w14:textFill>
              </w:rPr>
            </w:pPr>
          </w:p>
        </w:tc>
        <w:tc>
          <w:tcPr>
            <w:tcW w:w="1843" w:type="dxa"/>
          </w:tcPr>
          <w:p>
            <w:pPr>
              <w:jc w:val="center"/>
              <w:rPr>
                <w:rFonts w:ascii="宋体" w:hAnsi="宋体"/>
                <w:b/>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789" w:type="dxa"/>
            <w:gridSpan w:val="7"/>
            <w:vAlign w:val="center"/>
          </w:tcPr>
          <w:p>
            <w:pPr>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vAlign w:val="center"/>
          </w:tcPr>
          <w:p>
            <w:pPr>
              <w:jc w:val="center"/>
              <w:rPr>
                <w:rFonts w:ascii="宋体" w:hAnsi="宋体"/>
                <w:b/>
                <w:color w:val="000000" w:themeColor="text1"/>
                <w:szCs w:val="21"/>
                <w:highlight w:val="none"/>
                <w14:textFill>
                  <w14:solidFill>
                    <w14:schemeClr w14:val="tx1"/>
                  </w14:solidFill>
                </w14:textFill>
              </w:rPr>
            </w:pPr>
          </w:p>
        </w:tc>
        <w:tc>
          <w:tcPr>
            <w:tcW w:w="1739" w:type="dxa"/>
            <w:vAlign w:val="center"/>
          </w:tcPr>
          <w:p>
            <w:pPr>
              <w:jc w:val="center"/>
              <w:rPr>
                <w:rFonts w:ascii="宋体" w:hAnsi="宋体"/>
                <w:b/>
                <w:color w:val="000000" w:themeColor="text1"/>
                <w:szCs w:val="21"/>
                <w:highlight w:val="none"/>
                <w14:textFill>
                  <w14:solidFill>
                    <w14:schemeClr w14:val="tx1"/>
                  </w14:solidFill>
                </w14:textFill>
              </w:rPr>
            </w:pPr>
          </w:p>
        </w:tc>
        <w:tc>
          <w:tcPr>
            <w:tcW w:w="709" w:type="dxa"/>
            <w:vAlign w:val="center"/>
          </w:tcPr>
          <w:p>
            <w:pPr>
              <w:jc w:val="center"/>
              <w:rPr>
                <w:rFonts w:ascii="宋体" w:hAnsi="宋体"/>
                <w:b/>
                <w:color w:val="000000" w:themeColor="text1"/>
                <w:szCs w:val="21"/>
                <w:highlight w:val="none"/>
                <w14:textFill>
                  <w14:solidFill>
                    <w14:schemeClr w14:val="tx1"/>
                  </w14:solidFill>
                </w14:textFill>
              </w:rPr>
            </w:pPr>
          </w:p>
        </w:tc>
        <w:tc>
          <w:tcPr>
            <w:tcW w:w="850" w:type="dxa"/>
            <w:vAlign w:val="center"/>
          </w:tcPr>
          <w:p>
            <w:pPr>
              <w:jc w:val="center"/>
              <w:rPr>
                <w:rFonts w:ascii="宋体" w:hAnsi="宋体"/>
                <w:b/>
                <w:color w:val="000000" w:themeColor="text1"/>
                <w:szCs w:val="21"/>
                <w:highlight w:val="none"/>
                <w14:textFill>
                  <w14:solidFill>
                    <w14:schemeClr w14:val="tx1"/>
                  </w14:solidFill>
                </w14:textFill>
              </w:rPr>
            </w:pPr>
          </w:p>
        </w:tc>
        <w:tc>
          <w:tcPr>
            <w:tcW w:w="993" w:type="dxa"/>
            <w:vAlign w:val="center"/>
          </w:tcPr>
          <w:p>
            <w:pPr>
              <w:jc w:val="left"/>
              <w:rPr>
                <w:rFonts w:ascii="宋体" w:hAnsi="宋体"/>
                <w:b/>
                <w:color w:val="000000" w:themeColor="text1"/>
                <w:szCs w:val="21"/>
                <w:highlight w:val="none"/>
                <w14:textFill>
                  <w14:solidFill>
                    <w14:schemeClr w14:val="tx1"/>
                  </w14:solidFill>
                </w14:textFill>
              </w:rPr>
            </w:pPr>
          </w:p>
        </w:tc>
        <w:tc>
          <w:tcPr>
            <w:tcW w:w="1984" w:type="dxa"/>
            <w:vAlign w:val="center"/>
          </w:tcPr>
          <w:p>
            <w:pPr>
              <w:jc w:val="center"/>
              <w:rPr>
                <w:rFonts w:ascii="宋体" w:hAnsi="宋体"/>
                <w:b/>
                <w:color w:val="000000" w:themeColor="text1"/>
                <w:szCs w:val="21"/>
                <w:highlight w:val="none"/>
                <w14:textFill>
                  <w14:solidFill>
                    <w14:schemeClr w14:val="tx1"/>
                  </w14:solidFill>
                </w14:textFill>
              </w:rPr>
            </w:pPr>
          </w:p>
        </w:tc>
        <w:tc>
          <w:tcPr>
            <w:tcW w:w="1843" w:type="dxa"/>
          </w:tcPr>
          <w:p>
            <w:pPr>
              <w:jc w:val="center"/>
              <w:rPr>
                <w:rFonts w:ascii="宋体" w:hAnsi="宋体"/>
                <w:b/>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739" w:type="dxa"/>
            <w:vAlign w:val="center"/>
          </w:tcPr>
          <w:p>
            <w:pPr>
              <w:jc w:val="center"/>
              <w:rPr>
                <w:rFonts w:ascii="宋体" w:hAnsi="宋体"/>
                <w:b/>
                <w:color w:val="000000" w:themeColor="text1"/>
                <w:szCs w:val="21"/>
                <w:highlight w:val="none"/>
                <w14:textFill>
                  <w14:solidFill>
                    <w14:schemeClr w14:val="tx1"/>
                  </w14:solidFill>
                </w14:textFill>
              </w:rPr>
            </w:pPr>
          </w:p>
        </w:tc>
        <w:tc>
          <w:tcPr>
            <w:tcW w:w="709" w:type="dxa"/>
            <w:vAlign w:val="center"/>
          </w:tcPr>
          <w:p>
            <w:pPr>
              <w:jc w:val="center"/>
              <w:rPr>
                <w:rFonts w:ascii="宋体" w:hAnsi="宋体"/>
                <w:b/>
                <w:color w:val="000000" w:themeColor="text1"/>
                <w:szCs w:val="21"/>
                <w:highlight w:val="none"/>
                <w14:textFill>
                  <w14:solidFill>
                    <w14:schemeClr w14:val="tx1"/>
                  </w14:solidFill>
                </w14:textFill>
              </w:rPr>
            </w:pPr>
          </w:p>
        </w:tc>
        <w:tc>
          <w:tcPr>
            <w:tcW w:w="850" w:type="dxa"/>
            <w:vAlign w:val="center"/>
          </w:tcPr>
          <w:p>
            <w:pPr>
              <w:jc w:val="center"/>
              <w:rPr>
                <w:rFonts w:ascii="宋体" w:hAnsi="宋体"/>
                <w:b/>
                <w:color w:val="000000" w:themeColor="text1"/>
                <w:szCs w:val="21"/>
                <w:highlight w:val="none"/>
                <w14:textFill>
                  <w14:solidFill>
                    <w14:schemeClr w14:val="tx1"/>
                  </w14:solidFill>
                </w14:textFill>
              </w:rPr>
            </w:pPr>
          </w:p>
        </w:tc>
        <w:tc>
          <w:tcPr>
            <w:tcW w:w="993" w:type="dxa"/>
            <w:vAlign w:val="center"/>
          </w:tcPr>
          <w:p>
            <w:pPr>
              <w:jc w:val="left"/>
              <w:rPr>
                <w:rFonts w:ascii="宋体" w:hAnsi="宋体"/>
                <w:b/>
                <w:color w:val="000000" w:themeColor="text1"/>
                <w:szCs w:val="21"/>
                <w:highlight w:val="none"/>
                <w14:textFill>
                  <w14:solidFill>
                    <w14:schemeClr w14:val="tx1"/>
                  </w14:solidFill>
                </w14:textFill>
              </w:rPr>
            </w:pPr>
          </w:p>
        </w:tc>
        <w:tc>
          <w:tcPr>
            <w:tcW w:w="1984" w:type="dxa"/>
            <w:vAlign w:val="center"/>
          </w:tcPr>
          <w:p>
            <w:pPr>
              <w:jc w:val="center"/>
              <w:rPr>
                <w:rFonts w:ascii="宋体" w:hAnsi="宋体"/>
                <w:b/>
                <w:color w:val="000000" w:themeColor="text1"/>
                <w:szCs w:val="21"/>
                <w:highlight w:val="none"/>
                <w14:textFill>
                  <w14:solidFill>
                    <w14:schemeClr w14:val="tx1"/>
                  </w14:solidFill>
                </w14:textFill>
              </w:rPr>
            </w:pPr>
          </w:p>
        </w:tc>
        <w:tc>
          <w:tcPr>
            <w:tcW w:w="1843" w:type="dxa"/>
          </w:tcPr>
          <w:p>
            <w:pPr>
              <w:jc w:val="center"/>
              <w:rPr>
                <w:rFonts w:ascii="宋体" w:hAnsi="宋体"/>
                <w:b/>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789" w:type="dxa"/>
            <w:gridSpan w:val="7"/>
            <w:vAlign w:val="center"/>
          </w:tcPr>
          <w:p>
            <w:pPr>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两型产品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vAlign w:val="center"/>
          </w:tcPr>
          <w:p>
            <w:pPr>
              <w:jc w:val="center"/>
              <w:rPr>
                <w:rFonts w:ascii="宋体" w:hAnsi="宋体"/>
                <w:color w:val="000000" w:themeColor="text1"/>
                <w:szCs w:val="21"/>
                <w:highlight w:val="none"/>
                <w14:textFill>
                  <w14:solidFill>
                    <w14:schemeClr w14:val="tx1"/>
                  </w14:solidFill>
                </w14:textFill>
              </w:rPr>
            </w:pPr>
          </w:p>
        </w:tc>
        <w:tc>
          <w:tcPr>
            <w:tcW w:w="173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Align w:val="center"/>
          </w:tcPr>
          <w:p>
            <w:pPr>
              <w:jc w:val="center"/>
              <w:rPr>
                <w:rFonts w:ascii="宋体" w:hAnsi="宋体"/>
                <w:color w:val="000000" w:themeColor="text1"/>
                <w:szCs w:val="21"/>
                <w:highlight w:val="none"/>
                <w14:textFill>
                  <w14:solidFill>
                    <w14:schemeClr w14:val="tx1"/>
                  </w14:solidFill>
                </w14:textFill>
              </w:rPr>
            </w:pPr>
          </w:p>
        </w:tc>
        <w:tc>
          <w:tcPr>
            <w:tcW w:w="1984"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tcPr>
          <w:p>
            <w:pPr>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671"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739" w:type="dxa"/>
            <w:vAlign w:val="center"/>
          </w:tcPr>
          <w:p>
            <w:pPr>
              <w:jc w:val="center"/>
              <w:rPr>
                <w:rFonts w:ascii="宋体" w:hAnsi="宋体"/>
                <w:color w:val="000000" w:themeColor="text1"/>
                <w:szCs w:val="21"/>
                <w:highlight w:val="none"/>
                <w14:textFill>
                  <w14:solidFill>
                    <w14:schemeClr w14:val="tx1"/>
                  </w14:solidFill>
                </w14:textFill>
              </w:rPr>
            </w:pPr>
          </w:p>
        </w:tc>
        <w:tc>
          <w:tcPr>
            <w:tcW w:w="709" w:type="dxa"/>
            <w:vAlign w:val="center"/>
          </w:tcPr>
          <w:p>
            <w:pPr>
              <w:jc w:val="center"/>
              <w:rPr>
                <w:rFonts w:ascii="宋体" w:hAnsi="宋体"/>
                <w:color w:val="000000" w:themeColor="text1"/>
                <w:szCs w:val="21"/>
                <w:highlight w:val="none"/>
                <w14:textFill>
                  <w14:solidFill>
                    <w14:schemeClr w14:val="tx1"/>
                  </w14:solidFill>
                </w14:textFill>
              </w:rPr>
            </w:pPr>
          </w:p>
        </w:tc>
        <w:tc>
          <w:tcPr>
            <w:tcW w:w="850" w:type="dxa"/>
            <w:vAlign w:val="center"/>
          </w:tcPr>
          <w:p>
            <w:pPr>
              <w:jc w:val="center"/>
              <w:rPr>
                <w:rFonts w:ascii="宋体" w:hAnsi="宋体"/>
                <w:color w:val="000000" w:themeColor="text1"/>
                <w:szCs w:val="21"/>
                <w:highlight w:val="none"/>
                <w14:textFill>
                  <w14:solidFill>
                    <w14:schemeClr w14:val="tx1"/>
                  </w14:solidFill>
                </w14:textFill>
              </w:rPr>
            </w:pPr>
          </w:p>
        </w:tc>
        <w:tc>
          <w:tcPr>
            <w:tcW w:w="993" w:type="dxa"/>
            <w:vAlign w:val="center"/>
          </w:tcPr>
          <w:p>
            <w:pPr>
              <w:jc w:val="center"/>
              <w:rPr>
                <w:rFonts w:ascii="宋体" w:hAnsi="宋体"/>
                <w:color w:val="000000" w:themeColor="text1"/>
                <w:szCs w:val="21"/>
                <w:highlight w:val="none"/>
                <w14:textFill>
                  <w14:solidFill>
                    <w14:schemeClr w14:val="tx1"/>
                  </w14:solidFill>
                </w14:textFill>
              </w:rPr>
            </w:pPr>
          </w:p>
        </w:tc>
        <w:tc>
          <w:tcPr>
            <w:tcW w:w="1984" w:type="dxa"/>
            <w:vAlign w:val="center"/>
          </w:tcPr>
          <w:p>
            <w:pPr>
              <w:jc w:val="center"/>
              <w:rPr>
                <w:rFonts w:ascii="宋体" w:hAnsi="宋体"/>
                <w:color w:val="000000" w:themeColor="text1"/>
                <w:szCs w:val="21"/>
                <w:highlight w:val="none"/>
                <w14:textFill>
                  <w14:solidFill>
                    <w14:schemeClr w14:val="tx1"/>
                  </w14:solidFill>
                </w14:textFill>
              </w:rPr>
            </w:pPr>
          </w:p>
        </w:tc>
        <w:tc>
          <w:tcPr>
            <w:tcW w:w="1843" w:type="dxa"/>
          </w:tcPr>
          <w:p>
            <w:pPr>
              <w:jc w:val="center"/>
              <w:rPr>
                <w:rFonts w:ascii="宋体" w:hAnsi="宋体"/>
                <w:color w:val="000000" w:themeColor="text1"/>
                <w:szCs w:val="21"/>
                <w:highlight w:val="none"/>
                <w14:textFill>
                  <w14:solidFill>
                    <w14:schemeClr w14:val="tx1"/>
                  </w14:solidFill>
                </w14:textFill>
              </w:rPr>
            </w:pPr>
          </w:p>
        </w:tc>
      </w:tr>
    </w:tbl>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1、本表用于计算节能产品、环境标志产品、两型产品的政策功能加分或价格扣除。</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2、栏目7“政策功能编码”是指货物的中国环境标志认证证书编号、节能标志认证证书号、两型产品编号(货物同时属于节能产品、环境标志产品、两型产品的，只填写一种)。</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3、栏目4“单价”为综合单价，包含货物所有隐含的内容，如运输费、保险费、管理费和利润等。</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4、未按上述要求提供、填写的，评审时本表所有优惠不予以考虑。</w:t>
      </w:r>
    </w:p>
    <w:p>
      <w:pP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p>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名称（盖单位章）：</w:t>
      </w:r>
    </w:p>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代表（签字）：</w:t>
      </w:r>
      <w:r>
        <w:rPr>
          <w:rFonts w:hint="eastAsia" w:ascii="宋体" w:hAnsi="宋体"/>
          <w:color w:val="000000" w:themeColor="text1"/>
          <w:szCs w:val="21"/>
          <w:highlight w:val="none"/>
          <w:u w:val="single"/>
          <w14:textFill>
            <w14:solidFill>
              <w14:schemeClr w14:val="tx1"/>
            </w14:solidFill>
          </w14:textFill>
        </w:rPr>
        <w:t xml:space="preserve">       </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pPr>
        <w:pStyle w:val="47"/>
        <w:adjustRightInd w:val="0"/>
        <w:snapToGrid w:val="0"/>
        <w:jc w:val="center"/>
        <w:rPr>
          <w:rFonts w:hAnsi="宋体"/>
          <w:b/>
          <w:bCs/>
          <w:color w:val="000000" w:themeColor="text1"/>
          <w:sz w:val="32"/>
          <w:szCs w:val="32"/>
          <w:highlight w:val="none"/>
          <w14:textFill>
            <w14:solidFill>
              <w14:schemeClr w14:val="tx1"/>
            </w14:solidFill>
          </w14:textFill>
        </w:rPr>
      </w:pPr>
    </w:p>
    <w:p>
      <w:pPr>
        <w:pStyle w:val="47"/>
        <w:adjustRightInd w:val="0"/>
        <w:snapToGrid w:val="0"/>
        <w:jc w:val="center"/>
        <w:rPr>
          <w:rFonts w:hAnsi="宋体"/>
          <w:b/>
          <w:bCs/>
          <w:color w:val="000000" w:themeColor="text1"/>
          <w:sz w:val="32"/>
          <w:szCs w:val="32"/>
          <w:highlight w:val="none"/>
          <w14:textFill>
            <w14:solidFill>
              <w14:schemeClr w14:val="tx1"/>
            </w14:solidFill>
          </w14:textFill>
        </w:rPr>
      </w:pPr>
    </w:p>
    <w:p>
      <w:pPr>
        <w:pStyle w:val="47"/>
        <w:adjustRightInd w:val="0"/>
        <w:snapToGrid w:val="0"/>
        <w:jc w:val="center"/>
        <w:rPr>
          <w:rFonts w:hAnsi="宋体"/>
          <w:b/>
          <w:bCs/>
          <w:color w:val="000000" w:themeColor="text1"/>
          <w:sz w:val="32"/>
          <w:szCs w:val="32"/>
          <w:highlight w:val="none"/>
          <w14:textFill>
            <w14:solidFill>
              <w14:schemeClr w14:val="tx1"/>
            </w14:solidFill>
          </w14:textFill>
        </w:rPr>
      </w:pPr>
      <w:r>
        <w:rPr>
          <w:rFonts w:hint="eastAsia" w:hAnsi="宋体"/>
          <w:b/>
          <w:bCs/>
          <w:color w:val="000000" w:themeColor="text1"/>
          <w:sz w:val="32"/>
          <w:szCs w:val="32"/>
          <w:highlight w:val="none"/>
          <w14:textFill>
            <w14:solidFill>
              <w14:schemeClr w14:val="tx1"/>
            </w14:solidFill>
          </w14:textFill>
        </w:rPr>
        <w:t>八、供应商认为需提供的其它资料及说明</w:t>
      </w:r>
    </w:p>
    <w:p>
      <w:pPr>
        <w:adjustRightInd w:val="0"/>
        <w:snapToGrid w:val="0"/>
        <w:ind w:firstLine="420" w:firstLineChars="200"/>
        <w:rPr>
          <w:rFonts w:ascii="宋体" w:hAnsi="宋体"/>
          <w:color w:val="000000" w:themeColor="text1"/>
          <w:szCs w:val="21"/>
          <w:highlight w:val="none"/>
          <w14:textFill>
            <w14:solidFill>
              <w14:schemeClr w14:val="tx1"/>
            </w14:solidFill>
          </w14:textFill>
        </w:rPr>
      </w:pPr>
    </w:p>
    <w:p>
      <w:pPr>
        <w:adjustRightInd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提供磋商文件或评分标准需要提供的相关证明文件复印件</w:t>
      </w:r>
    </w:p>
    <w:p>
      <w:pPr>
        <w:adjustRightInd w:val="0"/>
        <w:snapToGrid w:val="0"/>
        <w:spacing w:line="360" w:lineRule="auto"/>
        <w:ind w:left="-88" w:leftChars="-42"/>
        <w:rPr>
          <w:rFonts w:ascii="宋体" w:hAnsi="宋体" w:cs="宋体"/>
          <w:b/>
          <w:bCs/>
          <w:color w:val="000000" w:themeColor="text1"/>
          <w:szCs w:val="21"/>
          <w:highlight w:val="none"/>
          <w14:textFill>
            <w14:solidFill>
              <w14:schemeClr w14:val="tx1"/>
            </w14:solidFill>
          </w14:textFill>
        </w:rPr>
      </w:pPr>
    </w:p>
    <w:p>
      <w:pPr>
        <w:pStyle w:val="2"/>
        <w:spacing w:line="360" w:lineRule="auto"/>
        <w:ind w:firstLine="422"/>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注：所有证书及相关证明材料真实性由投标供应商自行负责，如存在弄虚作假行为，将作无效投标处理，并按相关规定没收其磋商保证金,同时上报财政部门列入政府采购黑名单。</w:t>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p>
    <w:p>
      <w:pPr>
        <w:pStyle w:val="2"/>
        <w:rPr>
          <w:color w:val="000000" w:themeColor="text1"/>
          <w:highlight w:val="none"/>
          <w14:textFill>
            <w14:solidFill>
              <w14:schemeClr w14:val="tx1"/>
            </w14:solidFill>
          </w14:textFill>
        </w:rPr>
        <w:sectPr>
          <w:pgSz w:w="11906" w:h="16838"/>
          <w:pgMar w:top="1021" w:right="1474" w:bottom="1191" w:left="1474" w:header="510" w:footer="624" w:gutter="0"/>
          <w:cols w:space="720" w:num="1"/>
          <w:rtlGutter w:val="1"/>
          <w:docGrid w:linePitch="312" w:charSpace="0"/>
        </w:sectPr>
      </w:pPr>
    </w:p>
    <w:p>
      <w:pPr>
        <w:widowControl/>
        <w:jc w:val="center"/>
        <w:rPr>
          <w:rFonts w:ascii="宋体" w:hAnsi="宋体"/>
          <w:b/>
          <w:bCs/>
          <w:color w:val="000000" w:themeColor="text1"/>
          <w:sz w:val="32"/>
          <w:szCs w:val="32"/>
          <w:highlight w:val="none"/>
          <w14:textFill>
            <w14:solidFill>
              <w14:schemeClr w14:val="tx1"/>
            </w14:solidFill>
          </w14:textFill>
        </w:rPr>
      </w:pPr>
      <w:bookmarkStart w:id="621" w:name="_Toc472022221"/>
    </w:p>
    <w:p>
      <w:pPr>
        <w:widowControl/>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九、最后报价</w:t>
      </w:r>
      <w:bookmarkEnd w:id="621"/>
      <w:r>
        <w:rPr>
          <w:rFonts w:hint="eastAsia" w:ascii="宋体" w:hAnsi="宋体"/>
          <w:b/>
          <w:bCs/>
          <w:color w:val="000000" w:themeColor="text1"/>
          <w:sz w:val="32"/>
          <w:szCs w:val="32"/>
          <w:highlight w:val="none"/>
          <w14:textFill>
            <w14:solidFill>
              <w14:schemeClr w14:val="tx1"/>
            </w14:solidFill>
          </w14:textFill>
        </w:rPr>
        <w:t>表（现场提供）</w:t>
      </w:r>
    </w:p>
    <w:tbl>
      <w:tblPr>
        <w:tblStyle w:val="90"/>
        <w:tblW w:w="9243"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3246"/>
        <w:gridCol w:w="1200"/>
        <w:gridCol w:w="3037"/>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67" w:hRule="exact"/>
        </w:trPr>
        <w:tc>
          <w:tcPr>
            <w:tcW w:w="1760" w:type="dxa"/>
            <w:vAlign w:val="center"/>
          </w:tcPr>
          <w:p>
            <w:pPr>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项目名称</w:t>
            </w:r>
          </w:p>
        </w:tc>
        <w:tc>
          <w:tcPr>
            <w:tcW w:w="3246" w:type="dxa"/>
            <w:vAlign w:val="center"/>
          </w:tcPr>
          <w:p>
            <w:pPr>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中南大学湘雅二医院疑难病症诊治能力提升工程（心血管方向）业务用房改造标段七：心血管领域洁净手术室6-13间相关配套用房改造工程</w:t>
            </w:r>
          </w:p>
        </w:tc>
        <w:tc>
          <w:tcPr>
            <w:tcW w:w="1200" w:type="dxa"/>
            <w:vAlign w:val="center"/>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采购代理编号</w:t>
            </w:r>
          </w:p>
        </w:tc>
        <w:tc>
          <w:tcPr>
            <w:tcW w:w="3037" w:type="dxa"/>
            <w:vAlign w:val="center"/>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HNZJC2022-GC(C2)-760</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1760"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工程总报价</w:t>
            </w:r>
          </w:p>
        </w:tc>
        <w:tc>
          <w:tcPr>
            <w:tcW w:w="7483" w:type="dxa"/>
            <w:gridSpan w:val="3"/>
            <w:vAlign w:val="center"/>
          </w:tcPr>
          <w:p>
            <w:pPr>
              <w:spacing w:before="120" w:beforeLines="50"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大写：</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元人民币整</w:t>
            </w:r>
          </w:p>
          <w:p>
            <w:pPr>
              <w:spacing w:before="120" w:beforeLines="50"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小写：</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元人民币整</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9" w:hRule="exact"/>
        </w:trPr>
        <w:tc>
          <w:tcPr>
            <w:tcW w:w="1760"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合同工期</w:t>
            </w:r>
          </w:p>
        </w:tc>
        <w:tc>
          <w:tcPr>
            <w:tcW w:w="7483" w:type="dxa"/>
            <w:gridSpan w:val="3"/>
            <w:vAlign w:val="center"/>
          </w:tcPr>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响应磋商文件要求</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60" w:type="dxa"/>
            <w:vAlign w:val="center"/>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质量标准</w:t>
            </w:r>
          </w:p>
        </w:tc>
        <w:tc>
          <w:tcPr>
            <w:tcW w:w="7483" w:type="dxa"/>
            <w:gridSpan w:val="3"/>
            <w:vAlign w:val="center"/>
          </w:tcPr>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响应磋商文件要求</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760" w:type="dxa"/>
            <w:vAlign w:val="center"/>
          </w:tcPr>
          <w:p>
            <w:pPr>
              <w:jc w:val="center"/>
              <w:rPr>
                <w:rFonts w:ascii="宋体" w:hAnsi="宋体"/>
                <w:color w:val="000000" w:themeColor="text1"/>
                <w:highlight w:val="none"/>
                <w14:textFill>
                  <w14:solidFill>
                    <w14:schemeClr w14:val="tx1"/>
                  </w14:solidFill>
                </w14:textFill>
              </w:rPr>
            </w:pPr>
            <w:r>
              <w:rPr>
                <w:rFonts w:hint="eastAsia" w:cs="Arial"/>
                <w:color w:val="000000" w:themeColor="text1"/>
                <w:highlight w:val="none"/>
                <w:lang w:val="sq-AL"/>
                <w14:textFill>
                  <w14:solidFill>
                    <w14:schemeClr w14:val="tx1"/>
                  </w14:solidFill>
                </w14:textFill>
              </w:rPr>
              <w:t>保修承诺</w:t>
            </w:r>
          </w:p>
        </w:tc>
        <w:tc>
          <w:tcPr>
            <w:tcW w:w="7483" w:type="dxa"/>
            <w:gridSpan w:val="3"/>
            <w:vAlign w:val="center"/>
          </w:tcPr>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响应磋商文件要求</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192" w:hRule="exact"/>
        </w:trPr>
        <w:tc>
          <w:tcPr>
            <w:tcW w:w="1760" w:type="dxa"/>
            <w:vAlign w:val="center"/>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项目负责人</w:t>
            </w:r>
          </w:p>
        </w:tc>
        <w:tc>
          <w:tcPr>
            <w:tcW w:w="7483" w:type="dxa"/>
            <w:gridSpan w:val="3"/>
            <w:vAlign w:val="center"/>
          </w:tcPr>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级别：</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注册证号：</w:t>
            </w:r>
          </w:p>
          <w:p>
            <w:pPr>
              <w:spacing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B类安全生产考核合格证号：</w:t>
            </w:r>
          </w:p>
          <w:p>
            <w:pPr>
              <w:spacing w:line="42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60" w:type="dxa"/>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备</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注</w:t>
            </w:r>
          </w:p>
        </w:tc>
        <w:tc>
          <w:tcPr>
            <w:tcW w:w="7483" w:type="dxa"/>
            <w:gridSpan w:val="3"/>
            <w:vAlign w:val="center"/>
          </w:tcPr>
          <w:p>
            <w:pPr>
              <w:spacing w:before="120" w:beforeLines="50" w:after="120" w:afterLines="50" w:line="360" w:lineRule="exact"/>
              <w:ind w:left="315" w:hanging="315" w:hangingChars="150"/>
              <w:rPr>
                <w:rFonts w:ascii="宋体" w:hAnsi="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 </w:t>
            </w:r>
            <w:r>
              <w:rPr>
                <w:rFonts w:hint="eastAsia" w:ascii="宋体" w:hAnsi="宋体"/>
                <w:color w:val="000000" w:themeColor="text1"/>
                <w:highlight w:val="none"/>
                <w14:textFill>
                  <w14:solidFill>
                    <w14:schemeClr w14:val="tx1"/>
                  </w14:solidFill>
                </w14:textFill>
              </w:rPr>
              <w:t>项目总报价</w:t>
            </w:r>
            <w:r>
              <w:rPr>
                <w:rFonts w:hint="eastAsia" w:ascii="宋体" w:hAnsi="宋体"/>
                <w:color w:val="000000" w:themeColor="text1"/>
                <w:szCs w:val="21"/>
                <w:highlight w:val="none"/>
                <w14:textFill>
                  <w14:solidFill>
                    <w14:schemeClr w14:val="tx1"/>
                  </w14:solidFill>
                </w14:textFill>
              </w:rPr>
              <w:t>须包括其他项目费其价格不得变动。</w:t>
            </w:r>
          </w:p>
          <w:p>
            <w:pPr>
              <w:spacing w:before="120" w:beforeLines="50" w:after="120" w:afterLines="50"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项目报价的各种规费必须按规定计算，不得打折或优惠。</w:t>
            </w:r>
          </w:p>
          <w:p>
            <w:pPr>
              <w:spacing w:before="120" w:beforeLines="50" w:after="120" w:afterLines="5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3.最后报价不需要提供分项价格表。最后的分项价格由以下公式计算而生成。</w:t>
            </w:r>
          </w:p>
          <w:tbl>
            <w:tblPr>
              <w:tblStyle w:val="90"/>
              <w:tblW w:w="0" w:type="auto"/>
              <w:tblInd w:w="0" w:type="dxa"/>
              <w:tblLayout w:type="fixed"/>
              <w:tblCellMar>
                <w:top w:w="0" w:type="dxa"/>
                <w:left w:w="108" w:type="dxa"/>
                <w:bottom w:w="0" w:type="dxa"/>
                <w:right w:w="108" w:type="dxa"/>
              </w:tblCellMar>
            </w:tblPr>
            <w:tblGrid>
              <w:gridCol w:w="4302"/>
              <w:gridCol w:w="2725"/>
            </w:tblGrid>
            <w:tr>
              <w:tblPrEx>
                <w:tblCellMar>
                  <w:top w:w="0" w:type="dxa"/>
                  <w:left w:w="108" w:type="dxa"/>
                  <w:bottom w:w="0" w:type="dxa"/>
                  <w:right w:w="108" w:type="dxa"/>
                </w:tblCellMar>
              </w:tblPrEx>
              <w:tc>
                <w:tcPr>
                  <w:tcW w:w="4302" w:type="dxa"/>
                  <w:vMerge w:val="restart"/>
                  <w:vAlign w:val="center"/>
                </w:tcPr>
                <w:p>
                  <w:pPr>
                    <w:spacing w:before="120" w:beforeLines="50" w:after="120" w:afterLines="5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最后的分项价</w:t>
                  </w:r>
                  <w:r>
                    <w:rPr>
                      <w:rFonts w:ascii="宋体" w:hAnsi="宋体"/>
                      <w:color w:val="000000" w:themeColor="text1"/>
                      <w:szCs w:val="21"/>
                      <w:highlight w:val="none"/>
                      <w14:textFill>
                        <w14:solidFill>
                          <w14:schemeClr w14:val="tx1"/>
                        </w14:solidFill>
                      </w14:textFill>
                    </w:rPr>
                    <w:t>=第一次报价的分项价×</w:t>
                  </w:r>
                </w:p>
              </w:tc>
              <w:tc>
                <w:tcPr>
                  <w:tcW w:w="2725" w:type="dxa"/>
                  <w:tcBorders>
                    <w:bottom w:val="single" w:color="auto" w:sz="4" w:space="0"/>
                  </w:tcBorders>
                  <w:vAlign w:val="center"/>
                </w:tcPr>
                <w:p>
                  <w:pPr>
                    <w:spacing w:before="120" w:beforeLines="50" w:after="120" w:afterLines="50"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最后总报价</w:t>
                  </w:r>
                </w:p>
              </w:tc>
            </w:tr>
            <w:tr>
              <w:tblPrEx>
                <w:tblCellMar>
                  <w:top w:w="0" w:type="dxa"/>
                  <w:left w:w="108" w:type="dxa"/>
                  <w:bottom w:w="0" w:type="dxa"/>
                  <w:right w:w="108" w:type="dxa"/>
                </w:tblCellMar>
              </w:tblPrEx>
              <w:tc>
                <w:tcPr>
                  <w:tcW w:w="4302" w:type="dxa"/>
                  <w:vMerge w:val="continue"/>
                </w:tcPr>
                <w:p>
                  <w:pPr>
                    <w:spacing w:before="120" w:beforeLines="50" w:after="120" w:afterLines="50" w:line="420" w:lineRule="exact"/>
                    <w:rPr>
                      <w:rFonts w:ascii="宋体" w:hAnsi="宋体"/>
                      <w:color w:val="000000" w:themeColor="text1"/>
                      <w:szCs w:val="21"/>
                      <w:highlight w:val="none"/>
                      <w14:textFill>
                        <w14:solidFill>
                          <w14:schemeClr w14:val="tx1"/>
                        </w14:solidFill>
                      </w14:textFill>
                    </w:rPr>
                  </w:pPr>
                </w:p>
              </w:tc>
              <w:tc>
                <w:tcPr>
                  <w:tcW w:w="2725" w:type="dxa"/>
                  <w:tcBorders>
                    <w:top w:val="single" w:color="auto" w:sz="4" w:space="0"/>
                  </w:tcBorders>
                  <w:vAlign w:val="center"/>
                </w:tcPr>
                <w:p>
                  <w:pPr>
                    <w:spacing w:before="120" w:beforeLines="50" w:after="120" w:afterLines="50" w:line="4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第一次总报价</w:t>
                  </w:r>
                </w:p>
              </w:tc>
            </w:tr>
          </w:tbl>
          <w:p>
            <w:pPr>
              <w:spacing w:before="120" w:beforeLines="50" w:after="120" w:afterLines="50" w:line="360" w:lineRule="exact"/>
              <w:ind w:left="315" w:hanging="315" w:hangingChars="150"/>
              <w:rPr>
                <w:rFonts w:ascii="宋体" w:hAnsi="宋体"/>
                <w:color w:val="000000" w:themeColor="text1"/>
                <w:szCs w:val="21"/>
                <w:highlight w:val="none"/>
                <w14:textFill>
                  <w14:solidFill>
                    <w14:schemeClr w14:val="tx1"/>
                  </w14:solidFill>
                </w14:textFill>
              </w:rPr>
            </w:pPr>
          </w:p>
        </w:tc>
      </w:tr>
    </w:tbl>
    <w:p>
      <w:pPr>
        <w:adjustRightInd w:val="0"/>
        <w:snapToGrid w:val="0"/>
        <w:jc w:val="right"/>
        <w:rPr>
          <w:rFonts w:ascii="宋体" w:hAnsi="宋体"/>
          <w:color w:val="000000" w:themeColor="text1"/>
          <w:szCs w:val="21"/>
          <w:highlight w:val="none"/>
          <w14:textFill>
            <w14:solidFill>
              <w14:schemeClr w14:val="tx1"/>
            </w14:solidFill>
          </w14:textFill>
        </w:rPr>
      </w:pPr>
    </w:p>
    <w:p>
      <w:pP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p>
    <w:p>
      <w:pPr>
        <w:adjustRightInd w:val="0"/>
        <w:snapToGrid w:val="0"/>
        <w:spacing w:line="360" w:lineRule="auto"/>
        <w:ind w:firstLine="525" w:firstLineChars="25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 </w:t>
      </w:r>
      <w:r>
        <w:rPr>
          <w:rFonts w:hint="eastAsia" w:ascii="宋体" w:hAnsi="宋体"/>
          <w:b/>
          <w:color w:val="000000" w:themeColor="text1"/>
          <w:szCs w:val="21"/>
          <w:highlight w:val="none"/>
          <w14:textFill>
            <w14:solidFill>
              <w14:schemeClr w14:val="tx1"/>
            </w14:solidFill>
          </w14:textFill>
        </w:rPr>
        <w:t>此报价不放在响应文件中，磋商现场根据评审专家的要求提供。</w:t>
      </w:r>
    </w:p>
    <w:p>
      <w:pPr>
        <w:adjustRightInd w:val="0"/>
        <w:snapToGrid w:val="0"/>
        <w:spacing w:line="360" w:lineRule="auto"/>
        <w:ind w:firstLine="517" w:firstLineChars="245"/>
        <w:rPr>
          <w:rFonts w:ascii="宋体" w:hAnsi="宋体"/>
          <w:b/>
          <w:i/>
          <w:color w:val="000000" w:themeColor="text1"/>
          <w:szCs w:val="21"/>
          <w:highlight w:val="none"/>
          <w14:textFill>
            <w14:solidFill>
              <w14:schemeClr w14:val="tx1"/>
            </w14:solidFill>
          </w14:textFill>
        </w:rPr>
      </w:pPr>
      <w:r>
        <w:rPr>
          <w:rFonts w:ascii="宋体" w:hAnsi="宋体"/>
          <w:b/>
          <w:i/>
          <w:color w:val="000000" w:themeColor="text1"/>
          <w:szCs w:val="21"/>
          <w:highlight w:val="none"/>
          <w14:textFill>
            <w14:solidFill>
              <w14:schemeClr w14:val="tx1"/>
            </w14:solidFill>
          </w14:textFill>
        </w:rPr>
        <w:t xml:space="preserve">2. </w:t>
      </w:r>
      <w:r>
        <w:rPr>
          <w:rFonts w:hint="eastAsia" w:ascii="宋体" w:hAnsi="宋体"/>
          <w:b/>
          <w:i/>
          <w:color w:val="000000" w:themeColor="text1"/>
          <w:szCs w:val="21"/>
          <w:highlight w:val="none"/>
          <w14:textFill>
            <w14:solidFill>
              <w14:schemeClr w14:val="tx1"/>
            </w14:solidFill>
          </w14:textFill>
        </w:rPr>
        <w:t>磋商文件未发生改变，最后报价不得高于上一轮的报价。</w:t>
      </w:r>
    </w:p>
    <w:p>
      <w:pPr>
        <w:adjustRightInd w:val="0"/>
        <w:snapToGrid w:val="0"/>
        <w:spacing w:line="360" w:lineRule="auto"/>
        <w:ind w:firstLine="514" w:firstLineChars="245"/>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 </w:t>
      </w:r>
      <w:r>
        <w:rPr>
          <w:rFonts w:hint="eastAsia" w:ascii="宋体" w:hAnsi="宋体"/>
          <w:color w:val="000000" w:themeColor="text1"/>
          <w:szCs w:val="21"/>
          <w:highlight w:val="none"/>
          <w14:textFill>
            <w14:solidFill>
              <w14:schemeClr w14:val="tx1"/>
            </w14:solidFill>
          </w14:textFill>
        </w:rPr>
        <w:t>本报价一式两份，可打印或用不退色墨水书写。</w:t>
      </w:r>
    </w:p>
    <w:p>
      <w:pPr>
        <w:adjustRightInd w:val="0"/>
        <w:snapToGrid w:val="0"/>
        <w:spacing w:line="360" w:lineRule="auto"/>
        <w:ind w:firstLine="514" w:firstLineChars="245"/>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14:textFill>
            <w14:solidFill>
              <w14:schemeClr w14:val="tx1"/>
            </w14:solidFill>
          </w14:textFill>
        </w:rPr>
        <w:t>本报价文件递交给代理机构后不得修改，否则视为无效文件。</w:t>
      </w:r>
    </w:p>
    <w:p>
      <w:pPr>
        <w:adjustRightInd w:val="0"/>
        <w:snapToGrid w:val="0"/>
        <w:spacing w:line="360" w:lineRule="auto"/>
        <w:rPr>
          <w:rFonts w:ascii="宋体" w:hAnsi="宋体"/>
          <w:color w:val="000000" w:themeColor="text1"/>
          <w:highlight w:val="none"/>
          <w14:textFill>
            <w14:solidFill>
              <w14:schemeClr w14:val="tx1"/>
            </w14:solidFill>
          </w14:textFill>
        </w:rPr>
      </w:pP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供应商名称：</w:t>
      </w:r>
    </w:p>
    <w:p>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法定代表人或其授权代表签字：</w:t>
      </w:r>
      <w:r>
        <w:rPr>
          <w:rFonts w:ascii="宋体" w:hAnsi="宋体"/>
          <w:color w:val="000000" w:themeColor="text1"/>
          <w:highlight w:val="none"/>
          <w:u w:val="single"/>
          <w14:textFill>
            <w14:solidFill>
              <w14:schemeClr w14:val="tx1"/>
            </w14:solidFill>
          </w14:textFill>
        </w:rPr>
        <w:t xml:space="preserve">       </w:t>
      </w:r>
    </w:p>
    <w:p>
      <w:pPr>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p>
    <w:sectPr>
      <w:pgSz w:w="11906" w:h="16838"/>
      <w:pgMar w:top="1021" w:right="1474" w:bottom="1191" w:left="1474" w:header="510" w:footer="624" w:gutter="0"/>
      <w:cols w:space="720" w:num="1"/>
      <w:rtlGutter w:val="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modern"/>
    <w:pitch w:val="default"/>
    <w:sig w:usb0="00000000" w:usb1="00000000" w:usb2="00000000" w:usb3="00000000" w:csb0="00000001" w:csb1="00000000"/>
  </w:font>
  <w:font w:name="华文隶书">
    <w:panose1 w:val="02010800040101010101"/>
    <w:charset w:val="86"/>
    <w:family w:val="auto"/>
    <w:pitch w:val="default"/>
    <w:sig w:usb0="00000001" w:usb1="080F0000" w:usb2="00000000" w:usb3="00000000" w:csb0="00040000" w:csb1="00000000"/>
  </w:font>
  <w:font w:name="_x000B__x000C_">
    <w:altName w:val="Times New Roman"/>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Plotter">
    <w:altName w:val="宋体"/>
    <w:panose1 w:val="00000000000000000000"/>
    <w:charset w:val="00"/>
    <w:family w:val="roman"/>
    <w:pitch w:val="default"/>
    <w:sig w:usb0="00000000" w:usb1="00000000" w:usb2="00000000" w:usb3="00000000" w:csb0="00000001" w:csb1="00000000"/>
  </w:font>
  <w:font w:name="Arail">
    <w:altName w:val="Times New Roman"/>
    <w:panose1 w:val="00000000000000000000"/>
    <w:charset w:val="00"/>
    <w:family w:val="decorative"/>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Verdana">
    <w:panose1 w:val="020B0604030504040204"/>
    <w:charset w:val="00"/>
    <w:family w:val="swiss"/>
    <w:pitch w:val="default"/>
    <w:sig w:usb0="A00006FF" w:usb1="4000205B" w:usb2="00000010" w:usb3="00000000" w:csb0="2000019F" w:csb1="00000000"/>
  </w:font>
  <w:font w:name="sө_x0002_">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DD..">
    <w:altName w:val="宋体"/>
    <w:panose1 w:val="00000000000000000000"/>
    <w:charset w:val="86"/>
    <w:family w:val="swiss"/>
    <w:pitch w:val="default"/>
    <w:sig w:usb0="00000000" w:usb1="00000000" w:usb2="00000010" w:usb3="00000000" w:csb0="00040000" w:csb1="00000000"/>
  </w:font>
  <w:font w:name="Arial Unicode MS">
    <w:panose1 w:val="020B0604020202020204"/>
    <w:charset w:val="86"/>
    <w:family w:val="roman"/>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9" w:usb3="00000000" w:csb0="000001FF" w:csb1="00000000"/>
  </w:font>
  <w:font w:name="全真楷書">
    <w:altName w:val="宋体"/>
    <w:panose1 w:val="00000000000000000000"/>
    <w:charset w:val="88"/>
    <w:family w:val="modern"/>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2OcuAe">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HelveticaNeueLT Std Lt">
    <w:altName w:val="新宋体"/>
    <w:panose1 w:val="00000000000000000000"/>
    <w:charset w:val="00"/>
    <w:family w:val="swiss"/>
    <w:pitch w:val="default"/>
    <w:sig w:usb0="00000000" w:usb1="00000000" w:usb2="00000010" w:usb3="00000000" w:csb0="00040001" w:csb1="00000000"/>
  </w:font>
  <w:font w:name="新宋体">
    <w:panose1 w:val="02010609030101010101"/>
    <w:charset w:val="86"/>
    <w:family w:val="auto"/>
    <w:pitch w:val="default"/>
    <w:sig w:usb0="00000283" w:usb1="288F0000" w:usb2="00000006" w:usb3="00000000" w:csb0="00040001" w:csb1="00000000"/>
  </w:font>
  <w:font w:name="汉鼎简中等线Arial">
    <w:altName w:val="宋体"/>
    <w:panose1 w:val="00000000000000000000"/>
    <w:charset w:val="86"/>
    <w:family w:val="auto"/>
    <w:pitch w:val="default"/>
    <w:sig w:usb0="00000000" w:usb1="00000000" w:usb2="00000010" w:usb3="00000000" w:csb0="00040000" w:csb1="00000000"/>
  </w:font>
  <w:font w:name="PMingLiU">
    <w:altName w:val="Microsoft JhengHei UI"/>
    <w:panose1 w:val="02010601000101010101"/>
    <w:charset w:val="88"/>
    <w:family w:val="auto"/>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汉鼎简大黑Arial Black">
    <w:altName w:val="宋体"/>
    <w:panose1 w:val="00000000000000000000"/>
    <w:charset w:val="86"/>
    <w:family w:val="auto"/>
    <w:pitch w:val="default"/>
    <w:sig w:usb0="00000000" w:usb1="00000000" w:usb2="0000001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长城仿宋">
    <w:altName w:val="黑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0"/>
      <w:rPr>
        <w:sz w:val="18"/>
        <w:szCs w:val="18"/>
      </w:rPr>
    </w:pPr>
    <w:r>
      <w:rPr>
        <w:rFonts w:hint="eastAsia" w:ascii="宋体" w:hAnsi="宋体"/>
        <w:sz w:val="18"/>
        <w:szCs w:val="18"/>
      </w:rPr>
      <w:t xml:space="preserve">中技建设咨询有限公司                                     电话：0731-84169659           - </w:t>
    </w:r>
    <w:r>
      <w:rPr>
        <w:rFonts w:ascii="宋体" w:hAnsi="宋体"/>
        <w:sz w:val="18"/>
        <w:szCs w:val="18"/>
      </w:rPr>
      <w:fldChar w:fldCharType="begin"/>
    </w:r>
    <w:r>
      <w:rPr>
        <w:rStyle w:val="94"/>
        <w:rFonts w:ascii="宋体" w:hAnsi="宋体"/>
        <w:sz w:val="18"/>
        <w:szCs w:val="18"/>
      </w:rPr>
      <w:instrText xml:space="preserve"> PAGE </w:instrText>
    </w:r>
    <w:r>
      <w:rPr>
        <w:rFonts w:ascii="宋体" w:hAnsi="宋体"/>
        <w:sz w:val="18"/>
        <w:szCs w:val="18"/>
      </w:rPr>
      <w:fldChar w:fldCharType="separate"/>
    </w:r>
    <w:r>
      <w:rPr>
        <w:rStyle w:val="94"/>
        <w:rFonts w:ascii="宋体" w:hAnsi="宋体"/>
        <w:sz w:val="18"/>
        <w:szCs w:val="18"/>
      </w:rPr>
      <w:t>31</w:t>
    </w:r>
    <w:r>
      <w:rPr>
        <w:rFonts w:ascii="宋体" w:hAnsi="宋体"/>
        <w:sz w:val="18"/>
        <w:szCs w:val="18"/>
      </w:rPr>
      <w:fldChar w:fldCharType="end"/>
    </w:r>
    <w:r>
      <w:rPr>
        <w:rStyle w:val="94"/>
        <w:rFonts w:hint="eastAsia" w:ascii="宋体" w:hAnsi="宋体"/>
        <w:sz w:val="18"/>
        <w:szCs w:val="18"/>
      </w:rPr>
      <w:t xml:space="preserve"> -</w:t>
    </w:r>
  </w:p>
  <w:p>
    <w:pPr>
      <w:pStyle w:val="59"/>
    </w:pPr>
    <w:r>
      <w:rPr>
        <w:rFonts w:hint="eastAsia" w:ascii="宋体" w:hAnsi="宋体"/>
      </w:rPr>
      <w:t>长沙市雨花区湘府中路117号高升金典商务楼12层            传真：0731-84169656</w:t>
    </w:r>
  </w:p>
  <w:p>
    <w:pPr>
      <w:pStyle w:val="5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0"/>
      <w:rPr>
        <w:sz w:val="18"/>
        <w:szCs w:val="18"/>
      </w:rPr>
    </w:pPr>
    <w:r>
      <w:rPr>
        <w:rFonts w:hint="eastAsia" w:ascii="宋体" w:hAnsi="宋体"/>
        <w:sz w:val="18"/>
        <w:szCs w:val="18"/>
      </w:rPr>
      <w:t xml:space="preserve">中技建设咨询有限公司                                     电话：0731-84169659                - </w:t>
    </w:r>
    <w:r>
      <w:rPr>
        <w:rFonts w:ascii="宋体" w:hAnsi="宋体"/>
        <w:sz w:val="18"/>
        <w:szCs w:val="18"/>
      </w:rPr>
      <w:fldChar w:fldCharType="begin"/>
    </w:r>
    <w:r>
      <w:rPr>
        <w:rStyle w:val="94"/>
        <w:rFonts w:ascii="宋体" w:hAnsi="宋体"/>
        <w:sz w:val="18"/>
        <w:szCs w:val="18"/>
      </w:rPr>
      <w:instrText xml:space="preserve"> PAGE </w:instrText>
    </w:r>
    <w:r>
      <w:rPr>
        <w:rFonts w:ascii="宋体" w:hAnsi="宋体"/>
        <w:sz w:val="18"/>
        <w:szCs w:val="18"/>
      </w:rPr>
      <w:fldChar w:fldCharType="separate"/>
    </w:r>
    <w:r>
      <w:rPr>
        <w:rStyle w:val="94"/>
        <w:rFonts w:ascii="宋体" w:hAnsi="宋体"/>
        <w:sz w:val="18"/>
        <w:szCs w:val="18"/>
      </w:rPr>
      <w:t>I</w:t>
    </w:r>
    <w:r>
      <w:rPr>
        <w:rFonts w:ascii="宋体" w:hAnsi="宋体"/>
        <w:sz w:val="18"/>
        <w:szCs w:val="18"/>
      </w:rPr>
      <w:fldChar w:fldCharType="end"/>
    </w:r>
    <w:r>
      <w:rPr>
        <w:rStyle w:val="94"/>
        <w:rFonts w:hint="eastAsia" w:ascii="宋体" w:hAnsi="宋体"/>
        <w:sz w:val="18"/>
        <w:szCs w:val="18"/>
      </w:rPr>
      <w:t xml:space="preserve"> -</w:t>
    </w:r>
  </w:p>
  <w:p>
    <w:pPr>
      <w:pStyle w:val="59"/>
    </w:pPr>
    <w:r>
      <w:rPr>
        <w:rFonts w:hint="eastAsia" w:ascii="宋体" w:hAnsi="宋体"/>
      </w:rPr>
      <w:t>长沙市雨花区湘府中路117号高升金典商务楼12层            传真：0731-84169656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0"/>
      <w:rPr>
        <w:sz w:val="18"/>
        <w:szCs w:val="18"/>
      </w:rPr>
    </w:pPr>
    <w:r>
      <w:rPr>
        <w:rFonts w:hint="eastAsia" w:ascii="宋体" w:hAnsi="宋体"/>
        <w:sz w:val="18"/>
        <w:szCs w:val="18"/>
      </w:rPr>
      <w:t xml:space="preserve">中技建设咨询有限公司                                     电话：0731-84169659                - </w:t>
    </w:r>
    <w:r>
      <w:rPr>
        <w:rFonts w:ascii="宋体" w:hAnsi="宋体"/>
        <w:sz w:val="18"/>
        <w:szCs w:val="18"/>
      </w:rPr>
      <w:fldChar w:fldCharType="begin"/>
    </w:r>
    <w:r>
      <w:rPr>
        <w:rStyle w:val="94"/>
        <w:rFonts w:ascii="宋体" w:hAnsi="宋体"/>
        <w:sz w:val="18"/>
        <w:szCs w:val="18"/>
      </w:rPr>
      <w:instrText xml:space="preserve"> PAGE </w:instrText>
    </w:r>
    <w:r>
      <w:rPr>
        <w:rFonts w:ascii="宋体" w:hAnsi="宋体"/>
        <w:sz w:val="18"/>
        <w:szCs w:val="18"/>
      </w:rPr>
      <w:fldChar w:fldCharType="separate"/>
    </w:r>
    <w:r>
      <w:rPr>
        <w:rStyle w:val="94"/>
        <w:rFonts w:ascii="宋体" w:hAnsi="宋体"/>
        <w:sz w:val="18"/>
        <w:szCs w:val="18"/>
      </w:rPr>
      <w:t>24</w:t>
    </w:r>
    <w:r>
      <w:rPr>
        <w:rFonts w:ascii="宋体" w:hAnsi="宋体"/>
        <w:sz w:val="18"/>
        <w:szCs w:val="18"/>
      </w:rPr>
      <w:fldChar w:fldCharType="end"/>
    </w:r>
    <w:r>
      <w:rPr>
        <w:rStyle w:val="94"/>
        <w:rFonts w:hint="eastAsia" w:ascii="宋体" w:hAnsi="宋体"/>
        <w:sz w:val="18"/>
        <w:szCs w:val="18"/>
      </w:rPr>
      <w:t xml:space="preserve"> -</w:t>
    </w:r>
  </w:p>
  <w:p>
    <w:pPr>
      <w:pStyle w:val="59"/>
    </w:pPr>
    <w:r>
      <w:rPr>
        <w:rFonts w:hint="eastAsia" w:ascii="宋体" w:hAnsi="宋体"/>
      </w:rPr>
      <w:t>长沙市雨花区湘府中路117号高升金典商务楼12层            传真：0731-84169656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0"/>
      <w:rPr>
        <w:sz w:val="18"/>
        <w:szCs w:val="18"/>
      </w:rPr>
    </w:pPr>
    <w:r>
      <w:rPr>
        <w:rFonts w:hint="eastAsia" w:ascii="宋体" w:hAnsi="宋体"/>
        <w:sz w:val="18"/>
        <w:szCs w:val="18"/>
      </w:rPr>
      <w:t xml:space="preserve">中技建设咨询有限公司                                     电话：0731-84169659                - </w:t>
    </w:r>
    <w:r>
      <w:rPr>
        <w:rFonts w:ascii="宋体" w:hAnsi="宋体"/>
        <w:sz w:val="18"/>
        <w:szCs w:val="18"/>
      </w:rPr>
      <w:fldChar w:fldCharType="begin"/>
    </w:r>
    <w:r>
      <w:rPr>
        <w:rStyle w:val="94"/>
        <w:rFonts w:ascii="宋体" w:hAnsi="宋体"/>
        <w:sz w:val="18"/>
        <w:szCs w:val="18"/>
      </w:rPr>
      <w:instrText xml:space="preserve"> PAGE </w:instrText>
    </w:r>
    <w:r>
      <w:rPr>
        <w:rFonts w:ascii="宋体" w:hAnsi="宋体"/>
        <w:sz w:val="18"/>
        <w:szCs w:val="18"/>
      </w:rPr>
      <w:fldChar w:fldCharType="separate"/>
    </w:r>
    <w:r>
      <w:rPr>
        <w:rStyle w:val="94"/>
        <w:rFonts w:ascii="宋体" w:hAnsi="宋体"/>
        <w:sz w:val="18"/>
        <w:szCs w:val="18"/>
      </w:rPr>
      <w:t>30</w:t>
    </w:r>
    <w:r>
      <w:rPr>
        <w:rFonts w:ascii="宋体" w:hAnsi="宋体"/>
        <w:sz w:val="18"/>
        <w:szCs w:val="18"/>
      </w:rPr>
      <w:fldChar w:fldCharType="end"/>
    </w:r>
    <w:r>
      <w:rPr>
        <w:rStyle w:val="94"/>
        <w:rFonts w:hint="eastAsia" w:ascii="宋体" w:hAnsi="宋体"/>
        <w:sz w:val="18"/>
        <w:szCs w:val="18"/>
      </w:rPr>
      <w:t xml:space="preserve"> -</w:t>
    </w:r>
  </w:p>
  <w:p>
    <w:pPr>
      <w:pStyle w:val="59"/>
    </w:pPr>
    <w:r>
      <w:rPr>
        <w:rFonts w:hint="eastAsia" w:ascii="宋体" w:hAnsi="宋体"/>
      </w:rPr>
      <w:t>长沙市雨花区湘府中路117号高升金典商务楼12层            传真：0731-84169656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00"/>
      <w:rPr>
        <w:sz w:val="18"/>
        <w:szCs w:val="18"/>
      </w:rPr>
    </w:pPr>
    <w:r>
      <w:rPr>
        <w:rFonts w:hint="eastAsia" w:ascii="宋体" w:hAnsi="宋体"/>
        <w:sz w:val="18"/>
        <w:szCs w:val="18"/>
      </w:rPr>
      <w:t xml:space="preserve">中技建设咨询有限公司                                     电话：0731-84169659           - </w:t>
    </w:r>
    <w:r>
      <w:rPr>
        <w:rFonts w:ascii="宋体" w:hAnsi="宋体"/>
        <w:sz w:val="18"/>
        <w:szCs w:val="18"/>
      </w:rPr>
      <w:fldChar w:fldCharType="begin"/>
    </w:r>
    <w:r>
      <w:rPr>
        <w:rStyle w:val="94"/>
        <w:rFonts w:ascii="宋体" w:hAnsi="宋体"/>
        <w:sz w:val="18"/>
        <w:szCs w:val="18"/>
      </w:rPr>
      <w:instrText xml:space="preserve"> PAGE </w:instrText>
    </w:r>
    <w:r>
      <w:rPr>
        <w:rFonts w:ascii="宋体" w:hAnsi="宋体"/>
        <w:sz w:val="18"/>
        <w:szCs w:val="18"/>
      </w:rPr>
      <w:fldChar w:fldCharType="separate"/>
    </w:r>
    <w:r>
      <w:rPr>
        <w:rStyle w:val="94"/>
        <w:rFonts w:ascii="宋体" w:hAnsi="宋体"/>
        <w:sz w:val="18"/>
        <w:szCs w:val="18"/>
      </w:rPr>
      <w:t>115</w:t>
    </w:r>
    <w:r>
      <w:rPr>
        <w:rFonts w:ascii="宋体" w:hAnsi="宋体"/>
        <w:sz w:val="18"/>
        <w:szCs w:val="18"/>
      </w:rPr>
      <w:fldChar w:fldCharType="end"/>
    </w:r>
    <w:r>
      <w:rPr>
        <w:rStyle w:val="94"/>
        <w:rFonts w:hint="eastAsia" w:ascii="宋体" w:hAnsi="宋体"/>
        <w:sz w:val="18"/>
        <w:szCs w:val="18"/>
      </w:rPr>
      <w:t xml:space="preserve"> -</w:t>
    </w:r>
  </w:p>
  <w:p>
    <w:pPr>
      <w:pStyle w:val="59"/>
    </w:pPr>
    <w:r>
      <w:rPr>
        <w:rFonts w:hint="eastAsia" w:ascii="宋体" w:hAnsi="宋体"/>
      </w:rPr>
      <w:t>长沙市雨花区湘府中路117号高升金典商务楼12层            传真：0731-84169656</w:t>
    </w:r>
  </w:p>
  <w:p>
    <w:pPr>
      <w:pStyle w:val="59"/>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jc w:val="both"/>
    </w:pPr>
    <w:r>
      <w:rPr>
        <w:rFonts w:hint="eastAsia" w:ascii="仿宋" w:hAnsi="仿宋" w:eastAsia="仿宋"/>
        <w:b/>
        <w:i/>
      </w:rPr>
      <w:t>中南大学湘雅二医院疑难病症诊治能力提升工程（心血管方向）业务用房改造标段七：心血管领域洁净手术室6-13间相关配套用房改造工程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Bdr>
        <w:bottom w:val="thickThinSmallGap" w:color="auto" w:sz="12" w:space="0"/>
      </w:pBdr>
      <w:jc w:val="left"/>
      <w:rPr>
        <w:rFonts w:ascii="仿宋" w:hAnsi="仿宋" w:eastAsia="仿宋"/>
        <w:b/>
        <w:i/>
      </w:rPr>
    </w:pPr>
    <w:r>
      <w:rPr>
        <w:rFonts w:hint="eastAsia" w:ascii="仿宋" w:hAnsi="仿宋" w:eastAsia="仿宋"/>
        <w:b/>
        <w:i/>
      </w:rPr>
      <w:t xml:space="preserve">中南大学湘雅二医院疑难病症诊治能力提升工程（心血管方向）业务用房改造标段七：心血管领域洁净手术室6-13间相关配套用房改造工程                                                           竞争性磋商文件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jc w:val="both"/>
    </w:pPr>
    <w:r>
      <w:rPr>
        <w:rFonts w:hint="eastAsia" w:ascii="仿宋" w:hAnsi="仿宋" w:eastAsia="仿宋"/>
        <w:b/>
        <w:i/>
      </w:rPr>
      <w:t>中南大学湘雅二医院疑难病症诊治能力提升工程（心血管方向）业务用房改造标段七：心血管领域洁净手术室6-13间相关配套用房改造工程                                             竞争性磋商文件</w:t>
    </w:r>
  </w:p>
  <w:p>
    <w:pPr>
      <w:pStyle w:val="6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jc w:val="both"/>
    </w:pPr>
    <w:r>
      <w:rPr>
        <w:rFonts w:hint="eastAsia" w:ascii="仿宋" w:hAnsi="仿宋" w:eastAsia="仿宋"/>
        <w:b/>
        <w:i/>
      </w:rPr>
      <w:t>中南大学湘雅二医院疑难病症诊治能力提升工程（心血管方向）业务用房改造标段七：心血管领域洁净手术室6-13间相关配套用房改造工程                                             竞争性磋商文件</w:t>
    </w:r>
  </w:p>
  <w:p>
    <w:pPr>
      <w:pStyle w:val="61"/>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jc w:val="both"/>
    </w:pPr>
    <w:r>
      <w:rPr>
        <w:rFonts w:hint="eastAsia" w:ascii="仿宋" w:hAnsi="仿宋" w:eastAsia="仿宋"/>
        <w:b/>
        <w:i/>
      </w:rPr>
      <w:t>中南大学湘雅二医院疑难病症诊治能力提升工程（心血管方向）业务用房改造标段七：心血管领域洁净手术室6-13间相关配套用房改造工程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jc w:val="both"/>
    </w:pPr>
    <w:r>
      <w:rPr>
        <w:rFonts w:hint="eastAsia" w:ascii="仿宋" w:hAnsi="仿宋" w:eastAsia="仿宋"/>
        <w:b/>
        <w:i/>
      </w:rPr>
      <w:t>中南大学湘雅二医院疑难病症诊治能力提升工程（心血管方向）业务用房改造标段七：心血管领域洁净手术室6-13间相关配套用房改造工程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8F70B2"/>
    <w:multiLevelType w:val="singleLevel"/>
    <w:tmpl w:val="C28F70B2"/>
    <w:lvl w:ilvl="0" w:tentative="0">
      <w:start w:val="1"/>
      <w:numFmt w:val="decimal"/>
      <w:suff w:val="space"/>
      <w:lvlText w:val="%1)"/>
      <w:lvlJc w:val="left"/>
    </w:lvl>
  </w:abstractNum>
  <w:abstractNum w:abstractNumId="1">
    <w:nsid w:val="0C4B4B76"/>
    <w:multiLevelType w:val="multilevel"/>
    <w:tmpl w:val="0C4B4B76"/>
    <w:lvl w:ilvl="0" w:tentative="0">
      <w:start w:val="1"/>
      <w:numFmt w:val="decimal"/>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2">
    <w:nsid w:val="21ED2BA3"/>
    <w:multiLevelType w:val="multilevel"/>
    <w:tmpl w:val="21ED2BA3"/>
    <w:lvl w:ilvl="0" w:tentative="0">
      <w:start w:val="1"/>
      <w:numFmt w:val="decimal"/>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3">
    <w:nsid w:val="26E71636"/>
    <w:multiLevelType w:val="multilevel"/>
    <w:tmpl w:val="26E71636"/>
    <w:lvl w:ilvl="0" w:tentative="0">
      <w:start w:val="1"/>
      <w:numFmt w:val="decimal"/>
      <w:lvlText w:val="%1)"/>
      <w:lvlJc w:val="left"/>
      <w:pPr>
        <w:ind w:left="880" w:hanging="420"/>
      </w:pPr>
    </w:lvl>
    <w:lvl w:ilvl="1" w:tentative="0">
      <w:start w:val="1"/>
      <w:numFmt w:val="lowerLetter"/>
      <w:lvlText w:val="%2)"/>
      <w:lvlJc w:val="left"/>
      <w:pPr>
        <w:ind w:left="1300" w:hanging="420"/>
      </w:pPr>
    </w:lvl>
    <w:lvl w:ilvl="2" w:tentative="0">
      <w:start w:val="1"/>
      <w:numFmt w:val="lowerRoman"/>
      <w:lvlText w:val="%3."/>
      <w:lvlJc w:val="right"/>
      <w:pPr>
        <w:ind w:left="1720" w:hanging="420"/>
      </w:pPr>
    </w:lvl>
    <w:lvl w:ilvl="3" w:tentative="0">
      <w:start w:val="1"/>
      <w:numFmt w:val="decimal"/>
      <w:lvlText w:val="%4."/>
      <w:lvlJc w:val="left"/>
      <w:pPr>
        <w:ind w:left="2140" w:hanging="420"/>
      </w:pPr>
    </w:lvl>
    <w:lvl w:ilvl="4" w:tentative="0">
      <w:start w:val="1"/>
      <w:numFmt w:val="lowerLetter"/>
      <w:lvlText w:val="%5)"/>
      <w:lvlJc w:val="left"/>
      <w:pPr>
        <w:ind w:left="2560" w:hanging="420"/>
      </w:pPr>
    </w:lvl>
    <w:lvl w:ilvl="5" w:tentative="0">
      <w:start w:val="1"/>
      <w:numFmt w:val="lowerRoman"/>
      <w:lvlText w:val="%6."/>
      <w:lvlJc w:val="right"/>
      <w:pPr>
        <w:ind w:left="2980" w:hanging="420"/>
      </w:pPr>
    </w:lvl>
    <w:lvl w:ilvl="6" w:tentative="0">
      <w:start w:val="1"/>
      <w:numFmt w:val="decimal"/>
      <w:lvlText w:val="%7."/>
      <w:lvlJc w:val="left"/>
      <w:pPr>
        <w:ind w:left="3400" w:hanging="420"/>
      </w:pPr>
    </w:lvl>
    <w:lvl w:ilvl="7" w:tentative="0">
      <w:start w:val="1"/>
      <w:numFmt w:val="lowerLetter"/>
      <w:lvlText w:val="%8)"/>
      <w:lvlJc w:val="left"/>
      <w:pPr>
        <w:ind w:left="3820" w:hanging="420"/>
      </w:pPr>
    </w:lvl>
    <w:lvl w:ilvl="8" w:tentative="0">
      <w:start w:val="1"/>
      <w:numFmt w:val="lowerRoman"/>
      <w:lvlText w:val="%9."/>
      <w:lvlJc w:val="right"/>
      <w:pPr>
        <w:ind w:left="4240" w:hanging="420"/>
      </w:pPr>
    </w:lvl>
  </w:abstractNum>
  <w:abstractNum w:abstractNumId="4">
    <w:nsid w:val="27535A67"/>
    <w:multiLevelType w:val="multilevel"/>
    <w:tmpl w:val="27535A67"/>
    <w:lvl w:ilvl="0" w:tentative="0">
      <w:start w:val="1"/>
      <w:numFmt w:val="decimal"/>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5">
    <w:nsid w:val="287E2D18"/>
    <w:multiLevelType w:val="multilevel"/>
    <w:tmpl w:val="287E2D18"/>
    <w:lvl w:ilvl="0" w:tentative="0">
      <w:start w:val="1"/>
      <w:numFmt w:val="decimal"/>
      <w:lvlText w:val="%1、"/>
      <w:lvlJc w:val="left"/>
      <w:pPr>
        <w:ind w:left="784" w:hanging="360"/>
      </w:pPr>
      <w:rPr>
        <w:rFonts w:hint="default"/>
      </w:rPr>
    </w:lvl>
    <w:lvl w:ilvl="1" w:tentative="0">
      <w:start w:val="1"/>
      <w:numFmt w:val="lowerLetter"/>
      <w:lvlText w:val="%2．"/>
      <w:lvlJc w:val="left"/>
      <w:pPr>
        <w:ind w:left="1264" w:hanging="420"/>
      </w:pPr>
      <w:rPr>
        <w:rFonts w:hint="default"/>
      </w:r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6">
    <w:nsid w:val="2EC324D4"/>
    <w:multiLevelType w:val="multilevel"/>
    <w:tmpl w:val="2EC324D4"/>
    <w:lvl w:ilvl="0" w:tentative="0">
      <w:start w:val="1"/>
      <w:numFmt w:val="chineseCountingThousand"/>
      <w:lvlText w:val="第%1章 "/>
      <w:lvlJc w:val="center"/>
      <w:pPr>
        <w:tabs>
          <w:tab w:val="left" w:pos="-284"/>
        </w:tabs>
        <w:ind w:left="-284" w:firstLine="284"/>
      </w:pPr>
      <w:rPr>
        <w:rFonts w:hint="default"/>
      </w:rPr>
    </w:lvl>
    <w:lvl w:ilvl="1" w:tentative="0">
      <w:start w:val="1"/>
      <w:numFmt w:val="chineseCountingThousand"/>
      <w:lvlText w:val="%2、"/>
      <w:lvlJc w:val="left"/>
      <w:pPr>
        <w:tabs>
          <w:tab w:val="left" w:pos="-284"/>
        </w:tabs>
        <w:ind w:left="-284" w:firstLine="0"/>
      </w:pPr>
      <w:rPr>
        <w:rFonts w:hint="eastAsia" w:ascii="黑体" w:hAnsi="宋体" w:eastAsia="黑体"/>
        <w:b w:val="0"/>
        <w:i w:val="0"/>
        <w:spacing w:val="0"/>
        <w:sz w:val="24"/>
        <w:szCs w:val="24"/>
      </w:rPr>
    </w:lvl>
    <w:lvl w:ilvl="2" w:tentative="0">
      <w:start w:val="1"/>
      <w:numFmt w:val="lowerRoman"/>
      <w:lvlText w:val="%3."/>
      <w:lvlJc w:val="right"/>
      <w:pPr>
        <w:tabs>
          <w:tab w:val="left" w:pos="976"/>
        </w:tabs>
        <w:ind w:left="976" w:hanging="420"/>
      </w:pPr>
      <w:rPr>
        <w:rFonts w:hint="eastAsia"/>
      </w:rPr>
    </w:lvl>
    <w:lvl w:ilvl="3" w:tentative="0">
      <w:start w:val="1"/>
      <w:numFmt w:val="decimal"/>
      <w:lvlText w:val="%4."/>
      <w:lvlJc w:val="left"/>
      <w:pPr>
        <w:tabs>
          <w:tab w:val="left" w:pos="1396"/>
        </w:tabs>
        <w:ind w:left="1396" w:hanging="420"/>
      </w:pPr>
      <w:rPr>
        <w:rFonts w:hint="eastAsia"/>
      </w:rPr>
    </w:lvl>
    <w:lvl w:ilvl="4" w:tentative="0">
      <w:start w:val="1"/>
      <w:numFmt w:val="lowerLetter"/>
      <w:lvlText w:val="%5)"/>
      <w:lvlJc w:val="left"/>
      <w:pPr>
        <w:tabs>
          <w:tab w:val="left" w:pos="1816"/>
        </w:tabs>
        <w:ind w:left="1816" w:hanging="420"/>
      </w:pPr>
      <w:rPr>
        <w:rFonts w:hint="eastAsia"/>
      </w:rPr>
    </w:lvl>
    <w:lvl w:ilvl="5" w:tentative="0">
      <w:start w:val="1"/>
      <w:numFmt w:val="lowerRoman"/>
      <w:lvlText w:val="%6."/>
      <w:lvlJc w:val="right"/>
      <w:pPr>
        <w:tabs>
          <w:tab w:val="left" w:pos="2236"/>
        </w:tabs>
        <w:ind w:left="2236" w:hanging="420"/>
      </w:pPr>
      <w:rPr>
        <w:rFonts w:hint="eastAsia"/>
      </w:rPr>
    </w:lvl>
    <w:lvl w:ilvl="6" w:tentative="0">
      <w:start w:val="1"/>
      <w:numFmt w:val="decimal"/>
      <w:lvlText w:val="%7."/>
      <w:lvlJc w:val="left"/>
      <w:pPr>
        <w:tabs>
          <w:tab w:val="left" w:pos="2656"/>
        </w:tabs>
        <w:ind w:left="2656" w:hanging="420"/>
      </w:pPr>
      <w:rPr>
        <w:rFonts w:hint="eastAsia"/>
      </w:rPr>
    </w:lvl>
    <w:lvl w:ilvl="7" w:tentative="0">
      <w:start w:val="1"/>
      <w:numFmt w:val="lowerLetter"/>
      <w:lvlText w:val="%8)"/>
      <w:lvlJc w:val="left"/>
      <w:pPr>
        <w:tabs>
          <w:tab w:val="left" w:pos="3076"/>
        </w:tabs>
        <w:ind w:left="3076" w:hanging="420"/>
      </w:pPr>
      <w:rPr>
        <w:rFonts w:hint="eastAsia"/>
      </w:rPr>
    </w:lvl>
    <w:lvl w:ilvl="8" w:tentative="0">
      <w:start w:val="1"/>
      <w:numFmt w:val="lowerRoman"/>
      <w:lvlText w:val="%9."/>
      <w:lvlJc w:val="right"/>
      <w:pPr>
        <w:tabs>
          <w:tab w:val="left" w:pos="3496"/>
        </w:tabs>
        <w:ind w:left="3496" w:hanging="420"/>
      </w:pPr>
      <w:rPr>
        <w:rFonts w:hint="eastAsia"/>
      </w:rPr>
    </w:lvl>
  </w:abstractNum>
  <w:abstractNum w:abstractNumId="7">
    <w:nsid w:val="390532BB"/>
    <w:multiLevelType w:val="multilevel"/>
    <w:tmpl w:val="390532BB"/>
    <w:lvl w:ilvl="0" w:tentative="0">
      <w:start w:val="1"/>
      <w:numFmt w:val="decimal"/>
      <w:lvlText w:val="%1、"/>
      <w:lvlJc w:val="left"/>
      <w:pPr>
        <w:ind w:left="784" w:hanging="360"/>
      </w:pPr>
      <w:rPr>
        <w:rFonts w:hint="default"/>
      </w:rPr>
    </w:lvl>
    <w:lvl w:ilvl="1" w:tentative="0">
      <w:start w:val="1"/>
      <w:numFmt w:val="decimal"/>
      <w:lvlText w:val="%2)"/>
      <w:lvlJc w:val="left"/>
      <w:pPr>
        <w:ind w:left="1264" w:hanging="420"/>
      </w:pPr>
      <w:rPr>
        <w:rFonts w:hint="default"/>
      </w:r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8">
    <w:nsid w:val="405A0C15"/>
    <w:multiLevelType w:val="multilevel"/>
    <w:tmpl w:val="405A0C15"/>
    <w:lvl w:ilvl="0" w:tentative="0">
      <w:start w:val="1"/>
      <w:numFmt w:val="lowerLetter"/>
      <w:lvlText w:val="%1)"/>
      <w:lvlJc w:val="left"/>
      <w:pPr>
        <w:ind w:left="502" w:hanging="360"/>
      </w:pPr>
      <w:rPr>
        <w:rFonts w:hint="default"/>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9">
    <w:nsid w:val="42EC28DF"/>
    <w:multiLevelType w:val="multilevel"/>
    <w:tmpl w:val="42EC28DF"/>
    <w:lvl w:ilvl="0" w:tentative="0">
      <w:start w:val="1"/>
      <w:numFmt w:val="decimal"/>
      <w:lvlText w:val="%1)"/>
      <w:lvlJc w:val="left"/>
      <w:pPr>
        <w:ind w:left="784" w:hanging="360"/>
      </w:pPr>
      <w:rPr>
        <w:rFonts w:hint="default"/>
      </w:rPr>
    </w:lvl>
    <w:lvl w:ilvl="1" w:tentative="0">
      <w:start w:val="1"/>
      <w:numFmt w:val="lowerLetter"/>
      <w:lvlText w:val="%2．"/>
      <w:lvlJc w:val="left"/>
      <w:pPr>
        <w:ind w:left="1264" w:hanging="420"/>
      </w:pPr>
      <w:rPr>
        <w:rFonts w:hint="default"/>
      </w:r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10">
    <w:nsid w:val="64E08F39"/>
    <w:multiLevelType w:val="singleLevel"/>
    <w:tmpl w:val="64E08F39"/>
    <w:lvl w:ilvl="0" w:tentative="0">
      <w:start w:val="1"/>
      <w:numFmt w:val="decimal"/>
      <w:lvlText w:val="%1)"/>
      <w:lvlJc w:val="left"/>
      <w:pPr>
        <w:ind w:left="425" w:hanging="425"/>
      </w:pPr>
      <w:rPr>
        <w:rFonts w:hint="default"/>
      </w:rPr>
    </w:lvl>
  </w:abstractNum>
  <w:abstractNum w:abstractNumId="11">
    <w:nsid w:val="6D117F6D"/>
    <w:multiLevelType w:val="multilevel"/>
    <w:tmpl w:val="6D117F6D"/>
    <w:lvl w:ilvl="0" w:tentative="0">
      <w:start w:val="1"/>
      <w:numFmt w:val="decimal"/>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12">
    <w:nsid w:val="6EC83205"/>
    <w:multiLevelType w:val="multilevel"/>
    <w:tmpl w:val="6EC83205"/>
    <w:lvl w:ilvl="0" w:tentative="0">
      <w:start w:val="1"/>
      <w:numFmt w:val="decimal"/>
      <w:lvlText w:val="%1. "/>
      <w:lvlJc w:val="left"/>
      <w:pPr>
        <w:tabs>
          <w:tab w:val="left" w:pos="0"/>
        </w:tabs>
        <w:ind w:left="329" w:hanging="329"/>
      </w:pPr>
      <w:rPr>
        <w:rFonts w:hint="eastAsia" w:ascii="宋体" w:hAnsi="宋体" w:eastAsia="宋体"/>
        <w:b w:val="0"/>
        <w:i w:val="0"/>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3">
    <w:nsid w:val="73C93454"/>
    <w:multiLevelType w:val="multilevel"/>
    <w:tmpl w:val="73C93454"/>
    <w:lvl w:ilvl="0" w:tentative="0">
      <w:start w:val="1"/>
      <w:numFmt w:val="chineseCountingThousand"/>
      <w:suff w:val="nothing"/>
      <w:lvlText w:val="%1、"/>
      <w:lvlJc w:val="left"/>
      <w:pPr>
        <w:ind w:left="126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12"/>
  </w:num>
  <w:num w:numId="3">
    <w:abstractNumId w:val="10"/>
  </w:num>
  <w:num w:numId="4">
    <w:abstractNumId w:val="0"/>
  </w:num>
  <w:num w:numId="5">
    <w:abstractNumId w:val="5"/>
  </w:num>
  <w:num w:numId="6">
    <w:abstractNumId w:val="4"/>
  </w:num>
  <w:num w:numId="7">
    <w:abstractNumId w:val="2"/>
  </w:num>
  <w:num w:numId="8">
    <w:abstractNumId w:val="11"/>
  </w:num>
  <w:num w:numId="9">
    <w:abstractNumId w:val="7"/>
  </w:num>
  <w:num w:numId="10">
    <w:abstractNumId w:val="1"/>
  </w:num>
  <w:num w:numId="11">
    <w:abstractNumId w:val="8"/>
  </w:num>
  <w:num w:numId="12">
    <w:abstractNumId w:val="9"/>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gutterAtTop/>
  <w:hideSpellingErrors/>
  <w:trackRevisions w:val="1"/>
  <w:documentProtection w:enforcement="0"/>
  <w:defaultTabStop w:val="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JjNmU0YTgxMjY5ZWE3YzJhNTEwODA3NWQ2NzI1NmMifQ=="/>
  </w:docVars>
  <w:rsids>
    <w:rsidRoot w:val="00172A27"/>
    <w:rsid w:val="0000015C"/>
    <w:rsid w:val="000005C3"/>
    <w:rsid w:val="00003652"/>
    <w:rsid w:val="0002195E"/>
    <w:rsid w:val="0003064D"/>
    <w:rsid w:val="00030C32"/>
    <w:rsid w:val="0003134E"/>
    <w:rsid w:val="000356D9"/>
    <w:rsid w:val="00065E99"/>
    <w:rsid w:val="000674AB"/>
    <w:rsid w:val="00072B64"/>
    <w:rsid w:val="00083F95"/>
    <w:rsid w:val="00090D8F"/>
    <w:rsid w:val="000C1802"/>
    <w:rsid w:val="000D177F"/>
    <w:rsid w:val="000D5615"/>
    <w:rsid w:val="000E2EA9"/>
    <w:rsid w:val="000E648D"/>
    <w:rsid w:val="000E67DA"/>
    <w:rsid w:val="00114D6C"/>
    <w:rsid w:val="00117487"/>
    <w:rsid w:val="001203F2"/>
    <w:rsid w:val="0013235A"/>
    <w:rsid w:val="00134206"/>
    <w:rsid w:val="00134447"/>
    <w:rsid w:val="00135A5C"/>
    <w:rsid w:val="00136F88"/>
    <w:rsid w:val="00146347"/>
    <w:rsid w:val="00172A27"/>
    <w:rsid w:val="001763D1"/>
    <w:rsid w:val="001861BB"/>
    <w:rsid w:val="001902C0"/>
    <w:rsid w:val="001A012F"/>
    <w:rsid w:val="001A4C17"/>
    <w:rsid w:val="001C40ED"/>
    <w:rsid w:val="001D19CA"/>
    <w:rsid w:val="001E6497"/>
    <w:rsid w:val="001F1CC5"/>
    <w:rsid w:val="002124F5"/>
    <w:rsid w:val="00217FB7"/>
    <w:rsid w:val="002266A7"/>
    <w:rsid w:val="0022734A"/>
    <w:rsid w:val="00244C90"/>
    <w:rsid w:val="00244D9C"/>
    <w:rsid w:val="00265E84"/>
    <w:rsid w:val="0028102A"/>
    <w:rsid w:val="00282243"/>
    <w:rsid w:val="00282C75"/>
    <w:rsid w:val="00290021"/>
    <w:rsid w:val="002910E6"/>
    <w:rsid w:val="002A61D0"/>
    <w:rsid w:val="002A6AA5"/>
    <w:rsid w:val="002A6B1F"/>
    <w:rsid w:val="002B0A7B"/>
    <w:rsid w:val="002B566E"/>
    <w:rsid w:val="002D1F11"/>
    <w:rsid w:val="002D72EA"/>
    <w:rsid w:val="002D7D08"/>
    <w:rsid w:val="002E2BDA"/>
    <w:rsid w:val="002E578E"/>
    <w:rsid w:val="002F2178"/>
    <w:rsid w:val="00304C18"/>
    <w:rsid w:val="00335E68"/>
    <w:rsid w:val="00346977"/>
    <w:rsid w:val="00351625"/>
    <w:rsid w:val="00353372"/>
    <w:rsid w:val="003566F8"/>
    <w:rsid w:val="003706B3"/>
    <w:rsid w:val="003742C7"/>
    <w:rsid w:val="003A2535"/>
    <w:rsid w:val="003B32AC"/>
    <w:rsid w:val="003B3BB0"/>
    <w:rsid w:val="003C50AC"/>
    <w:rsid w:val="003D6123"/>
    <w:rsid w:val="003F3475"/>
    <w:rsid w:val="003F7137"/>
    <w:rsid w:val="00403247"/>
    <w:rsid w:val="00405997"/>
    <w:rsid w:val="0042104A"/>
    <w:rsid w:val="004277E1"/>
    <w:rsid w:val="00430E92"/>
    <w:rsid w:val="004367FA"/>
    <w:rsid w:val="00436A4E"/>
    <w:rsid w:val="00436E51"/>
    <w:rsid w:val="004378A6"/>
    <w:rsid w:val="00442922"/>
    <w:rsid w:val="00447164"/>
    <w:rsid w:val="004614BC"/>
    <w:rsid w:val="004720DB"/>
    <w:rsid w:val="00476C4A"/>
    <w:rsid w:val="00485508"/>
    <w:rsid w:val="00485F0A"/>
    <w:rsid w:val="004968A9"/>
    <w:rsid w:val="004B2D56"/>
    <w:rsid w:val="004B3018"/>
    <w:rsid w:val="004B4F1C"/>
    <w:rsid w:val="004B7790"/>
    <w:rsid w:val="004D0C00"/>
    <w:rsid w:val="004D3755"/>
    <w:rsid w:val="004E0BD9"/>
    <w:rsid w:val="004F5EF6"/>
    <w:rsid w:val="00504605"/>
    <w:rsid w:val="00505363"/>
    <w:rsid w:val="00513CD6"/>
    <w:rsid w:val="00524D0E"/>
    <w:rsid w:val="005363AA"/>
    <w:rsid w:val="00544566"/>
    <w:rsid w:val="00545982"/>
    <w:rsid w:val="00546BB4"/>
    <w:rsid w:val="00553432"/>
    <w:rsid w:val="00555E5D"/>
    <w:rsid w:val="005611A6"/>
    <w:rsid w:val="005615A8"/>
    <w:rsid w:val="0059103A"/>
    <w:rsid w:val="0059214A"/>
    <w:rsid w:val="005B0629"/>
    <w:rsid w:val="005B3AD2"/>
    <w:rsid w:val="005B5F4D"/>
    <w:rsid w:val="005B6682"/>
    <w:rsid w:val="005D0431"/>
    <w:rsid w:val="0061056E"/>
    <w:rsid w:val="00611AF9"/>
    <w:rsid w:val="00621C63"/>
    <w:rsid w:val="0063591C"/>
    <w:rsid w:val="006447B1"/>
    <w:rsid w:val="00647FF2"/>
    <w:rsid w:val="00651A6E"/>
    <w:rsid w:val="006726CE"/>
    <w:rsid w:val="00681A88"/>
    <w:rsid w:val="00690B05"/>
    <w:rsid w:val="00697818"/>
    <w:rsid w:val="006A1077"/>
    <w:rsid w:val="006D5695"/>
    <w:rsid w:val="006E2F9A"/>
    <w:rsid w:val="00700657"/>
    <w:rsid w:val="00722599"/>
    <w:rsid w:val="00742554"/>
    <w:rsid w:val="00743016"/>
    <w:rsid w:val="00767F71"/>
    <w:rsid w:val="00771A77"/>
    <w:rsid w:val="00782645"/>
    <w:rsid w:val="00794019"/>
    <w:rsid w:val="00795068"/>
    <w:rsid w:val="007B099E"/>
    <w:rsid w:val="007D678F"/>
    <w:rsid w:val="007E4E00"/>
    <w:rsid w:val="007E68D9"/>
    <w:rsid w:val="007F0D5C"/>
    <w:rsid w:val="008333D7"/>
    <w:rsid w:val="00841420"/>
    <w:rsid w:val="00846562"/>
    <w:rsid w:val="00846658"/>
    <w:rsid w:val="00863762"/>
    <w:rsid w:val="00873651"/>
    <w:rsid w:val="008A4DC9"/>
    <w:rsid w:val="008B4DB2"/>
    <w:rsid w:val="008D34D3"/>
    <w:rsid w:val="008D5B74"/>
    <w:rsid w:val="008F3B13"/>
    <w:rsid w:val="008F4CCE"/>
    <w:rsid w:val="00914248"/>
    <w:rsid w:val="00915CD3"/>
    <w:rsid w:val="009303FE"/>
    <w:rsid w:val="00932D3F"/>
    <w:rsid w:val="00950524"/>
    <w:rsid w:val="0096778B"/>
    <w:rsid w:val="00975941"/>
    <w:rsid w:val="00976A2E"/>
    <w:rsid w:val="00980699"/>
    <w:rsid w:val="0098662E"/>
    <w:rsid w:val="00991690"/>
    <w:rsid w:val="00994C3B"/>
    <w:rsid w:val="00997625"/>
    <w:rsid w:val="009C50C1"/>
    <w:rsid w:val="009C7E89"/>
    <w:rsid w:val="009D53DD"/>
    <w:rsid w:val="009F0300"/>
    <w:rsid w:val="009F2A81"/>
    <w:rsid w:val="00A02CC0"/>
    <w:rsid w:val="00A13F29"/>
    <w:rsid w:val="00A25914"/>
    <w:rsid w:val="00A3038C"/>
    <w:rsid w:val="00A4400F"/>
    <w:rsid w:val="00A72D4B"/>
    <w:rsid w:val="00A75F22"/>
    <w:rsid w:val="00A96F4E"/>
    <w:rsid w:val="00A97792"/>
    <w:rsid w:val="00AA1213"/>
    <w:rsid w:val="00AA329D"/>
    <w:rsid w:val="00AB2FAC"/>
    <w:rsid w:val="00AC2E41"/>
    <w:rsid w:val="00AC7819"/>
    <w:rsid w:val="00AD3290"/>
    <w:rsid w:val="00AE6FE0"/>
    <w:rsid w:val="00AF5E50"/>
    <w:rsid w:val="00B02A3F"/>
    <w:rsid w:val="00B17EBB"/>
    <w:rsid w:val="00B20986"/>
    <w:rsid w:val="00B212F7"/>
    <w:rsid w:val="00B269D2"/>
    <w:rsid w:val="00B26EE8"/>
    <w:rsid w:val="00B33E2B"/>
    <w:rsid w:val="00B35639"/>
    <w:rsid w:val="00B55884"/>
    <w:rsid w:val="00B87B43"/>
    <w:rsid w:val="00B93786"/>
    <w:rsid w:val="00BA7585"/>
    <w:rsid w:val="00BC3E99"/>
    <w:rsid w:val="00BC4D4F"/>
    <w:rsid w:val="00BD00AF"/>
    <w:rsid w:val="00BE017B"/>
    <w:rsid w:val="00C03BAA"/>
    <w:rsid w:val="00C06408"/>
    <w:rsid w:val="00C114FC"/>
    <w:rsid w:val="00C16352"/>
    <w:rsid w:val="00C277E4"/>
    <w:rsid w:val="00C33F0B"/>
    <w:rsid w:val="00C401B7"/>
    <w:rsid w:val="00C72306"/>
    <w:rsid w:val="00C81F14"/>
    <w:rsid w:val="00C8285E"/>
    <w:rsid w:val="00C87AE7"/>
    <w:rsid w:val="00CA6F4E"/>
    <w:rsid w:val="00CC1BC4"/>
    <w:rsid w:val="00CC74B6"/>
    <w:rsid w:val="00CD2638"/>
    <w:rsid w:val="00CE434C"/>
    <w:rsid w:val="00CE5FCD"/>
    <w:rsid w:val="00CF7086"/>
    <w:rsid w:val="00D02860"/>
    <w:rsid w:val="00D10414"/>
    <w:rsid w:val="00D10452"/>
    <w:rsid w:val="00D37733"/>
    <w:rsid w:val="00D4161E"/>
    <w:rsid w:val="00D41A5C"/>
    <w:rsid w:val="00D425BB"/>
    <w:rsid w:val="00D45CAE"/>
    <w:rsid w:val="00D5210B"/>
    <w:rsid w:val="00D8545D"/>
    <w:rsid w:val="00D90C6A"/>
    <w:rsid w:val="00D912F8"/>
    <w:rsid w:val="00D91753"/>
    <w:rsid w:val="00D920A2"/>
    <w:rsid w:val="00DA1590"/>
    <w:rsid w:val="00DB1E14"/>
    <w:rsid w:val="00DB7900"/>
    <w:rsid w:val="00DC0A64"/>
    <w:rsid w:val="00DD6CBC"/>
    <w:rsid w:val="00E05F90"/>
    <w:rsid w:val="00E07490"/>
    <w:rsid w:val="00E10BA0"/>
    <w:rsid w:val="00E31560"/>
    <w:rsid w:val="00E32CBD"/>
    <w:rsid w:val="00E36D19"/>
    <w:rsid w:val="00E37363"/>
    <w:rsid w:val="00E4259E"/>
    <w:rsid w:val="00E45543"/>
    <w:rsid w:val="00E52CFE"/>
    <w:rsid w:val="00E54CEB"/>
    <w:rsid w:val="00E65F57"/>
    <w:rsid w:val="00E8330E"/>
    <w:rsid w:val="00E93449"/>
    <w:rsid w:val="00EA3DAF"/>
    <w:rsid w:val="00EA4788"/>
    <w:rsid w:val="00EA4F36"/>
    <w:rsid w:val="00EB441B"/>
    <w:rsid w:val="00EB4B11"/>
    <w:rsid w:val="00EC3053"/>
    <w:rsid w:val="00EC44FA"/>
    <w:rsid w:val="00EC6E9A"/>
    <w:rsid w:val="00ED33FB"/>
    <w:rsid w:val="00EE6537"/>
    <w:rsid w:val="00F12DEF"/>
    <w:rsid w:val="00F208B7"/>
    <w:rsid w:val="00F21CDB"/>
    <w:rsid w:val="00F269DE"/>
    <w:rsid w:val="00F460B3"/>
    <w:rsid w:val="00F540AD"/>
    <w:rsid w:val="00F667F7"/>
    <w:rsid w:val="00F66C02"/>
    <w:rsid w:val="00F76C1D"/>
    <w:rsid w:val="00F813FC"/>
    <w:rsid w:val="00F85B5E"/>
    <w:rsid w:val="00F8662F"/>
    <w:rsid w:val="00F949C9"/>
    <w:rsid w:val="00F96A71"/>
    <w:rsid w:val="00FA5CA7"/>
    <w:rsid w:val="00FB0D9C"/>
    <w:rsid w:val="00FB7C30"/>
    <w:rsid w:val="00FD3490"/>
    <w:rsid w:val="00FE08FB"/>
    <w:rsid w:val="00FF33B2"/>
    <w:rsid w:val="0106655D"/>
    <w:rsid w:val="010C1394"/>
    <w:rsid w:val="01204455"/>
    <w:rsid w:val="0137501D"/>
    <w:rsid w:val="013D4B60"/>
    <w:rsid w:val="01A249C3"/>
    <w:rsid w:val="01B03597"/>
    <w:rsid w:val="01EA0118"/>
    <w:rsid w:val="01F11CD4"/>
    <w:rsid w:val="020E7C68"/>
    <w:rsid w:val="02287835"/>
    <w:rsid w:val="02554B69"/>
    <w:rsid w:val="02777BFD"/>
    <w:rsid w:val="028F5F20"/>
    <w:rsid w:val="02F11A83"/>
    <w:rsid w:val="034D0AF8"/>
    <w:rsid w:val="038A1BB2"/>
    <w:rsid w:val="03A644DC"/>
    <w:rsid w:val="03B804CE"/>
    <w:rsid w:val="03EE320A"/>
    <w:rsid w:val="040F37B3"/>
    <w:rsid w:val="046C496E"/>
    <w:rsid w:val="0503742A"/>
    <w:rsid w:val="054018E7"/>
    <w:rsid w:val="05551D4C"/>
    <w:rsid w:val="056802AA"/>
    <w:rsid w:val="05FB5FBA"/>
    <w:rsid w:val="0603741A"/>
    <w:rsid w:val="063858F6"/>
    <w:rsid w:val="0643426F"/>
    <w:rsid w:val="06436049"/>
    <w:rsid w:val="06847C25"/>
    <w:rsid w:val="06994789"/>
    <w:rsid w:val="06A43684"/>
    <w:rsid w:val="06C7366A"/>
    <w:rsid w:val="06F04422"/>
    <w:rsid w:val="0724760E"/>
    <w:rsid w:val="07865452"/>
    <w:rsid w:val="07AE2415"/>
    <w:rsid w:val="07B13BB2"/>
    <w:rsid w:val="08135258"/>
    <w:rsid w:val="08264B5D"/>
    <w:rsid w:val="082A6CC4"/>
    <w:rsid w:val="08854027"/>
    <w:rsid w:val="088E5CA1"/>
    <w:rsid w:val="08A36FD9"/>
    <w:rsid w:val="08C9299F"/>
    <w:rsid w:val="094625E7"/>
    <w:rsid w:val="0988436B"/>
    <w:rsid w:val="09DE7C9B"/>
    <w:rsid w:val="09F866D1"/>
    <w:rsid w:val="0A127E59"/>
    <w:rsid w:val="0AB3623A"/>
    <w:rsid w:val="0BCC7F3D"/>
    <w:rsid w:val="0BF57DE5"/>
    <w:rsid w:val="0C7D017A"/>
    <w:rsid w:val="0CA435EF"/>
    <w:rsid w:val="0CBB2DDD"/>
    <w:rsid w:val="0CCA05FB"/>
    <w:rsid w:val="0CE221BF"/>
    <w:rsid w:val="0D045E82"/>
    <w:rsid w:val="0D3112F1"/>
    <w:rsid w:val="0D4E31FD"/>
    <w:rsid w:val="0D5F1A08"/>
    <w:rsid w:val="0D8A2A54"/>
    <w:rsid w:val="0D9E53FE"/>
    <w:rsid w:val="0DA04B19"/>
    <w:rsid w:val="0DA31871"/>
    <w:rsid w:val="0E9D2931"/>
    <w:rsid w:val="0F200689"/>
    <w:rsid w:val="0F577959"/>
    <w:rsid w:val="0F655282"/>
    <w:rsid w:val="0F7A1F3E"/>
    <w:rsid w:val="0FA22032"/>
    <w:rsid w:val="0FCD5979"/>
    <w:rsid w:val="0FFE1D4D"/>
    <w:rsid w:val="103001F2"/>
    <w:rsid w:val="10FC73B2"/>
    <w:rsid w:val="11283593"/>
    <w:rsid w:val="113E5851"/>
    <w:rsid w:val="119E46F0"/>
    <w:rsid w:val="11CE710E"/>
    <w:rsid w:val="122C7669"/>
    <w:rsid w:val="123E4E8A"/>
    <w:rsid w:val="128977C9"/>
    <w:rsid w:val="12FC27FD"/>
    <w:rsid w:val="13FA068E"/>
    <w:rsid w:val="142417FB"/>
    <w:rsid w:val="146401FE"/>
    <w:rsid w:val="14700951"/>
    <w:rsid w:val="147B2794"/>
    <w:rsid w:val="158D55F1"/>
    <w:rsid w:val="15A01122"/>
    <w:rsid w:val="15B900D5"/>
    <w:rsid w:val="15DF7B3C"/>
    <w:rsid w:val="15EC4007"/>
    <w:rsid w:val="16931D8B"/>
    <w:rsid w:val="171A41B8"/>
    <w:rsid w:val="174D0396"/>
    <w:rsid w:val="17707F52"/>
    <w:rsid w:val="17C555A9"/>
    <w:rsid w:val="17C57205"/>
    <w:rsid w:val="17D8717E"/>
    <w:rsid w:val="17EA4F97"/>
    <w:rsid w:val="185078AB"/>
    <w:rsid w:val="18C15C1F"/>
    <w:rsid w:val="18F558C8"/>
    <w:rsid w:val="196250D8"/>
    <w:rsid w:val="19706118"/>
    <w:rsid w:val="19A6155C"/>
    <w:rsid w:val="19E8186C"/>
    <w:rsid w:val="1A646862"/>
    <w:rsid w:val="1A656E9B"/>
    <w:rsid w:val="1A926504"/>
    <w:rsid w:val="1AA56CAA"/>
    <w:rsid w:val="1ABF0C9A"/>
    <w:rsid w:val="1B1E4136"/>
    <w:rsid w:val="1C217ECC"/>
    <w:rsid w:val="1C3C210A"/>
    <w:rsid w:val="1C3E4BC9"/>
    <w:rsid w:val="1C5B4D89"/>
    <w:rsid w:val="1D2D56C0"/>
    <w:rsid w:val="1D4E3CCA"/>
    <w:rsid w:val="1D6D1ED1"/>
    <w:rsid w:val="1D7160E3"/>
    <w:rsid w:val="1D925B8A"/>
    <w:rsid w:val="1DE84488"/>
    <w:rsid w:val="1E417819"/>
    <w:rsid w:val="1E693CC8"/>
    <w:rsid w:val="1EAB2C56"/>
    <w:rsid w:val="1EC2624D"/>
    <w:rsid w:val="1ED03A72"/>
    <w:rsid w:val="1EDE64B3"/>
    <w:rsid w:val="1EFA3E00"/>
    <w:rsid w:val="1F0D396C"/>
    <w:rsid w:val="1F30765A"/>
    <w:rsid w:val="1F3A350A"/>
    <w:rsid w:val="1F865AC7"/>
    <w:rsid w:val="1FAC6467"/>
    <w:rsid w:val="203A1E0C"/>
    <w:rsid w:val="206D3F96"/>
    <w:rsid w:val="20832C3C"/>
    <w:rsid w:val="20B45D8D"/>
    <w:rsid w:val="20D210EE"/>
    <w:rsid w:val="21007CEB"/>
    <w:rsid w:val="210508C0"/>
    <w:rsid w:val="21251651"/>
    <w:rsid w:val="21AA2E26"/>
    <w:rsid w:val="21AC6A89"/>
    <w:rsid w:val="21B43779"/>
    <w:rsid w:val="21D32139"/>
    <w:rsid w:val="21F37DC4"/>
    <w:rsid w:val="22575194"/>
    <w:rsid w:val="22C32FEA"/>
    <w:rsid w:val="22D64416"/>
    <w:rsid w:val="22F615C6"/>
    <w:rsid w:val="23023C81"/>
    <w:rsid w:val="230F7587"/>
    <w:rsid w:val="239D62A3"/>
    <w:rsid w:val="23A818A4"/>
    <w:rsid w:val="23C93BD9"/>
    <w:rsid w:val="23E7405F"/>
    <w:rsid w:val="24100849"/>
    <w:rsid w:val="24134E54"/>
    <w:rsid w:val="242157C3"/>
    <w:rsid w:val="24A81A41"/>
    <w:rsid w:val="24DB3BC4"/>
    <w:rsid w:val="24F75830"/>
    <w:rsid w:val="250650B8"/>
    <w:rsid w:val="251D1238"/>
    <w:rsid w:val="25585437"/>
    <w:rsid w:val="255F2164"/>
    <w:rsid w:val="25755DC7"/>
    <w:rsid w:val="257C441F"/>
    <w:rsid w:val="261F5032"/>
    <w:rsid w:val="26215C16"/>
    <w:rsid w:val="26352188"/>
    <w:rsid w:val="26834513"/>
    <w:rsid w:val="26B54B17"/>
    <w:rsid w:val="270E4483"/>
    <w:rsid w:val="27133AE9"/>
    <w:rsid w:val="27142466"/>
    <w:rsid w:val="27154A2D"/>
    <w:rsid w:val="273C3B56"/>
    <w:rsid w:val="277F1064"/>
    <w:rsid w:val="27BF60E1"/>
    <w:rsid w:val="27E014F2"/>
    <w:rsid w:val="2807212A"/>
    <w:rsid w:val="283D091B"/>
    <w:rsid w:val="286616C5"/>
    <w:rsid w:val="28AF339E"/>
    <w:rsid w:val="28DE3C83"/>
    <w:rsid w:val="29114058"/>
    <w:rsid w:val="29232F1E"/>
    <w:rsid w:val="29567CBD"/>
    <w:rsid w:val="298D37C6"/>
    <w:rsid w:val="29A0362E"/>
    <w:rsid w:val="29AC657F"/>
    <w:rsid w:val="29F85218"/>
    <w:rsid w:val="2A2166A6"/>
    <w:rsid w:val="2A2C04EA"/>
    <w:rsid w:val="2AA07380"/>
    <w:rsid w:val="2AD93717"/>
    <w:rsid w:val="2BB50381"/>
    <w:rsid w:val="2BD418FC"/>
    <w:rsid w:val="2BD556DC"/>
    <w:rsid w:val="2BD65D0E"/>
    <w:rsid w:val="2CE37DE1"/>
    <w:rsid w:val="2D7739CD"/>
    <w:rsid w:val="2D7B5F44"/>
    <w:rsid w:val="2D8469EC"/>
    <w:rsid w:val="2D935061"/>
    <w:rsid w:val="2DE55AB4"/>
    <w:rsid w:val="2EB63EAF"/>
    <w:rsid w:val="2EE90600"/>
    <w:rsid w:val="2F912E95"/>
    <w:rsid w:val="2FDF628B"/>
    <w:rsid w:val="302A5A00"/>
    <w:rsid w:val="30863A92"/>
    <w:rsid w:val="314C5AD1"/>
    <w:rsid w:val="318462EE"/>
    <w:rsid w:val="319E7EA7"/>
    <w:rsid w:val="31A0150E"/>
    <w:rsid w:val="31D96F28"/>
    <w:rsid w:val="31E45544"/>
    <w:rsid w:val="325E2F50"/>
    <w:rsid w:val="32737B32"/>
    <w:rsid w:val="32970899"/>
    <w:rsid w:val="333867AF"/>
    <w:rsid w:val="333E1EEE"/>
    <w:rsid w:val="3369791F"/>
    <w:rsid w:val="338E116B"/>
    <w:rsid w:val="33934B2E"/>
    <w:rsid w:val="33A67A93"/>
    <w:rsid w:val="340A0022"/>
    <w:rsid w:val="346241F2"/>
    <w:rsid w:val="348A7F1D"/>
    <w:rsid w:val="348C4C26"/>
    <w:rsid w:val="34AF6D16"/>
    <w:rsid w:val="34D21E6E"/>
    <w:rsid w:val="35022D23"/>
    <w:rsid w:val="351078BA"/>
    <w:rsid w:val="355A1D53"/>
    <w:rsid w:val="35814314"/>
    <w:rsid w:val="35D6725E"/>
    <w:rsid w:val="3676199F"/>
    <w:rsid w:val="36B9188B"/>
    <w:rsid w:val="378E4097"/>
    <w:rsid w:val="382953D2"/>
    <w:rsid w:val="38434B14"/>
    <w:rsid w:val="3850369C"/>
    <w:rsid w:val="389C149D"/>
    <w:rsid w:val="38C033A5"/>
    <w:rsid w:val="38FF21F3"/>
    <w:rsid w:val="399F70A4"/>
    <w:rsid w:val="39F33E3D"/>
    <w:rsid w:val="3A032832"/>
    <w:rsid w:val="3A316EDF"/>
    <w:rsid w:val="3A745C92"/>
    <w:rsid w:val="3A995C5C"/>
    <w:rsid w:val="3AA00A0A"/>
    <w:rsid w:val="3AA7481D"/>
    <w:rsid w:val="3AC30F2B"/>
    <w:rsid w:val="3AD234AE"/>
    <w:rsid w:val="3ADB4BD6"/>
    <w:rsid w:val="3AE50EA1"/>
    <w:rsid w:val="3B0E29FF"/>
    <w:rsid w:val="3B8D62A3"/>
    <w:rsid w:val="3B9A7EDD"/>
    <w:rsid w:val="3BD353B2"/>
    <w:rsid w:val="3BE408F7"/>
    <w:rsid w:val="3C075A18"/>
    <w:rsid w:val="3C58589D"/>
    <w:rsid w:val="3D0A0AB7"/>
    <w:rsid w:val="3D13261A"/>
    <w:rsid w:val="3D3825EF"/>
    <w:rsid w:val="3D4144C7"/>
    <w:rsid w:val="3D515841"/>
    <w:rsid w:val="3D54230E"/>
    <w:rsid w:val="3D85067C"/>
    <w:rsid w:val="3E06185A"/>
    <w:rsid w:val="3E261EFC"/>
    <w:rsid w:val="3E2C2D28"/>
    <w:rsid w:val="3E823B07"/>
    <w:rsid w:val="3E9B4F36"/>
    <w:rsid w:val="3F25477A"/>
    <w:rsid w:val="3F261A88"/>
    <w:rsid w:val="3F623E59"/>
    <w:rsid w:val="3F6A5E19"/>
    <w:rsid w:val="3F753318"/>
    <w:rsid w:val="3FBC5955"/>
    <w:rsid w:val="3FD12AA3"/>
    <w:rsid w:val="40B31B8E"/>
    <w:rsid w:val="419C19CB"/>
    <w:rsid w:val="41D67795"/>
    <w:rsid w:val="42230F81"/>
    <w:rsid w:val="42720B07"/>
    <w:rsid w:val="42987378"/>
    <w:rsid w:val="42B86E9B"/>
    <w:rsid w:val="42DD1682"/>
    <w:rsid w:val="42DE40C3"/>
    <w:rsid w:val="42EA799C"/>
    <w:rsid w:val="42F06635"/>
    <w:rsid w:val="436C250B"/>
    <w:rsid w:val="43881C11"/>
    <w:rsid w:val="43A0784E"/>
    <w:rsid w:val="43EC504E"/>
    <w:rsid w:val="43FA1118"/>
    <w:rsid w:val="441A6E66"/>
    <w:rsid w:val="443C2A7C"/>
    <w:rsid w:val="44424C54"/>
    <w:rsid w:val="44AA799D"/>
    <w:rsid w:val="44FE532D"/>
    <w:rsid w:val="45836BAC"/>
    <w:rsid w:val="4588349D"/>
    <w:rsid w:val="458A6392"/>
    <w:rsid w:val="46483B1A"/>
    <w:rsid w:val="46E73D5A"/>
    <w:rsid w:val="46EA4EE5"/>
    <w:rsid w:val="46FD7572"/>
    <w:rsid w:val="47E77872"/>
    <w:rsid w:val="47EB01EC"/>
    <w:rsid w:val="48097790"/>
    <w:rsid w:val="486A3C3D"/>
    <w:rsid w:val="487F0B87"/>
    <w:rsid w:val="488A0DED"/>
    <w:rsid w:val="48914416"/>
    <w:rsid w:val="48AE59D5"/>
    <w:rsid w:val="48D774E8"/>
    <w:rsid w:val="491154B4"/>
    <w:rsid w:val="49C44B93"/>
    <w:rsid w:val="49E62540"/>
    <w:rsid w:val="49EA64D4"/>
    <w:rsid w:val="49FB035A"/>
    <w:rsid w:val="49FB277C"/>
    <w:rsid w:val="4A5377E0"/>
    <w:rsid w:val="4A6956D4"/>
    <w:rsid w:val="4AFB201B"/>
    <w:rsid w:val="4B2815BC"/>
    <w:rsid w:val="4B477EEC"/>
    <w:rsid w:val="4B625B61"/>
    <w:rsid w:val="4BA311E9"/>
    <w:rsid w:val="4C245435"/>
    <w:rsid w:val="4C8B227D"/>
    <w:rsid w:val="4CAC7A71"/>
    <w:rsid w:val="4CE00F19"/>
    <w:rsid w:val="4D1B5C17"/>
    <w:rsid w:val="4D245859"/>
    <w:rsid w:val="4D4B7796"/>
    <w:rsid w:val="4D6357F2"/>
    <w:rsid w:val="4D956757"/>
    <w:rsid w:val="4DB26DAD"/>
    <w:rsid w:val="4DE44FE8"/>
    <w:rsid w:val="4DE66FB2"/>
    <w:rsid w:val="4E5671B0"/>
    <w:rsid w:val="4E603C32"/>
    <w:rsid w:val="4E9764FE"/>
    <w:rsid w:val="4F3F4BCC"/>
    <w:rsid w:val="4F4D08E4"/>
    <w:rsid w:val="4FDD43E5"/>
    <w:rsid w:val="502B18D6"/>
    <w:rsid w:val="503843E8"/>
    <w:rsid w:val="51156B12"/>
    <w:rsid w:val="51583D23"/>
    <w:rsid w:val="51651C10"/>
    <w:rsid w:val="5167040A"/>
    <w:rsid w:val="51D7351A"/>
    <w:rsid w:val="520B3C6B"/>
    <w:rsid w:val="522B0E79"/>
    <w:rsid w:val="52605CE9"/>
    <w:rsid w:val="52AB37F3"/>
    <w:rsid w:val="52E678FD"/>
    <w:rsid w:val="53304715"/>
    <w:rsid w:val="535D08E0"/>
    <w:rsid w:val="53AC3819"/>
    <w:rsid w:val="53B21391"/>
    <w:rsid w:val="53BB369B"/>
    <w:rsid w:val="53D60149"/>
    <w:rsid w:val="53E35CF9"/>
    <w:rsid w:val="542B1BC3"/>
    <w:rsid w:val="542D2ABB"/>
    <w:rsid w:val="5460053B"/>
    <w:rsid w:val="54B334F2"/>
    <w:rsid w:val="54DC110F"/>
    <w:rsid w:val="552C7DA5"/>
    <w:rsid w:val="55400BE5"/>
    <w:rsid w:val="554E54A5"/>
    <w:rsid w:val="55561529"/>
    <w:rsid w:val="5568634A"/>
    <w:rsid w:val="5583158B"/>
    <w:rsid w:val="55AF1714"/>
    <w:rsid w:val="55DD0C9B"/>
    <w:rsid w:val="561C18A3"/>
    <w:rsid w:val="564629CC"/>
    <w:rsid w:val="568F468B"/>
    <w:rsid w:val="568F57D2"/>
    <w:rsid w:val="56C1680E"/>
    <w:rsid w:val="56C51A71"/>
    <w:rsid w:val="56D263B4"/>
    <w:rsid w:val="56EB388B"/>
    <w:rsid w:val="57BA71D3"/>
    <w:rsid w:val="583A6878"/>
    <w:rsid w:val="584A6390"/>
    <w:rsid w:val="58900573"/>
    <w:rsid w:val="58912806"/>
    <w:rsid w:val="58C779E0"/>
    <w:rsid w:val="591C53EB"/>
    <w:rsid w:val="5949038D"/>
    <w:rsid w:val="594D1384"/>
    <w:rsid w:val="598206FA"/>
    <w:rsid w:val="59A0095D"/>
    <w:rsid w:val="59DE3DDF"/>
    <w:rsid w:val="5A034988"/>
    <w:rsid w:val="5A0D4361"/>
    <w:rsid w:val="5A34228F"/>
    <w:rsid w:val="5A3B2F44"/>
    <w:rsid w:val="5A680652"/>
    <w:rsid w:val="5A715C65"/>
    <w:rsid w:val="5AE14D89"/>
    <w:rsid w:val="5AEF5BE3"/>
    <w:rsid w:val="5B0D37AB"/>
    <w:rsid w:val="5B656A13"/>
    <w:rsid w:val="5B8E2393"/>
    <w:rsid w:val="5B922D8C"/>
    <w:rsid w:val="5BCA3F50"/>
    <w:rsid w:val="5C11169E"/>
    <w:rsid w:val="5C2B735C"/>
    <w:rsid w:val="5C2C7702"/>
    <w:rsid w:val="5C2E2250"/>
    <w:rsid w:val="5C4A2E02"/>
    <w:rsid w:val="5C970F71"/>
    <w:rsid w:val="5CC43D7F"/>
    <w:rsid w:val="5CED3EB9"/>
    <w:rsid w:val="5CF56044"/>
    <w:rsid w:val="5D131446"/>
    <w:rsid w:val="5D14560E"/>
    <w:rsid w:val="5DCD37D5"/>
    <w:rsid w:val="5ED6097D"/>
    <w:rsid w:val="5F1C087E"/>
    <w:rsid w:val="5F4643B3"/>
    <w:rsid w:val="5F644A70"/>
    <w:rsid w:val="5F7E0093"/>
    <w:rsid w:val="60065292"/>
    <w:rsid w:val="601E0862"/>
    <w:rsid w:val="60697901"/>
    <w:rsid w:val="606B5AD7"/>
    <w:rsid w:val="606B5CA7"/>
    <w:rsid w:val="60E5134B"/>
    <w:rsid w:val="60E5197E"/>
    <w:rsid w:val="61E8053D"/>
    <w:rsid w:val="620D2574"/>
    <w:rsid w:val="624125B1"/>
    <w:rsid w:val="62747537"/>
    <w:rsid w:val="62BA7C4D"/>
    <w:rsid w:val="62F66167"/>
    <w:rsid w:val="631B4A46"/>
    <w:rsid w:val="631D6B7A"/>
    <w:rsid w:val="636E7893"/>
    <w:rsid w:val="63846BFA"/>
    <w:rsid w:val="638E3ED7"/>
    <w:rsid w:val="64501ACF"/>
    <w:rsid w:val="65322A32"/>
    <w:rsid w:val="65711400"/>
    <w:rsid w:val="65817895"/>
    <w:rsid w:val="65AE7F5E"/>
    <w:rsid w:val="66227331"/>
    <w:rsid w:val="66640D92"/>
    <w:rsid w:val="66811B16"/>
    <w:rsid w:val="669D1BD8"/>
    <w:rsid w:val="66FA7D9D"/>
    <w:rsid w:val="675843DE"/>
    <w:rsid w:val="678371C8"/>
    <w:rsid w:val="67B11F87"/>
    <w:rsid w:val="67C16124"/>
    <w:rsid w:val="680654D8"/>
    <w:rsid w:val="681B3C55"/>
    <w:rsid w:val="68346B0C"/>
    <w:rsid w:val="6848469A"/>
    <w:rsid w:val="68681231"/>
    <w:rsid w:val="68A949D6"/>
    <w:rsid w:val="68B36A90"/>
    <w:rsid w:val="692549DB"/>
    <w:rsid w:val="695D717D"/>
    <w:rsid w:val="69653029"/>
    <w:rsid w:val="696B125E"/>
    <w:rsid w:val="6975518D"/>
    <w:rsid w:val="69F06B48"/>
    <w:rsid w:val="6A1F58CE"/>
    <w:rsid w:val="6A48221F"/>
    <w:rsid w:val="6A9D599D"/>
    <w:rsid w:val="6B88535F"/>
    <w:rsid w:val="6BC30A2F"/>
    <w:rsid w:val="6C402B63"/>
    <w:rsid w:val="6CBC2EE8"/>
    <w:rsid w:val="6CBE7D60"/>
    <w:rsid w:val="6D017D11"/>
    <w:rsid w:val="6D436AC5"/>
    <w:rsid w:val="6DA700B4"/>
    <w:rsid w:val="6E1D2124"/>
    <w:rsid w:val="6E3A0E77"/>
    <w:rsid w:val="6E876411"/>
    <w:rsid w:val="6F35524C"/>
    <w:rsid w:val="6F43280A"/>
    <w:rsid w:val="6F6E5DAA"/>
    <w:rsid w:val="6F6F6C8E"/>
    <w:rsid w:val="704F25F0"/>
    <w:rsid w:val="714D068C"/>
    <w:rsid w:val="719C1F68"/>
    <w:rsid w:val="71C931DE"/>
    <w:rsid w:val="71F876D8"/>
    <w:rsid w:val="72D62BD5"/>
    <w:rsid w:val="72E74AAF"/>
    <w:rsid w:val="72F2501F"/>
    <w:rsid w:val="73852A1F"/>
    <w:rsid w:val="73A06665"/>
    <w:rsid w:val="73CD68E4"/>
    <w:rsid w:val="74033B6B"/>
    <w:rsid w:val="7416564C"/>
    <w:rsid w:val="741855FB"/>
    <w:rsid w:val="743616D9"/>
    <w:rsid w:val="74381A66"/>
    <w:rsid w:val="74ED7A8E"/>
    <w:rsid w:val="75C441E8"/>
    <w:rsid w:val="75C86E1A"/>
    <w:rsid w:val="75F76A86"/>
    <w:rsid w:val="763C5112"/>
    <w:rsid w:val="7649419A"/>
    <w:rsid w:val="765C475B"/>
    <w:rsid w:val="765F3204"/>
    <w:rsid w:val="76E5092B"/>
    <w:rsid w:val="77C90C27"/>
    <w:rsid w:val="77EB2308"/>
    <w:rsid w:val="78011EDF"/>
    <w:rsid w:val="786F383C"/>
    <w:rsid w:val="79274B70"/>
    <w:rsid w:val="795E2449"/>
    <w:rsid w:val="7984574E"/>
    <w:rsid w:val="7998587B"/>
    <w:rsid w:val="79D465F9"/>
    <w:rsid w:val="79D65E13"/>
    <w:rsid w:val="79E960F7"/>
    <w:rsid w:val="7A245ED3"/>
    <w:rsid w:val="7A2C27F4"/>
    <w:rsid w:val="7A304F8E"/>
    <w:rsid w:val="7A7255A6"/>
    <w:rsid w:val="7A877563"/>
    <w:rsid w:val="7ACC72CC"/>
    <w:rsid w:val="7B08205F"/>
    <w:rsid w:val="7B324450"/>
    <w:rsid w:val="7B502FE1"/>
    <w:rsid w:val="7B676E0C"/>
    <w:rsid w:val="7B677980"/>
    <w:rsid w:val="7B9F63AF"/>
    <w:rsid w:val="7BB05165"/>
    <w:rsid w:val="7BDF6C6B"/>
    <w:rsid w:val="7BE9349E"/>
    <w:rsid w:val="7BEE6EAE"/>
    <w:rsid w:val="7C4E2E3C"/>
    <w:rsid w:val="7C68691D"/>
    <w:rsid w:val="7CAA1027"/>
    <w:rsid w:val="7CD72B5A"/>
    <w:rsid w:val="7CFC3139"/>
    <w:rsid w:val="7D062BB5"/>
    <w:rsid w:val="7E192908"/>
    <w:rsid w:val="7E6D0694"/>
    <w:rsid w:val="7EB0669D"/>
    <w:rsid w:val="7F686B6C"/>
    <w:rsid w:val="7F802C2E"/>
    <w:rsid w:val="7F8B39C1"/>
    <w:rsid w:val="7F9C4E17"/>
    <w:rsid w:val="7FE30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iPriority="99"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110"/>
    <w:qFormat/>
    <w:uiPriority w:val="0"/>
    <w:pPr>
      <w:keepNext/>
      <w:jc w:val="center"/>
      <w:outlineLvl w:val="0"/>
    </w:pPr>
    <w:rPr>
      <w:b/>
      <w:bCs/>
      <w:sz w:val="24"/>
      <w:szCs w:val="20"/>
    </w:rPr>
  </w:style>
  <w:style w:type="paragraph" w:styleId="7">
    <w:name w:val="heading 2"/>
    <w:basedOn w:val="1"/>
    <w:next w:val="1"/>
    <w:link w:val="111"/>
    <w:qFormat/>
    <w:uiPriority w:val="0"/>
    <w:pPr>
      <w:keepNext/>
      <w:keepLines/>
      <w:spacing w:line="360" w:lineRule="auto"/>
      <w:outlineLvl w:val="1"/>
    </w:pPr>
    <w:rPr>
      <w:rFonts w:ascii="Arial" w:hAnsi="Arial"/>
      <w:b/>
      <w:bCs/>
      <w:sz w:val="24"/>
      <w:szCs w:val="32"/>
    </w:rPr>
  </w:style>
  <w:style w:type="paragraph" w:styleId="8">
    <w:name w:val="heading 3"/>
    <w:basedOn w:val="1"/>
    <w:next w:val="1"/>
    <w:link w:val="112"/>
    <w:qFormat/>
    <w:uiPriority w:val="0"/>
    <w:pPr>
      <w:keepNext/>
      <w:keepLines/>
      <w:spacing w:before="260" w:after="260" w:line="412" w:lineRule="auto"/>
      <w:outlineLvl w:val="2"/>
    </w:pPr>
    <w:rPr>
      <w:b/>
      <w:bCs/>
      <w:sz w:val="32"/>
      <w:szCs w:val="32"/>
    </w:rPr>
  </w:style>
  <w:style w:type="paragraph" w:styleId="9">
    <w:name w:val="heading 4"/>
    <w:basedOn w:val="1"/>
    <w:next w:val="1"/>
    <w:link w:val="113"/>
    <w:qFormat/>
    <w:uiPriority w:val="0"/>
    <w:pPr>
      <w:keepNext/>
      <w:keepLines/>
      <w:spacing w:before="280" w:after="290" w:line="376" w:lineRule="auto"/>
      <w:outlineLvl w:val="3"/>
    </w:pPr>
    <w:rPr>
      <w:rFonts w:ascii="Arial" w:hAnsi="Arial" w:eastAsia="黑体"/>
      <w:b/>
      <w:bCs/>
      <w:sz w:val="28"/>
      <w:szCs w:val="28"/>
    </w:rPr>
  </w:style>
  <w:style w:type="paragraph" w:styleId="10">
    <w:name w:val="heading 5"/>
    <w:basedOn w:val="1"/>
    <w:next w:val="1"/>
    <w:link w:val="11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1">
    <w:name w:val="heading 6"/>
    <w:basedOn w:val="1"/>
    <w:next w:val="1"/>
    <w:link w:val="11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2">
    <w:name w:val="heading 7"/>
    <w:basedOn w:val="1"/>
    <w:next w:val="1"/>
    <w:link w:val="116"/>
    <w:qFormat/>
    <w:uiPriority w:val="0"/>
    <w:pPr>
      <w:keepNext/>
      <w:keepLines/>
      <w:adjustRightInd w:val="0"/>
      <w:spacing w:before="240" w:after="64" w:line="320" w:lineRule="atLeast"/>
      <w:jc w:val="left"/>
      <w:textAlignment w:val="baseline"/>
      <w:outlineLvl w:val="6"/>
    </w:pPr>
    <w:rPr>
      <w:b/>
      <w:bCs/>
      <w:kern w:val="0"/>
      <w:sz w:val="24"/>
    </w:rPr>
  </w:style>
  <w:style w:type="paragraph" w:styleId="13">
    <w:name w:val="heading 8"/>
    <w:basedOn w:val="1"/>
    <w:next w:val="1"/>
    <w:link w:val="117"/>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4">
    <w:name w:val="heading 9"/>
    <w:basedOn w:val="1"/>
    <w:next w:val="1"/>
    <w:link w:val="11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92">
    <w:name w:val="Default Paragraph Font"/>
    <w:semiHidden/>
    <w:unhideWhenUsed/>
    <w:qFormat/>
    <w:uiPriority w:val="1"/>
  </w:style>
  <w:style w:type="table" w:default="1" w:styleId="9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link w:val="147"/>
    <w:qFormat/>
    <w:uiPriority w:val="0"/>
    <w:pPr>
      <w:spacing w:before="100" w:beforeAutospacing="1"/>
      <w:ind w:firstLine="420" w:firstLineChars="200"/>
    </w:pPr>
    <w:rPr>
      <w:rFonts w:ascii="Times New Roman" w:hAnsi="Times New Roman"/>
      <w:szCs w:val="21"/>
    </w:rPr>
  </w:style>
  <w:style w:type="paragraph" w:styleId="3">
    <w:name w:val="Body Text Indent"/>
    <w:basedOn w:val="1"/>
    <w:link w:val="128"/>
    <w:qFormat/>
    <w:uiPriority w:val="0"/>
    <w:pPr>
      <w:spacing w:after="120"/>
      <w:ind w:left="420" w:leftChars="200"/>
    </w:pPr>
    <w:rPr>
      <w:rFonts w:ascii="宋体" w:hAnsi="宋体"/>
    </w:rPr>
  </w:style>
  <w:style w:type="paragraph" w:styleId="4">
    <w:name w:val="Normal Indent"/>
    <w:basedOn w:val="1"/>
    <w:link w:val="122"/>
    <w:qFormat/>
    <w:uiPriority w:val="0"/>
    <w:pPr>
      <w:widowControl/>
      <w:ind w:firstLine="420"/>
      <w:jc w:val="left"/>
    </w:pPr>
    <w:rPr>
      <w:kern w:val="0"/>
      <w:sz w:val="20"/>
      <w:szCs w:val="20"/>
    </w:rPr>
  </w:style>
  <w:style w:type="paragraph" w:styleId="5">
    <w:name w:val="macro"/>
    <w:link w:val="109"/>
    <w:qFormat/>
    <w:uiPriority w:val="0"/>
    <w:pPr>
      <w:tabs>
        <w:tab w:val="left" w:pos="480"/>
        <w:tab w:val="left" w:pos="960"/>
        <w:tab w:val="left" w:pos="1440"/>
        <w:tab w:val="left" w:pos="1920"/>
        <w:tab w:val="left" w:pos="2400"/>
        <w:tab w:val="left" w:pos="2880"/>
        <w:tab w:val="left" w:pos="3360"/>
        <w:tab w:val="left" w:pos="3840"/>
        <w:tab w:val="left" w:pos="4320"/>
      </w:tabs>
      <w:ind w:left="1080"/>
    </w:pPr>
    <w:rPr>
      <w:rFonts w:ascii="Courier New" w:hAnsi="Courier New" w:eastAsia="宋体" w:cs="Courier New"/>
      <w:spacing w:val="-5"/>
      <w:lang w:val="en-US" w:eastAsia="en-US" w:bidi="ar-SA"/>
    </w:rPr>
  </w:style>
  <w:style w:type="paragraph" w:styleId="15">
    <w:name w:val="List 3"/>
    <w:basedOn w:val="16"/>
    <w:qFormat/>
    <w:uiPriority w:val="0"/>
    <w:pPr>
      <w:tabs>
        <w:tab w:val="left" w:pos="1044"/>
        <w:tab w:val="left" w:pos="1080"/>
      </w:tabs>
      <w:ind w:left="1044" w:hanging="420"/>
    </w:pPr>
  </w:style>
  <w:style w:type="paragraph" w:styleId="16">
    <w:name w:val="List"/>
    <w:basedOn w:val="17"/>
    <w:qFormat/>
    <w:uiPriority w:val="0"/>
    <w:pPr>
      <w:widowControl/>
      <w:tabs>
        <w:tab w:val="left" w:pos="1080"/>
      </w:tabs>
      <w:spacing w:line="360" w:lineRule="auto"/>
      <w:ind w:left="1080" w:hanging="360"/>
    </w:pPr>
    <w:rPr>
      <w:rFonts w:ascii="Arial" w:hAnsi="Arial"/>
      <w:kern w:val="0"/>
      <w:sz w:val="24"/>
      <w:szCs w:val="20"/>
      <w:lang w:eastAsia="en-US"/>
    </w:rPr>
  </w:style>
  <w:style w:type="paragraph" w:styleId="17">
    <w:name w:val="Body Text"/>
    <w:basedOn w:val="1"/>
    <w:next w:val="1"/>
    <w:link w:val="119"/>
    <w:qFormat/>
    <w:uiPriority w:val="0"/>
    <w:pPr>
      <w:spacing w:after="120"/>
    </w:pPr>
  </w:style>
  <w:style w:type="paragraph" w:styleId="18">
    <w:name w:val="toc 7"/>
    <w:basedOn w:val="1"/>
    <w:next w:val="1"/>
    <w:qFormat/>
    <w:uiPriority w:val="39"/>
    <w:pPr>
      <w:ind w:left="2520" w:leftChars="1200"/>
    </w:pPr>
    <w:rPr>
      <w:szCs w:val="22"/>
    </w:rPr>
  </w:style>
  <w:style w:type="paragraph" w:styleId="19">
    <w:name w:val="List Number 2"/>
    <w:basedOn w:val="20"/>
    <w:qFormat/>
    <w:uiPriority w:val="0"/>
    <w:pPr>
      <w:widowControl/>
      <w:tabs>
        <w:tab w:val="left" w:pos="960"/>
      </w:tabs>
      <w:adjustRightInd/>
      <w:spacing w:after="120"/>
      <w:ind w:left="1800" w:hanging="420"/>
      <w:textAlignment w:val="auto"/>
    </w:pPr>
    <w:rPr>
      <w:rFonts w:ascii="Arial" w:hAnsi="Arial"/>
      <w:color w:val="auto"/>
      <w:sz w:val="24"/>
      <w:lang w:eastAsia="en-US"/>
    </w:rPr>
  </w:style>
  <w:style w:type="paragraph" w:styleId="20">
    <w:name w:val="List Number"/>
    <w:basedOn w:val="1"/>
    <w:qFormat/>
    <w:uiPriority w:val="0"/>
    <w:pPr>
      <w:adjustRightInd w:val="0"/>
      <w:spacing w:line="360" w:lineRule="auto"/>
      <w:ind w:left="850" w:hanging="425"/>
      <w:textAlignment w:val="baseline"/>
    </w:pPr>
    <w:rPr>
      <w:color w:val="000000"/>
      <w:kern w:val="0"/>
      <w:szCs w:val="20"/>
    </w:rPr>
  </w:style>
  <w:style w:type="paragraph" w:styleId="21">
    <w:name w:val="table of authorities"/>
    <w:basedOn w:val="1"/>
    <w:next w:val="1"/>
    <w:qFormat/>
    <w:uiPriority w:val="0"/>
    <w:pPr>
      <w:widowControl/>
      <w:tabs>
        <w:tab w:val="right" w:leader="dot" w:pos="7560"/>
      </w:tabs>
      <w:ind w:left="1440" w:hanging="360"/>
      <w:jc w:val="left"/>
    </w:pPr>
    <w:rPr>
      <w:rFonts w:ascii="Arial" w:hAnsi="Arial"/>
      <w:spacing w:val="-5"/>
      <w:kern w:val="0"/>
      <w:sz w:val="20"/>
      <w:szCs w:val="20"/>
      <w:lang w:eastAsia="en-US"/>
    </w:rPr>
  </w:style>
  <w:style w:type="paragraph" w:styleId="22">
    <w:name w:val="Note Heading"/>
    <w:basedOn w:val="1"/>
    <w:next w:val="1"/>
    <w:link w:val="120"/>
    <w:qFormat/>
    <w:uiPriority w:val="0"/>
    <w:pPr>
      <w:widowControl/>
      <w:ind w:left="1080"/>
      <w:jc w:val="left"/>
    </w:pPr>
    <w:rPr>
      <w:rFonts w:ascii="Arial" w:hAnsi="Arial"/>
      <w:spacing w:val="-5"/>
      <w:kern w:val="0"/>
      <w:sz w:val="20"/>
      <w:szCs w:val="20"/>
      <w:lang w:eastAsia="en-US"/>
    </w:rPr>
  </w:style>
  <w:style w:type="paragraph" w:styleId="23">
    <w:name w:val="List Bullet 4"/>
    <w:basedOn w:val="24"/>
    <w:qFormat/>
    <w:uiPriority w:val="0"/>
    <w:pPr>
      <w:ind w:left="2520"/>
    </w:pPr>
  </w:style>
  <w:style w:type="paragraph" w:styleId="24">
    <w:name w:val="List Bullet"/>
    <w:basedOn w:val="16"/>
    <w:qFormat/>
    <w:uiPriority w:val="0"/>
    <w:pPr>
      <w:tabs>
        <w:tab w:val="clear" w:pos="1080"/>
      </w:tabs>
      <w:ind w:left="1440"/>
    </w:pPr>
  </w:style>
  <w:style w:type="paragraph" w:styleId="25">
    <w:name w:val="index 8"/>
    <w:basedOn w:val="1"/>
    <w:next w:val="1"/>
    <w:qFormat/>
    <w:uiPriority w:val="0"/>
    <w:pPr>
      <w:ind w:left="1680" w:hanging="210"/>
      <w:jc w:val="left"/>
    </w:pPr>
    <w:rPr>
      <w:sz w:val="20"/>
      <w:szCs w:val="20"/>
    </w:rPr>
  </w:style>
  <w:style w:type="paragraph" w:styleId="26">
    <w:name w:val="E-mail Signature"/>
    <w:basedOn w:val="1"/>
    <w:link w:val="121"/>
    <w:qFormat/>
    <w:uiPriority w:val="0"/>
    <w:pPr>
      <w:widowControl/>
      <w:ind w:left="1080"/>
      <w:jc w:val="left"/>
    </w:pPr>
    <w:rPr>
      <w:rFonts w:ascii="Arial" w:hAnsi="Arial"/>
      <w:spacing w:val="-5"/>
      <w:kern w:val="0"/>
      <w:sz w:val="20"/>
      <w:szCs w:val="20"/>
      <w:lang w:eastAsia="en-US"/>
    </w:rPr>
  </w:style>
  <w:style w:type="paragraph" w:styleId="27">
    <w:name w:val="caption"/>
    <w:basedOn w:val="1"/>
    <w:next w:val="1"/>
    <w:qFormat/>
    <w:uiPriority w:val="0"/>
    <w:rPr>
      <w:rFonts w:ascii="Cambria" w:hAnsi="Cambria" w:eastAsia="黑体"/>
      <w:sz w:val="20"/>
      <w:szCs w:val="20"/>
    </w:rPr>
  </w:style>
  <w:style w:type="paragraph" w:styleId="28">
    <w:name w:val="index 5"/>
    <w:basedOn w:val="1"/>
    <w:next w:val="1"/>
    <w:qFormat/>
    <w:uiPriority w:val="0"/>
    <w:pPr>
      <w:ind w:left="1050" w:hanging="210"/>
      <w:jc w:val="left"/>
    </w:pPr>
    <w:rPr>
      <w:sz w:val="20"/>
      <w:szCs w:val="20"/>
    </w:rPr>
  </w:style>
  <w:style w:type="paragraph" w:styleId="29">
    <w:name w:val="envelope address"/>
    <w:basedOn w:val="1"/>
    <w:qFormat/>
    <w:uiPriority w:val="0"/>
    <w:pPr>
      <w:framePr w:w="7920" w:h="1980" w:hRule="exact" w:hSpace="180" w:wrap="around" w:vAnchor="margin" w:hAnchor="page" w:xAlign="center" w:yAlign="bottom"/>
      <w:widowControl/>
      <w:ind w:left="2880"/>
      <w:jc w:val="left"/>
    </w:pPr>
    <w:rPr>
      <w:rFonts w:ascii="Arial" w:hAnsi="Arial" w:cs="Arial"/>
      <w:spacing w:val="-5"/>
      <w:kern w:val="0"/>
      <w:sz w:val="24"/>
      <w:lang w:eastAsia="en-US"/>
    </w:rPr>
  </w:style>
  <w:style w:type="paragraph" w:styleId="30">
    <w:name w:val="Document Map"/>
    <w:basedOn w:val="1"/>
    <w:link w:val="123"/>
    <w:qFormat/>
    <w:uiPriority w:val="0"/>
    <w:pPr>
      <w:shd w:val="clear" w:color="auto" w:fill="000080"/>
    </w:pPr>
  </w:style>
  <w:style w:type="paragraph" w:styleId="31">
    <w:name w:val="toa heading"/>
    <w:basedOn w:val="1"/>
    <w:next w:val="1"/>
    <w:qFormat/>
    <w:uiPriority w:val="0"/>
    <w:pPr>
      <w:adjustRightInd w:val="0"/>
      <w:spacing w:before="120" w:line="312" w:lineRule="atLeast"/>
      <w:textAlignment w:val="baseline"/>
    </w:pPr>
    <w:rPr>
      <w:rFonts w:ascii="Arial" w:hAnsi="Arial"/>
      <w:b/>
      <w:kern w:val="0"/>
      <w:sz w:val="24"/>
    </w:rPr>
  </w:style>
  <w:style w:type="paragraph" w:styleId="32">
    <w:name w:val="annotation text"/>
    <w:basedOn w:val="1"/>
    <w:link w:val="124"/>
    <w:qFormat/>
    <w:uiPriority w:val="0"/>
    <w:pPr>
      <w:jc w:val="left"/>
    </w:pPr>
    <w:rPr>
      <w:rFonts w:ascii="宋体" w:hAnsi="宋体"/>
    </w:rPr>
  </w:style>
  <w:style w:type="paragraph" w:styleId="33">
    <w:name w:val="index 6"/>
    <w:basedOn w:val="1"/>
    <w:next w:val="1"/>
    <w:qFormat/>
    <w:uiPriority w:val="0"/>
    <w:pPr>
      <w:ind w:left="1260" w:hanging="210"/>
      <w:jc w:val="left"/>
    </w:pPr>
    <w:rPr>
      <w:sz w:val="20"/>
      <w:szCs w:val="20"/>
    </w:rPr>
  </w:style>
  <w:style w:type="paragraph" w:styleId="34">
    <w:name w:val="Salutation"/>
    <w:basedOn w:val="1"/>
    <w:next w:val="1"/>
    <w:link w:val="125"/>
    <w:qFormat/>
    <w:uiPriority w:val="0"/>
    <w:rPr>
      <w:rFonts w:ascii="仿宋_GB2312" w:eastAsia="仿宋_GB2312"/>
      <w:sz w:val="24"/>
    </w:rPr>
  </w:style>
  <w:style w:type="paragraph" w:styleId="35">
    <w:name w:val="Body Text 3"/>
    <w:basedOn w:val="1"/>
    <w:link w:val="126"/>
    <w:qFormat/>
    <w:uiPriority w:val="0"/>
    <w:pPr>
      <w:autoSpaceDE w:val="0"/>
      <w:autoSpaceDN w:val="0"/>
      <w:adjustRightInd w:val="0"/>
      <w:spacing w:line="410" w:lineRule="atLeast"/>
      <w:jc w:val="left"/>
    </w:pPr>
    <w:rPr>
      <w:rFonts w:ascii="宋体"/>
      <w:color w:val="000000"/>
      <w:kern w:val="0"/>
      <w:sz w:val="24"/>
      <w:szCs w:val="20"/>
    </w:rPr>
  </w:style>
  <w:style w:type="paragraph" w:styleId="36">
    <w:name w:val="Closing"/>
    <w:basedOn w:val="1"/>
    <w:link w:val="127"/>
    <w:qFormat/>
    <w:uiPriority w:val="0"/>
    <w:pPr>
      <w:widowControl/>
      <w:ind w:left="4320"/>
      <w:jc w:val="left"/>
    </w:pPr>
    <w:rPr>
      <w:rFonts w:ascii="Arial" w:hAnsi="Arial"/>
      <w:spacing w:val="-5"/>
      <w:kern w:val="0"/>
      <w:sz w:val="20"/>
      <w:szCs w:val="20"/>
      <w:lang w:eastAsia="en-US"/>
    </w:rPr>
  </w:style>
  <w:style w:type="paragraph" w:styleId="37">
    <w:name w:val="List Bullet 3"/>
    <w:basedOn w:val="24"/>
    <w:qFormat/>
    <w:uiPriority w:val="0"/>
    <w:pPr>
      <w:ind w:left="2160"/>
    </w:pPr>
  </w:style>
  <w:style w:type="paragraph" w:styleId="38">
    <w:name w:val="List Number 3"/>
    <w:basedOn w:val="20"/>
    <w:qFormat/>
    <w:uiPriority w:val="0"/>
    <w:pPr>
      <w:widowControl/>
      <w:tabs>
        <w:tab w:val="left" w:pos="960"/>
      </w:tabs>
      <w:adjustRightInd/>
      <w:spacing w:after="120"/>
      <w:ind w:left="2160" w:hanging="420"/>
      <w:textAlignment w:val="auto"/>
    </w:pPr>
    <w:rPr>
      <w:rFonts w:ascii="Arial" w:hAnsi="Arial"/>
      <w:color w:val="auto"/>
      <w:sz w:val="24"/>
      <w:lang w:eastAsia="en-US"/>
    </w:rPr>
  </w:style>
  <w:style w:type="paragraph" w:styleId="39">
    <w:name w:val="List 2"/>
    <w:basedOn w:val="16"/>
    <w:qFormat/>
    <w:uiPriority w:val="0"/>
    <w:pPr>
      <w:tabs>
        <w:tab w:val="left" w:pos="1440"/>
        <w:tab w:val="clear" w:pos="1080"/>
      </w:tabs>
      <w:ind w:left="1440"/>
    </w:pPr>
  </w:style>
  <w:style w:type="paragraph" w:styleId="40">
    <w:name w:val="List Continue"/>
    <w:basedOn w:val="16"/>
    <w:qFormat/>
    <w:uiPriority w:val="0"/>
    <w:pPr>
      <w:ind w:left="0" w:firstLine="0"/>
    </w:pPr>
  </w:style>
  <w:style w:type="paragraph" w:styleId="41">
    <w:name w:val="Block Text"/>
    <w:basedOn w:val="1"/>
    <w:qFormat/>
    <w:uiPriority w:val="0"/>
    <w:pPr>
      <w:ind w:left="1171" w:right="91" w:hanging="1080"/>
    </w:pPr>
    <w:rPr>
      <w:rFonts w:eastAsia="楷体_GB2312"/>
      <w:szCs w:val="20"/>
    </w:rPr>
  </w:style>
  <w:style w:type="paragraph" w:styleId="42">
    <w:name w:val="List Bullet 2"/>
    <w:basedOn w:val="1"/>
    <w:qFormat/>
    <w:uiPriority w:val="0"/>
    <w:pPr>
      <w:tabs>
        <w:tab w:val="left" w:pos="780"/>
      </w:tabs>
      <w:ind w:left="780" w:hanging="360"/>
    </w:pPr>
    <w:rPr>
      <w:szCs w:val="20"/>
    </w:rPr>
  </w:style>
  <w:style w:type="paragraph" w:styleId="43">
    <w:name w:val="HTML Address"/>
    <w:basedOn w:val="1"/>
    <w:link w:val="129"/>
    <w:qFormat/>
    <w:uiPriority w:val="0"/>
    <w:pPr>
      <w:widowControl/>
      <w:ind w:left="1080"/>
      <w:jc w:val="left"/>
    </w:pPr>
    <w:rPr>
      <w:rFonts w:ascii="Arial" w:hAnsi="Arial"/>
      <w:i/>
      <w:iCs/>
      <w:spacing w:val="-5"/>
      <w:kern w:val="0"/>
      <w:sz w:val="20"/>
      <w:szCs w:val="20"/>
      <w:lang w:eastAsia="en-US"/>
    </w:rPr>
  </w:style>
  <w:style w:type="paragraph" w:styleId="44">
    <w:name w:val="index 4"/>
    <w:basedOn w:val="1"/>
    <w:next w:val="1"/>
    <w:qFormat/>
    <w:uiPriority w:val="0"/>
    <w:pPr>
      <w:ind w:left="600" w:leftChars="600"/>
    </w:pPr>
  </w:style>
  <w:style w:type="paragraph" w:styleId="45">
    <w:name w:val="toc 5"/>
    <w:basedOn w:val="1"/>
    <w:next w:val="1"/>
    <w:qFormat/>
    <w:uiPriority w:val="39"/>
    <w:pPr>
      <w:ind w:left="1680" w:leftChars="800"/>
    </w:pPr>
    <w:rPr>
      <w:szCs w:val="22"/>
    </w:rPr>
  </w:style>
  <w:style w:type="paragraph" w:styleId="46">
    <w:name w:val="toc 3"/>
    <w:basedOn w:val="1"/>
    <w:next w:val="1"/>
    <w:qFormat/>
    <w:uiPriority w:val="39"/>
    <w:pPr>
      <w:spacing w:line="280" w:lineRule="exact"/>
      <w:ind w:left="400" w:leftChars="400"/>
    </w:pPr>
    <w:rPr>
      <w:i/>
      <w:sz w:val="18"/>
    </w:rPr>
  </w:style>
  <w:style w:type="paragraph" w:styleId="47">
    <w:name w:val="Plain Text"/>
    <w:basedOn w:val="1"/>
    <w:link w:val="130"/>
    <w:qFormat/>
    <w:uiPriority w:val="0"/>
    <w:rPr>
      <w:rFonts w:ascii="宋体" w:hAnsi="Courier New" w:cs="Courier New"/>
      <w:szCs w:val="21"/>
    </w:rPr>
  </w:style>
  <w:style w:type="paragraph" w:styleId="48">
    <w:name w:val="List Bullet 5"/>
    <w:basedOn w:val="24"/>
    <w:qFormat/>
    <w:uiPriority w:val="0"/>
    <w:pPr>
      <w:ind w:left="2880"/>
    </w:pPr>
  </w:style>
  <w:style w:type="paragraph" w:styleId="49">
    <w:name w:val="List Number 4"/>
    <w:basedOn w:val="20"/>
    <w:qFormat/>
    <w:uiPriority w:val="0"/>
    <w:pPr>
      <w:widowControl/>
      <w:tabs>
        <w:tab w:val="left" w:pos="960"/>
      </w:tabs>
      <w:adjustRightInd/>
      <w:spacing w:after="120"/>
      <w:ind w:left="2520" w:hanging="420"/>
      <w:textAlignment w:val="auto"/>
    </w:pPr>
    <w:rPr>
      <w:rFonts w:ascii="Arial" w:hAnsi="Arial"/>
      <w:color w:val="auto"/>
      <w:sz w:val="24"/>
      <w:lang w:eastAsia="en-US"/>
    </w:rPr>
  </w:style>
  <w:style w:type="paragraph" w:styleId="50">
    <w:name w:val="toc 8"/>
    <w:basedOn w:val="1"/>
    <w:next w:val="1"/>
    <w:qFormat/>
    <w:uiPriority w:val="39"/>
    <w:pPr>
      <w:ind w:left="2940" w:leftChars="1400"/>
    </w:pPr>
    <w:rPr>
      <w:szCs w:val="22"/>
    </w:rPr>
  </w:style>
  <w:style w:type="paragraph" w:styleId="51">
    <w:name w:val="index 3"/>
    <w:basedOn w:val="1"/>
    <w:next w:val="1"/>
    <w:qFormat/>
    <w:uiPriority w:val="0"/>
    <w:pPr>
      <w:ind w:left="630" w:hanging="210"/>
      <w:jc w:val="left"/>
    </w:pPr>
    <w:rPr>
      <w:sz w:val="20"/>
      <w:szCs w:val="20"/>
    </w:rPr>
  </w:style>
  <w:style w:type="paragraph" w:styleId="52">
    <w:name w:val="Date"/>
    <w:basedOn w:val="1"/>
    <w:next w:val="1"/>
    <w:link w:val="131"/>
    <w:qFormat/>
    <w:uiPriority w:val="0"/>
    <w:pPr>
      <w:ind w:left="100" w:leftChars="2500"/>
    </w:pPr>
  </w:style>
  <w:style w:type="paragraph" w:styleId="53">
    <w:name w:val="Body Text Indent 2"/>
    <w:basedOn w:val="1"/>
    <w:next w:val="54"/>
    <w:link w:val="132"/>
    <w:qFormat/>
    <w:uiPriority w:val="0"/>
    <w:pPr>
      <w:spacing w:after="120" w:line="480" w:lineRule="auto"/>
      <w:ind w:left="420" w:leftChars="200"/>
    </w:pPr>
  </w:style>
  <w:style w:type="paragraph" w:customStyle="1" w:styleId="54">
    <w:name w:val="目录 91"/>
    <w:basedOn w:val="1"/>
    <w:next w:val="1"/>
    <w:qFormat/>
    <w:uiPriority w:val="0"/>
    <w:pPr>
      <w:ind w:left="3360"/>
    </w:pPr>
    <w:rPr>
      <w:rFonts w:ascii="Calibri"/>
    </w:rPr>
  </w:style>
  <w:style w:type="paragraph" w:styleId="55">
    <w:name w:val="endnote text"/>
    <w:basedOn w:val="56"/>
    <w:link w:val="133"/>
    <w:qFormat/>
    <w:uiPriority w:val="0"/>
  </w:style>
  <w:style w:type="paragraph" w:customStyle="1" w:styleId="56">
    <w:name w:val="Footnote Base"/>
    <w:basedOn w:val="1"/>
    <w:qFormat/>
    <w:uiPriority w:val="0"/>
    <w:pPr>
      <w:keepLines/>
      <w:widowControl/>
      <w:spacing w:line="200" w:lineRule="atLeast"/>
      <w:ind w:left="1080"/>
      <w:jc w:val="left"/>
    </w:pPr>
    <w:rPr>
      <w:rFonts w:ascii="Arial" w:hAnsi="Arial"/>
      <w:spacing w:val="-5"/>
      <w:kern w:val="0"/>
      <w:sz w:val="16"/>
      <w:szCs w:val="20"/>
      <w:lang w:eastAsia="en-US"/>
    </w:rPr>
  </w:style>
  <w:style w:type="paragraph" w:styleId="57">
    <w:name w:val="List Continue 5"/>
    <w:basedOn w:val="40"/>
    <w:qFormat/>
    <w:uiPriority w:val="0"/>
    <w:pPr>
      <w:tabs>
        <w:tab w:val="clear" w:pos="1080"/>
      </w:tabs>
      <w:ind w:left="3240"/>
    </w:pPr>
  </w:style>
  <w:style w:type="paragraph" w:styleId="58">
    <w:name w:val="Balloon Text"/>
    <w:basedOn w:val="1"/>
    <w:link w:val="134"/>
    <w:qFormat/>
    <w:uiPriority w:val="0"/>
    <w:rPr>
      <w:sz w:val="18"/>
      <w:szCs w:val="18"/>
    </w:rPr>
  </w:style>
  <w:style w:type="paragraph" w:styleId="59">
    <w:name w:val="footer"/>
    <w:basedOn w:val="1"/>
    <w:link w:val="135"/>
    <w:qFormat/>
    <w:uiPriority w:val="99"/>
    <w:pPr>
      <w:tabs>
        <w:tab w:val="center" w:pos="4153"/>
        <w:tab w:val="right" w:pos="8306"/>
      </w:tabs>
      <w:snapToGrid w:val="0"/>
      <w:jc w:val="left"/>
    </w:pPr>
    <w:rPr>
      <w:sz w:val="18"/>
      <w:szCs w:val="18"/>
    </w:rPr>
  </w:style>
  <w:style w:type="paragraph" w:styleId="60">
    <w:name w:val="envelope return"/>
    <w:basedOn w:val="1"/>
    <w:qFormat/>
    <w:uiPriority w:val="0"/>
    <w:pPr>
      <w:widowControl/>
      <w:ind w:left="1080"/>
      <w:jc w:val="left"/>
    </w:pPr>
    <w:rPr>
      <w:rFonts w:ascii="Arial" w:hAnsi="Arial" w:cs="Arial"/>
      <w:spacing w:val="-5"/>
      <w:kern w:val="0"/>
      <w:sz w:val="20"/>
      <w:szCs w:val="20"/>
      <w:lang w:eastAsia="en-US"/>
    </w:rPr>
  </w:style>
  <w:style w:type="paragraph" w:styleId="61">
    <w:name w:val="header"/>
    <w:basedOn w:val="1"/>
    <w:link w:val="136"/>
    <w:qFormat/>
    <w:uiPriority w:val="0"/>
    <w:pPr>
      <w:pBdr>
        <w:bottom w:val="thickThinSmallGap" w:color="auto" w:sz="12" w:space="1"/>
      </w:pBdr>
      <w:tabs>
        <w:tab w:val="center" w:pos="4153"/>
        <w:tab w:val="right" w:pos="8306"/>
      </w:tabs>
      <w:snapToGrid w:val="0"/>
      <w:jc w:val="center"/>
    </w:pPr>
    <w:rPr>
      <w:sz w:val="18"/>
      <w:szCs w:val="18"/>
    </w:rPr>
  </w:style>
  <w:style w:type="paragraph" w:styleId="62">
    <w:name w:val="Signature"/>
    <w:basedOn w:val="1"/>
    <w:link w:val="137"/>
    <w:qFormat/>
    <w:uiPriority w:val="0"/>
    <w:pPr>
      <w:widowControl/>
      <w:ind w:left="4320"/>
      <w:jc w:val="left"/>
    </w:pPr>
    <w:rPr>
      <w:rFonts w:ascii="Arial" w:hAnsi="Arial"/>
      <w:spacing w:val="-5"/>
      <w:kern w:val="0"/>
      <w:sz w:val="20"/>
      <w:szCs w:val="20"/>
      <w:lang w:eastAsia="en-US"/>
    </w:rPr>
  </w:style>
  <w:style w:type="paragraph" w:styleId="63">
    <w:name w:val="toc 1"/>
    <w:basedOn w:val="1"/>
    <w:next w:val="1"/>
    <w:qFormat/>
    <w:uiPriority w:val="39"/>
    <w:pPr>
      <w:spacing w:beforeLines="50" w:line="400" w:lineRule="exact"/>
    </w:pPr>
    <w:rPr>
      <w:rFonts w:eastAsia="黑体"/>
      <w:sz w:val="24"/>
    </w:rPr>
  </w:style>
  <w:style w:type="paragraph" w:styleId="64">
    <w:name w:val="List Continue 4"/>
    <w:basedOn w:val="1"/>
    <w:qFormat/>
    <w:uiPriority w:val="0"/>
    <w:pPr>
      <w:spacing w:after="120" w:line="360" w:lineRule="auto"/>
      <w:ind w:left="1680" w:leftChars="800"/>
    </w:pPr>
    <w:rPr>
      <w:sz w:val="24"/>
    </w:rPr>
  </w:style>
  <w:style w:type="paragraph" w:styleId="65">
    <w:name w:val="toc 4"/>
    <w:basedOn w:val="1"/>
    <w:next w:val="1"/>
    <w:qFormat/>
    <w:uiPriority w:val="39"/>
    <w:pPr>
      <w:ind w:left="1260" w:leftChars="600"/>
    </w:pPr>
  </w:style>
  <w:style w:type="paragraph" w:styleId="66">
    <w:name w:val="index heading"/>
    <w:basedOn w:val="1"/>
    <w:next w:val="67"/>
    <w:qFormat/>
    <w:uiPriority w:val="0"/>
    <w:pPr>
      <w:spacing w:before="120" w:after="120"/>
      <w:jc w:val="left"/>
    </w:pPr>
    <w:rPr>
      <w:b/>
      <w:bCs/>
      <w:i/>
      <w:iCs/>
      <w:sz w:val="20"/>
      <w:szCs w:val="20"/>
    </w:rPr>
  </w:style>
  <w:style w:type="paragraph" w:styleId="67">
    <w:name w:val="index 1"/>
    <w:basedOn w:val="1"/>
    <w:next w:val="1"/>
    <w:qFormat/>
    <w:uiPriority w:val="0"/>
    <w:pPr>
      <w:spacing w:line="220" w:lineRule="exact"/>
      <w:jc w:val="center"/>
    </w:pPr>
    <w:rPr>
      <w:rFonts w:ascii="仿宋_GB2312" w:eastAsia="仿宋_GB2312"/>
      <w:szCs w:val="20"/>
    </w:rPr>
  </w:style>
  <w:style w:type="paragraph" w:styleId="68">
    <w:name w:val="Subtitle"/>
    <w:basedOn w:val="1"/>
    <w:next w:val="1"/>
    <w:link w:val="138"/>
    <w:qFormat/>
    <w:uiPriority w:val="0"/>
    <w:pPr>
      <w:spacing w:before="240" w:after="60" w:line="312" w:lineRule="auto"/>
      <w:jc w:val="center"/>
      <w:outlineLvl w:val="1"/>
    </w:pPr>
    <w:rPr>
      <w:rFonts w:ascii="Cambria" w:hAnsi="Cambria"/>
      <w:b/>
      <w:bCs/>
      <w:kern w:val="28"/>
      <w:sz w:val="32"/>
      <w:szCs w:val="32"/>
    </w:rPr>
  </w:style>
  <w:style w:type="paragraph" w:styleId="69">
    <w:name w:val="List Number 5"/>
    <w:basedOn w:val="20"/>
    <w:qFormat/>
    <w:uiPriority w:val="0"/>
    <w:pPr>
      <w:widowControl/>
      <w:tabs>
        <w:tab w:val="left" w:pos="960"/>
      </w:tabs>
      <w:adjustRightInd/>
      <w:spacing w:after="120"/>
      <w:ind w:left="2880" w:hanging="420"/>
      <w:textAlignment w:val="auto"/>
    </w:pPr>
    <w:rPr>
      <w:rFonts w:ascii="Arial" w:hAnsi="Arial"/>
      <w:color w:val="auto"/>
      <w:sz w:val="24"/>
      <w:lang w:eastAsia="en-US"/>
    </w:rPr>
  </w:style>
  <w:style w:type="paragraph" w:styleId="70">
    <w:name w:val="footnote text"/>
    <w:basedOn w:val="56"/>
    <w:link w:val="139"/>
    <w:qFormat/>
    <w:uiPriority w:val="0"/>
  </w:style>
  <w:style w:type="paragraph" w:styleId="71">
    <w:name w:val="toc 6"/>
    <w:basedOn w:val="1"/>
    <w:next w:val="1"/>
    <w:qFormat/>
    <w:uiPriority w:val="39"/>
    <w:pPr>
      <w:ind w:left="2100" w:leftChars="1000"/>
    </w:pPr>
    <w:rPr>
      <w:szCs w:val="22"/>
    </w:rPr>
  </w:style>
  <w:style w:type="paragraph" w:styleId="72">
    <w:name w:val="List 5"/>
    <w:basedOn w:val="16"/>
    <w:qFormat/>
    <w:uiPriority w:val="0"/>
    <w:pPr>
      <w:tabs>
        <w:tab w:val="left" w:pos="1800"/>
        <w:tab w:val="clear" w:pos="1080"/>
      </w:tabs>
      <w:ind w:left="2880"/>
    </w:pPr>
  </w:style>
  <w:style w:type="paragraph" w:styleId="73">
    <w:name w:val="Body Text Indent 3"/>
    <w:basedOn w:val="1"/>
    <w:link w:val="140"/>
    <w:qFormat/>
    <w:uiPriority w:val="0"/>
    <w:pPr>
      <w:spacing w:after="120"/>
      <w:ind w:left="420" w:leftChars="200"/>
    </w:pPr>
    <w:rPr>
      <w:sz w:val="16"/>
      <w:szCs w:val="16"/>
    </w:rPr>
  </w:style>
  <w:style w:type="paragraph" w:styleId="74">
    <w:name w:val="index 7"/>
    <w:basedOn w:val="1"/>
    <w:next w:val="1"/>
    <w:qFormat/>
    <w:uiPriority w:val="0"/>
    <w:pPr>
      <w:ind w:left="1470" w:hanging="210"/>
      <w:jc w:val="left"/>
    </w:pPr>
    <w:rPr>
      <w:sz w:val="20"/>
      <w:szCs w:val="20"/>
    </w:rPr>
  </w:style>
  <w:style w:type="paragraph" w:styleId="75">
    <w:name w:val="index 9"/>
    <w:basedOn w:val="1"/>
    <w:next w:val="1"/>
    <w:qFormat/>
    <w:uiPriority w:val="0"/>
    <w:pPr>
      <w:ind w:left="1890" w:hanging="210"/>
      <w:jc w:val="left"/>
    </w:pPr>
    <w:rPr>
      <w:sz w:val="20"/>
      <w:szCs w:val="20"/>
    </w:rPr>
  </w:style>
  <w:style w:type="paragraph" w:styleId="76">
    <w:name w:val="table of figures"/>
    <w:basedOn w:val="1"/>
    <w:next w:val="1"/>
    <w:qFormat/>
    <w:uiPriority w:val="0"/>
    <w:pPr>
      <w:ind w:left="200" w:leftChars="200" w:hanging="200" w:hangingChars="200"/>
    </w:pPr>
  </w:style>
  <w:style w:type="paragraph" w:styleId="77">
    <w:name w:val="toc 2"/>
    <w:basedOn w:val="1"/>
    <w:next w:val="1"/>
    <w:qFormat/>
    <w:uiPriority w:val="39"/>
    <w:pPr>
      <w:spacing w:line="360" w:lineRule="exact"/>
      <w:ind w:left="200" w:leftChars="200"/>
    </w:pPr>
  </w:style>
  <w:style w:type="paragraph" w:styleId="78">
    <w:name w:val="toc 9"/>
    <w:basedOn w:val="1"/>
    <w:next w:val="1"/>
    <w:qFormat/>
    <w:uiPriority w:val="39"/>
    <w:pPr>
      <w:ind w:left="3360" w:leftChars="1600"/>
    </w:pPr>
    <w:rPr>
      <w:szCs w:val="22"/>
    </w:rPr>
  </w:style>
  <w:style w:type="paragraph" w:styleId="79">
    <w:name w:val="Body Text 2"/>
    <w:basedOn w:val="1"/>
    <w:link w:val="141"/>
    <w:qFormat/>
    <w:uiPriority w:val="0"/>
    <w:pPr>
      <w:spacing w:after="120" w:line="480" w:lineRule="auto"/>
    </w:pPr>
  </w:style>
  <w:style w:type="paragraph" w:styleId="80">
    <w:name w:val="List 4"/>
    <w:basedOn w:val="16"/>
    <w:qFormat/>
    <w:uiPriority w:val="0"/>
    <w:pPr>
      <w:tabs>
        <w:tab w:val="left" w:pos="1800"/>
        <w:tab w:val="clear" w:pos="1080"/>
      </w:tabs>
      <w:ind w:left="2520"/>
    </w:pPr>
  </w:style>
  <w:style w:type="paragraph" w:styleId="81">
    <w:name w:val="List Continue 2"/>
    <w:basedOn w:val="1"/>
    <w:qFormat/>
    <w:uiPriority w:val="0"/>
    <w:pPr>
      <w:spacing w:after="120" w:line="360" w:lineRule="auto"/>
      <w:ind w:left="840" w:leftChars="400"/>
    </w:pPr>
    <w:rPr>
      <w:sz w:val="24"/>
    </w:rPr>
  </w:style>
  <w:style w:type="paragraph" w:styleId="82">
    <w:name w:val="Message Header"/>
    <w:basedOn w:val="17"/>
    <w:link w:val="142"/>
    <w:qFormat/>
    <w:uiPriority w:val="0"/>
    <w:pPr>
      <w:keepLines/>
      <w:widowControl/>
      <w:tabs>
        <w:tab w:val="left" w:pos="3600"/>
        <w:tab w:val="left" w:pos="4680"/>
      </w:tabs>
      <w:spacing w:line="280" w:lineRule="exact"/>
      <w:ind w:right="2160" w:hanging="1080"/>
      <w:jc w:val="left"/>
    </w:pPr>
    <w:rPr>
      <w:rFonts w:ascii="Arial" w:hAnsi="Arial"/>
      <w:kern w:val="0"/>
      <w:sz w:val="22"/>
      <w:szCs w:val="20"/>
      <w:lang w:eastAsia="en-US"/>
    </w:rPr>
  </w:style>
  <w:style w:type="paragraph" w:styleId="83">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84">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85">
    <w:name w:val="List Continue 3"/>
    <w:basedOn w:val="40"/>
    <w:qFormat/>
    <w:uiPriority w:val="0"/>
    <w:pPr>
      <w:tabs>
        <w:tab w:val="clear" w:pos="1080"/>
      </w:tabs>
      <w:ind w:left="2520"/>
    </w:pPr>
  </w:style>
  <w:style w:type="paragraph" w:styleId="86">
    <w:name w:val="index 2"/>
    <w:basedOn w:val="1"/>
    <w:next w:val="1"/>
    <w:qFormat/>
    <w:uiPriority w:val="0"/>
    <w:pPr>
      <w:ind w:left="420" w:hanging="210"/>
      <w:jc w:val="left"/>
    </w:pPr>
    <w:rPr>
      <w:sz w:val="20"/>
      <w:szCs w:val="20"/>
    </w:rPr>
  </w:style>
  <w:style w:type="paragraph" w:styleId="87">
    <w:name w:val="Title"/>
    <w:basedOn w:val="1"/>
    <w:next w:val="1"/>
    <w:link w:val="144"/>
    <w:qFormat/>
    <w:uiPriority w:val="0"/>
    <w:pPr>
      <w:spacing w:before="240" w:after="60"/>
      <w:jc w:val="center"/>
      <w:outlineLvl w:val="0"/>
    </w:pPr>
    <w:rPr>
      <w:rFonts w:ascii="Cambria" w:hAnsi="Cambria"/>
      <w:b/>
      <w:sz w:val="32"/>
    </w:rPr>
  </w:style>
  <w:style w:type="paragraph" w:styleId="88">
    <w:name w:val="annotation subject"/>
    <w:basedOn w:val="32"/>
    <w:next w:val="32"/>
    <w:link w:val="145"/>
    <w:qFormat/>
    <w:uiPriority w:val="0"/>
    <w:rPr>
      <w:rFonts w:ascii="Times New Roman" w:hAnsi="Times New Roman"/>
      <w:b/>
      <w:bCs/>
    </w:rPr>
  </w:style>
  <w:style w:type="paragraph" w:styleId="89">
    <w:name w:val="Body Text First Indent"/>
    <w:basedOn w:val="17"/>
    <w:link w:val="146"/>
    <w:qFormat/>
    <w:uiPriority w:val="0"/>
    <w:pPr>
      <w:ind w:firstLine="420" w:firstLineChars="100"/>
    </w:pPr>
  </w:style>
  <w:style w:type="table" w:styleId="91">
    <w:name w:val="Table Grid"/>
    <w:basedOn w:val="9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3">
    <w:name w:val="Strong"/>
    <w:qFormat/>
    <w:uiPriority w:val="0"/>
    <w:rPr>
      <w:b/>
      <w:bCs/>
    </w:rPr>
  </w:style>
  <w:style w:type="character" w:styleId="94">
    <w:name w:val="page number"/>
    <w:qFormat/>
    <w:uiPriority w:val="0"/>
  </w:style>
  <w:style w:type="character" w:styleId="95">
    <w:name w:val="FollowedHyperlink"/>
    <w:qFormat/>
    <w:uiPriority w:val="0"/>
    <w:rPr>
      <w:color w:val="800080"/>
      <w:u w:val="single"/>
    </w:rPr>
  </w:style>
  <w:style w:type="character" w:styleId="96">
    <w:name w:val="Emphasis"/>
    <w:qFormat/>
    <w:uiPriority w:val="0"/>
    <w:rPr>
      <w:rFonts w:ascii="Times New Roman" w:hAnsi="Times New Roman" w:eastAsia="宋体"/>
    </w:rPr>
  </w:style>
  <w:style w:type="character" w:styleId="97">
    <w:name w:val="line number"/>
    <w:qFormat/>
    <w:uiPriority w:val="0"/>
    <w:rPr>
      <w:sz w:val="18"/>
    </w:rPr>
  </w:style>
  <w:style w:type="character" w:styleId="98">
    <w:name w:val="HTML Definition"/>
    <w:qFormat/>
    <w:uiPriority w:val="0"/>
    <w:rPr>
      <w:rFonts w:ascii="Times New Roman" w:hAnsi="Times New Roman" w:eastAsia="宋体"/>
    </w:rPr>
  </w:style>
  <w:style w:type="character" w:styleId="99">
    <w:name w:val="HTML Typewriter"/>
    <w:unhideWhenUsed/>
    <w:qFormat/>
    <w:uiPriority w:val="99"/>
    <w:rPr>
      <w:rFonts w:ascii="Courier New" w:hAnsi="Courier New"/>
      <w:sz w:val="24"/>
      <w:szCs w:val="24"/>
    </w:rPr>
  </w:style>
  <w:style w:type="character" w:styleId="100">
    <w:name w:val="HTML Acronym"/>
    <w:unhideWhenUsed/>
    <w:qFormat/>
    <w:uiPriority w:val="99"/>
  </w:style>
  <w:style w:type="character" w:styleId="101">
    <w:name w:val="HTML Variable"/>
    <w:qFormat/>
    <w:uiPriority w:val="0"/>
    <w:rPr>
      <w:rFonts w:ascii="Times New Roman" w:hAnsi="Times New Roman" w:eastAsia="宋体"/>
    </w:rPr>
  </w:style>
  <w:style w:type="character" w:styleId="102">
    <w:name w:val="Hyperlink"/>
    <w:qFormat/>
    <w:uiPriority w:val="99"/>
    <w:rPr>
      <w:color w:val="0000FF"/>
      <w:u w:val="single"/>
    </w:rPr>
  </w:style>
  <w:style w:type="character" w:styleId="103">
    <w:name w:val="HTML Code"/>
    <w:qFormat/>
    <w:uiPriority w:val="0"/>
    <w:rPr>
      <w:rFonts w:ascii="Courier New" w:hAnsi="Courier New" w:eastAsia="Courier New" w:cs="Courier New"/>
      <w:sz w:val="20"/>
    </w:rPr>
  </w:style>
  <w:style w:type="character" w:styleId="104">
    <w:name w:val="annotation reference"/>
    <w:qFormat/>
    <w:uiPriority w:val="0"/>
    <w:rPr>
      <w:sz w:val="21"/>
      <w:szCs w:val="21"/>
    </w:rPr>
  </w:style>
  <w:style w:type="character" w:styleId="105">
    <w:name w:val="HTML Cite"/>
    <w:qFormat/>
    <w:uiPriority w:val="0"/>
    <w:rPr>
      <w:rFonts w:ascii="Times New Roman" w:hAnsi="Times New Roman" w:eastAsia="宋体"/>
    </w:rPr>
  </w:style>
  <w:style w:type="character" w:styleId="106">
    <w:name w:val="HTML Keyboard"/>
    <w:qFormat/>
    <w:uiPriority w:val="0"/>
    <w:rPr>
      <w:rFonts w:ascii="Courier New" w:hAnsi="Courier New" w:eastAsia="Courier New" w:cs="Courier New"/>
      <w:sz w:val="20"/>
    </w:rPr>
  </w:style>
  <w:style w:type="character" w:styleId="107">
    <w:name w:val="HTML Sample"/>
    <w:qFormat/>
    <w:uiPriority w:val="0"/>
    <w:rPr>
      <w:rFonts w:ascii="Courier New" w:hAnsi="Courier New" w:eastAsia="Courier New" w:cs="Courier New"/>
    </w:rPr>
  </w:style>
  <w:style w:type="paragraph" w:customStyle="1" w:styleId="108">
    <w:name w:val="目录 81"/>
    <w:basedOn w:val="1"/>
    <w:next w:val="1"/>
    <w:qFormat/>
    <w:uiPriority w:val="0"/>
    <w:pPr>
      <w:ind w:left="2940"/>
    </w:pPr>
    <w:rPr>
      <w:rFonts w:ascii="Calibri"/>
    </w:rPr>
  </w:style>
  <w:style w:type="character" w:customStyle="1" w:styleId="109">
    <w:name w:val="宏文本 字符"/>
    <w:link w:val="5"/>
    <w:qFormat/>
    <w:uiPriority w:val="0"/>
    <w:rPr>
      <w:rFonts w:ascii="Courier New" w:hAnsi="Courier New" w:cs="Courier New"/>
      <w:spacing w:val="-5"/>
      <w:lang w:val="en-US" w:eastAsia="en-US" w:bidi="ar-SA"/>
    </w:rPr>
  </w:style>
  <w:style w:type="character" w:customStyle="1" w:styleId="110">
    <w:name w:val="标题 1 字符1"/>
    <w:link w:val="6"/>
    <w:qFormat/>
    <w:uiPriority w:val="0"/>
    <w:rPr>
      <w:rFonts w:ascii="Times New Roman" w:hAnsi="Times New Roman"/>
      <w:b/>
      <w:bCs/>
      <w:kern w:val="2"/>
      <w:sz w:val="24"/>
    </w:rPr>
  </w:style>
  <w:style w:type="character" w:customStyle="1" w:styleId="111">
    <w:name w:val="标题 2 字符1"/>
    <w:link w:val="7"/>
    <w:qFormat/>
    <w:locked/>
    <w:uiPriority w:val="0"/>
    <w:rPr>
      <w:rFonts w:ascii="Arial" w:hAnsi="Arial" w:eastAsia="宋体"/>
      <w:b/>
      <w:bCs/>
      <w:kern w:val="2"/>
      <w:sz w:val="24"/>
      <w:szCs w:val="32"/>
      <w:lang w:val="en-US" w:eastAsia="zh-CN" w:bidi="ar-SA"/>
    </w:rPr>
  </w:style>
  <w:style w:type="character" w:customStyle="1" w:styleId="112">
    <w:name w:val="标题 3 字符1"/>
    <w:link w:val="8"/>
    <w:qFormat/>
    <w:locked/>
    <w:uiPriority w:val="0"/>
    <w:rPr>
      <w:rFonts w:eastAsia="宋体"/>
      <w:b/>
      <w:bCs/>
      <w:kern w:val="2"/>
      <w:sz w:val="32"/>
      <w:szCs w:val="32"/>
      <w:lang w:val="en-US" w:eastAsia="zh-CN" w:bidi="ar-SA"/>
    </w:rPr>
  </w:style>
  <w:style w:type="character" w:customStyle="1" w:styleId="113">
    <w:name w:val="标题 4 字符1"/>
    <w:link w:val="9"/>
    <w:qFormat/>
    <w:uiPriority w:val="0"/>
    <w:rPr>
      <w:rFonts w:ascii="Arial" w:hAnsi="Arial" w:eastAsia="黑体"/>
      <w:b/>
      <w:bCs/>
      <w:kern w:val="2"/>
      <w:sz w:val="28"/>
      <w:szCs w:val="28"/>
    </w:rPr>
  </w:style>
  <w:style w:type="character" w:customStyle="1" w:styleId="114">
    <w:name w:val="标题 5 字符1"/>
    <w:link w:val="10"/>
    <w:qFormat/>
    <w:uiPriority w:val="0"/>
    <w:rPr>
      <w:rFonts w:ascii="Times New Roman" w:hAnsi="Times New Roman"/>
      <w:b/>
      <w:bCs/>
      <w:sz w:val="28"/>
      <w:szCs w:val="28"/>
    </w:rPr>
  </w:style>
  <w:style w:type="character" w:customStyle="1" w:styleId="115">
    <w:name w:val="标题 6 字符1"/>
    <w:link w:val="11"/>
    <w:qFormat/>
    <w:uiPriority w:val="0"/>
    <w:rPr>
      <w:rFonts w:ascii="Arial" w:hAnsi="Arial" w:eastAsia="黑体"/>
      <w:b/>
      <w:bCs/>
      <w:sz w:val="24"/>
      <w:szCs w:val="24"/>
    </w:rPr>
  </w:style>
  <w:style w:type="character" w:customStyle="1" w:styleId="116">
    <w:name w:val="标题 7 字符1"/>
    <w:link w:val="12"/>
    <w:qFormat/>
    <w:uiPriority w:val="0"/>
    <w:rPr>
      <w:rFonts w:ascii="Times New Roman" w:hAnsi="Times New Roman"/>
      <w:b/>
      <w:bCs/>
      <w:sz w:val="24"/>
      <w:szCs w:val="24"/>
    </w:rPr>
  </w:style>
  <w:style w:type="character" w:customStyle="1" w:styleId="117">
    <w:name w:val="标题 8 字符1"/>
    <w:link w:val="13"/>
    <w:qFormat/>
    <w:uiPriority w:val="0"/>
    <w:rPr>
      <w:rFonts w:ascii="Arial" w:hAnsi="Arial" w:eastAsia="黑体"/>
      <w:sz w:val="24"/>
      <w:szCs w:val="24"/>
    </w:rPr>
  </w:style>
  <w:style w:type="character" w:customStyle="1" w:styleId="118">
    <w:name w:val="标题 9 字符1"/>
    <w:link w:val="14"/>
    <w:qFormat/>
    <w:uiPriority w:val="0"/>
    <w:rPr>
      <w:rFonts w:ascii="Arial" w:hAnsi="Arial" w:eastAsia="黑体"/>
      <w:sz w:val="21"/>
      <w:szCs w:val="21"/>
    </w:rPr>
  </w:style>
  <w:style w:type="character" w:customStyle="1" w:styleId="119">
    <w:name w:val="正文文本 字符"/>
    <w:link w:val="17"/>
    <w:qFormat/>
    <w:uiPriority w:val="0"/>
    <w:rPr>
      <w:kern w:val="2"/>
      <w:sz w:val="21"/>
      <w:szCs w:val="24"/>
    </w:rPr>
  </w:style>
  <w:style w:type="character" w:customStyle="1" w:styleId="120">
    <w:name w:val="注释标题 字符"/>
    <w:link w:val="22"/>
    <w:qFormat/>
    <w:uiPriority w:val="0"/>
    <w:rPr>
      <w:rFonts w:ascii="Arial" w:hAnsi="Arial"/>
      <w:spacing w:val="-5"/>
      <w:lang w:eastAsia="en-US"/>
    </w:rPr>
  </w:style>
  <w:style w:type="character" w:customStyle="1" w:styleId="121">
    <w:name w:val="电子邮件签名 字符"/>
    <w:link w:val="26"/>
    <w:qFormat/>
    <w:uiPriority w:val="0"/>
    <w:rPr>
      <w:rFonts w:ascii="Arial" w:hAnsi="Arial"/>
      <w:spacing w:val="-5"/>
      <w:lang w:eastAsia="en-US"/>
    </w:rPr>
  </w:style>
  <w:style w:type="character" w:customStyle="1" w:styleId="122">
    <w:name w:val="正文缩进 字符"/>
    <w:link w:val="4"/>
    <w:qFormat/>
    <w:uiPriority w:val="0"/>
    <w:rPr>
      <w:rFonts w:ascii="Times New Roman" w:hAnsi="Times New Roman"/>
    </w:rPr>
  </w:style>
  <w:style w:type="character" w:customStyle="1" w:styleId="123">
    <w:name w:val="文档结构图 字符1"/>
    <w:link w:val="30"/>
    <w:qFormat/>
    <w:uiPriority w:val="0"/>
    <w:rPr>
      <w:rFonts w:ascii="Times New Roman" w:hAnsi="Times New Roman"/>
      <w:kern w:val="2"/>
      <w:sz w:val="21"/>
      <w:szCs w:val="24"/>
      <w:shd w:val="clear" w:color="auto" w:fill="000080"/>
    </w:rPr>
  </w:style>
  <w:style w:type="character" w:customStyle="1" w:styleId="124">
    <w:name w:val="批注文字 字符"/>
    <w:link w:val="32"/>
    <w:qFormat/>
    <w:locked/>
    <w:uiPriority w:val="0"/>
    <w:rPr>
      <w:rFonts w:ascii="宋体" w:hAnsi="宋体" w:eastAsia="宋体"/>
      <w:kern w:val="2"/>
      <w:sz w:val="21"/>
      <w:szCs w:val="24"/>
      <w:lang w:val="en-US" w:eastAsia="zh-CN" w:bidi="ar-SA"/>
    </w:rPr>
  </w:style>
  <w:style w:type="character" w:customStyle="1" w:styleId="125">
    <w:name w:val="称呼 字符"/>
    <w:link w:val="34"/>
    <w:qFormat/>
    <w:uiPriority w:val="0"/>
    <w:rPr>
      <w:rFonts w:ascii="仿宋_GB2312" w:hAnsi="Times New Roman" w:eastAsia="仿宋_GB2312"/>
      <w:kern w:val="2"/>
      <w:sz w:val="24"/>
      <w:szCs w:val="24"/>
    </w:rPr>
  </w:style>
  <w:style w:type="character" w:customStyle="1" w:styleId="126">
    <w:name w:val="正文文本 3 字符"/>
    <w:link w:val="35"/>
    <w:qFormat/>
    <w:uiPriority w:val="0"/>
    <w:rPr>
      <w:rFonts w:ascii="宋体" w:hAnsi="Times New Roman"/>
      <w:color w:val="000000"/>
      <w:sz w:val="24"/>
    </w:rPr>
  </w:style>
  <w:style w:type="character" w:customStyle="1" w:styleId="127">
    <w:name w:val="结束语 字符"/>
    <w:link w:val="36"/>
    <w:qFormat/>
    <w:uiPriority w:val="0"/>
    <w:rPr>
      <w:rFonts w:ascii="Arial" w:hAnsi="Arial"/>
      <w:spacing w:val="-5"/>
      <w:lang w:eastAsia="en-US"/>
    </w:rPr>
  </w:style>
  <w:style w:type="character" w:customStyle="1" w:styleId="128">
    <w:name w:val="正文文本缩进 字符1"/>
    <w:link w:val="3"/>
    <w:qFormat/>
    <w:locked/>
    <w:uiPriority w:val="0"/>
    <w:rPr>
      <w:rFonts w:ascii="宋体" w:hAnsi="宋体" w:eastAsia="宋体"/>
      <w:kern w:val="2"/>
      <w:sz w:val="21"/>
      <w:szCs w:val="24"/>
      <w:lang w:val="en-US" w:eastAsia="zh-CN" w:bidi="ar-SA"/>
    </w:rPr>
  </w:style>
  <w:style w:type="character" w:customStyle="1" w:styleId="129">
    <w:name w:val="HTML 地址 字符"/>
    <w:link w:val="43"/>
    <w:qFormat/>
    <w:uiPriority w:val="0"/>
    <w:rPr>
      <w:rFonts w:ascii="Arial" w:hAnsi="Arial"/>
      <w:i/>
      <w:iCs/>
      <w:spacing w:val="-5"/>
      <w:lang w:eastAsia="en-US"/>
    </w:rPr>
  </w:style>
  <w:style w:type="character" w:customStyle="1" w:styleId="130">
    <w:name w:val="纯文本 字符1"/>
    <w:link w:val="47"/>
    <w:qFormat/>
    <w:locked/>
    <w:uiPriority w:val="0"/>
    <w:rPr>
      <w:rFonts w:ascii="宋体" w:hAnsi="Courier New" w:eastAsia="宋体" w:cs="Courier New"/>
      <w:kern w:val="2"/>
      <w:sz w:val="21"/>
      <w:szCs w:val="21"/>
      <w:lang w:val="en-US" w:eastAsia="zh-CN" w:bidi="ar-SA"/>
    </w:rPr>
  </w:style>
  <w:style w:type="character" w:customStyle="1" w:styleId="131">
    <w:name w:val="日期 字符1"/>
    <w:link w:val="52"/>
    <w:qFormat/>
    <w:uiPriority w:val="0"/>
    <w:rPr>
      <w:kern w:val="2"/>
      <w:sz w:val="21"/>
      <w:szCs w:val="24"/>
    </w:rPr>
  </w:style>
  <w:style w:type="character" w:customStyle="1" w:styleId="132">
    <w:name w:val="正文文本缩进 2 字符1"/>
    <w:link w:val="53"/>
    <w:qFormat/>
    <w:uiPriority w:val="0"/>
    <w:rPr>
      <w:kern w:val="2"/>
      <w:sz w:val="21"/>
      <w:szCs w:val="24"/>
      <w:lang w:bidi="ar-SA"/>
    </w:rPr>
  </w:style>
  <w:style w:type="character" w:customStyle="1" w:styleId="133">
    <w:name w:val="尾注文本 字符"/>
    <w:link w:val="55"/>
    <w:qFormat/>
    <w:uiPriority w:val="0"/>
    <w:rPr>
      <w:rFonts w:ascii="Arial" w:hAnsi="Arial"/>
      <w:spacing w:val="-5"/>
      <w:sz w:val="16"/>
      <w:lang w:eastAsia="en-US"/>
    </w:rPr>
  </w:style>
  <w:style w:type="character" w:customStyle="1" w:styleId="134">
    <w:name w:val="批注框文本 字符1"/>
    <w:link w:val="58"/>
    <w:qFormat/>
    <w:locked/>
    <w:uiPriority w:val="0"/>
    <w:rPr>
      <w:kern w:val="2"/>
      <w:sz w:val="18"/>
      <w:szCs w:val="18"/>
    </w:rPr>
  </w:style>
  <w:style w:type="character" w:customStyle="1" w:styleId="135">
    <w:name w:val="页脚 字符1"/>
    <w:link w:val="59"/>
    <w:qFormat/>
    <w:locked/>
    <w:uiPriority w:val="99"/>
    <w:rPr>
      <w:rFonts w:eastAsia="宋体"/>
      <w:kern w:val="2"/>
      <w:sz w:val="18"/>
      <w:szCs w:val="18"/>
      <w:lang w:val="en-US" w:eastAsia="zh-CN" w:bidi="ar-SA"/>
    </w:rPr>
  </w:style>
  <w:style w:type="character" w:customStyle="1" w:styleId="136">
    <w:name w:val="页眉 字符1"/>
    <w:link w:val="61"/>
    <w:qFormat/>
    <w:locked/>
    <w:uiPriority w:val="0"/>
    <w:rPr>
      <w:rFonts w:eastAsia="宋体"/>
      <w:kern w:val="2"/>
      <w:sz w:val="18"/>
      <w:szCs w:val="18"/>
      <w:lang w:val="en-US" w:eastAsia="zh-CN" w:bidi="ar-SA"/>
    </w:rPr>
  </w:style>
  <w:style w:type="character" w:customStyle="1" w:styleId="137">
    <w:name w:val="签名 字符"/>
    <w:link w:val="62"/>
    <w:qFormat/>
    <w:uiPriority w:val="0"/>
    <w:rPr>
      <w:rFonts w:ascii="Arial" w:hAnsi="Arial"/>
      <w:spacing w:val="-5"/>
      <w:lang w:eastAsia="en-US"/>
    </w:rPr>
  </w:style>
  <w:style w:type="character" w:customStyle="1" w:styleId="138">
    <w:name w:val="副标题 字符"/>
    <w:link w:val="68"/>
    <w:qFormat/>
    <w:uiPriority w:val="0"/>
    <w:rPr>
      <w:rFonts w:ascii="Cambria" w:hAnsi="Cambria"/>
      <w:b/>
      <w:bCs/>
      <w:kern w:val="28"/>
      <w:sz w:val="32"/>
      <w:szCs w:val="32"/>
    </w:rPr>
  </w:style>
  <w:style w:type="character" w:customStyle="1" w:styleId="139">
    <w:name w:val="脚注文本 字符"/>
    <w:link w:val="70"/>
    <w:qFormat/>
    <w:uiPriority w:val="0"/>
    <w:rPr>
      <w:rFonts w:ascii="Arial" w:hAnsi="Arial"/>
      <w:spacing w:val="-5"/>
      <w:sz w:val="16"/>
      <w:lang w:eastAsia="en-US"/>
    </w:rPr>
  </w:style>
  <w:style w:type="character" w:customStyle="1" w:styleId="140">
    <w:name w:val="正文文本缩进 3 字符1"/>
    <w:link w:val="73"/>
    <w:qFormat/>
    <w:uiPriority w:val="0"/>
    <w:rPr>
      <w:rFonts w:ascii="Times New Roman" w:hAnsi="Times New Roman"/>
      <w:kern w:val="2"/>
      <w:sz w:val="16"/>
      <w:szCs w:val="16"/>
    </w:rPr>
  </w:style>
  <w:style w:type="character" w:customStyle="1" w:styleId="141">
    <w:name w:val="正文文本 2 字符"/>
    <w:link w:val="79"/>
    <w:qFormat/>
    <w:uiPriority w:val="0"/>
    <w:rPr>
      <w:rFonts w:ascii="Times New Roman" w:hAnsi="Times New Roman"/>
      <w:kern w:val="2"/>
      <w:sz w:val="21"/>
      <w:szCs w:val="24"/>
    </w:rPr>
  </w:style>
  <w:style w:type="character" w:customStyle="1" w:styleId="142">
    <w:name w:val="信息标题 字符"/>
    <w:link w:val="82"/>
    <w:qFormat/>
    <w:uiPriority w:val="0"/>
    <w:rPr>
      <w:rFonts w:ascii="Arial" w:hAnsi="Arial"/>
      <w:sz w:val="22"/>
      <w:lang w:eastAsia="en-US"/>
    </w:rPr>
  </w:style>
  <w:style w:type="character" w:customStyle="1" w:styleId="143">
    <w:name w:val="HTML 预设格式 字符"/>
    <w:link w:val="83"/>
    <w:qFormat/>
    <w:uiPriority w:val="0"/>
    <w:rPr>
      <w:rFonts w:ascii="Arial" w:hAnsi="Arial"/>
      <w:sz w:val="24"/>
      <w:szCs w:val="24"/>
    </w:rPr>
  </w:style>
  <w:style w:type="character" w:customStyle="1" w:styleId="144">
    <w:name w:val="标题 字符1"/>
    <w:link w:val="87"/>
    <w:qFormat/>
    <w:uiPriority w:val="0"/>
    <w:rPr>
      <w:rFonts w:ascii="Cambria" w:hAnsi="Cambria"/>
      <w:b/>
      <w:kern w:val="2"/>
      <w:sz w:val="32"/>
      <w:szCs w:val="24"/>
    </w:rPr>
  </w:style>
  <w:style w:type="character" w:customStyle="1" w:styleId="145">
    <w:name w:val="批注主题 字符1"/>
    <w:link w:val="88"/>
    <w:qFormat/>
    <w:uiPriority w:val="0"/>
    <w:rPr>
      <w:rFonts w:ascii="Times New Roman" w:hAnsi="Times New Roman"/>
      <w:b/>
      <w:bCs/>
      <w:kern w:val="2"/>
      <w:sz w:val="21"/>
      <w:szCs w:val="24"/>
    </w:rPr>
  </w:style>
  <w:style w:type="character" w:customStyle="1" w:styleId="146">
    <w:name w:val="正文文本首行缩进 字符"/>
    <w:link w:val="89"/>
    <w:qFormat/>
    <w:uiPriority w:val="0"/>
    <w:rPr>
      <w:kern w:val="2"/>
      <w:sz w:val="21"/>
      <w:szCs w:val="24"/>
    </w:rPr>
  </w:style>
  <w:style w:type="character" w:customStyle="1" w:styleId="147">
    <w:name w:val="正文文本首行缩进 2 字符"/>
    <w:link w:val="2"/>
    <w:qFormat/>
    <w:uiPriority w:val="0"/>
    <w:rPr>
      <w:rFonts w:ascii="Times New Roman" w:hAnsi="Times New Roman" w:eastAsia="宋体"/>
      <w:kern w:val="2"/>
      <w:sz w:val="21"/>
      <w:szCs w:val="21"/>
      <w:lang w:val="en-US" w:eastAsia="zh-CN" w:bidi="ar-SA"/>
    </w:rPr>
  </w:style>
  <w:style w:type="character" w:customStyle="1" w:styleId="148">
    <w:name w:val="标题 2A"/>
    <w:qFormat/>
    <w:uiPriority w:val="0"/>
    <w:rPr>
      <w:rFonts w:ascii="Calibri" w:hAnsi="Calibri"/>
      <w:kern w:val="0"/>
      <w:sz w:val="24"/>
      <w:lang w:eastAsia="en-US"/>
    </w:rPr>
  </w:style>
  <w:style w:type="character" w:customStyle="1" w:styleId="149">
    <w:name w:val="样式 标题 2H22h2Level 2 HeadUnderrubrik1prop2节名Heading 2 Hid... Char"/>
    <w:link w:val="150"/>
    <w:qFormat/>
    <w:uiPriority w:val="0"/>
    <w:rPr>
      <w:rFonts w:ascii="宋体" w:hAnsi="Arial" w:cs="宋体"/>
      <w:b/>
      <w:bCs/>
      <w:kern w:val="36"/>
      <w:sz w:val="24"/>
      <w:szCs w:val="32"/>
    </w:rPr>
  </w:style>
  <w:style w:type="paragraph" w:customStyle="1" w:styleId="150">
    <w:name w:val="样式 标题 2H22h2Level 2 HeadUnderrubrik1prop2节名Heading 2 Hid..."/>
    <w:basedOn w:val="7"/>
    <w:link w:val="149"/>
    <w:qFormat/>
    <w:uiPriority w:val="0"/>
    <w:pPr>
      <w:adjustRightInd w:val="0"/>
      <w:spacing w:before="480" w:after="360" w:line="480" w:lineRule="auto"/>
      <w:ind w:left="210" w:leftChars="100" w:right="210" w:rightChars="100"/>
      <w:jc w:val="left"/>
      <w:textAlignment w:val="baseline"/>
    </w:pPr>
    <w:rPr>
      <w:rFonts w:ascii="宋体"/>
      <w:kern w:val="36"/>
    </w:rPr>
  </w:style>
  <w:style w:type="character" w:customStyle="1" w:styleId="151">
    <w:name w:val="红色缩进 Char"/>
    <w:link w:val="152"/>
    <w:qFormat/>
    <w:uiPriority w:val="0"/>
    <w:rPr>
      <w:rFonts w:ascii="Arial" w:hAnsi="Arial"/>
      <w:color w:val="FF0000"/>
      <w:sz w:val="21"/>
      <w:szCs w:val="21"/>
    </w:rPr>
  </w:style>
  <w:style w:type="paragraph" w:customStyle="1" w:styleId="152">
    <w:name w:val="红色缩进"/>
    <w:basedOn w:val="89"/>
    <w:link w:val="151"/>
    <w:qFormat/>
    <w:uiPriority w:val="0"/>
    <w:pPr>
      <w:adjustRightInd w:val="0"/>
      <w:snapToGrid w:val="0"/>
      <w:spacing w:after="0" w:line="300" w:lineRule="auto"/>
      <w:ind w:firstLine="480" w:firstLineChars="200"/>
    </w:pPr>
    <w:rPr>
      <w:rFonts w:ascii="Arial" w:hAnsi="Arial"/>
      <w:color w:val="FF0000"/>
      <w:kern w:val="0"/>
      <w:szCs w:val="21"/>
    </w:rPr>
  </w:style>
  <w:style w:type="character" w:customStyle="1" w:styleId="153">
    <w:name w:val="t31"/>
    <w:qFormat/>
    <w:uiPriority w:val="0"/>
    <w:rPr>
      <w:rFonts w:ascii="Calibri" w:hAnsi="Calibri"/>
      <w:b/>
      <w:bCs/>
      <w:kern w:val="0"/>
      <w:sz w:val="22"/>
      <w:szCs w:val="22"/>
      <w:lang w:eastAsia="en-US"/>
    </w:rPr>
  </w:style>
  <w:style w:type="character" w:customStyle="1" w:styleId="154">
    <w:name w:val="Body Text Indent 3 Char"/>
    <w:qFormat/>
    <w:locked/>
    <w:uiPriority w:val="0"/>
    <w:rPr>
      <w:rFonts w:hint="eastAsia" w:ascii="宋体" w:hAnsi="MS Sans Serif" w:eastAsia="宋体"/>
      <w:color w:val="000000"/>
      <w:sz w:val="24"/>
    </w:rPr>
  </w:style>
  <w:style w:type="character" w:customStyle="1" w:styleId="155">
    <w:name w:val="content1"/>
    <w:qFormat/>
    <w:uiPriority w:val="0"/>
    <w:rPr>
      <w:rFonts w:ascii="Calibri" w:hAnsi="Calibri"/>
      <w:color w:val="000000"/>
      <w:kern w:val="0"/>
      <w:sz w:val="14"/>
      <w:u w:val="none"/>
      <w:lang w:eastAsia="en-US"/>
    </w:rPr>
  </w:style>
  <w:style w:type="character" w:customStyle="1" w:styleId="156">
    <w:name w:val="z-窗体顶端 Char"/>
    <w:link w:val="157"/>
    <w:qFormat/>
    <w:uiPriority w:val="0"/>
    <w:rPr>
      <w:rFonts w:ascii="Arial" w:hAnsi="Arial" w:cs="Arial"/>
      <w:vanish/>
      <w:sz w:val="16"/>
      <w:szCs w:val="16"/>
    </w:rPr>
  </w:style>
  <w:style w:type="paragraph" w:customStyle="1" w:styleId="157">
    <w:name w:val="_Style 154"/>
    <w:basedOn w:val="1"/>
    <w:next w:val="1"/>
    <w:link w:val="156"/>
    <w:qFormat/>
    <w:uiPriority w:val="0"/>
    <w:pPr>
      <w:widowControl/>
      <w:pBdr>
        <w:bottom w:val="single" w:color="auto" w:sz="6" w:space="1"/>
      </w:pBdr>
      <w:jc w:val="center"/>
    </w:pPr>
    <w:rPr>
      <w:rFonts w:ascii="Arial" w:hAnsi="Arial"/>
      <w:vanish/>
      <w:kern w:val="0"/>
      <w:sz w:val="16"/>
      <w:szCs w:val="16"/>
    </w:rPr>
  </w:style>
  <w:style w:type="character" w:customStyle="1" w:styleId="158">
    <w:name w:val="pricing_retail_nodiscount_desc"/>
    <w:qFormat/>
    <w:uiPriority w:val="0"/>
    <w:rPr>
      <w:rFonts w:ascii="Calibri" w:hAnsi="Calibri"/>
      <w:kern w:val="0"/>
      <w:sz w:val="24"/>
      <w:lang w:eastAsia="en-US"/>
    </w:rPr>
  </w:style>
  <w:style w:type="character" w:customStyle="1" w:styleId="159">
    <w:name w:val="Date Char2"/>
    <w:qFormat/>
    <w:locked/>
    <w:uiPriority w:val="0"/>
    <w:rPr>
      <w:rFonts w:ascii="宋体" w:hAnsi="宋体" w:eastAsia="宋体"/>
      <w:kern w:val="2"/>
      <w:sz w:val="24"/>
      <w:szCs w:val="24"/>
      <w:lang w:val="en-US" w:eastAsia="zh-CN" w:bidi="ar-SA"/>
    </w:rPr>
  </w:style>
  <w:style w:type="character" w:customStyle="1" w:styleId="160">
    <w:name w:val="结束语 Char1"/>
    <w:qFormat/>
    <w:uiPriority w:val="99"/>
    <w:rPr>
      <w:kern w:val="2"/>
      <w:sz w:val="21"/>
      <w:szCs w:val="24"/>
    </w:rPr>
  </w:style>
  <w:style w:type="character" w:customStyle="1" w:styleId="161">
    <w:name w:val="样式1 Char"/>
    <w:link w:val="162"/>
    <w:qFormat/>
    <w:uiPriority w:val="0"/>
    <w:rPr>
      <w:rFonts w:ascii="宋体" w:hAnsi="宋体"/>
      <w:sz w:val="21"/>
      <w:szCs w:val="21"/>
    </w:rPr>
  </w:style>
  <w:style w:type="paragraph" w:customStyle="1" w:styleId="162">
    <w:name w:val="样式1"/>
    <w:basedOn w:val="1"/>
    <w:link w:val="161"/>
    <w:qFormat/>
    <w:uiPriority w:val="0"/>
    <w:pPr>
      <w:tabs>
        <w:tab w:val="left" w:pos="360"/>
      </w:tabs>
      <w:adjustRightInd w:val="0"/>
      <w:ind w:left="360" w:hanging="360"/>
      <w:textAlignment w:val="baseline"/>
    </w:pPr>
    <w:rPr>
      <w:rFonts w:ascii="宋体" w:hAnsi="宋体"/>
      <w:kern w:val="0"/>
      <w:szCs w:val="21"/>
    </w:rPr>
  </w:style>
  <w:style w:type="character" w:customStyle="1" w:styleId="163">
    <w:name w:val="content_3"/>
    <w:qFormat/>
    <w:uiPriority w:val="0"/>
    <w:rPr>
      <w:sz w:val="19"/>
      <w:szCs w:val="19"/>
    </w:rPr>
  </w:style>
  <w:style w:type="character" w:customStyle="1" w:styleId="164">
    <w:name w:val="文档结构图 字符"/>
    <w:qFormat/>
    <w:uiPriority w:val="0"/>
    <w:rPr>
      <w:rFonts w:ascii="Times New Roman" w:hAnsi="Times New Roman" w:eastAsia="宋体" w:cs="Times New Roman"/>
      <w:szCs w:val="24"/>
      <w:shd w:val="clear" w:color="auto" w:fill="000080"/>
    </w:rPr>
  </w:style>
  <w:style w:type="character" w:customStyle="1" w:styleId="165">
    <w:name w:val="纯文本 字符"/>
    <w:qFormat/>
    <w:uiPriority w:val="0"/>
    <w:rPr>
      <w:rFonts w:ascii="宋体" w:hAnsi="Courier New" w:eastAsia="仿宋_GB2312"/>
      <w:sz w:val="32"/>
      <w:szCs w:val="24"/>
    </w:rPr>
  </w:style>
  <w:style w:type="character" w:customStyle="1" w:styleId="166">
    <w:name w:val="页脚 字符"/>
    <w:qFormat/>
    <w:uiPriority w:val="0"/>
  </w:style>
  <w:style w:type="character" w:customStyle="1" w:styleId="167">
    <w:name w:val="polysemyexp"/>
    <w:qFormat/>
    <w:uiPriority w:val="0"/>
    <w:rPr>
      <w:rFonts w:ascii="Times New Roman" w:hAnsi="Times New Roman" w:eastAsia="宋体"/>
      <w:color w:val="AAAAAA"/>
      <w:sz w:val="18"/>
      <w:szCs w:val="18"/>
    </w:rPr>
  </w:style>
  <w:style w:type="character" w:customStyle="1" w:styleId="168">
    <w:name w:val="bds_more8"/>
    <w:qFormat/>
    <w:uiPriority w:val="0"/>
    <w:rPr>
      <w:rFonts w:ascii="Times New Roman" w:hAnsi="Times New Roman" w:eastAsia="宋体"/>
    </w:rPr>
  </w:style>
  <w:style w:type="character" w:customStyle="1" w:styleId="169">
    <w:name w:val="sort1"/>
    <w:qFormat/>
    <w:uiPriority w:val="0"/>
    <w:rPr>
      <w:rFonts w:ascii="Times New Roman" w:hAnsi="Times New Roman" w:eastAsia="宋体"/>
    </w:rPr>
  </w:style>
  <w:style w:type="character" w:customStyle="1" w:styleId="170">
    <w:name w:val="bds_more6"/>
    <w:qFormat/>
    <w:uiPriority w:val="0"/>
    <w:rPr>
      <w:rFonts w:hint="eastAsia" w:ascii="宋体" w:hAnsi="宋体" w:eastAsia="宋体" w:cs="宋体"/>
    </w:rPr>
  </w:style>
  <w:style w:type="character" w:customStyle="1" w:styleId="171">
    <w:name w:val="样式2 Char Char"/>
    <w:qFormat/>
    <w:uiPriority w:val="0"/>
    <w:rPr>
      <w:rFonts w:eastAsia="宋体"/>
      <w:kern w:val="2"/>
      <w:sz w:val="18"/>
      <w:szCs w:val="18"/>
      <w:lang w:val="en-US" w:eastAsia="zh-CN" w:bidi="ar-SA"/>
    </w:rPr>
  </w:style>
  <w:style w:type="character" w:customStyle="1" w:styleId="172">
    <w:name w:val="页眉 Char1"/>
    <w:qFormat/>
    <w:uiPriority w:val="0"/>
    <w:rPr>
      <w:rFonts w:eastAsia="宋体"/>
      <w:kern w:val="2"/>
      <w:sz w:val="18"/>
      <w:szCs w:val="18"/>
      <w:lang w:val="en-US" w:eastAsia="zh-CN" w:bidi="ar-SA"/>
    </w:rPr>
  </w:style>
  <w:style w:type="character" w:customStyle="1" w:styleId="173">
    <w:name w:val="Font Style126"/>
    <w:qFormat/>
    <w:uiPriority w:val="99"/>
    <w:rPr>
      <w:rFonts w:hint="eastAsia" w:ascii="宋体" w:hAnsi="宋体" w:eastAsia="宋体"/>
      <w:b/>
      <w:spacing w:val="-30"/>
      <w:sz w:val="28"/>
    </w:rPr>
  </w:style>
  <w:style w:type="character" w:customStyle="1" w:styleId="174">
    <w:name w:val="列表项目 Char"/>
    <w:qFormat/>
    <w:uiPriority w:val="0"/>
    <w:rPr>
      <w:rFonts w:ascii="Calibri" w:hAnsi="Calibri" w:eastAsia="宋体"/>
      <w:kern w:val="2"/>
      <w:sz w:val="24"/>
      <w:lang w:val="en-US" w:eastAsia="zh-CN" w:bidi="ar-SA"/>
    </w:rPr>
  </w:style>
  <w:style w:type="character" w:customStyle="1" w:styleId="175">
    <w:name w:val="Char Char42"/>
    <w:qFormat/>
    <w:uiPriority w:val="0"/>
    <w:rPr>
      <w:rFonts w:ascii="Calibri" w:hAnsi="Calibri"/>
      <w:b/>
      <w:bCs/>
      <w:kern w:val="0"/>
      <w:sz w:val="24"/>
      <w:szCs w:val="24"/>
      <w:lang w:eastAsia="en-US"/>
    </w:rPr>
  </w:style>
  <w:style w:type="character" w:customStyle="1" w:styleId="176">
    <w:name w:val="Heading 7 Char"/>
    <w:qFormat/>
    <w:locked/>
    <w:uiPriority w:val="0"/>
    <w:rPr>
      <w:rFonts w:ascii="Calibri" w:hAnsi="Calibri" w:eastAsia="宋体"/>
      <w:b/>
      <w:bCs/>
      <w:kern w:val="2"/>
      <w:sz w:val="24"/>
      <w:szCs w:val="24"/>
      <w:lang w:val="en-US" w:eastAsia="zh-CN" w:bidi="ar-SA"/>
    </w:rPr>
  </w:style>
  <w:style w:type="character" w:customStyle="1" w:styleId="177">
    <w:name w:val="polysemyred"/>
    <w:qFormat/>
    <w:uiPriority w:val="0"/>
    <w:rPr>
      <w:rFonts w:ascii="Times New Roman" w:hAnsi="Times New Roman" w:eastAsia="宋体"/>
      <w:color w:val="FF6666"/>
      <w:sz w:val="18"/>
      <w:szCs w:val="18"/>
    </w:rPr>
  </w:style>
  <w:style w:type="character" w:customStyle="1" w:styleId="178">
    <w:name w:val="lemmatitleh12"/>
    <w:qFormat/>
    <w:uiPriority w:val="0"/>
    <w:rPr>
      <w:rFonts w:ascii="Times New Roman" w:hAnsi="Times New Roman" w:eastAsia="宋体"/>
    </w:rPr>
  </w:style>
  <w:style w:type="character" w:customStyle="1" w:styleId="179">
    <w:name w:val="明显引用 Char2"/>
    <w:qFormat/>
    <w:uiPriority w:val="99"/>
    <w:rPr>
      <w:b/>
      <w:bCs/>
      <w:i/>
      <w:iCs/>
      <w:color w:val="4F81BD"/>
      <w:kern w:val="2"/>
      <w:sz w:val="21"/>
      <w:szCs w:val="24"/>
    </w:rPr>
  </w:style>
  <w:style w:type="character" w:customStyle="1" w:styleId="180">
    <w:name w:val="body2"/>
    <w:qFormat/>
    <w:uiPriority w:val="0"/>
    <w:rPr>
      <w:rFonts w:ascii="Calibri" w:hAnsi="Calibri"/>
      <w:color w:val="333333"/>
      <w:kern w:val="0"/>
      <w:sz w:val="18"/>
      <w:szCs w:val="18"/>
      <w:lang w:eastAsia="en-US"/>
    </w:rPr>
  </w:style>
  <w:style w:type="character" w:customStyle="1" w:styleId="181">
    <w:name w:val="Char Char14"/>
    <w:qFormat/>
    <w:uiPriority w:val="0"/>
    <w:rPr>
      <w:rFonts w:ascii="Arial" w:hAnsi="Arial" w:eastAsia="黑体"/>
      <w:b/>
      <w:bCs/>
      <w:sz w:val="28"/>
      <w:szCs w:val="28"/>
      <w:lang w:val="en-US" w:eastAsia="zh-CN" w:bidi="ar-SA"/>
    </w:rPr>
  </w:style>
  <w:style w:type="character" w:customStyle="1" w:styleId="182">
    <w:name w:val="sidecatalog-dot"/>
    <w:qFormat/>
    <w:uiPriority w:val="0"/>
    <w:rPr>
      <w:rFonts w:ascii="Times New Roman" w:hAnsi="Times New Roman" w:eastAsia="宋体"/>
    </w:rPr>
  </w:style>
  <w:style w:type="character" w:customStyle="1" w:styleId="183">
    <w:name w:val="apple-style-span"/>
    <w:qFormat/>
    <w:uiPriority w:val="0"/>
    <w:rPr>
      <w:rFonts w:ascii="Calibri" w:hAnsi="Calibri"/>
      <w:kern w:val="0"/>
      <w:sz w:val="24"/>
      <w:lang w:eastAsia="en-US"/>
    </w:rPr>
  </w:style>
  <w:style w:type="character" w:customStyle="1" w:styleId="184">
    <w:name w:val="bds_nopic2"/>
    <w:qFormat/>
    <w:uiPriority w:val="0"/>
    <w:rPr>
      <w:rFonts w:ascii="Times New Roman" w:hAnsi="Times New Roman" w:eastAsia="宋体"/>
    </w:rPr>
  </w:style>
  <w:style w:type="character" w:customStyle="1" w:styleId="185">
    <w:name w:val="明显引用 字符"/>
    <w:link w:val="186"/>
    <w:qFormat/>
    <w:uiPriority w:val="0"/>
    <w:rPr>
      <w:b/>
      <w:bCs/>
      <w:i/>
      <w:iCs/>
      <w:color w:val="4F81BD"/>
      <w:kern w:val="2"/>
      <w:sz w:val="21"/>
      <w:szCs w:val="22"/>
    </w:rPr>
  </w:style>
  <w:style w:type="paragraph" w:styleId="186">
    <w:name w:val="Intense Quote"/>
    <w:basedOn w:val="1"/>
    <w:next w:val="1"/>
    <w:link w:val="185"/>
    <w:qFormat/>
    <w:uiPriority w:val="0"/>
    <w:pPr>
      <w:pBdr>
        <w:bottom w:val="single" w:color="4F81BD" w:sz="4" w:space="4"/>
      </w:pBdr>
      <w:spacing w:before="200" w:after="280"/>
      <w:ind w:left="936" w:right="936"/>
    </w:pPr>
    <w:rPr>
      <w:b/>
      <w:bCs/>
      <w:i/>
      <w:iCs/>
      <w:color w:val="4F81BD"/>
      <w:szCs w:val="22"/>
    </w:rPr>
  </w:style>
  <w:style w:type="character" w:customStyle="1" w:styleId="187">
    <w:name w:val="Char Char23"/>
    <w:qFormat/>
    <w:uiPriority w:val="0"/>
    <w:rPr>
      <w:kern w:val="2"/>
      <w:sz w:val="18"/>
      <w:szCs w:val="18"/>
      <w:lang w:bidi="ar-SA"/>
    </w:rPr>
  </w:style>
  <w:style w:type="character" w:customStyle="1" w:styleId="188">
    <w:name w:val="正文（大册） Char Char Char"/>
    <w:link w:val="189"/>
    <w:qFormat/>
    <w:uiPriority w:val="0"/>
    <w:rPr>
      <w:rFonts w:ascii="宋体" w:hAnsi="宋体"/>
      <w:sz w:val="24"/>
      <w:szCs w:val="24"/>
    </w:rPr>
  </w:style>
  <w:style w:type="paragraph" w:customStyle="1" w:styleId="189">
    <w:name w:val="正文（大册） Char Char"/>
    <w:basedOn w:val="1"/>
    <w:link w:val="188"/>
    <w:qFormat/>
    <w:uiPriority w:val="0"/>
    <w:pPr>
      <w:spacing w:line="360" w:lineRule="auto"/>
      <w:ind w:firstLine="425" w:firstLineChars="177"/>
      <w:jc w:val="left"/>
    </w:pPr>
    <w:rPr>
      <w:rFonts w:ascii="宋体" w:hAnsi="宋体"/>
      <w:kern w:val="0"/>
      <w:sz w:val="24"/>
    </w:rPr>
  </w:style>
  <w:style w:type="character" w:customStyle="1" w:styleId="190">
    <w:name w:val="para1"/>
    <w:qFormat/>
    <w:uiPriority w:val="0"/>
    <w:rPr>
      <w:rFonts w:hint="default" w:ascii="Arial" w:hAnsi="Arial" w:cs="Arial"/>
      <w:kern w:val="0"/>
      <w:sz w:val="18"/>
      <w:szCs w:val="18"/>
      <w:lang w:eastAsia="en-US"/>
    </w:rPr>
  </w:style>
  <w:style w:type="character" w:customStyle="1" w:styleId="191">
    <w:name w:val="Header Char2"/>
    <w:qFormat/>
    <w:locked/>
    <w:uiPriority w:val="0"/>
    <w:rPr>
      <w:rFonts w:ascii="宋体" w:hAnsi="宋体" w:eastAsia="宋体"/>
      <w:kern w:val="2"/>
      <w:sz w:val="18"/>
      <w:szCs w:val="18"/>
      <w:lang w:val="en-US" w:eastAsia="zh-CN" w:bidi="ar-SA"/>
    </w:rPr>
  </w:style>
  <w:style w:type="character" w:customStyle="1" w:styleId="192">
    <w:name w:val="Titre5 Char"/>
    <w:qFormat/>
    <w:uiPriority w:val="0"/>
    <w:rPr>
      <w:rFonts w:ascii="Calibri" w:hAnsi="Calibri"/>
      <w:b/>
      <w:bCs/>
      <w:kern w:val="2"/>
      <w:sz w:val="28"/>
      <w:szCs w:val="28"/>
      <w:lang w:eastAsia="en-US"/>
    </w:rPr>
  </w:style>
  <w:style w:type="character" w:customStyle="1" w:styleId="193">
    <w:name w:val="标题 9 Char"/>
    <w:qFormat/>
    <w:uiPriority w:val="0"/>
    <w:rPr>
      <w:rFonts w:ascii="Cambria" w:hAnsi="Cambria" w:eastAsia="宋体" w:cs="Times New Roman"/>
      <w:kern w:val="2"/>
      <w:sz w:val="21"/>
      <w:szCs w:val="21"/>
    </w:rPr>
  </w:style>
  <w:style w:type="character" w:customStyle="1" w:styleId="194">
    <w:name w:val="宏文本 Char1"/>
    <w:qFormat/>
    <w:uiPriority w:val="99"/>
    <w:rPr>
      <w:rFonts w:ascii="Courier New" w:hAnsi="Courier New" w:cs="Courier New"/>
      <w:kern w:val="2"/>
      <w:sz w:val="24"/>
      <w:szCs w:val="24"/>
    </w:rPr>
  </w:style>
  <w:style w:type="character" w:customStyle="1" w:styleId="195">
    <w:name w:val="正文（首行缩进两字） Char Char"/>
    <w:qFormat/>
    <w:uiPriority w:val="0"/>
    <w:rPr>
      <w:rFonts w:ascii="Calibri" w:hAnsi="Calibri" w:eastAsia="宋体"/>
      <w:kern w:val="2"/>
      <w:sz w:val="21"/>
      <w:lang w:val="en-US" w:eastAsia="zh-CN" w:bidi="ar-SA"/>
    </w:rPr>
  </w:style>
  <w:style w:type="character" w:customStyle="1" w:styleId="196">
    <w:name w:val="标题 4 字符"/>
    <w:qFormat/>
    <w:uiPriority w:val="0"/>
    <w:rPr>
      <w:rFonts w:ascii="Arial" w:hAnsi="Arial" w:eastAsia="宋体" w:cs="Times New Roman"/>
      <w:b/>
      <w:bCs/>
      <w:szCs w:val="28"/>
    </w:rPr>
  </w:style>
  <w:style w:type="character" w:customStyle="1" w:styleId="197">
    <w:name w:val="Font Style131"/>
    <w:unhideWhenUsed/>
    <w:qFormat/>
    <w:uiPriority w:val="99"/>
    <w:rPr>
      <w:rFonts w:hint="eastAsia" w:ascii="Times New Roman" w:hAnsi="Times New Roman" w:eastAsia="Times New Roman"/>
      <w:sz w:val="18"/>
    </w:rPr>
  </w:style>
  <w:style w:type="character" w:customStyle="1" w:styleId="198">
    <w:name w:val="标题 8 Char"/>
    <w:qFormat/>
    <w:uiPriority w:val="0"/>
    <w:rPr>
      <w:rFonts w:ascii="Cambria" w:hAnsi="Cambria" w:eastAsia="宋体" w:cs="Times New Roman"/>
      <w:kern w:val="2"/>
      <w:sz w:val="24"/>
      <w:szCs w:val="24"/>
    </w:rPr>
  </w:style>
  <w:style w:type="character" w:customStyle="1" w:styleId="199">
    <w:name w:val="引用 字符"/>
    <w:link w:val="200"/>
    <w:qFormat/>
    <w:uiPriority w:val="0"/>
    <w:rPr>
      <w:i/>
      <w:iCs/>
      <w:color w:val="000000"/>
      <w:kern w:val="2"/>
      <w:sz w:val="21"/>
      <w:szCs w:val="22"/>
    </w:rPr>
  </w:style>
  <w:style w:type="paragraph" w:styleId="200">
    <w:name w:val="Quote"/>
    <w:basedOn w:val="1"/>
    <w:next w:val="1"/>
    <w:link w:val="199"/>
    <w:qFormat/>
    <w:uiPriority w:val="0"/>
    <w:rPr>
      <w:i/>
      <w:iCs/>
      <w:color w:val="000000"/>
      <w:szCs w:val="22"/>
    </w:rPr>
  </w:style>
  <w:style w:type="character" w:customStyle="1" w:styleId="201">
    <w:name w:val="Plain Text Char"/>
    <w:qFormat/>
    <w:locked/>
    <w:uiPriority w:val="0"/>
    <w:rPr>
      <w:rFonts w:hint="eastAsia" w:ascii="宋体" w:hAnsi="Courier New" w:eastAsia="仿宋_GB2312"/>
      <w:kern w:val="2"/>
      <w:sz w:val="24"/>
    </w:rPr>
  </w:style>
  <w:style w:type="character" w:customStyle="1" w:styleId="202">
    <w:name w:val="abcde1"/>
    <w:qFormat/>
    <w:uiPriority w:val="0"/>
    <w:rPr>
      <w:rFonts w:ascii="Calibri" w:hAnsi="Calibri"/>
      <w:spacing w:val="400"/>
      <w:kern w:val="0"/>
      <w:sz w:val="26"/>
      <w:szCs w:val="26"/>
      <w:lang w:eastAsia="en-US"/>
    </w:rPr>
  </w:style>
  <w:style w:type="character" w:customStyle="1" w:styleId="203">
    <w:name w:val="morelink-item"/>
    <w:qFormat/>
    <w:uiPriority w:val="0"/>
    <w:rPr>
      <w:rFonts w:ascii="Times New Roman" w:hAnsi="Times New Roman" w:eastAsia="宋体"/>
    </w:rPr>
  </w:style>
  <w:style w:type="character" w:customStyle="1" w:styleId="204">
    <w:name w:val="17"/>
    <w:qFormat/>
    <w:uiPriority w:val="0"/>
    <w:rPr>
      <w:rFonts w:hint="default" w:ascii="Times New Roman" w:hAnsi="Times New Roman" w:cs="Times New Roman"/>
      <w:sz w:val="16"/>
      <w:szCs w:val="16"/>
    </w:rPr>
  </w:style>
  <w:style w:type="character" w:customStyle="1" w:styleId="205">
    <w:name w:val="副标题 Char1"/>
    <w:qFormat/>
    <w:uiPriority w:val="11"/>
    <w:rPr>
      <w:rFonts w:ascii="Cambria" w:hAnsi="Cambria" w:cs="Times New Roman"/>
      <w:b/>
      <w:bCs/>
      <w:kern w:val="28"/>
      <w:sz w:val="32"/>
      <w:szCs w:val="32"/>
    </w:rPr>
  </w:style>
  <w:style w:type="character" w:customStyle="1" w:styleId="206">
    <w:name w:val="Font Style115"/>
    <w:qFormat/>
    <w:uiPriority w:val="99"/>
    <w:rPr>
      <w:rFonts w:hint="eastAsia" w:ascii="Times New Roman" w:hAnsi="Times New Roman" w:eastAsia="Times New Roman"/>
      <w:sz w:val="16"/>
    </w:rPr>
  </w:style>
  <w:style w:type="character" w:customStyle="1" w:styleId="207">
    <w:name w:val="font01"/>
    <w:qFormat/>
    <w:uiPriority w:val="0"/>
    <w:rPr>
      <w:rFonts w:hint="eastAsia" w:ascii="宋体" w:hAnsi="宋体" w:eastAsia="宋体" w:cs="宋体"/>
      <w:color w:val="000000"/>
      <w:sz w:val="20"/>
      <w:szCs w:val="20"/>
      <w:u w:val="none"/>
    </w:rPr>
  </w:style>
  <w:style w:type="character" w:customStyle="1" w:styleId="208">
    <w:name w:val="项目符号 Char Char"/>
    <w:link w:val="209"/>
    <w:qFormat/>
    <w:uiPriority w:val="0"/>
    <w:rPr>
      <w:rFonts w:ascii="Arial" w:hAnsi="Arial" w:cs="Arial"/>
      <w:spacing w:val="10"/>
      <w:sz w:val="24"/>
    </w:rPr>
  </w:style>
  <w:style w:type="paragraph" w:customStyle="1" w:styleId="209">
    <w:name w:val="项目符号"/>
    <w:basedOn w:val="1"/>
    <w:link w:val="208"/>
    <w:qFormat/>
    <w:uiPriority w:val="0"/>
    <w:pPr>
      <w:tabs>
        <w:tab w:val="left" w:pos="567"/>
        <w:tab w:val="left" w:pos="2086"/>
      </w:tabs>
      <w:adjustRightInd w:val="0"/>
      <w:snapToGrid w:val="0"/>
      <w:spacing w:afterLines="50" w:line="360" w:lineRule="auto"/>
      <w:ind w:left="525"/>
    </w:pPr>
    <w:rPr>
      <w:rFonts w:ascii="Arial" w:hAnsi="Arial"/>
      <w:spacing w:val="10"/>
      <w:kern w:val="0"/>
      <w:sz w:val="24"/>
      <w:szCs w:val="20"/>
    </w:rPr>
  </w:style>
  <w:style w:type="character" w:customStyle="1" w:styleId="210">
    <w:name w:val="title21"/>
    <w:qFormat/>
    <w:uiPriority w:val="0"/>
    <w:rPr>
      <w:b/>
      <w:color w:val="000000"/>
    </w:rPr>
  </w:style>
  <w:style w:type="character" w:customStyle="1" w:styleId="211">
    <w:name w:val="样式5"/>
    <w:qFormat/>
    <w:uiPriority w:val="1"/>
    <w:rPr>
      <w:rFonts w:ascii="Times New Roman" w:hAnsi="Times New Roman" w:eastAsia="华文隶书" w:cs="Times New Roman"/>
      <w:sz w:val="24"/>
      <w:u w:val="single"/>
    </w:rPr>
  </w:style>
  <w:style w:type="character" w:customStyle="1" w:styleId="212">
    <w:name w:val="sidecatalog-dot1"/>
    <w:qFormat/>
    <w:uiPriority w:val="0"/>
    <w:rPr>
      <w:rFonts w:ascii="Times New Roman" w:hAnsi="Times New Roman" w:eastAsia="宋体"/>
    </w:rPr>
  </w:style>
  <w:style w:type="character" w:customStyle="1" w:styleId="213">
    <w:name w:val="DTZ normal Char"/>
    <w:link w:val="214"/>
    <w:qFormat/>
    <w:locked/>
    <w:uiPriority w:val="0"/>
    <w:rPr>
      <w:rFonts w:ascii="Arial" w:hAnsi="Arial"/>
      <w:szCs w:val="24"/>
      <w:lang w:val="en-GB" w:eastAsia="en-US"/>
    </w:rPr>
  </w:style>
  <w:style w:type="paragraph" w:customStyle="1" w:styleId="214">
    <w:name w:val="DTZ normal"/>
    <w:basedOn w:val="1"/>
    <w:link w:val="213"/>
    <w:qFormat/>
    <w:uiPriority w:val="0"/>
    <w:pPr>
      <w:widowControl/>
      <w:spacing w:after="260" w:line="260" w:lineRule="exact"/>
      <w:jc w:val="left"/>
    </w:pPr>
    <w:rPr>
      <w:rFonts w:ascii="Arial" w:hAnsi="Arial"/>
      <w:kern w:val="0"/>
      <w:sz w:val="20"/>
      <w:lang w:val="en-GB" w:eastAsia="en-US"/>
    </w:rPr>
  </w:style>
  <w:style w:type="character" w:customStyle="1" w:styleId="215">
    <w:name w:val="批注文字 Char Char"/>
    <w:qFormat/>
    <w:uiPriority w:val="0"/>
    <w:rPr>
      <w:kern w:val="2"/>
      <w:sz w:val="21"/>
      <w:szCs w:val="24"/>
      <w:lang w:bidi="ar-SA"/>
    </w:rPr>
  </w:style>
  <w:style w:type="character" w:customStyle="1" w:styleId="216">
    <w:name w:val="图形题注 Char"/>
    <w:link w:val="217"/>
    <w:qFormat/>
    <w:uiPriority w:val="0"/>
    <w:rPr>
      <w:rFonts w:ascii="Arial" w:hAnsi="Arial" w:cs="宋体"/>
      <w:spacing w:val="10"/>
      <w:sz w:val="24"/>
    </w:rPr>
  </w:style>
  <w:style w:type="paragraph" w:customStyle="1" w:styleId="217">
    <w:name w:val="图形题注"/>
    <w:basedOn w:val="1"/>
    <w:link w:val="216"/>
    <w:qFormat/>
    <w:uiPriority w:val="0"/>
    <w:pPr>
      <w:adjustRightInd w:val="0"/>
      <w:spacing w:afterLines="50" w:line="320" w:lineRule="exact"/>
      <w:ind w:left="720" w:firstLine="460"/>
      <w:jc w:val="center"/>
    </w:pPr>
    <w:rPr>
      <w:rFonts w:ascii="Arial" w:hAnsi="Arial"/>
      <w:spacing w:val="10"/>
      <w:kern w:val="0"/>
      <w:sz w:val="24"/>
      <w:szCs w:val="20"/>
    </w:rPr>
  </w:style>
  <w:style w:type="character" w:customStyle="1" w:styleId="218">
    <w:name w:val="p111"/>
    <w:qFormat/>
    <w:uiPriority w:val="0"/>
    <w:rPr>
      <w:rFonts w:hint="default" w:ascii="_x000B__x000C_" w:hAnsi="_x000B__x000C_"/>
      <w:color w:val="009FC5"/>
      <w:kern w:val="0"/>
      <w:sz w:val="22"/>
      <w:szCs w:val="22"/>
      <w:lang w:eastAsia="en-US"/>
    </w:rPr>
  </w:style>
  <w:style w:type="character" w:customStyle="1" w:styleId="219">
    <w:name w:val="content_11"/>
    <w:qFormat/>
    <w:uiPriority w:val="0"/>
    <w:rPr>
      <w:sz w:val="19"/>
      <w:szCs w:val="19"/>
    </w:rPr>
  </w:style>
  <w:style w:type="character" w:customStyle="1" w:styleId="220">
    <w:name w:val="脚注文本 Char1"/>
    <w:qFormat/>
    <w:uiPriority w:val="99"/>
    <w:rPr>
      <w:kern w:val="2"/>
      <w:sz w:val="18"/>
      <w:szCs w:val="18"/>
    </w:rPr>
  </w:style>
  <w:style w:type="character" w:customStyle="1" w:styleId="221">
    <w:name w:val="content"/>
    <w:qFormat/>
    <w:uiPriority w:val="0"/>
    <w:rPr>
      <w:sz w:val="19"/>
      <w:szCs w:val="19"/>
    </w:rPr>
  </w:style>
  <w:style w:type="character" w:customStyle="1" w:styleId="222">
    <w:name w:val="z-窗体顶端 Char1"/>
    <w:semiHidden/>
    <w:qFormat/>
    <w:uiPriority w:val="99"/>
    <w:rPr>
      <w:rFonts w:ascii="Arial" w:hAnsi="Arial" w:cs="Arial"/>
      <w:vanish/>
      <w:kern w:val="2"/>
      <w:sz w:val="16"/>
      <w:szCs w:val="16"/>
    </w:rPr>
  </w:style>
  <w:style w:type="character" w:customStyle="1" w:styleId="223">
    <w:name w:val="样式 楷体_GB2312 四号"/>
    <w:qFormat/>
    <w:uiPriority w:val="0"/>
    <w:rPr>
      <w:rFonts w:ascii="宋体" w:hAnsi="Calibri" w:eastAsia="宋体"/>
      <w:kern w:val="0"/>
      <w:sz w:val="21"/>
      <w:szCs w:val="21"/>
      <w:lang w:eastAsia="en-US"/>
    </w:rPr>
  </w:style>
  <w:style w:type="character" w:customStyle="1" w:styleId="224">
    <w:name w:val="标题 5 Char"/>
    <w:qFormat/>
    <w:uiPriority w:val="0"/>
    <w:rPr>
      <w:b/>
      <w:bCs/>
      <w:kern w:val="2"/>
      <w:sz w:val="28"/>
      <w:szCs w:val="28"/>
    </w:rPr>
  </w:style>
  <w:style w:type="character" w:customStyle="1" w:styleId="225">
    <w:name w:val="引用 Char2"/>
    <w:qFormat/>
    <w:uiPriority w:val="99"/>
    <w:rPr>
      <w:i/>
      <w:iCs/>
      <w:color w:val="000000"/>
      <w:kern w:val="2"/>
      <w:sz w:val="21"/>
      <w:szCs w:val="24"/>
    </w:rPr>
  </w:style>
  <w:style w:type="character" w:customStyle="1" w:styleId="226">
    <w:name w:val="f14"/>
    <w:qFormat/>
    <w:uiPriority w:val="0"/>
    <w:rPr>
      <w:rFonts w:ascii="Calibri" w:hAnsi="Calibri"/>
      <w:kern w:val="0"/>
      <w:sz w:val="24"/>
      <w:lang w:eastAsia="en-US"/>
    </w:rPr>
  </w:style>
  <w:style w:type="character" w:customStyle="1" w:styleId="227">
    <w:name w:val="bds_more10"/>
    <w:qFormat/>
    <w:uiPriority w:val="0"/>
    <w:rPr>
      <w:rFonts w:ascii="Times New Roman" w:hAnsi="Times New Roman" w:eastAsia="宋体"/>
    </w:rPr>
  </w:style>
  <w:style w:type="character" w:customStyle="1" w:styleId="228">
    <w:name w:val="（A） Char"/>
    <w:qFormat/>
    <w:uiPriority w:val="0"/>
    <w:rPr>
      <w:rFonts w:ascii="Arial" w:hAnsi="Arial" w:eastAsia="黑体"/>
      <w:kern w:val="0"/>
      <w:sz w:val="24"/>
      <w:szCs w:val="24"/>
      <w:lang w:eastAsia="en-US"/>
    </w:rPr>
  </w:style>
  <w:style w:type="character" w:customStyle="1" w:styleId="229">
    <w:name w:val="life"/>
    <w:qFormat/>
    <w:uiPriority w:val="0"/>
    <w:rPr>
      <w:rFonts w:ascii="Calibri" w:hAnsi="Calibri"/>
      <w:kern w:val="0"/>
      <w:sz w:val="24"/>
      <w:lang w:eastAsia="en-US"/>
    </w:rPr>
  </w:style>
  <w:style w:type="character" w:customStyle="1" w:styleId="230">
    <w:name w:val="apple-converted-space"/>
    <w:qFormat/>
    <w:uiPriority w:val="0"/>
  </w:style>
  <w:style w:type="character" w:customStyle="1" w:styleId="231">
    <w:name w:val="PIM 6 Char1"/>
    <w:qFormat/>
    <w:uiPriority w:val="0"/>
    <w:rPr>
      <w:rFonts w:ascii="Arial" w:hAnsi="Arial" w:eastAsia="黑体"/>
      <w:b/>
      <w:bCs/>
      <w:kern w:val="0"/>
      <w:sz w:val="24"/>
      <w:szCs w:val="24"/>
      <w:lang w:eastAsia="en-US"/>
    </w:rPr>
  </w:style>
  <w:style w:type="character" w:customStyle="1" w:styleId="232">
    <w:name w:val="_Style 229"/>
    <w:qFormat/>
    <w:uiPriority w:val="0"/>
    <w:rPr>
      <w:i/>
      <w:iCs/>
      <w:color w:val="808080"/>
    </w:rPr>
  </w:style>
  <w:style w:type="character" w:customStyle="1" w:styleId="233">
    <w:name w:val="Font Style90"/>
    <w:unhideWhenUsed/>
    <w:qFormat/>
    <w:uiPriority w:val="0"/>
    <w:rPr>
      <w:rFonts w:hint="eastAsia" w:ascii="宋体" w:hAnsi="宋体" w:eastAsia="宋体"/>
      <w:b/>
      <w:spacing w:val="-20"/>
      <w:sz w:val="40"/>
    </w:rPr>
  </w:style>
  <w:style w:type="character" w:customStyle="1" w:styleId="234">
    <w:name w:val="font11"/>
    <w:qFormat/>
    <w:uiPriority w:val="0"/>
    <w:rPr>
      <w:rFonts w:hint="default" w:ascii="Arial" w:hAnsi="Arial" w:cs="Arial"/>
      <w:color w:val="000000"/>
      <w:sz w:val="20"/>
      <w:szCs w:val="20"/>
      <w:u w:val="none"/>
    </w:rPr>
  </w:style>
  <w:style w:type="character" w:customStyle="1" w:styleId="235">
    <w:name w:val="xl23"/>
    <w:qFormat/>
    <w:uiPriority w:val="0"/>
  </w:style>
  <w:style w:type="character" w:customStyle="1" w:styleId="236">
    <w:name w:val="Comment Subject Char2"/>
    <w:qFormat/>
    <w:locked/>
    <w:uiPriority w:val="0"/>
    <w:rPr>
      <w:rFonts w:ascii="宋体" w:hAnsi="宋体" w:eastAsia="宋体"/>
      <w:b/>
      <w:bCs/>
      <w:kern w:val="2"/>
      <w:sz w:val="24"/>
      <w:szCs w:val="24"/>
      <w:lang w:val="en-US" w:eastAsia="zh-CN" w:bidi="ar-SA"/>
    </w:rPr>
  </w:style>
  <w:style w:type="character" w:customStyle="1" w:styleId="237">
    <w:name w:val="15"/>
    <w:qFormat/>
    <w:uiPriority w:val="0"/>
    <w:rPr>
      <w:rFonts w:hint="default" w:ascii="Times New Roman" w:hAnsi="Times New Roman" w:cs="Times New Roman"/>
      <w:b/>
      <w:bCs/>
    </w:rPr>
  </w:style>
  <w:style w:type="character" w:customStyle="1" w:styleId="238">
    <w:name w:val="Char Char4"/>
    <w:qFormat/>
    <w:locked/>
    <w:uiPriority w:val="0"/>
    <w:rPr>
      <w:rFonts w:ascii="宋体" w:hAnsi="宋体" w:eastAsia="宋体"/>
      <w:kern w:val="2"/>
      <w:sz w:val="21"/>
      <w:szCs w:val="24"/>
      <w:lang w:val="en-US" w:eastAsia="zh-CN" w:bidi="ar-SA"/>
    </w:rPr>
  </w:style>
  <w:style w:type="character" w:customStyle="1" w:styleId="239">
    <w:name w:val="Char Char41"/>
    <w:qFormat/>
    <w:uiPriority w:val="0"/>
    <w:rPr>
      <w:rFonts w:ascii="Arial" w:hAnsi="Arial"/>
      <w:b/>
      <w:bCs/>
      <w:kern w:val="2"/>
      <w:sz w:val="21"/>
      <w:szCs w:val="28"/>
      <w:lang w:eastAsia="en-US"/>
    </w:rPr>
  </w:style>
  <w:style w:type="character" w:customStyle="1" w:styleId="240">
    <w:name w:val="Char Char27"/>
    <w:qFormat/>
    <w:uiPriority w:val="0"/>
    <w:rPr>
      <w:kern w:val="2"/>
      <w:sz w:val="21"/>
      <w:szCs w:val="24"/>
      <w:lang w:bidi="ar-SA"/>
    </w:rPr>
  </w:style>
  <w:style w:type="character" w:customStyle="1" w:styleId="241">
    <w:name w:val="31 C"/>
    <w:qFormat/>
    <w:uiPriority w:val="0"/>
    <w:rPr>
      <w:rFonts w:ascii="宋体" w:hAnsi="Calibri" w:eastAsia="宋体"/>
      <w:snapToGrid w:val="0"/>
      <w:kern w:val="0"/>
      <w:sz w:val="21"/>
      <w:lang w:val="en-US" w:eastAsia="zh-CN" w:bidi="ar-SA"/>
    </w:rPr>
  </w:style>
  <w:style w:type="character" w:customStyle="1" w:styleId="242">
    <w:name w:val="bds_more9"/>
    <w:qFormat/>
    <w:uiPriority w:val="0"/>
    <w:rPr>
      <w:rFonts w:ascii="Times New Roman" w:hAnsi="Times New Roman" w:eastAsia="宋体"/>
    </w:rPr>
  </w:style>
  <w:style w:type="character" w:customStyle="1" w:styleId="243">
    <w:name w:val="Char Char17"/>
    <w:qFormat/>
    <w:uiPriority w:val="0"/>
    <w:rPr>
      <w:rFonts w:ascii="宋体" w:hAnsi="Times New Roman" w:eastAsia="宋体"/>
      <w:b/>
      <w:sz w:val="28"/>
      <w:lang w:val="en-US" w:eastAsia="zh-CN" w:bidi="ar-SA"/>
    </w:rPr>
  </w:style>
  <w:style w:type="character" w:customStyle="1" w:styleId="244">
    <w:name w:val="蓝色_9pt"/>
    <w:qFormat/>
    <w:uiPriority w:val="0"/>
    <w:rPr>
      <w:rFonts w:ascii="Calibri" w:hAnsi="Calibri"/>
      <w:kern w:val="0"/>
      <w:sz w:val="24"/>
      <w:lang w:eastAsia="en-US"/>
    </w:rPr>
  </w:style>
  <w:style w:type="character" w:customStyle="1" w:styleId="245">
    <w:name w:val="标题 7 字符"/>
    <w:qFormat/>
    <w:uiPriority w:val="0"/>
    <w:rPr>
      <w:rFonts w:ascii="Times New Roman" w:hAnsi="Times New Roman" w:eastAsia="宋体" w:cs="Times New Roman"/>
      <w:b/>
      <w:bCs/>
      <w:sz w:val="24"/>
      <w:szCs w:val="24"/>
    </w:rPr>
  </w:style>
  <w:style w:type="character" w:customStyle="1" w:styleId="246">
    <w:name w:val="普通文字 Char Char2"/>
    <w:qFormat/>
    <w:uiPriority w:val="0"/>
    <w:rPr>
      <w:rFonts w:ascii="宋体" w:hAnsi="Courier New" w:eastAsia="仿宋_GB2312"/>
      <w:kern w:val="2"/>
      <w:sz w:val="32"/>
      <w:szCs w:val="24"/>
      <w:lang w:eastAsia="en-US"/>
    </w:rPr>
  </w:style>
  <w:style w:type="character" w:customStyle="1" w:styleId="247">
    <w:name w:val="签名 Char1"/>
    <w:qFormat/>
    <w:uiPriority w:val="99"/>
    <w:rPr>
      <w:kern w:val="2"/>
      <w:sz w:val="21"/>
      <w:szCs w:val="24"/>
    </w:rPr>
  </w:style>
  <w:style w:type="character" w:customStyle="1" w:styleId="248">
    <w:name w:val="标题 1 字符"/>
    <w:qFormat/>
    <w:uiPriority w:val="9"/>
    <w:rPr>
      <w:rFonts w:ascii="Cambria" w:hAnsi="Cambria" w:eastAsia="宋体" w:cs="Times New Roman"/>
      <w:b/>
      <w:bCs/>
      <w:kern w:val="32"/>
      <w:sz w:val="32"/>
      <w:szCs w:val="32"/>
    </w:rPr>
  </w:style>
  <w:style w:type="character" w:customStyle="1" w:styleId="249">
    <w:name w:val="页眉 字符"/>
    <w:qFormat/>
    <w:uiPriority w:val="0"/>
    <w:rPr>
      <w:sz w:val="18"/>
      <w:szCs w:val="18"/>
    </w:rPr>
  </w:style>
  <w:style w:type="character" w:customStyle="1" w:styleId="250">
    <w:name w:val="grame"/>
    <w:qFormat/>
    <w:uiPriority w:val="0"/>
    <w:rPr>
      <w:rFonts w:ascii="Calibri" w:hAnsi="Calibri"/>
      <w:kern w:val="0"/>
      <w:sz w:val="24"/>
      <w:lang w:eastAsia="en-US"/>
    </w:rPr>
  </w:style>
  <w:style w:type="character" w:customStyle="1" w:styleId="251">
    <w:name w:val="批注框文本 字符"/>
    <w:qFormat/>
    <w:uiPriority w:val="0"/>
    <w:rPr>
      <w:sz w:val="18"/>
      <w:szCs w:val="18"/>
    </w:rPr>
  </w:style>
  <w:style w:type="character" w:customStyle="1" w:styleId="252">
    <w:name w:val="日期 字符"/>
    <w:qFormat/>
    <w:uiPriority w:val="0"/>
    <w:rPr>
      <w:szCs w:val="24"/>
    </w:rPr>
  </w:style>
  <w:style w:type="character" w:customStyle="1" w:styleId="253">
    <w:name w:val="Slogan"/>
    <w:qFormat/>
    <w:uiPriority w:val="0"/>
    <w:rPr>
      <w:rFonts w:ascii="Calibri" w:hAnsi="Calibri"/>
      <w:i/>
      <w:spacing w:val="-6"/>
      <w:kern w:val="0"/>
      <w:sz w:val="24"/>
      <w:lang w:eastAsia="en-US"/>
    </w:rPr>
  </w:style>
  <w:style w:type="character" w:customStyle="1" w:styleId="254">
    <w:name w:val="font21"/>
    <w:qFormat/>
    <w:uiPriority w:val="0"/>
    <w:rPr>
      <w:rFonts w:hint="default" w:ascii="Arial" w:hAnsi="Arial" w:cs="Arial"/>
      <w:color w:val="000000"/>
      <w:sz w:val="20"/>
      <w:szCs w:val="20"/>
      <w:u w:val="none"/>
    </w:rPr>
  </w:style>
  <w:style w:type="character" w:customStyle="1" w:styleId="255">
    <w:name w:val="ll1"/>
    <w:qFormat/>
    <w:uiPriority w:val="0"/>
    <w:rPr>
      <w:rFonts w:ascii="Calibri" w:hAnsi="Calibri"/>
      <w:kern w:val="0"/>
      <w:sz w:val="24"/>
      <w:lang w:eastAsia="en-US"/>
    </w:rPr>
  </w:style>
  <w:style w:type="character" w:customStyle="1" w:styleId="256">
    <w:name w:val="标签 Char"/>
    <w:link w:val="257"/>
    <w:qFormat/>
    <w:uiPriority w:val="0"/>
    <w:rPr>
      <w:rFonts w:ascii="宋体"/>
      <w:kern w:val="2"/>
      <w:sz w:val="21"/>
    </w:rPr>
  </w:style>
  <w:style w:type="paragraph" w:customStyle="1" w:styleId="257">
    <w:name w:val="标签"/>
    <w:basedOn w:val="1"/>
    <w:link w:val="256"/>
    <w:qFormat/>
    <w:uiPriority w:val="0"/>
    <w:pPr>
      <w:keepNext/>
      <w:adjustRightInd w:val="0"/>
      <w:snapToGrid w:val="0"/>
      <w:spacing w:line="200" w:lineRule="atLeast"/>
      <w:jc w:val="left"/>
    </w:pPr>
    <w:rPr>
      <w:rFonts w:ascii="宋体"/>
      <w:szCs w:val="20"/>
    </w:rPr>
  </w:style>
  <w:style w:type="character" w:customStyle="1" w:styleId="258">
    <w:name w:val="标题 2 Char1"/>
    <w:qFormat/>
    <w:uiPriority w:val="0"/>
    <w:rPr>
      <w:rFonts w:ascii="Arial" w:hAnsi="Arial" w:eastAsia="宋体"/>
      <w:b/>
      <w:bCs/>
      <w:kern w:val="2"/>
      <w:sz w:val="24"/>
      <w:szCs w:val="32"/>
      <w:lang w:val="en-US" w:eastAsia="zh-CN" w:bidi="ar-SA"/>
    </w:rPr>
  </w:style>
  <w:style w:type="character" w:customStyle="1" w:styleId="259">
    <w:name w:val="标题 1 Char"/>
    <w:qFormat/>
    <w:uiPriority w:val="0"/>
    <w:rPr>
      <w:b/>
      <w:bCs/>
      <w:kern w:val="44"/>
      <w:sz w:val="44"/>
      <w:szCs w:val="44"/>
    </w:rPr>
  </w:style>
  <w:style w:type="character" w:customStyle="1" w:styleId="260">
    <w:name w:val="标题 6 字符"/>
    <w:qFormat/>
    <w:uiPriority w:val="0"/>
    <w:rPr>
      <w:rFonts w:ascii="Arial" w:hAnsi="Arial" w:eastAsia="黑体" w:cs="Times New Roman"/>
      <w:b/>
      <w:bCs/>
      <w:sz w:val="24"/>
      <w:szCs w:val="24"/>
    </w:rPr>
  </w:style>
  <w:style w:type="character" w:customStyle="1" w:styleId="261">
    <w:name w:val="Char Char26"/>
    <w:qFormat/>
    <w:uiPriority w:val="0"/>
    <w:rPr>
      <w:kern w:val="2"/>
      <w:sz w:val="21"/>
      <w:szCs w:val="24"/>
      <w:lang w:bidi="ar-SA"/>
    </w:rPr>
  </w:style>
  <w:style w:type="character" w:customStyle="1" w:styleId="262">
    <w:name w:val="Heading 6 Char"/>
    <w:qFormat/>
    <w:locked/>
    <w:uiPriority w:val="0"/>
    <w:rPr>
      <w:rFonts w:ascii="Arial" w:hAnsi="Arial" w:eastAsia="黑体"/>
      <w:b/>
      <w:bCs/>
      <w:kern w:val="2"/>
      <w:sz w:val="24"/>
      <w:szCs w:val="24"/>
      <w:lang w:val="en-US" w:eastAsia="zh-CN" w:bidi="ar-SA"/>
    </w:rPr>
  </w:style>
  <w:style w:type="character" w:customStyle="1" w:styleId="263">
    <w:name w:val="标题 Char2"/>
    <w:qFormat/>
    <w:uiPriority w:val="10"/>
    <w:rPr>
      <w:rFonts w:ascii="Cambria" w:hAnsi="Cambria" w:cs="Times New Roman"/>
      <w:b/>
      <w:bCs/>
      <w:kern w:val="2"/>
      <w:sz w:val="32"/>
      <w:szCs w:val="32"/>
    </w:rPr>
  </w:style>
  <w:style w:type="character" w:customStyle="1" w:styleId="264">
    <w:name w:val="正文首行缩进 Char2"/>
    <w:semiHidden/>
    <w:qFormat/>
    <w:uiPriority w:val="99"/>
    <w:rPr>
      <w:rFonts w:ascii="Times New Roman" w:hAnsi="Times New Roman" w:eastAsia="宋体" w:cs="Times New Roman"/>
      <w:kern w:val="2"/>
      <w:sz w:val="21"/>
      <w:szCs w:val="24"/>
    </w:rPr>
  </w:style>
  <w:style w:type="character" w:customStyle="1" w:styleId="265">
    <w:name w:val="Title Char1"/>
    <w:qFormat/>
    <w:locked/>
    <w:uiPriority w:val="0"/>
    <w:rPr>
      <w:rFonts w:hint="default" w:ascii="Cambria" w:hAnsi="Cambria" w:cs="Times New Roman"/>
      <w:b/>
      <w:bCs/>
      <w:kern w:val="0"/>
      <w:sz w:val="32"/>
      <w:szCs w:val="32"/>
      <w:lang w:eastAsia="en-US"/>
    </w:rPr>
  </w:style>
  <w:style w:type="character" w:customStyle="1" w:styleId="266">
    <w:name w:val="批注主题 字符"/>
    <w:qFormat/>
    <w:uiPriority w:val="0"/>
    <w:rPr>
      <w:b/>
      <w:bCs/>
      <w:kern w:val="2"/>
      <w:sz w:val="21"/>
      <w:szCs w:val="24"/>
    </w:rPr>
  </w:style>
  <w:style w:type="character" w:customStyle="1" w:styleId="267">
    <w:name w:val="标题 5 字符"/>
    <w:qFormat/>
    <w:uiPriority w:val="0"/>
    <w:rPr>
      <w:rFonts w:ascii="Times New Roman" w:hAnsi="Times New Roman" w:eastAsia="宋体" w:cs="Times New Roman"/>
      <w:b/>
      <w:bCs/>
      <w:sz w:val="28"/>
      <w:szCs w:val="28"/>
    </w:rPr>
  </w:style>
  <w:style w:type="character" w:customStyle="1" w:styleId="268">
    <w:name w:val="Char Char19"/>
    <w:semiHidden/>
    <w:qFormat/>
    <w:uiPriority w:val="0"/>
    <w:rPr>
      <w:rFonts w:eastAsia="宋体"/>
      <w:kern w:val="2"/>
      <w:sz w:val="21"/>
      <w:szCs w:val="24"/>
      <w:lang w:val="en-US" w:eastAsia="zh-CN" w:bidi="ar-SA"/>
    </w:rPr>
  </w:style>
  <w:style w:type="character" w:customStyle="1" w:styleId="269">
    <w:name w:val="正文1 Char"/>
    <w:link w:val="270"/>
    <w:qFormat/>
    <w:uiPriority w:val="0"/>
    <w:rPr>
      <w:kern w:val="2"/>
      <w:sz w:val="24"/>
    </w:rPr>
  </w:style>
  <w:style w:type="paragraph" w:customStyle="1" w:styleId="270">
    <w:name w:val="正文1"/>
    <w:basedOn w:val="1"/>
    <w:link w:val="269"/>
    <w:qFormat/>
    <w:uiPriority w:val="0"/>
    <w:pPr>
      <w:ind w:firstLine="540"/>
    </w:pPr>
    <w:rPr>
      <w:sz w:val="24"/>
      <w:szCs w:val="20"/>
    </w:rPr>
  </w:style>
  <w:style w:type="character" w:customStyle="1" w:styleId="271">
    <w:name w:val="Font Style119"/>
    <w:unhideWhenUsed/>
    <w:qFormat/>
    <w:uiPriority w:val="99"/>
    <w:rPr>
      <w:rFonts w:hint="eastAsia" w:ascii="宋体" w:hAnsi="宋体" w:eastAsia="宋体"/>
      <w:sz w:val="24"/>
    </w:rPr>
  </w:style>
  <w:style w:type="character" w:customStyle="1" w:styleId="272">
    <w:name w:val="Comment Subject Char"/>
    <w:qFormat/>
    <w:locked/>
    <w:uiPriority w:val="0"/>
    <w:rPr>
      <w:b/>
      <w:kern w:val="2"/>
      <w:sz w:val="24"/>
    </w:rPr>
  </w:style>
  <w:style w:type="character" w:customStyle="1" w:styleId="273">
    <w:name w:val="Footer Char"/>
    <w:qFormat/>
    <w:locked/>
    <w:uiPriority w:val="0"/>
    <w:rPr>
      <w:kern w:val="2"/>
      <w:sz w:val="18"/>
    </w:rPr>
  </w:style>
  <w:style w:type="character" w:customStyle="1" w:styleId="274">
    <w:name w:val="style11"/>
    <w:qFormat/>
    <w:uiPriority w:val="0"/>
    <w:rPr>
      <w:rFonts w:ascii="Calibri" w:hAnsi="Calibri"/>
      <w:color w:val="004B99"/>
      <w:kern w:val="0"/>
      <w:sz w:val="24"/>
      <w:lang w:eastAsia="en-US"/>
    </w:rPr>
  </w:style>
  <w:style w:type="character" w:customStyle="1" w:styleId="275">
    <w:name w:val="样式 标题 1Section Headh11st levell11H1H11H12H13H14H15H1... Char"/>
    <w:link w:val="276"/>
    <w:qFormat/>
    <w:uiPriority w:val="0"/>
    <w:rPr>
      <w:rFonts w:ascii="黑体" w:hAnsi="Arial"/>
      <w:b/>
      <w:bCs/>
      <w:spacing w:val="20"/>
      <w:kern w:val="44"/>
      <w:sz w:val="44"/>
      <w:szCs w:val="44"/>
    </w:rPr>
  </w:style>
  <w:style w:type="paragraph" w:customStyle="1" w:styleId="276">
    <w:name w:val="样式 标题 1Section Headh11st levell11H1H11H12H13H14H15H1..."/>
    <w:basedOn w:val="6"/>
    <w:link w:val="275"/>
    <w:qFormat/>
    <w:uiPriority w:val="0"/>
    <w:pPr>
      <w:keepLines/>
      <w:spacing w:before="340" w:after="330" w:line="360" w:lineRule="auto"/>
      <w:ind w:left="2880"/>
      <w:jc w:val="both"/>
    </w:pPr>
    <w:rPr>
      <w:rFonts w:ascii="黑体" w:hAnsi="Arial"/>
      <w:spacing w:val="20"/>
      <w:kern w:val="44"/>
      <w:sz w:val="44"/>
      <w:szCs w:val="44"/>
    </w:rPr>
  </w:style>
  <w:style w:type="character" w:customStyle="1" w:styleId="277">
    <w:name w:val="注释标题 Char1"/>
    <w:qFormat/>
    <w:uiPriority w:val="99"/>
    <w:rPr>
      <w:kern w:val="2"/>
      <w:sz w:val="21"/>
      <w:szCs w:val="24"/>
    </w:rPr>
  </w:style>
  <w:style w:type="character" w:customStyle="1" w:styleId="278">
    <w:name w:val="标题 2 字符"/>
    <w:qFormat/>
    <w:uiPriority w:val="0"/>
    <w:rPr>
      <w:rFonts w:ascii="Cambria" w:hAnsi="Cambria" w:eastAsia="宋体" w:cs="Times New Roman"/>
      <w:b/>
      <w:bCs/>
      <w:sz w:val="32"/>
      <w:szCs w:val="32"/>
    </w:rPr>
  </w:style>
  <w:style w:type="character" w:customStyle="1" w:styleId="279">
    <w:name w:val="sidecatalog-index1"/>
    <w:qFormat/>
    <w:uiPriority w:val="0"/>
    <w:rPr>
      <w:rFonts w:ascii="Arial" w:hAnsi="Arial" w:eastAsia="宋体" w:cs="Arial"/>
      <w:b/>
      <w:color w:val="999999"/>
      <w:sz w:val="21"/>
      <w:szCs w:val="21"/>
    </w:rPr>
  </w:style>
  <w:style w:type="character" w:customStyle="1" w:styleId="280">
    <w:name w:val="标准"/>
    <w:qFormat/>
    <w:uiPriority w:val="0"/>
    <w:rPr>
      <w:rFonts w:ascii="Calibri" w:hAnsi="Calibri"/>
      <w:kern w:val="0"/>
      <w:sz w:val="32"/>
      <w:lang w:eastAsia="en-US"/>
    </w:rPr>
  </w:style>
  <w:style w:type="character" w:customStyle="1" w:styleId="281">
    <w:name w:val="Heading 4 Char"/>
    <w:qFormat/>
    <w:locked/>
    <w:uiPriority w:val="0"/>
    <w:rPr>
      <w:rFonts w:ascii="Arial" w:hAnsi="Arial" w:eastAsia="宋体"/>
      <w:b/>
      <w:bCs/>
      <w:kern w:val="2"/>
      <w:sz w:val="21"/>
      <w:szCs w:val="28"/>
      <w:lang w:val="en-US" w:eastAsia="zh-CN" w:bidi="ar-SA"/>
    </w:rPr>
  </w:style>
  <w:style w:type="character" w:customStyle="1" w:styleId="282">
    <w:name w:val="font31"/>
    <w:qFormat/>
    <w:uiPriority w:val="0"/>
    <w:rPr>
      <w:rFonts w:hint="eastAsia" w:ascii="宋体" w:hAnsi="宋体" w:eastAsia="宋体" w:cs="宋体"/>
      <w:color w:val="000000"/>
      <w:sz w:val="18"/>
      <w:szCs w:val="18"/>
      <w:u w:val="none"/>
    </w:rPr>
  </w:style>
  <w:style w:type="character" w:customStyle="1" w:styleId="283">
    <w:name w:val="Date Char"/>
    <w:qFormat/>
    <w:locked/>
    <w:uiPriority w:val="0"/>
    <w:rPr>
      <w:kern w:val="2"/>
      <w:sz w:val="24"/>
    </w:rPr>
  </w:style>
  <w:style w:type="character" w:customStyle="1" w:styleId="284">
    <w:name w:val="p0 Char"/>
    <w:link w:val="285"/>
    <w:qFormat/>
    <w:locked/>
    <w:uiPriority w:val="0"/>
    <w:rPr>
      <w:rFonts w:ascii="宋体" w:hAnsi="宋体" w:eastAsia="宋体"/>
      <w:sz w:val="21"/>
      <w:szCs w:val="21"/>
      <w:lang w:val="en-US" w:eastAsia="zh-CN" w:bidi="ar-SA"/>
    </w:rPr>
  </w:style>
  <w:style w:type="paragraph" w:customStyle="1" w:styleId="285">
    <w:name w:val="p0"/>
    <w:basedOn w:val="1"/>
    <w:link w:val="284"/>
    <w:qFormat/>
    <w:uiPriority w:val="0"/>
    <w:pPr>
      <w:widowControl/>
    </w:pPr>
    <w:rPr>
      <w:rFonts w:ascii="宋体" w:hAnsi="宋体"/>
      <w:kern w:val="0"/>
      <w:szCs w:val="21"/>
    </w:rPr>
  </w:style>
  <w:style w:type="character" w:customStyle="1" w:styleId="286">
    <w:name w:val="兰色缩进 Char"/>
    <w:link w:val="287"/>
    <w:qFormat/>
    <w:uiPriority w:val="0"/>
    <w:rPr>
      <w:rFonts w:ascii="Arial" w:hAnsi="Arial"/>
      <w:color w:val="0000FF"/>
      <w:sz w:val="21"/>
      <w:szCs w:val="21"/>
    </w:rPr>
  </w:style>
  <w:style w:type="paragraph" w:customStyle="1" w:styleId="287">
    <w:name w:val="兰色缩进"/>
    <w:basedOn w:val="89"/>
    <w:link w:val="286"/>
    <w:qFormat/>
    <w:uiPriority w:val="0"/>
    <w:pPr>
      <w:adjustRightInd w:val="0"/>
      <w:snapToGrid w:val="0"/>
      <w:spacing w:after="0" w:line="300" w:lineRule="auto"/>
      <w:ind w:firstLine="480" w:firstLineChars="200"/>
    </w:pPr>
    <w:rPr>
      <w:rFonts w:ascii="Arial" w:hAnsi="Arial"/>
      <w:color w:val="0000FF"/>
      <w:kern w:val="0"/>
      <w:szCs w:val="21"/>
    </w:rPr>
  </w:style>
  <w:style w:type="character" w:customStyle="1" w:styleId="288">
    <w:name w:val="Heading 1 Char"/>
    <w:qFormat/>
    <w:locked/>
    <w:uiPriority w:val="0"/>
    <w:rPr>
      <w:rFonts w:ascii="Cambria" w:hAnsi="Cambria" w:eastAsia="宋体" w:cs="宋体"/>
      <w:b/>
      <w:bCs/>
      <w:kern w:val="32"/>
      <w:sz w:val="32"/>
      <w:szCs w:val="32"/>
      <w:lang w:val="en-US" w:eastAsia="zh-CN" w:bidi="ar-SA"/>
    </w:rPr>
  </w:style>
  <w:style w:type="character" w:customStyle="1" w:styleId="289">
    <w:name w:val="style141"/>
    <w:qFormat/>
    <w:uiPriority w:val="0"/>
    <w:rPr>
      <w:rFonts w:ascii="Calibri" w:hAnsi="Calibri"/>
      <w:color w:val="0864B3"/>
      <w:kern w:val="0"/>
      <w:sz w:val="21"/>
      <w:szCs w:val="21"/>
      <w:lang w:eastAsia="en-US"/>
    </w:rPr>
  </w:style>
  <w:style w:type="character" w:customStyle="1" w:styleId="290">
    <w:name w:val="title2"/>
    <w:qFormat/>
    <w:uiPriority w:val="0"/>
    <w:rPr>
      <w:b/>
      <w:color w:val="000000"/>
    </w:rPr>
  </w:style>
  <w:style w:type="character" w:customStyle="1" w:styleId="291">
    <w:name w:val="Comment Text Char"/>
    <w:qFormat/>
    <w:locked/>
    <w:uiPriority w:val="0"/>
    <w:rPr>
      <w:rFonts w:ascii="宋体" w:hAnsi="宋体" w:eastAsia="宋体"/>
      <w:kern w:val="2"/>
      <w:sz w:val="21"/>
      <w:szCs w:val="24"/>
      <w:lang w:val="en-US" w:eastAsia="zh-CN" w:bidi="ar-SA"/>
    </w:rPr>
  </w:style>
  <w:style w:type="character" w:customStyle="1" w:styleId="292">
    <w:name w:val="页脚 Char1"/>
    <w:qFormat/>
    <w:uiPriority w:val="99"/>
    <w:rPr>
      <w:rFonts w:eastAsia="宋体"/>
      <w:kern w:val="2"/>
      <w:sz w:val="18"/>
      <w:szCs w:val="18"/>
      <w:lang w:val="en-US" w:eastAsia="zh-CN" w:bidi="ar-SA"/>
    </w:rPr>
  </w:style>
  <w:style w:type="character" w:customStyle="1" w:styleId="293">
    <w:name w:val="Char Char1411"/>
    <w:qFormat/>
    <w:uiPriority w:val="0"/>
    <w:rPr>
      <w:rFonts w:ascii="Arial" w:hAnsi="Arial"/>
      <w:b/>
      <w:bCs/>
      <w:kern w:val="2"/>
      <w:sz w:val="21"/>
      <w:szCs w:val="28"/>
    </w:rPr>
  </w:style>
  <w:style w:type="character" w:customStyle="1" w:styleId="294">
    <w:name w:val="正文文本缩进 字符"/>
    <w:qFormat/>
    <w:uiPriority w:val="0"/>
    <w:rPr>
      <w:rFonts w:eastAsia="Times New Roman"/>
      <w:sz w:val="24"/>
      <w:szCs w:val="24"/>
      <w:lang w:eastAsia="en-US" w:bidi="en-US"/>
    </w:rPr>
  </w:style>
  <w:style w:type="character" w:customStyle="1" w:styleId="295">
    <w:name w:val="Char Char16"/>
    <w:qFormat/>
    <w:uiPriority w:val="0"/>
    <w:rPr>
      <w:rFonts w:ascii="宋体" w:hAnsi="Times New Roman" w:eastAsia="宋体"/>
      <w:b/>
      <w:sz w:val="24"/>
      <w:lang w:val="en-US" w:eastAsia="zh-CN" w:bidi="ar-SA"/>
    </w:rPr>
  </w:style>
  <w:style w:type="character" w:customStyle="1" w:styleId="296">
    <w:name w:val="bds_nopic1"/>
    <w:qFormat/>
    <w:uiPriority w:val="0"/>
    <w:rPr>
      <w:rFonts w:ascii="Times New Roman" w:hAnsi="Times New Roman" w:eastAsia="宋体"/>
    </w:rPr>
  </w:style>
  <w:style w:type="character" w:customStyle="1" w:styleId="297">
    <w:name w:val="编号 Char"/>
    <w:link w:val="298"/>
    <w:qFormat/>
    <w:uiPriority w:val="0"/>
    <w:rPr>
      <w:kern w:val="2"/>
      <w:sz w:val="21"/>
      <w:szCs w:val="22"/>
    </w:rPr>
  </w:style>
  <w:style w:type="paragraph" w:customStyle="1" w:styleId="298">
    <w:name w:val="List Paragraph1"/>
    <w:basedOn w:val="1"/>
    <w:link w:val="297"/>
    <w:qFormat/>
    <w:uiPriority w:val="0"/>
    <w:pPr>
      <w:ind w:firstLine="420" w:firstLineChars="200"/>
    </w:pPr>
    <w:rPr>
      <w:szCs w:val="22"/>
    </w:rPr>
  </w:style>
  <w:style w:type="character" w:customStyle="1" w:styleId="299">
    <w:name w:val="ziti1"/>
    <w:qFormat/>
    <w:uiPriority w:val="0"/>
    <w:rPr>
      <w:rFonts w:ascii="Calibri" w:hAnsi="Calibri"/>
      <w:kern w:val="0"/>
      <w:sz w:val="21"/>
      <w:szCs w:val="21"/>
      <w:lang w:eastAsia="en-US"/>
    </w:rPr>
  </w:style>
  <w:style w:type="character" w:customStyle="1" w:styleId="300">
    <w:name w:val="要点1"/>
    <w:qFormat/>
    <w:uiPriority w:val="0"/>
    <w:rPr>
      <w:rFonts w:ascii="Calibri" w:hAnsi="Calibri"/>
      <w:b/>
      <w:kern w:val="0"/>
      <w:sz w:val="20"/>
      <w:lang w:eastAsia="en-US"/>
    </w:rPr>
  </w:style>
  <w:style w:type="character" w:customStyle="1" w:styleId="301">
    <w:name w:val="标准正文 Char"/>
    <w:link w:val="302"/>
    <w:qFormat/>
    <w:uiPriority w:val="0"/>
    <w:rPr>
      <w:kern w:val="2"/>
      <w:sz w:val="21"/>
    </w:rPr>
  </w:style>
  <w:style w:type="paragraph" w:customStyle="1" w:styleId="302">
    <w:name w:val="标准正文"/>
    <w:basedOn w:val="1"/>
    <w:link w:val="301"/>
    <w:qFormat/>
    <w:uiPriority w:val="0"/>
    <w:pPr>
      <w:spacing w:line="360" w:lineRule="auto"/>
      <w:ind w:firstLine="200"/>
    </w:pPr>
    <w:rPr>
      <w:szCs w:val="20"/>
    </w:rPr>
  </w:style>
  <w:style w:type="character" w:customStyle="1" w:styleId="303">
    <w:name w:val="desc"/>
    <w:qFormat/>
    <w:uiPriority w:val="0"/>
    <w:rPr>
      <w:rFonts w:ascii="Times New Roman" w:hAnsi="Times New Roman" w:eastAsia="宋体"/>
      <w:color w:val="000000"/>
      <w:sz w:val="18"/>
      <w:szCs w:val="18"/>
    </w:rPr>
  </w:style>
  <w:style w:type="character" w:customStyle="1" w:styleId="304">
    <w:name w:val="Font Style133"/>
    <w:unhideWhenUsed/>
    <w:qFormat/>
    <w:uiPriority w:val="0"/>
    <w:rPr>
      <w:rFonts w:hint="eastAsia" w:ascii="宋体" w:hAnsi="宋体" w:eastAsia="宋体"/>
      <w:spacing w:val="30"/>
      <w:sz w:val="24"/>
    </w:rPr>
  </w:style>
  <w:style w:type="character" w:customStyle="1" w:styleId="305">
    <w:name w:val="unnamed11"/>
    <w:qFormat/>
    <w:uiPriority w:val="0"/>
    <w:rPr>
      <w:rFonts w:ascii="Calibri" w:hAnsi="Calibri"/>
      <w:kern w:val="0"/>
      <w:sz w:val="18"/>
      <w:szCs w:val="18"/>
      <w:lang w:eastAsia="en-US"/>
    </w:rPr>
  </w:style>
  <w:style w:type="character" w:customStyle="1" w:styleId="306">
    <w:name w:val="标题 4 Char Char"/>
    <w:qFormat/>
    <w:uiPriority w:val="0"/>
    <w:rPr>
      <w:rFonts w:ascii="Arial" w:hAnsi="Arial" w:eastAsia="宋体"/>
      <w:b/>
      <w:bCs/>
      <w:kern w:val="2"/>
      <w:sz w:val="21"/>
      <w:szCs w:val="28"/>
      <w:lang w:val="en-US" w:eastAsia="zh-CN" w:bidi="ar-SA"/>
    </w:rPr>
  </w:style>
  <w:style w:type="character" w:customStyle="1" w:styleId="307">
    <w:name w:val="sort"/>
    <w:qFormat/>
    <w:uiPriority w:val="0"/>
    <w:rPr>
      <w:rFonts w:ascii="Times New Roman" w:hAnsi="Times New Roman" w:eastAsia="宋体"/>
      <w:color w:val="FFFFFF"/>
      <w:bdr w:val="single" w:color="auto" w:sz="24" w:space="0"/>
    </w:rPr>
  </w:style>
  <w:style w:type="character" w:customStyle="1" w:styleId="308">
    <w:name w:val="H4 Char"/>
    <w:qFormat/>
    <w:uiPriority w:val="0"/>
    <w:rPr>
      <w:rFonts w:ascii="Arial" w:hAnsi="Arial"/>
      <w:b/>
      <w:bCs/>
      <w:kern w:val="2"/>
      <w:sz w:val="21"/>
      <w:szCs w:val="28"/>
      <w:lang w:eastAsia="en-US"/>
    </w:rPr>
  </w:style>
  <w:style w:type="character" w:customStyle="1" w:styleId="309">
    <w:name w:val="a9"/>
    <w:qFormat/>
    <w:uiPriority w:val="0"/>
    <w:rPr>
      <w:rFonts w:ascii="Calibri" w:hAnsi="Calibri"/>
      <w:kern w:val="0"/>
      <w:sz w:val="24"/>
      <w:lang w:eastAsia="en-US"/>
    </w:rPr>
  </w:style>
  <w:style w:type="character" w:customStyle="1" w:styleId="310">
    <w:name w:val="content_1"/>
    <w:qFormat/>
    <w:uiPriority w:val="0"/>
    <w:rPr>
      <w:sz w:val="19"/>
      <w:szCs w:val="19"/>
    </w:rPr>
  </w:style>
  <w:style w:type="character" w:customStyle="1" w:styleId="311">
    <w:name w:val="标题 8 字符"/>
    <w:qFormat/>
    <w:uiPriority w:val="0"/>
    <w:rPr>
      <w:rFonts w:ascii="Arial" w:hAnsi="Arial" w:eastAsia="黑体" w:cs="Times New Roman"/>
      <w:sz w:val="24"/>
      <w:szCs w:val="24"/>
    </w:rPr>
  </w:style>
  <w:style w:type="character" w:customStyle="1" w:styleId="312">
    <w:name w:val="Font Style124"/>
    <w:qFormat/>
    <w:uiPriority w:val="99"/>
    <w:rPr>
      <w:rFonts w:hint="eastAsia" w:ascii="宋体" w:hAnsi="宋体" w:eastAsia="宋体"/>
      <w:spacing w:val="30"/>
      <w:sz w:val="24"/>
    </w:rPr>
  </w:style>
  <w:style w:type="character" w:customStyle="1" w:styleId="313">
    <w:name w:val="18"/>
    <w:qFormat/>
    <w:uiPriority w:val="0"/>
    <w:rPr>
      <w:rFonts w:hint="eastAsia" w:ascii="宋体" w:hAnsi="宋体" w:eastAsia="宋体"/>
      <w:spacing w:val="30"/>
      <w:sz w:val="24"/>
      <w:szCs w:val="24"/>
    </w:rPr>
  </w:style>
  <w:style w:type="character" w:customStyle="1" w:styleId="314">
    <w:name w:val="无间隔 Char"/>
    <w:link w:val="315"/>
    <w:qFormat/>
    <w:locked/>
    <w:uiPriority w:val="0"/>
    <w:rPr>
      <w:rFonts w:cs="Calibri"/>
      <w:sz w:val="22"/>
      <w:szCs w:val="22"/>
      <w:lang w:val="en-US" w:eastAsia="zh-CN" w:bidi="ar-SA"/>
    </w:rPr>
  </w:style>
  <w:style w:type="paragraph" w:customStyle="1" w:styleId="315">
    <w:name w:val="无间隔1"/>
    <w:link w:val="314"/>
    <w:qFormat/>
    <w:uiPriority w:val="0"/>
    <w:rPr>
      <w:rFonts w:ascii="Times New Roman" w:hAnsi="Times New Roman" w:eastAsia="宋体" w:cs="Calibri"/>
      <w:sz w:val="22"/>
      <w:szCs w:val="22"/>
      <w:lang w:val="en-US" w:eastAsia="zh-CN" w:bidi="ar-SA"/>
    </w:rPr>
  </w:style>
  <w:style w:type="character" w:customStyle="1" w:styleId="316">
    <w:name w:val="tpc_title1"/>
    <w:qFormat/>
    <w:uiPriority w:val="0"/>
    <w:rPr>
      <w:rFonts w:ascii="Calibri" w:hAnsi="Calibri"/>
      <w:b/>
      <w:bCs/>
      <w:kern w:val="0"/>
      <w:sz w:val="18"/>
      <w:szCs w:val="18"/>
      <w:lang w:eastAsia="en-US"/>
    </w:rPr>
  </w:style>
  <w:style w:type="character" w:customStyle="1" w:styleId="317">
    <w:name w:val="bds_more7"/>
    <w:qFormat/>
    <w:uiPriority w:val="0"/>
    <w:rPr>
      <w:rFonts w:ascii="Times New Roman" w:hAnsi="Times New Roman" w:eastAsia="宋体"/>
    </w:rPr>
  </w:style>
  <w:style w:type="character" w:customStyle="1" w:styleId="318">
    <w:name w:val="页码1"/>
    <w:qFormat/>
    <w:uiPriority w:val="0"/>
  </w:style>
  <w:style w:type="character" w:customStyle="1" w:styleId="319">
    <w:name w:val="Char Char24"/>
    <w:qFormat/>
    <w:uiPriority w:val="0"/>
    <w:rPr>
      <w:rFonts w:ascii="宋体" w:hAnsi="MS Sans Serif"/>
      <w:color w:val="000000"/>
      <w:sz w:val="24"/>
      <w:lang w:bidi="ar-SA"/>
    </w:rPr>
  </w:style>
  <w:style w:type="character" w:customStyle="1" w:styleId="320">
    <w:name w:val="title_1"/>
    <w:qFormat/>
    <w:uiPriority w:val="0"/>
    <w:rPr>
      <w:b/>
      <w:sz w:val="30"/>
      <w:szCs w:val="30"/>
    </w:rPr>
  </w:style>
  <w:style w:type="character" w:customStyle="1" w:styleId="321">
    <w:name w:val="标书正文格式 Char"/>
    <w:link w:val="322"/>
    <w:qFormat/>
    <w:uiPriority w:val="0"/>
    <w:rPr>
      <w:rFonts w:eastAsia="Times New Roman"/>
      <w:kern w:val="2"/>
      <w:sz w:val="24"/>
      <w:szCs w:val="24"/>
      <w:lang w:val="en-US" w:eastAsia="zh-CN" w:bidi="ar-SA"/>
    </w:rPr>
  </w:style>
  <w:style w:type="paragraph" w:customStyle="1" w:styleId="322">
    <w:name w:val="标书正文格式"/>
    <w:link w:val="321"/>
    <w:qFormat/>
    <w:uiPriority w:val="0"/>
    <w:pPr>
      <w:spacing w:line="360" w:lineRule="auto"/>
      <w:ind w:firstLine="200" w:firstLineChars="200"/>
    </w:pPr>
    <w:rPr>
      <w:rFonts w:ascii="Times New Roman" w:hAnsi="Times New Roman" w:eastAsia="Times New Roman" w:cs="Times New Roman"/>
      <w:kern w:val="2"/>
      <w:sz w:val="24"/>
      <w:szCs w:val="24"/>
      <w:lang w:val="en-US" w:eastAsia="zh-CN" w:bidi="ar-SA"/>
    </w:rPr>
  </w:style>
  <w:style w:type="character" w:customStyle="1" w:styleId="323">
    <w:name w:val="不明显强调1"/>
    <w:qFormat/>
    <w:uiPriority w:val="0"/>
    <w:rPr>
      <w:i/>
      <w:iCs/>
      <w:color w:val="808080"/>
    </w:rPr>
  </w:style>
  <w:style w:type="character" w:customStyle="1" w:styleId="324">
    <w:name w:val="黑体加粗"/>
    <w:qFormat/>
    <w:uiPriority w:val="0"/>
    <w:rPr>
      <w:rFonts w:ascii="Calibri" w:hAnsi="Calibri" w:eastAsia="黑体"/>
      <w:b/>
      <w:kern w:val="2"/>
      <w:sz w:val="21"/>
      <w:lang w:val="en-US" w:eastAsia="zh-CN"/>
    </w:rPr>
  </w:style>
  <w:style w:type="character" w:customStyle="1" w:styleId="325">
    <w:name w:val="paradoxheaders"/>
    <w:qFormat/>
    <w:uiPriority w:val="0"/>
    <w:rPr>
      <w:rFonts w:ascii="Calibri" w:hAnsi="Calibri"/>
      <w:kern w:val="0"/>
      <w:sz w:val="24"/>
      <w:lang w:eastAsia="en-US"/>
    </w:rPr>
  </w:style>
  <w:style w:type="character" w:customStyle="1" w:styleId="326">
    <w:name w:val="Font Style127"/>
    <w:unhideWhenUsed/>
    <w:qFormat/>
    <w:uiPriority w:val="99"/>
    <w:rPr>
      <w:rFonts w:hint="eastAsia" w:ascii="Times New Roman" w:hAnsi="Times New Roman" w:eastAsia="Times New Roman"/>
      <w:sz w:val="20"/>
    </w:rPr>
  </w:style>
  <w:style w:type="character" w:customStyle="1" w:styleId="327">
    <w:name w:val="Font Style121"/>
    <w:unhideWhenUsed/>
    <w:qFormat/>
    <w:uiPriority w:val="99"/>
    <w:rPr>
      <w:rFonts w:hint="eastAsia" w:ascii="宋体" w:hAnsi="宋体" w:eastAsia="宋体"/>
      <w:spacing w:val="-10"/>
      <w:sz w:val="30"/>
    </w:rPr>
  </w:style>
  <w:style w:type="character" w:customStyle="1" w:styleId="328">
    <w:name w:val="纯文本 Char1"/>
    <w:qFormat/>
    <w:locked/>
    <w:uiPriority w:val="0"/>
    <w:rPr>
      <w:rFonts w:ascii="宋体" w:hAnsi="Courier New" w:eastAsia="宋体" w:cs="Courier New"/>
      <w:kern w:val="2"/>
      <w:sz w:val="21"/>
      <w:szCs w:val="21"/>
      <w:lang w:val="en-US" w:eastAsia="zh-CN" w:bidi="ar-SA"/>
    </w:rPr>
  </w:style>
  <w:style w:type="character" w:customStyle="1" w:styleId="329">
    <w:name w:val="批注文字 Char1"/>
    <w:qFormat/>
    <w:uiPriority w:val="99"/>
    <w:rPr>
      <w:rFonts w:eastAsia="宋体"/>
      <w:kern w:val="2"/>
      <w:sz w:val="21"/>
      <w:szCs w:val="24"/>
      <w:lang w:val="en-US" w:eastAsia="zh-CN" w:bidi="ar-SA"/>
    </w:rPr>
  </w:style>
  <w:style w:type="character" w:customStyle="1" w:styleId="330">
    <w:name w:val="纯文本 Char2"/>
    <w:qFormat/>
    <w:uiPriority w:val="0"/>
    <w:rPr>
      <w:rFonts w:ascii="宋体" w:hAnsi="Courier New" w:eastAsia="宋体"/>
      <w:kern w:val="2"/>
      <w:sz w:val="21"/>
      <w:szCs w:val="21"/>
      <w:lang w:val="en-US" w:eastAsia="zh-CN" w:bidi="ar-SA"/>
    </w:rPr>
  </w:style>
  <w:style w:type="character" w:customStyle="1" w:styleId="331">
    <w:name w:val="Font Style123"/>
    <w:unhideWhenUsed/>
    <w:qFormat/>
    <w:uiPriority w:val="99"/>
    <w:rPr>
      <w:rFonts w:hint="eastAsia" w:ascii="宋体" w:hAnsi="宋体" w:eastAsia="宋体"/>
      <w:b/>
      <w:sz w:val="32"/>
    </w:rPr>
  </w:style>
  <w:style w:type="character" w:customStyle="1" w:styleId="332">
    <w:name w:val="标题 3 字符"/>
    <w:qFormat/>
    <w:uiPriority w:val="0"/>
    <w:rPr>
      <w:rFonts w:ascii="Times New Roman" w:hAnsi="Times New Roman" w:eastAsia="宋体" w:cs="Times New Roman"/>
      <w:b/>
      <w:bCs/>
      <w:sz w:val="24"/>
      <w:szCs w:val="24"/>
    </w:rPr>
  </w:style>
  <w:style w:type="character" w:customStyle="1" w:styleId="333">
    <w:name w:val="H1 Char1"/>
    <w:qFormat/>
    <w:uiPriority w:val="0"/>
    <w:rPr>
      <w:rFonts w:ascii="宋体" w:hAnsi="宋体" w:eastAsia="宋体"/>
      <w:b/>
      <w:bCs/>
      <w:kern w:val="44"/>
      <w:sz w:val="30"/>
      <w:szCs w:val="44"/>
      <w:lang w:val="en-US" w:eastAsia="zh-CN" w:bidi="ar-SA"/>
    </w:rPr>
  </w:style>
  <w:style w:type="character" w:customStyle="1" w:styleId="334">
    <w:name w:val="正文文本 Char1"/>
    <w:qFormat/>
    <w:uiPriority w:val="99"/>
    <w:rPr>
      <w:kern w:val="2"/>
      <w:sz w:val="21"/>
      <w:szCs w:val="22"/>
    </w:rPr>
  </w:style>
  <w:style w:type="character" w:customStyle="1" w:styleId="335">
    <w:name w:val="Char Char43"/>
    <w:qFormat/>
    <w:uiPriority w:val="0"/>
    <w:rPr>
      <w:rFonts w:ascii="Cambria" w:hAnsi="Cambria" w:eastAsia="宋体" w:cs="Times New Roman"/>
      <w:b/>
      <w:bCs/>
      <w:kern w:val="2"/>
      <w:sz w:val="32"/>
      <w:szCs w:val="32"/>
      <w:lang w:eastAsia="en-US"/>
    </w:rPr>
  </w:style>
  <w:style w:type="character" w:customStyle="1" w:styleId="336">
    <w:name w:val="style261"/>
    <w:qFormat/>
    <w:uiPriority w:val="0"/>
    <w:rPr>
      <w:rFonts w:ascii="Calibri" w:hAnsi="Calibri"/>
      <w:color w:val="0000FF"/>
      <w:kern w:val="0"/>
      <w:sz w:val="18"/>
      <w:szCs w:val="18"/>
      <w:lang w:eastAsia="en-US"/>
    </w:rPr>
  </w:style>
  <w:style w:type="character" w:customStyle="1" w:styleId="337">
    <w:name w:val="hang1"/>
    <w:qFormat/>
    <w:uiPriority w:val="0"/>
    <w:rPr>
      <w:rFonts w:ascii="Calibri" w:hAnsi="Calibri"/>
      <w:kern w:val="0"/>
      <w:sz w:val="24"/>
      <w:lang w:eastAsia="en-US"/>
    </w:rPr>
  </w:style>
  <w:style w:type="character" w:customStyle="1" w:styleId="338">
    <w:name w:val="Font Style117"/>
    <w:unhideWhenUsed/>
    <w:qFormat/>
    <w:uiPriority w:val="99"/>
    <w:rPr>
      <w:rFonts w:hint="eastAsia" w:ascii="宋体" w:hAnsi="宋体" w:eastAsia="宋体"/>
      <w:spacing w:val="20"/>
      <w:sz w:val="24"/>
    </w:rPr>
  </w:style>
  <w:style w:type="character" w:customStyle="1" w:styleId="339">
    <w:name w:val="Font Style128"/>
    <w:unhideWhenUsed/>
    <w:qFormat/>
    <w:uiPriority w:val="99"/>
    <w:rPr>
      <w:rFonts w:hint="eastAsia" w:ascii="Times New Roman" w:hAnsi="Times New Roman" w:eastAsia="Times New Roman"/>
      <w:sz w:val="16"/>
    </w:rPr>
  </w:style>
  <w:style w:type="character" w:customStyle="1" w:styleId="340">
    <w:name w:val="Title Char"/>
    <w:qFormat/>
    <w:locked/>
    <w:uiPriority w:val="0"/>
    <w:rPr>
      <w:rFonts w:hint="default" w:ascii="Cambria" w:hAnsi="Cambria"/>
      <w:b/>
      <w:kern w:val="2"/>
      <w:sz w:val="24"/>
    </w:rPr>
  </w:style>
  <w:style w:type="character" w:customStyle="1" w:styleId="341">
    <w:name w:val="Char Char44"/>
    <w:qFormat/>
    <w:uiPriority w:val="0"/>
    <w:rPr>
      <w:rFonts w:ascii="Cambria" w:hAnsi="Cambria" w:eastAsia="宋体"/>
      <w:b/>
      <w:bCs/>
      <w:kern w:val="32"/>
      <w:sz w:val="32"/>
      <w:szCs w:val="32"/>
      <w:lang w:val="en-US" w:eastAsia="zh-CN" w:bidi="ar-SA"/>
    </w:rPr>
  </w:style>
  <w:style w:type="character" w:customStyle="1" w:styleId="342">
    <w:name w:val="Footer Char2"/>
    <w:qFormat/>
    <w:locked/>
    <w:uiPriority w:val="0"/>
    <w:rPr>
      <w:rFonts w:ascii="宋体" w:hAnsi="宋体" w:eastAsia="宋体"/>
      <w:kern w:val="2"/>
      <w:sz w:val="18"/>
      <w:szCs w:val="18"/>
      <w:lang w:val="en-US" w:eastAsia="zh-CN" w:bidi="ar-SA"/>
    </w:rPr>
  </w:style>
  <w:style w:type="character" w:customStyle="1" w:styleId="343">
    <w:name w:val="信息标题 Char1"/>
    <w:qFormat/>
    <w:uiPriority w:val="99"/>
    <w:rPr>
      <w:rFonts w:ascii="Cambria" w:hAnsi="Cambria" w:eastAsia="宋体" w:cs="Times New Roman"/>
      <w:kern w:val="2"/>
      <w:sz w:val="24"/>
      <w:szCs w:val="24"/>
      <w:shd w:val="pct20" w:color="auto" w:fill="auto"/>
    </w:rPr>
  </w:style>
  <w:style w:type="character" w:customStyle="1" w:styleId="344">
    <w:name w:val="Header Char"/>
    <w:qFormat/>
    <w:locked/>
    <w:uiPriority w:val="0"/>
    <w:rPr>
      <w:kern w:val="2"/>
      <w:sz w:val="18"/>
    </w:rPr>
  </w:style>
  <w:style w:type="character" w:customStyle="1" w:styleId="345">
    <w:name w:val="不明显参考1"/>
    <w:qFormat/>
    <w:uiPriority w:val="0"/>
    <w:rPr>
      <w:smallCaps/>
      <w:color w:val="C0504D"/>
      <w:u w:val="single"/>
    </w:rPr>
  </w:style>
  <w:style w:type="character" w:customStyle="1" w:styleId="346">
    <w:name w:val="书籍标题2 Char"/>
    <w:link w:val="347"/>
    <w:qFormat/>
    <w:uiPriority w:val="0"/>
    <w:rPr>
      <w:rFonts w:cs="宋体"/>
      <w:b/>
      <w:bCs/>
      <w:spacing w:val="20"/>
      <w:kern w:val="2"/>
      <w:sz w:val="32"/>
    </w:rPr>
  </w:style>
  <w:style w:type="paragraph" w:customStyle="1" w:styleId="347">
    <w:name w:val="书籍标题2"/>
    <w:basedOn w:val="1"/>
    <w:link w:val="346"/>
    <w:qFormat/>
    <w:uiPriority w:val="0"/>
    <w:pPr>
      <w:spacing w:beforeLines="100" w:afterLines="100"/>
      <w:ind w:left="765" w:hanging="567"/>
      <w:jc w:val="left"/>
      <w:outlineLvl w:val="1"/>
    </w:pPr>
    <w:rPr>
      <w:b/>
      <w:bCs/>
      <w:spacing w:val="20"/>
      <w:sz w:val="32"/>
      <w:szCs w:val="20"/>
    </w:rPr>
  </w:style>
  <w:style w:type="character" w:customStyle="1" w:styleId="348">
    <w:name w:val="Lead-in Emphasis"/>
    <w:qFormat/>
    <w:uiPriority w:val="0"/>
    <w:rPr>
      <w:rFonts w:ascii="Arial Black" w:hAnsi="Arial Black"/>
      <w:spacing w:val="-4"/>
      <w:sz w:val="18"/>
    </w:rPr>
  </w:style>
  <w:style w:type="character" w:customStyle="1" w:styleId="349">
    <w:name w:val="Font Style134"/>
    <w:unhideWhenUsed/>
    <w:qFormat/>
    <w:uiPriority w:val="0"/>
    <w:rPr>
      <w:rFonts w:hint="eastAsia" w:ascii="宋体" w:hAnsi="宋体" w:eastAsia="宋体"/>
      <w:spacing w:val="20"/>
      <w:sz w:val="22"/>
    </w:rPr>
  </w:style>
  <w:style w:type="character" w:customStyle="1" w:styleId="350">
    <w:name w:val="标题 9 字符"/>
    <w:qFormat/>
    <w:uiPriority w:val="0"/>
    <w:rPr>
      <w:rFonts w:ascii="Arial" w:hAnsi="Arial" w:eastAsia="黑体" w:cs="Times New Roman"/>
      <w:szCs w:val="21"/>
    </w:rPr>
  </w:style>
  <w:style w:type="character" w:customStyle="1" w:styleId="351">
    <w:name w:val="z-窗体底端 Char"/>
    <w:link w:val="352"/>
    <w:qFormat/>
    <w:uiPriority w:val="0"/>
    <w:rPr>
      <w:rFonts w:ascii="Arial" w:hAnsi="Arial" w:cs="Arial"/>
      <w:vanish/>
      <w:sz w:val="16"/>
      <w:szCs w:val="16"/>
    </w:rPr>
  </w:style>
  <w:style w:type="paragraph" w:customStyle="1" w:styleId="352">
    <w:name w:val="_Style 349"/>
    <w:basedOn w:val="1"/>
    <w:next w:val="1"/>
    <w:link w:val="351"/>
    <w:qFormat/>
    <w:uiPriority w:val="0"/>
    <w:pPr>
      <w:widowControl/>
      <w:pBdr>
        <w:top w:val="single" w:color="auto" w:sz="6" w:space="1"/>
      </w:pBdr>
      <w:jc w:val="center"/>
    </w:pPr>
    <w:rPr>
      <w:rFonts w:ascii="Arial" w:hAnsi="Arial"/>
      <w:vanish/>
      <w:kern w:val="0"/>
      <w:sz w:val="16"/>
      <w:szCs w:val="16"/>
    </w:rPr>
  </w:style>
  <w:style w:type="character" w:customStyle="1" w:styleId="353">
    <w:name w:val="一般文字 Char Char"/>
    <w:link w:val="354"/>
    <w:qFormat/>
    <w:uiPriority w:val="0"/>
    <w:rPr>
      <w:rFonts w:ascii="宋体" w:hAnsi="宋体" w:cs="Plotter"/>
      <w:color w:val="000000"/>
      <w:sz w:val="24"/>
      <w:szCs w:val="24"/>
      <w:lang w:val="en-GB"/>
    </w:rPr>
  </w:style>
  <w:style w:type="paragraph" w:customStyle="1" w:styleId="354">
    <w:name w:val="一般文字"/>
    <w:basedOn w:val="1"/>
    <w:link w:val="353"/>
    <w:qFormat/>
    <w:uiPriority w:val="0"/>
    <w:pPr>
      <w:spacing w:line="360" w:lineRule="auto"/>
      <w:ind w:firstLine="480" w:firstLineChars="200"/>
      <w:jc w:val="left"/>
    </w:pPr>
    <w:rPr>
      <w:rFonts w:ascii="宋体" w:hAnsi="宋体"/>
      <w:color w:val="000000"/>
      <w:kern w:val="0"/>
      <w:sz w:val="24"/>
      <w:lang w:val="en-GB"/>
    </w:rPr>
  </w:style>
  <w:style w:type="character" w:customStyle="1" w:styleId="355">
    <w:name w:val="页码 New New New"/>
    <w:qFormat/>
    <w:uiPriority w:val="0"/>
    <w:rPr>
      <w:rFonts w:ascii="Calibri" w:hAnsi="Calibri"/>
      <w:kern w:val="0"/>
      <w:sz w:val="24"/>
      <w:lang w:eastAsia="en-US"/>
    </w:rPr>
  </w:style>
  <w:style w:type="character" w:customStyle="1" w:styleId="356">
    <w:name w:val="标题 字符"/>
    <w:qFormat/>
    <w:uiPriority w:val="0"/>
    <w:rPr>
      <w:rFonts w:ascii="Cambria" w:hAnsi="Cambria"/>
      <w:b/>
      <w:sz w:val="32"/>
      <w:szCs w:val="24"/>
    </w:rPr>
  </w:style>
  <w:style w:type="character" w:customStyle="1" w:styleId="357">
    <w:name w:val="书籍标题1"/>
    <w:qFormat/>
    <w:uiPriority w:val="0"/>
    <w:rPr>
      <w:b/>
      <w:bCs/>
      <w:smallCaps/>
      <w:spacing w:val="5"/>
    </w:rPr>
  </w:style>
  <w:style w:type="character" w:customStyle="1" w:styleId="358">
    <w:name w:val="sidecatalog-index2"/>
    <w:qFormat/>
    <w:uiPriority w:val="0"/>
    <w:rPr>
      <w:rFonts w:ascii="Arail" w:hAnsi="Arail" w:eastAsia="Arail" w:cs="Arail"/>
      <w:color w:val="999999"/>
      <w:sz w:val="21"/>
      <w:szCs w:val="21"/>
    </w:rPr>
  </w:style>
  <w:style w:type="character" w:customStyle="1" w:styleId="359">
    <w:name w:val="pricing_retail_nodiscount_price"/>
    <w:qFormat/>
    <w:uiPriority w:val="0"/>
    <w:rPr>
      <w:rFonts w:ascii="Calibri" w:hAnsi="Calibri"/>
      <w:kern w:val="0"/>
      <w:sz w:val="24"/>
      <w:lang w:eastAsia="en-US"/>
    </w:rPr>
  </w:style>
  <w:style w:type="character" w:customStyle="1" w:styleId="360">
    <w:name w:val="style231"/>
    <w:qFormat/>
    <w:uiPriority w:val="0"/>
    <w:rPr>
      <w:rFonts w:ascii="Calibri" w:hAnsi="Calibri"/>
      <w:b/>
      <w:bCs/>
      <w:color w:val="FF0000"/>
      <w:kern w:val="0"/>
      <w:sz w:val="24"/>
      <w:lang w:eastAsia="en-US"/>
    </w:rPr>
  </w:style>
  <w:style w:type="character" w:customStyle="1" w:styleId="361">
    <w:name w:val="Font Style125"/>
    <w:qFormat/>
    <w:uiPriority w:val="99"/>
    <w:rPr>
      <w:rFonts w:hint="eastAsia" w:ascii="宋体" w:hAnsi="宋体" w:eastAsia="宋体"/>
      <w:b/>
      <w:sz w:val="26"/>
    </w:rPr>
  </w:style>
  <w:style w:type="character" w:customStyle="1" w:styleId="362">
    <w:name w:val="HTML 地址 Char1"/>
    <w:qFormat/>
    <w:uiPriority w:val="99"/>
    <w:rPr>
      <w:i/>
      <w:iCs/>
      <w:kern w:val="2"/>
      <w:sz w:val="21"/>
      <w:szCs w:val="24"/>
    </w:rPr>
  </w:style>
  <w:style w:type="character" w:customStyle="1" w:styleId="363">
    <w:name w:val="text1"/>
    <w:qFormat/>
    <w:uiPriority w:val="0"/>
    <w:rPr>
      <w:rFonts w:hint="default" w:ascii="MS Sans Serif" w:hAnsi="MS Sans Serif"/>
      <w:color w:val="444444"/>
      <w:spacing w:val="20"/>
      <w:kern w:val="0"/>
      <w:sz w:val="18"/>
      <w:szCs w:val="18"/>
      <w:lang w:eastAsia="en-US"/>
    </w:rPr>
  </w:style>
  <w:style w:type="character" w:customStyle="1" w:styleId="364">
    <w:name w:val="title_emph1"/>
    <w:qFormat/>
    <w:uiPriority w:val="0"/>
    <w:rPr>
      <w:rFonts w:hint="default" w:ascii="Arial" w:hAnsi="Arial" w:cs="Arial"/>
      <w:b/>
      <w:bCs/>
      <w:kern w:val="0"/>
      <w:sz w:val="20"/>
      <w:szCs w:val="20"/>
      <w:lang w:eastAsia="en-US"/>
    </w:rPr>
  </w:style>
  <w:style w:type="character" w:customStyle="1" w:styleId="365">
    <w:name w:val="正文首行缩进 Char1"/>
    <w:qFormat/>
    <w:uiPriority w:val="0"/>
  </w:style>
  <w:style w:type="character" w:customStyle="1" w:styleId="366">
    <w:name w:val="_Style 363"/>
    <w:qFormat/>
    <w:uiPriority w:val="0"/>
    <w:rPr>
      <w:smallCaps/>
      <w:color w:val="C0504D"/>
      <w:u w:val="single"/>
    </w:rPr>
  </w:style>
  <w:style w:type="character" w:customStyle="1" w:styleId="367">
    <w:name w:val="正文文本缩进 2 字符"/>
    <w:qFormat/>
    <w:uiPriority w:val="0"/>
    <w:rPr>
      <w:kern w:val="2"/>
      <w:sz w:val="21"/>
      <w:szCs w:val="24"/>
    </w:rPr>
  </w:style>
  <w:style w:type="character" w:customStyle="1" w:styleId="368">
    <w:name w:val="tw4winMark"/>
    <w:qFormat/>
    <w:uiPriority w:val="0"/>
    <w:rPr>
      <w:rFonts w:ascii="Courier New" w:hAnsi="Courier New" w:cs="Courier New"/>
      <w:vanish/>
      <w:color w:val="800080"/>
      <w:vertAlign w:val="subscript"/>
    </w:rPr>
  </w:style>
  <w:style w:type="character" w:customStyle="1" w:styleId="369">
    <w:name w:val="Document Map Char"/>
    <w:qFormat/>
    <w:locked/>
    <w:uiPriority w:val="0"/>
    <w:rPr>
      <w:rFonts w:ascii="宋体" w:hAnsi="宋体" w:eastAsia="宋体"/>
      <w:kern w:val="2"/>
      <w:sz w:val="21"/>
      <w:szCs w:val="24"/>
      <w:lang w:val="en-US" w:eastAsia="zh-CN" w:bidi="ar-SA"/>
    </w:rPr>
  </w:style>
  <w:style w:type="character" w:customStyle="1" w:styleId="370">
    <w:name w:val="zbggmain style9"/>
    <w:qFormat/>
    <w:uiPriority w:val="0"/>
    <w:rPr>
      <w:rFonts w:ascii="Calibri" w:hAnsi="Calibri"/>
      <w:kern w:val="0"/>
      <w:sz w:val="24"/>
      <w:lang w:eastAsia="en-US"/>
    </w:rPr>
  </w:style>
  <w:style w:type="character" w:customStyle="1" w:styleId="371">
    <w:name w:val="producttitle1"/>
    <w:qFormat/>
    <w:uiPriority w:val="0"/>
    <w:rPr>
      <w:rFonts w:ascii="Calibri" w:hAnsi="Calibri"/>
      <w:b/>
      <w:bCs/>
      <w:color w:val="663366"/>
      <w:kern w:val="0"/>
      <w:sz w:val="24"/>
      <w:lang w:eastAsia="en-US"/>
    </w:rPr>
  </w:style>
  <w:style w:type="character" w:customStyle="1" w:styleId="372">
    <w:name w:val="content_table1"/>
    <w:qFormat/>
    <w:uiPriority w:val="0"/>
    <w:rPr>
      <w:sz w:val="19"/>
      <w:szCs w:val="19"/>
    </w:rPr>
  </w:style>
  <w:style w:type="character" w:customStyle="1" w:styleId="373">
    <w:name w:val="正文文本缩进 3 Char"/>
    <w:qFormat/>
    <w:uiPriority w:val="0"/>
    <w:rPr>
      <w:kern w:val="2"/>
      <w:sz w:val="16"/>
      <w:szCs w:val="16"/>
    </w:rPr>
  </w:style>
  <w:style w:type="character" w:customStyle="1" w:styleId="374">
    <w:name w:val="bds_nopic"/>
    <w:qFormat/>
    <w:uiPriority w:val="0"/>
    <w:rPr>
      <w:rFonts w:ascii="Times New Roman" w:hAnsi="Times New Roman" w:eastAsia="宋体"/>
    </w:rPr>
  </w:style>
  <w:style w:type="character" w:customStyle="1" w:styleId="375">
    <w:name w:val="Char Char22"/>
    <w:qFormat/>
    <w:uiPriority w:val="0"/>
    <w:rPr>
      <w:rFonts w:ascii="Cambria" w:hAnsi="Cambria"/>
      <w:b/>
      <w:kern w:val="2"/>
      <w:sz w:val="32"/>
      <w:szCs w:val="24"/>
      <w:lang w:bidi="ar-SA"/>
    </w:rPr>
  </w:style>
  <w:style w:type="character" w:customStyle="1" w:styleId="376">
    <w:name w:val="Char Char6"/>
    <w:qFormat/>
    <w:uiPriority w:val="0"/>
    <w:rPr>
      <w:rFonts w:ascii="Arial" w:hAnsi="Arial" w:eastAsia="黑体"/>
      <w:sz w:val="24"/>
      <w:szCs w:val="24"/>
      <w:lang w:val="en-US" w:eastAsia="zh-CN" w:bidi="ar-SA"/>
    </w:rPr>
  </w:style>
  <w:style w:type="character" w:customStyle="1" w:styleId="377">
    <w:name w:val="正文文本缩进 3 字符"/>
    <w:qFormat/>
    <w:uiPriority w:val="0"/>
    <w:rPr>
      <w:rFonts w:ascii="宋体" w:hAnsi="MS Sans Serif"/>
      <w:color w:val="000000"/>
      <w:sz w:val="24"/>
    </w:rPr>
  </w:style>
  <w:style w:type="character" w:customStyle="1" w:styleId="378">
    <w:name w:val="Title Char2"/>
    <w:qFormat/>
    <w:locked/>
    <w:uiPriority w:val="0"/>
    <w:rPr>
      <w:rFonts w:ascii="Cambria" w:hAnsi="Cambria" w:eastAsia="宋体"/>
      <w:b/>
      <w:kern w:val="2"/>
      <w:sz w:val="24"/>
      <w:szCs w:val="24"/>
      <w:lang w:val="en-US" w:eastAsia="zh-CN" w:bidi="ar-SA"/>
    </w:rPr>
  </w:style>
  <w:style w:type="character" w:customStyle="1" w:styleId="379">
    <w:name w:val="标题 3 Char1"/>
    <w:qFormat/>
    <w:uiPriority w:val="0"/>
    <w:rPr>
      <w:rFonts w:eastAsia="宋体"/>
      <w:b/>
      <w:bCs/>
      <w:kern w:val="2"/>
      <w:sz w:val="32"/>
      <w:szCs w:val="32"/>
      <w:lang w:val="en-US" w:eastAsia="zh-CN" w:bidi="ar-SA"/>
    </w:rPr>
  </w:style>
  <w:style w:type="character" w:customStyle="1" w:styleId="380">
    <w:name w:val="s"/>
    <w:qFormat/>
    <w:uiPriority w:val="0"/>
    <w:rPr>
      <w:rFonts w:ascii="Calibri" w:hAnsi="Calibri"/>
      <w:kern w:val="0"/>
      <w:sz w:val="24"/>
      <w:lang w:eastAsia="en-US"/>
    </w:rPr>
  </w:style>
  <w:style w:type="character" w:customStyle="1" w:styleId="381">
    <w:name w:val="16"/>
    <w:qFormat/>
    <w:uiPriority w:val="0"/>
    <w:rPr>
      <w:rFonts w:hint="default" w:ascii="Times New Roman" w:hAnsi="Times New Roman" w:cs="Times New Roman"/>
      <w:sz w:val="28"/>
      <w:szCs w:val="28"/>
    </w:rPr>
  </w:style>
  <w:style w:type="character" w:customStyle="1" w:styleId="382">
    <w:name w:val="Heading 3 Char"/>
    <w:qFormat/>
    <w:locked/>
    <w:uiPriority w:val="0"/>
    <w:rPr>
      <w:rFonts w:ascii="Calibri" w:hAnsi="Calibri" w:eastAsia="宋体"/>
      <w:b/>
      <w:bCs/>
      <w:kern w:val="2"/>
      <w:sz w:val="24"/>
      <w:szCs w:val="24"/>
      <w:lang w:val="en-US" w:eastAsia="zh-CN" w:bidi="ar-SA"/>
    </w:rPr>
  </w:style>
  <w:style w:type="character" w:customStyle="1" w:styleId="383">
    <w:name w:val="huh Char"/>
    <w:qFormat/>
    <w:uiPriority w:val="0"/>
    <w:rPr>
      <w:rFonts w:ascii="Arial" w:hAnsi="Arial" w:eastAsia="黑体"/>
      <w:kern w:val="0"/>
      <w:sz w:val="21"/>
      <w:szCs w:val="21"/>
      <w:lang w:eastAsia="en-US"/>
    </w:rPr>
  </w:style>
  <w:style w:type="character" w:customStyle="1" w:styleId="384">
    <w:name w:val="_Style 381"/>
    <w:qFormat/>
    <w:uiPriority w:val="0"/>
    <w:rPr>
      <w:b/>
      <w:bCs/>
      <w:i/>
      <w:iCs/>
      <w:color w:val="4F81BD"/>
    </w:rPr>
  </w:style>
  <w:style w:type="character" w:customStyle="1" w:styleId="385">
    <w:name w:val="r13"/>
    <w:qFormat/>
    <w:uiPriority w:val="0"/>
    <w:rPr>
      <w:rFonts w:ascii="Calibri" w:hAnsi="Calibri"/>
      <w:kern w:val="0"/>
      <w:sz w:val="24"/>
      <w:lang w:eastAsia="en-US"/>
    </w:rPr>
  </w:style>
  <w:style w:type="character" w:customStyle="1" w:styleId="386">
    <w:name w:val="方案正文 Char2"/>
    <w:link w:val="387"/>
    <w:qFormat/>
    <w:uiPriority w:val="0"/>
    <w:rPr>
      <w:rFonts w:ascii="宋体" w:hAnsi="Arial"/>
      <w:sz w:val="24"/>
    </w:rPr>
  </w:style>
  <w:style w:type="paragraph" w:customStyle="1" w:styleId="387">
    <w:name w:val="方案正文"/>
    <w:basedOn w:val="1"/>
    <w:link w:val="386"/>
    <w:qFormat/>
    <w:uiPriority w:val="0"/>
    <w:pPr>
      <w:adjustRightInd w:val="0"/>
      <w:ind w:firstLine="480" w:firstLineChars="200"/>
    </w:pPr>
    <w:rPr>
      <w:rFonts w:ascii="宋体" w:hAnsi="Arial"/>
      <w:kern w:val="0"/>
      <w:sz w:val="24"/>
      <w:szCs w:val="20"/>
    </w:rPr>
  </w:style>
  <w:style w:type="character" w:customStyle="1" w:styleId="388">
    <w:name w:val="content_2"/>
    <w:qFormat/>
    <w:uiPriority w:val="0"/>
    <w:rPr>
      <w:sz w:val="19"/>
      <w:szCs w:val="19"/>
    </w:rPr>
  </w:style>
  <w:style w:type="character" w:customStyle="1" w:styleId="389">
    <w:name w:val="datagrid-sort-icon"/>
    <w:qFormat/>
    <w:uiPriority w:val="0"/>
  </w:style>
  <w:style w:type="character" w:customStyle="1" w:styleId="390">
    <w:name w:val="Char Char141"/>
    <w:qFormat/>
    <w:uiPriority w:val="0"/>
    <w:rPr>
      <w:rFonts w:ascii="Arial" w:hAnsi="Arial"/>
      <w:b/>
      <w:bCs/>
      <w:kern w:val="2"/>
      <w:sz w:val="21"/>
      <w:szCs w:val="28"/>
    </w:rPr>
  </w:style>
  <w:style w:type="character" w:customStyle="1" w:styleId="391">
    <w:name w:val="样式 楷体_GB2312 小四 行距: 1.5 倍行距 Char"/>
    <w:link w:val="392"/>
    <w:qFormat/>
    <w:uiPriority w:val="0"/>
    <w:rPr>
      <w:kern w:val="2"/>
      <w:sz w:val="24"/>
    </w:rPr>
  </w:style>
  <w:style w:type="paragraph" w:customStyle="1" w:styleId="392">
    <w:name w:val="样式 楷体_GB2312 小四 行距: 1.5 倍行距"/>
    <w:basedOn w:val="1"/>
    <w:link w:val="391"/>
    <w:qFormat/>
    <w:uiPriority w:val="0"/>
    <w:pPr>
      <w:tabs>
        <w:tab w:val="left" w:pos="766"/>
      </w:tabs>
      <w:spacing w:line="360" w:lineRule="auto"/>
      <w:ind w:left="766" w:hanging="284"/>
    </w:pPr>
    <w:rPr>
      <w:sz w:val="24"/>
      <w:szCs w:val="20"/>
    </w:rPr>
  </w:style>
  <w:style w:type="character" w:customStyle="1" w:styleId="393">
    <w:name w:val="H2 Char2"/>
    <w:qFormat/>
    <w:uiPriority w:val="0"/>
    <w:rPr>
      <w:rFonts w:ascii="Cambria" w:hAnsi="Cambria" w:eastAsia="宋体" w:cs="Times New Roman"/>
      <w:b/>
      <w:bCs/>
      <w:kern w:val="2"/>
      <w:sz w:val="32"/>
      <w:szCs w:val="32"/>
      <w:lang w:eastAsia="en-US"/>
    </w:rPr>
  </w:style>
  <w:style w:type="character" w:customStyle="1" w:styleId="394">
    <w:name w:val="style61"/>
    <w:qFormat/>
    <w:uiPriority w:val="0"/>
    <w:rPr>
      <w:rFonts w:ascii="Calibri" w:hAnsi="Calibri"/>
      <w:kern w:val="0"/>
      <w:sz w:val="18"/>
      <w:szCs w:val="18"/>
      <w:lang w:eastAsia="en-US"/>
    </w:rPr>
  </w:style>
  <w:style w:type="character" w:customStyle="1" w:styleId="395">
    <w:name w:val="Char Char25"/>
    <w:qFormat/>
    <w:uiPriority w:val="0"/>
    <w:rPr>
      <w:b/>
      <w:bCs/>
      <w:kern w:val="2"/>
      <w:sz w:val="21"/>
      <w:szCs w:val="24"/>
      <w:lang w:bidi="ar-SA"/>
    </w:rPr>
  </w:style>
  <w:style w:type="character" w:customStyle="1" w:styleId="396">
    <w:name w:val="pheader1"/>
    <w:qFormat/>
    <w:uiPriority w:val="0"/>
    <w:rPr>
      <w:rFonts w:ascii="Calibri" w:hAnsi="Calibri"/>
      <w:kern w:val="0"/>
      <w:sz w:val="24"/>
      <w:lang w:eastAsia="en-US"/>
    </w:rPr>
  </w:style>
  <w:style w:type="character" w:customStyle="1" w:styleId="397">
    <w:name w:val="label1"/>
    <w:qFormat/>
    <w:uiPriority w:val="0"/>
    <w:rPr>
      <w:rFonts w:ascii="Calibri" w:hAnsi="Calibri"/>
      <w:kern w:val="0"/>
      <w:sz w:val="18"/>
      <w:szCs w:val="18"/>
      <w:lang w:eastAsia="en-US"/>
    </w:rPr>
  </w:style>
  <w:style w:type="character" w:customStyle="1" w:styleId="398">
    <w:name w:val="引用 Char1"/>
    <w:qFormat/>
    <w:uiPriority w:val="29"/>
    <w:rPr>
      <w:i/>
      <w:iCs/>
      <w:color w:val="000000"/>
      <w:kern w:val="2"/>
      <w:sz w:val="21"/>
      <w:szCs w:val="24"/>
    </w:rPr>
  </w:style>
  <w:style w:type="character" w:customStyle="1" w:styleId="399">
    <w:name w:val="style201"/>
    <w:qFormat/>
    <w:uiPriority w:val="0"/>
    <w:rPr>
      <w:rFonts w:hint="eastAsia" w:ascii="隶书" w:hAnsi="Calibri" w:eastAsia="隶书"/>
      <w:color w:val="66CCFF"/>
      <w:kern w:val="0"/>
      <w:sz w:val="27"/>
      <w:szCs w:val="27"/>
      <w:lang w:eastAsia="en-US"/>
    </w:rPr>
  </w:style>
  <w:style w:type="character" w:customStyle="1" w:styleId="400">
    <w:name w:val="Superscript"/>
    <w:qFormat/>
    <w:uiPriority w:val="0"/>
    <w:rPr>
      <w:b/>
      <w:vertAlign w:val="superscript"/>
    </w:rPr>
  </w:style>
  <w:style w:type="character" w:customStyle="1" w:styleId="401">
    <w:name w:val="style281"/>
    <w:qFormat/>
    <w:uiPriority w:val="0"/>
    <w:rPr>
      <w:rFonts w:hint="eastAsia" w:ascii="华文新魏" w:hAnsi="Calibri" w:eastAsia="华文新魏"/>
      <w:b/>
      <w:bCs/>
      <w:color w:val="FF00FF"/>
      <w:kern w:val="0"/>
      <w:sz w:val="21"/>
      <w:szCs w:val="21"/>
      <w:lang w:eastAsia="en-US"/>
    </w:rPr>
  </w:style>
  <w:style w:type="character" w:customStyle="1" w:styleId="402">
    <w:name w:val="H1 Char2"/>
    <w:qFormat/>
    <w:uiPriority w:val="0"/>
    <w:rPr>
      <w:rFonts w:ascii="Cambria" w:hAnsi="Cambria"/>
      <w:b/>
      <w:bCs/>
      <w:kern w:val="32"/>
      <w:sz w:val="32"/>
      <w:szCs w:val="32"/>
      <w:lang w:eastAsia="en-US"/>
    </w:rPr>
  </w:style>
  <w:style w:type="character" w:customStyle="1" w:styleId="403">
    <w:name w:val="标题 3 Char Char"/>
    <w:qFormat/>
    <w:uiPriority w:val="0"/>
    <w:rPr>
      <w:rFonts w:ascii="Verdana" w:hAnsi="Verdana" w:eastAsia="宋体"/>
      <w:b/>
      <w:kern w:val="2"/>
      <w:sz w:val="30"/>
      <w:lang w:val="en-US" w:eastAsia="zh-CN"/>
    </w:rPr>
  </w:style>
  <w:style w:type="character" w:customStyle="1" w:styleId="404">
    <w:name w:val="cn1"/>
    <w:qFormat/>
    <w:uiPriority w:val="0"/>
    <w:rPr>
      <w:rFonts w:ascii="Calibri" w:hAnsi="Calibri"/>
      <w:kern w:val="0"/>
      <w:sz w:val="18"/>
      <w:szCs w:val="18"/>
      <w:lang w:eastAsia="en-US"/>
    </w:rPr>
  </w:style>
  <w:style w:type="character" w:customStyle="1" w:styleId="405">
    <w:name w:val="明显强调1"/>
    <w:qFormat/>
    <w:uiPriority w:val="0"/>
    <w:rPr>
      <w:b/>
      <w:bCs/>
      <w:i/>
      <w:iCs/>
      <w:color w:val="4F81BD"/>
    </w:rPr>
  </w:style>
  <w:style w:type="character" w:customStyle="1" w:styleId="406">
    <w:name w:val="Font Style86"/>
    <w:unhideWhenUsed/>
    <w:qFormat/>
    <w:uiPriority w:val="99"/>
    <w:rPr>
      <w:rFonts w:hint="eastAsia" w:ascii="黑体" w:hAnsi="黑体" w:eastAsia="黑体"/>
      <w:spacing w:val="10"/>
      <w:sz w:val="30"/>
    </w:rPr>
  </w:style>
  <w:style w:type="character" w:customStyle="1" w:styleId="407">
    <w:name w:val="明显引用 Char1"/>
    <w:qFormat/>
    <w:uiPriority w:val="30"/>
    <w:rPr>
      <w:b/>
      <w:bCs/>
      <w:i/>
      <w:iCs/>
      <w:color w:val="4F81BD"/>
      <w:kern w:val="2"/>
      <w:sz w:val="21"/>
      <w:szCs w:val="24"/>
    </w:rPr>
  </w:style>
  <w:style w:type="character" w:customStyle="1" w:styleId="408">
    <w:name w:val="Font Style116"/>
    <w:unhideWhenUsed/>
    <w:qFormat/>
    <w:uiPriority w:val="99"/>
    <w:rPr>
      <w:rFonts w:hint="eastAsia" w:ascii="宋体" w:hAnsi="宋体" w:eastAsia="宋体"/>
      <w:spacing w:val="-20"/>
      <w:sz w:val="24"/>
    </w:rPr>
  </w:style>
  <w:style w:type="character" w:customStyle="1" w:styleId="409">
    <w:name w:val="z-窗体底端 Char1"/>
    <w:semiHidden/>
    <w:qFormat/>
    <w:uiPriority w:val="99"/>
    <w:rPr>
      <w:rFonts w:ascii="Arial" w:hAnsi="Arial" w:cs="Arial"/>
      <w:vanish/>
      <w:kern w:val="2"/>
      <w:sz w:val="16"/>
      <w:szCs w:val="16"/>
    </w:rPr>
  </w:style>
  <w:style w:type="character" w:customStyle="1" w:styleId="410">
    <w:name w:val="批注框文本 Char"/>
    <w:qFormat/>
    <w:uiPriority w:val="0"/>
    <w:rPr>
      <w:kern w:val="2"/>
      <w:sz w:val="18"/>
      <w:szCs w:val="18"/>
    </w:rPr>
  </w:style>
  <w:style w:type="character" w:customStyle="1" w:styleId="411">
    <w:name w:val="H2 Char1"/>
    <w:qFormat/>
    <w:uiPriority w:val="0"/>
    <w:rPr>
      <w:rFonts w:ascii="Arial" w:hAnsi="Arial" w:eastAsia="黑体"/>
      <w:b/>
      <w:bCs/>
      <w:kern w:val="2"/>
      <w:sz w:val="24"/>
      <w:szCs w:val="32"/>
      <w:lang w:val="en-US" w:eastAsia="zh-CN" w:bidi="ar-SA"/>
    </w:rPr>
  </w:style>
  <w:style w:type="character" w:customStyle="1" w:styleId="412">
    <w:name w:val="电子邮件签名 Char1"/>
    <w:qFormat/>
    <w:uiPriority w:val="99"/>
    <w:rPr>
      <w:kern w:val="2"/>
      <w:sz w:val="21"/>
      <w:szCs w:val="24"/>
    </w:rPr>
  </w:style>
  <w:style w:type="character" w:customStyle="1" w:styleId="413">
    <w:name w:val="style221"/>
    <w:qFormat/>
    <w:uiPriority w:val="0"/>
    <w:rPr>
      <w:rFonts w:hint="default" w:ascii="Arial" w:hAnsi="Arial" w:cs="Arial"/>
      <w:b/>
      <w:bCs/>
      <w:color w:val="FFA523"/>
      <w:kern w:val="0"/>
      <w:sz w:val="27"/>
      <w:szCs w:val="27"/>
      <w:lang w:eastAsia="en-US"/>
    </w:rPr>
  </w:style>
  <w:style w:type="character" w:customStyle="1" w:styleId="414">
    <w:name w:val="文档结构图 Char1"/>
    <w:qFormat/>
    <w:uiPriority w:val="99"/>
    <w:rPr>
      <w:rFonts w:ascii="宋体" w:hAnsi="Times New Roman" w:eastAsia="宋体" w:cs="Times New Roman"/>
      <w:sz w:val="18"/>
      <w:szCs w:val="18"/>
    </w:rPr>
  </w:style>
  <w:style w:type="character" w:customStyle="1" w:styleId="415">
    <w:name w:val="1.正文 Char"/>
    <w:link w:val="416"/>
    <w:qFormat/>
    <w:uiPriority w:val="0"/>
    <w:rPr>
      <w:rFonts w:ascii="宋体" w:hAnsi="宋体"/>
      <w:sz w:val="21"/>
      <w:lang w:val="en-US" w:eastAsia="zh-CN" w:bidi="ar-SA"/>
    </w:rPr>
  </w:style>
  <w:style w:type="paragraph" w:customStyle="1" w:styleId="416">
    <w:name w:val="1.正文"/>
    <w:link w:val="415"/>
    <w:qFormat/>
    <w:uiPriority w:val="0"/>
    <w:pPr>
      <w:widowControl w:val="0"/>
      <w:adjustRightInd w:val="0"/>
      <w:spacing w:line="360" w:lineRule="auto"/>
      <w:jc w:val="both"/>
      <w:textAlignment w:val="baseline"/>
    </w:pPr>
    <w:rPr>
      <w:rFonts w:ascii="宋体" w:hAnsi="宋体" w:eastAsia="宋体" w:cs="Times New Roman"/>
      <w:sz w:val="21"/>
      <w:lang w:val="en-US" w:eastAsia="zh-CN" w:bidi="ar-SA"/>
    </w:rPr>
  </w:style>
  <w:style w:type="character" w:customStyle="1" w:styleId="417">
    <w:name w:val="日期 Char"/>
    <w:qFormat/>
    <w:uiPriority w:val="0"/>
    <w:rPr>
      <w:kern w:val="2"/>
      <w:sz w:val="21"/>
      <w:szCs w:val="24"/>
    </w:rPr>
  </w:style>
  <w:style w:type="character" w:customStyle="1" w:styleId="418">
    <w:name w:val="尾注文本 Char1"/>
    <w:qFormat/>
    <w:uiPriority w:val="99"/>
    <w:rPr>
      <w:kern w:val="2"/>
      <w:sz w:val="21"/>
      <w:szCs w:val="24"/>
    </w:rPr>
  </w:style>
  <w:style w:type="character" w:customStyle="1" w:styleId="419">
    <w:name w:val="批注文字 Char2"/>
    <w:semiHidden/>
    <w:qFormat/>
    <w:uiPriority w:val="99"/>
    <w:rPr>
      <w:rFonts w:ascii="Times New Roman" w:hAnsi="Times New Roman" w:eastAsia="宋体" w:cs="Times New Roman"/>
      <w:szCs w:val="24"/>
    </w:rPr>
  </w:style>
  <w:style w:type="character" w:customStyle="1" w:styleId="420">
    <w:name w:val="style6"/>
    <w:qFormat/>
    <w:uiPriority w:val="0"/>
    <w:rPr>
      <w:rFonts w:ascii="Calibri" w:hAnsi="Calibri"/>
      <w:kern w:val="0"/>
      <w:sz w:val="24"/>
      <w:lang w:eastAsia="en-US"/>
    </w:rPr>
  </w:style>
  <w:style w:type="character" w:customStyle="1" w:styleId="421">
    <w:name w:val="批注主题 Char"/>
    <w:qFormat/>
    <w:uiPriority w:val="0"/>
    <w:rPr>
      <w:b/>
      <w:bCs/>
      <w:kern w:val="2"/>
      <w:sz w:val="21"/>
      <w:szCs w:val="24"/>
    </w:rPr>
  </w:style>
  <w:style w:type="character" w:customStyle="1" w:styleId="422">
    <w:name w:val="正文仿宋小四 Char"/>
    <w:link w:val="423"/>
    <w:qFormat/>
    <w:uiPriority w:val="0"/>
    <w:rPr>
      <w:rFonts w:eastAsia="仿宋_GB2312"/>
      <w:kern w:val="2"/>
      <w:sz w:val="24"/>
      <w:szCs w:val="24"/>
    </w:rPr>
  </w:style>
  <w:style w:type="paragraph" w:customStyle="1" w:styleId="423">
    <w:name w:val="正文仿宋小四"/>
    <w:basedOn w:val="1"/>
    <w:link w:val="422"/>
    <w:qFormat/>
    <w:uiPriority w:val="0"/>
    <w:pPr>
      <w:spacing w:line="360" w:lineRule="auto"/>
      <w:ind w:firstLine="480" w:firstLineChars="200"/>
    </w:pPr>
    <w:rPr>
      <w:rFonts w:eastAsia="仿宋_GB2312"/>
      <w:sz w:val="24"/>
    </w:rPr>
  </w:style>
  <w:style w:type="character" w:customStyle="1" w:styleId="424">
    <w:name w:val="title_2"/>
    <w:qFormat/>
    <w:uiPriority w:val="0"/>
    <w:rPr>
      <w:b/>
      <w:sz w:val="19"/>
      <w:szCs w:val="19"/>
    </w:rPr>
  </w:style>
  <w:style w:type="character" w:customStyle="1" w:styleId="425">
    <w:name w:val="正文文本缩进 Char Char1"/>
    <w:qFormat/>
    <w:uiPriority w:val="0"/>
    <w:rPr>
      <w:rFonts w:ascii="宋体" w:hAnsi="Calibri" w:eastAsia="宋体"/>
      <w:kern w:val="0"/>
      <w:sz w:val="24"/>
      <w:lang w:val="en-US" w:eastAsia="zh-CN" w:bidi="ar-SA"/>
    </w:rPr>
  </w:style>
  <w:style w:type="character" w:customStyle="1" w:styleId="426">
    <w:name w:val="textcontents"/>
    <w:qFormat/>
    <w:uiPriority w:val="0"/>
    <w:rPr>
      <w:rFonts w:cs="Times New Roman"/>
    </w:rPr>
  </w:style>
  <w:style w:type="character" w:customStyle="1" w:styleId="427">
    <w:name w:val="Heading 2 Char"/>
    <w:qFormat/>
    <w:locked/>
    <w:uiPriority w:val="0"/>
    <w:rPr>
      <w:rFonts w:ascii="Cambria" w:hAnsi="Cambria" w:eastAsia="宋体" w:cs="宋体"/>
      <w:b/>
      <w:bCs/>
      <w:kern w:val="2"/>
      <w:sz w:val="32"/>
      <w:szCs w:val="32"/>
      <w:lang w:val="en-US" w:eastAsia="zh-CN" w:bidi="ar-SA"/>
    </w:rPr>
  </w:style>
  <w:style w:type="character" w:customStyle="1" w:styleId="428">
    <w:name w:val="未处理的提及1"/>
    <w:unhideWhenUsed/>
    <w:qFormat/>
    <w:uiPriority w:val="99"/>
    <w:rPr>
      <w:color w:val="605E5C"/>
      <w:shd w:val="clear" w:color="auto" w:fill="E1DFDD"/>
    </w:rPr>
  </w:style>
  <w:style w:type="character" w:customStyle="1" w:styleId="429">
    <w:name w:val="contenttitle1"/>
    <w:qFormat/>
    <w:uiPriority w:val="0"/>
    <w:rPr>
      <w:rFonts w:hint="default" w:ascii="Arial" w:hAnsi="Arial" w:cs="Arial"/>
      <w:b/>
      <w:bCs/>
      <w:color w:val="000000"/>
      <w:kern w:val="0"/>
      <w:sz w:val="21"/>
      <w:szCs w:val="21"/>
      <w:u w:val="none"/>
      <w:lang w:eastAsia="en-US"/>
    </w:rPr>
  </w:style>
  <w:style w:type="character" w:customStyle="1" w:styleId="430">
    <w:name w:val="标题5 Char Char"/>
    <w:link w:val="431"/>
    <w:qFormat/>
    <w:uiPriority w:val="0"/>
    <w:rPr>
      <w:rFonts w:ascii="Arial" w:hAnsi="Arial"/>
      <w:b/>
      <w:bCs/>
      <w:sz w:val="24"/>
      <w:szCs w:val="32"/>
    </w:rPr>
  </w:style>
  <w:style w:type="paragraph" w:customStyle="1" w:styleId="431">
    <w:name w:val="标题5"/>
    <w:basedOn w:val="8"/>
    <w:link w:val="430"/>
    <w:qFormat/>
    <w:uiPriority w:val="0"/>
    <w:pPr>
      <w:spacing w:line="413" w:lineRule="auto"/>
    </w:pPr>
    <w:rPr>
      <w:rFonts w:ascii="Arial" w:hAnsi="Arial"/>
      <w:kern w:val="0"/>
      <w:sz w:val="24"/>
    </w:rPr>
  </w:style>
  <w:style w:type="character" w:customStyle="1" w:styleId="432">
    <w:name w:val="style771"/>
    <w:qFormat/>
    <w:uiPriority w:val="0"/>
    <w:rPr>
      <w:rFonts w:hint="default" w:ascii="Arial" w:hAnsi="Arial" w:cs="Arial"/>
      <w:color w:val="000000"/>
      <w:kern w:val="0"/>
      <w:sz w:val="18"/>
      <w:szCs w:val="18"/>
      <w:lang w:eastAsia="en-US"/>
    </w:rPr>
  </w:style>
  <w:style w:type="character" w:customStyle="1" w:styleId="433">
    <w:name w:val="javascript"/>
    <w:qFormat/>
    <w:uiPriority w:val="0"/>
    <w:rPr>
      <w:rFonts w:ascii="Calibri" w:hAnsi="Calibri"/>
      <w:kern w:val="0"/>
      <w:sz w:val="24"/>
      <w:lang w:eastAsia="en-US"/>
    </w:rPr>
  </w:style>
  <w:style w:type="character" w:customStyle="1" w:styleId="434">
    <w:name w:val="Font Style94"/>
    <w:qFormat/>
    <w:uiPriority w:val="99"/>
    <w:rPr>
      <w:rFonts w:hint="eastAsia" w:ascii="Times New Roman" w:hAnsi="Times New Roman" w:eastAsia="Times New Roman"/>
      <w:sz w:val="28"/>
    </w:rPr>
  </w:style>
  <w:style w:type="character" w:customStyle="1" w:styleId="435">
    <w:name w:val="标题 6 Char"/>
    <w:qFormat/>
    <w:uiPriority w:val="0"/>
    <w:rPr>
      <w:rFonts w:ascii="Cambria" w:hAnsi="Cambria" w:eastAsia="宋体" w:cs="Times New Roman"/>
      <w:b/>
      <w:bCs/>
      <w:kern w:val="2"/>
      <w:sz w:val="24"/>
      <w:szCs w:val="24"/>
    </w:rPr>
  </w:style>
  <w:style w:type="character" w:customStyle="1" w:styleId="436">
    <w:name w:val="Plain Text Char2"/>
    <w:qFormat/>
    <w:locked/>
    <w:uiPriority w:val="0"/>
    <w:rPr>
      <w:rFonts w:ascii="宋体" w:hAnsi="Courier New" w:eastAsia="仿宋_GB2312"/>
      <w:kern w:val="2"/>
      <w:sz w:val="24"/>
      <w:szCs w:val="24"/>
      <w:lang w:val="en-US" w:eastAsia="zh-CN" w:bidi="ar-SA"/>
    </w:rPr>
  </w:style>
  <w:style w:type="character" w:customStyle="1" w:styleId="437">
    <w:name w:val="text_121"/>
    <w:qFormat/>
    <w:uiPriority w:val="0"/>
    <w:rPr>
      <w:rFonts w:hint="default" w:ascii="sө_x0002_" w:hAnsi="sө_x0002_"/>
      <w:color w:val="000000"/>
      <w:kern w:val="0"/>
      <w:sz w:val="15"/>
      <w:szCs w:val="15"/>
      <w:lang w:eastAsia="en-US"/>
    </w:rPr>
  </w:style>
  <w:style w:type="character" w:customStyle="1" w:styleId="438">
    <w:name w:val="title_3"/>
    <w:qFormat/>
    <w:uiPriority w:val="0"/>
    <w:rPr>
      <w:b/>
      <w:sz w:val="15"/>
      <w:szCs w:val="15"/>
    </w:rPr>
  </w:style>
  <w:style w:type="character" w:customStyle="1" w:styleId="439">
    <w:name w:val="Body Text Indent 3 Char2"/>
    <w:qFormat/>
    <w:locked/>
    <w:uiPriority w:val="0"/>
    <w:rPr>
      <w:rFonts w:ascii="宋体" w:hAnsi="MS Sans Serif" w:eastAsia="宋体"/>
      <w:color w:val="000000"/>
      <w:kern w:val="0"/>
      <w:sz w:val="24"/>
      <w:lang w:val="en-US" w:eastAsia="zh-CN" w:bidi="ar-SA"/>
    </w:rPr>
  </w:style>
  <w:style w:type="character" w:customStyle="1" w:styleId="440">
    <w:name w:val="_Style 437"/>
    <w:qFormat/>
    <w:uiPriority w:val="0"/>
    <w:rPr>
      <w:b/>
      <w:bCs/>
      <w:smallCaps/>
      <w:color w:val="C0504D"/>
      <w:spacing w:val="5"/>
      <w:u w:val="single"/>
    </w:rPr>
  </w:style>
  <w:style w:type="character" w:customStyle="1" w:styleId="441">
    <w:name w:val="plus"/>
    <w:qFormat/>
    <w:uiPriority w:val="0"/>
    <w:rPr>
      <w:rFonts w:ascii="Times New Roman" w:hAnsi="Times New Roman" w:eastAsia="宋体"/>
      <w:b/>
      <w:vanish/>
      <w:color w:val="1F8DEF"/>
      <w:sz w:val="24"/>
      <w:szCs w:val="24"/>
    </w:rPr>
  </w:style>
  <w:style w:type="character" w:customStyle="1" w:styleId="442">
    <w:name w:val="txt1"/>
    <w:qFormat/>
    <w:uiPriority w:val="0"/>
    <w:rPr>
      <w:rFonts w:hint="eastAsia" w:ascii="宋体" w:hAnsi="宋体" w:eastAsia="宋体"/>
      <w:kern w:val="0"/>
      <w:sz w:val="22"/>
      <w:szCs w:val="22"/>
      <w:u w:val="none"/>
      <w:lang w:eastAsia="en-US"/>
    </w:rPr>
  </w:style>
  <w:style w:type="character" w:customStyle="1" w:styleId="443">
    <w:name w:val="标题 Char1"/>
    <w:qFormat/>
    <w:uiPriority w:val="0"/>
    <w:rPr>
      <w:rFonts w:ascii="Cambria" w:hAnsi="Cambria" w:eastAsia="宋体" w:cs="Times New Roman"/>
      <w:b/>
      <w:bCs/>
      <w:sz w:val="32"/>
      <w:szCs w:val="32"/>
    </w:rPr>
  </w:style>
  <w:style w:type="character" w:customStyle="1" w:styleId="444">
    <w:name w:val="p0 Char Char"/>
    <w:qFormat/>
    <w:uiPriority w:val="0"/>
    <w:rPr>
      <w:rFonts w:eastAsia="宋体"/>
      <w:kern w:val="2"/>
      <w:sz w:val="21"/>
      <w:szCs w:val="21"/>
      <w:lang w:val="en-US" w:eastAsia="zh-CN" w:bidi="ar-SA"/>
    </w:rPr>
  </w:style>
  <w:style w:type="character" w:customStyle="1" w:styleId="445">
    <w:name w:val="标题 4 Char"/>
    <w:qFormat/>
    <w:uiPriority w:val="0"/>
    <w:rPr>
      <w:rFonts w:ascii="Cambria" w:hAnsi="Cambria" w:eastAsia="宋体" w:cs="Times New Roman"/>
      <w:b/>
      <w:bCs/>
      <w:kern w:val="2"/>
      <w:sz w:val="28"/>
      <w:szCs w:val="28"/>
    </w:rPr>
  </w:style>
  <w:style w:type="character" w:customStyle="1" w:styleId="446">
    <w:name w:val="Font Style122"/>
    <w:unhideWhenUsed/>
    <w:qFormat/>
    <w:uiPriority w:val="99"/>
    <w:rPr>
      <w:rFonts w:hint="eastAsia" w:ascii="宋体" w:hAnsi="宋体" w:eastAsia="宋体"/>
      <w:spacing w:val="20"/>
      <w:sz w:val="24"/>
    </w:rPr>
  </w:style>
  <w:style w:type="character" w:customStyle="1" w:styleId="447">
    <w:name w:val="para_small"/>
    <w:qFormat/>
    <w:uiPriority w:val="0"/>
    <w:rPr>
      <w:rFonts w:ascii="Calibri" w:hAnsi="Calibri"/>
      <w:kern w:val="0"/>
      <w:sz w:val="24"/>
      <w:lang w:eastAsia="en-US"/>
    </w:rPr>
  </w:style>
  <w:style w:type="character" w:customStyle="1" w:styleId="448">
    <w:name w:val="Char Char171"/>
    <w:qFormat/>
    <w:uiPriority w:val="0"/>
    <w:rPr>
      <w:rFonts w:ascii="宋体" w:hAnsi="Courier New" w:eastAsia="宋体" w:cs="Courier New"/>
      <w:kern w:val="2"/>
      <w:sz w:val="21"/>
      <w:szCs w:val="21"/>
      <w:lang w:val="en-US" w:eastAsia="zh-CN" w:bidi="ar-SA"/>
    </w:rPr>
  </w:style>
  <w:style w:type="character" w:customStyle="1" w:styleId="449">
    <w:name w:val="Balloon Text Char"/>
    <w:qFormat/>
    <w:locked/>
    <w:uiPriority w:val="0"/>
    <w:rPr>
      <w:kern w:val="2"/>
      <w:sz w:val="18"/>
    </w:rPr>
  </w:style>
  <w:style w:type="character" w:customStyle="1" w:styleId="450">
    <w:name w:val="样式 标题 2 + 宋体 Char"/>
    <w:link w:val="451"/>
    <w:qFormat/>
    <w:uiPriority w:val="0"/>
    <w:rPr>
      <w:rFonts w:ascii="宋体" w:hAnsi="宋体"/>
      <w:b/>
      <w:bCs/>
      <w:sz w:val="24"/>
      <w:szCs w:val="24"/>
    </w:rPr>
  </w:style>
  <w:style w:type="paragraph" w:customStyle="1" w:styleId="451">
    <w:name w:val="样式 标题 2 + 宋体"/>
    <w:basedOn w:val="7"/>
    <w:link w:val="450"/>
    <w:qFormat/>
    <w:uiPriority w:val="0"/>
    <w:pPr>
      <w:spacing w:before="260" w:after="260"/>
    </w:pPr>
    <w:rPr>
      <w:rFonts w:ascii="宋体" w:hAnsi="宋体"/>
      <w:kern w:val="0"/>
      <w:szCs w:val="24"/>
    </w:rPr>
  </w:style>
  <w:style w:type="character" w:customStyle="1" w:styleId="452">
    <w:name w:val="Balloon Text Char2"/>
    <w:qFormat/>
    <w:locked/>
    <w:uiPriority w:val="0"/>
    <w:rPr>
      <w:rFonts w:ascii="宋体" w:hAnsi="宋体" w:eastAsia="宋体"/>
      <w:kern w:val="2"/>
      <w:sz w:val="18"/>
      <w:szCs w:val="18"/>
      <w:lang w:val="en-US" w:eastAsia="zh-CN" w:bidi="ar-SA"/>
    </w:rPr>
  </w:style>
  <w:style w:type="character" w:customStyle="1" w:styleId="453">
    <w:name w:val="Heading 5 Char"/>
    <w:qFormat/>
    <w:locked/>
    <w:uiPriority w:val="0"/>
    <w:rPr>
      <w:rFonts w:ascii="Calibri" w:hAnsi="Calibri" w:eastAsia="宋体"/>
      <w:b/>
      <w:bCs/>
      <w:kern w:val="2"/>
      <w:sz w:val="28"/>
      <w:szCs w:val="28"/>
      <w:lang w:val="en-US" w:eastAsia="zh-CN" w:bidi="ar-SA"/>
    </w:rPr>
  </w:style>
  <w:style w:type="character" w:customStyle="1" w:styleId="454">
    <w:name w:val="Font Style105"/>
    <w:unhideWhenUsed/>
    <w:qFormat/>
    <w:uiPriority w:val="0"/>
    <w:rPr>
      <w:rFonts w:hint="eastAsia" w:ascii="Times New Roman" w:hAnsi="Times New Roman" w:eastAsia="Times New Roman"/>
      <w:w w:val="60"/>
      <w:sz w:val="26"/>
    </w:rPr>
  </w:style>
  <w:style w:type="character" w:customStyle="1" w:styleId="455">
    <w:name w:val="style151"/>
    <w:qFormat/>
    <w:uiPriority w:val="0"/>
    <w:rPr>
      <w:rFonts w:hint="default" w:ascii="ˎ̥" w:hAnsi="ˎ̥"/>
      <w:kern w:val="0"/>
      <w:sz w:val="24"/>
      <w:lang w:eastAsia="en-US"/>
    </w:rPr>
  </w:style>
  <w:style w:type="character" w:customStyle="1" w:styleId="456">
    <w:name w:val="文字框"/>
    <w:qFormat/>
    <w:uiPriority w:val="0"/>
    <w:rPr>
      <w:rFonts w:eastAsia="黑体"/>
      <w:b/>
    </w:rPr>
  </w:style>
  <w:style w:type="character" w:customStyle="1" w:styleId="457">
    <w:name w:val="Font Style104"/>
    <w:unhideWhenUsed/>
    <w:qFormat/>
    <w:uiPriority w:val="0"/>
    <w:rPr>
      <w:rFonts w:hint="eastAsia" w:ascii="宋体" w:hAnsi="宋体" w:eastAsia="宋体"/>
      <w:spacing w:val="30"/>
      <w:sz w:val="18"/>
    </w:rPr>
  </w:style>
  <w:style w:type="character" w:customStyle="1" w:styleId="458">
    <w:name w:val="标题 7 Char"/>
    <w:qFormat/>
    <w:uiPriority w:val="0"/>
    <w:rPr>
      <w:b/>
      <w:bCs/>
      <w:kern w:val="2"/>
      <w:sz w:val="24"/>
      <w:szCs w:val="24"/>
    </w:rPr>
  </w:style>
  <w:style w:type="character" w:customStyle="1" w:styleId="459">
    <w:name w:val="title22"/>
    <w:qFormat/>
    <w:uiPriority w:val="0"/>
    <w:rPr>
      <w:b/>
      <w:color w:val="000000"/>
    </w:rPr>
  </w:style>
  <w:style w:type="character" w:customStyle="1" w:styleId="460">
    <w:name w:val="Char Char15"/>
    <w:qFormat/>
    <w:uiPriority w:val="0"/>
    <w:rPr>
      <w:b/>
      <w:bCs/>
      <w:sz w:val="24"/>
      <w:szCs w:val="24"/>
    </w:rPr>
  </w:style>
  <w:style w:type="character" w:customStyle="1" w:styleId="461">
    <w:name w:val="style71"/>
    <w:qFormat/>
    <w:uiPriority w:val="0"/>
    <w:rPr>
      <w:rFonts w:ascii="Calibri" w:hAnsi="Calibri"/>
      <w:kern w:val="0"/>
      <w:sz w:val="18"/>
      <w:szCs w:val="18"/>
      <w:lang w:eastAsia="en-US"/>
    </w:rPr>
  </w:style>
  <w:style w:type="character" w:customStyle="1" w:styleId="462">
    <w:name w:val="Heading 9 Char"/>
    <w:qFormat/>
    <w:locked/>
    <w:uiPriority w:val="0"/>
    <w:rPr>
      <w:rFonts w:ascii="Arial" w:hAnsi="Arial" w:eastAsia="黑体"/>
      <w:kern w:val="2"/>
      <w:sz w:val="21"/>
      <w:szCs w:val="21"/>
      <w:lang w:val="en-US" w:eastAsia="zh-CN" w:bidi="ar-SA"/>
    </w:rPr>
  </w:style>
  <w:style w:type="character" w:customStyle="1" w:styleId="463">
    <w:name w:val="_Style 460"/>
    <w:qFormat/>
    <w:uiPriority w:val="0"/>
    <w:rPr>
      <w:b/>
      <w:bCs/>
      <w:smallCaps/>
      <w:spacing w:val="5"/>
    </w:rPr>
  </w:style>
  <w:style w:type="character" w:customStyle="1" w:styleId="464">
    <w:name w:val="明显参考1"/>
    <w:qFormat/>
    <w:uiPriority w:val="0"/>
    <w:rPr>
      <w:b/>
      <w:bCs/>
      <w:smallCaps/>
      <w:color w:val="C0504D"/>
      <w:spacing w:val="5"/>
      <w:u w:val="single"/>
    </w:rPr>
  </w:style>
  <w:style w:type="character" w:customStyle="1" w:styleId="465">
    <w:name w:val="黑体内部标题 Char"/>
    <w:link w:val="466"/>
    <w:qFormat/>
    <w:uiPriority w:val="0"/>
    <w:rPr>
      <w:rFonts w:eastAsia="黑体"/>
      <w:color w:val="000000"/>
      <w:kern w:val="2"/>
      <w:sz w:val="24"/>
      <w:szCs w:val="24"/>
    </w:rPr>
  </w:style>
  <w:style w:type="paragraph" w:customStyle="1" w:styleId="466">
    <w:name w:val="黑体内部标题"/>
    <w:basedOn w:val="1"/>
    <w:next w:val="467"/>
    <w:link w:val="465"/>
    <w:qFormat/>
    <w:uiPriority w:val="0"/>
    <w:pPr>
      <w:adjustRightInd w:val="0"/>
      <w:snapToGrid w:val="0"/>
      <w:spacing w:beforeLines="50" w:afterLines="50"/>
      <w:ind w:left="150" w:hanging="150" w:hangingChars="150"/>
    </w:pPr>
    <w:rPr>
      <w:rFonts w:eastAsia="黑体"/>
      <w:color w:val="000000"/>
      <w:sz w:val="24"/>
    </w:rPr>
  </w:style>
  <w:style w:type="paragraph" w:customStyle="1" w:styleId="467">
    <w:name w:val="列表正文"/>
    <w:basedOn w:val="1"/>
    <w:qFormat/>
    <w:uiPriority w:val="0"/>
    <w:pPr>
      <w:adjustRightInd w:val="0"/>
      <w:snapToGrid w:val="0"/>
      <w:spacing w:line="300" w:lineRule="auto"/>
      <w:ind w:left="200" w:leftChars="200" w:firstLine="150" w:firstLineChars="150"/>
    </w:pPr>
  </w:style>
  <w:style w:type="character" w:customStyle="1" w:styleId="468">
    <w:name w:val="(加圆圈符号) Char"/>
    <w:qFormat/>
    <w:uiPriority w:val="0"/>
    <w:rPr>
      <w:rFonts w:ascii="Calibri" w:hAnsi="Calibri"/>
      <w:b/>
      <w:bCs/>
      <w:kern w:val="0"/>
      <w:sz w:val="24"/>
      <w:szCs w:val="24"/>
      <w:lang w:eastAsia="en-US"/>
    </w:rPr>
  </w:style>
  <w:style w:type="character" w:customStyle="1" w:styleId="469">
    <w:name w:val="Heading 8 Char"/>
    <w:qFormat/>
    <w:locked/>
    <w:uiPriority w:val="0"/>
    <w:rPr>
      <w:rFonts w:ascii="Arial" w:hAnsi="Arial" w:eastAsia="黑体"/>
      <w:kern w:val="2"/>
      <w:sz w:val="24"/>
      <w:szCs w:val="24"/>
      <w:lang w:val="en-US" w:eastAsia="zh-CN" w:bidi="ar-SA"/>
    </w:rPr>
  </w:style>
  <w:style w:type="paragraph" w:customStyle="1" w:styleId="470">
    <w:name w:val="Normal_59"/>
    <w:qFormat/>
    <w:uiPriority w:val="0"/>
    <w:pPr>
      <w:widowControl w:val="0"/>
      <w:jc w:val="both"/>
    </w:pPr>
    <w:rPr>
      <w:rFonts w:ascii="Calibri" w:hAnsi="Calibri" w:eastAsia="宋体" w:cs="Times New Roman"/>
      <w:lang w:val="en-US" w:eastAsia="zh-CN" w:bidi="ar-SA"/>
    </w:rPr>
  </w:style>
  <w:style w:type="paragraph" w:customStyle="1" w:styleId="471">
    <w:name w:val="Normal_58"/>
    <w:qFormat/>
    <w:uiPriority w:val="0"/>
    <w:pPr>
      <w:widowControl w:val="0"/>
      <w:jc w:val="both"/>
    </w:pPr>
    <w:rPr>
      <w:rFonts w:ascii="Calibri" w:hAnsi="Calibri" w:eastAsia="宋体" w:cs="Times New Roman"/>
      <w:lang w:val="en-US" w:eastAsia="zh-CN" w:bidi="ar-SA"/>
    </w:rPr>
  </w:style>
  <w:style w:type="paragraph" w:customStyle="1" w:styleId="472">
    <w:name w:val="Normal_57"/>
    <w:qFormat/>
    <w:uiPriority w:val="0"/>
    <w:pPr>
      <w:widowControl w:val="0"/>
      <w:jc w:val="both"/>
    </w:pPr>
    <w:rPr>
      <w:rFonts w:ascii="Calibri" w:hAnsi="Calibri" w:eastAsia="宋体" w:cs="Times New Roman"/>
      <w:lang w:val="en-US" w:eastAsia="zh-CN" w:bidi="ar-SA"/>
    </w:rPr>
  </w:style>
  <w:style w:type="paragraph" w:customStyle="1" w:styleId="473">
    <w:name w:val="Normal_56"/>
    <w:qFormat/>
    <w:uiPriority w:val="0"/>
    <w:pPr>
      <w:widowControl w:val="0"/>
      <w:jc w:val="both"/>
    </w:pPr>
    <w:rPr>
      <w:rFonts w:ascii="Calibri" w:hAnsi="Calibri" w:eastAsia="宋体" w:cs="Times New Roman"/>
      <w:lang w:val="en-US" w:eastAsia="zh-CN" w:bidi="ar-SA"/>
    </w:rPr>
  </w:style>
  <w:style w:type="paragraph" w:customStyle="1" w:styleId="474">
    <w:name w:val="Normal_55"/>
    <w:qFormat/>
    <w:uiPriority w:val="0"/>
    <w:pPr>
      <w:widowControl w:val="0"/>
      <w:jc w:val="both"/>
    </w:pPr>
    <w:rPr>
      <w:rFonts w:ascii="Calibri" w:hAnsi="Calibri" w:eastAsia="宋体" w:cs="Times New Roman"/>
      <w:lang w:val="en-US" w:eastAsia="zh-CN" w:bidi="ar-SA"/>
    </w:rPr>
  </w:style>
  <w:style w:type="paragraph" w:customStyle="1" w:styleId="475">
    <w:name w:val="Normal_54"/>
    <w:qFormat/>
    <w:uiPriority w:val="0"/>
    <w:pPr>
      <w:widowControl w:val="0"/>
      <w:jc w:val="both"/>
    </w:pPr>
    <w:rPr>
      <w:rFonts w:ascii="Calibri" w:hAnsi="Calibri" w:eastAsia="宋体" w:cs="Times New Roman"/>
      <w:lang w:val="en-US" w:eastAsia="zh-CN" w:bidi="ar-SA"/>
    </w:rPr>
  </w:style>
  <w:style w:type="paragraph" w:customStyle="1" w:styleId="476">
    <w:name w:val="Normal_53"/>
    <w:qFormat/>
    <w:uiPriority w:val="0"/>
    <w:pPr>
      <w:widowControl w:val="0"/>
      <w:jc w:val="both"/>
    </w:pPr>
    <w:rPr>
      <w:rFonts w:ascii="Calibri" w:hAnsi="Calibri" w:eastAsia="宋体" w:cs="Times New Roman"/>
      <w:lang w:val="en-US" w:eastAsia="zh-CN" w:bidi="ar-SA"/>
    </w:rPr>
  </w:style>
  <w:style w:type="paragraph" w:customStyle="1" w:styleId="477">
    <w:name w:val="Normal_51"/>
    <w:qFormat/>
    <w:uiPriority w:val="0"/>
    <w:pPr>
      <w:widowControl w:val="0"/>
      <w:jc w:val="both"/>
    </w:pPr>
    <w:rPr>
      <w:rFonts w:ascii="Calibri" w:hAnsi="Calibri" w:eastAsia="宋体" w:cs="Times New Roman"/>
      <w:lang w:val="en-US" w:eastAsia="zh-CN" w:bidi="ar-SA"/>
    </w:rPr>
  </w:style>
  <w:style w:type="paragraph" w:customStyle="1" w:styleId="478">
    <w:name w:val="Normal_52"/>
    <w:qFormat/>
    <w:uiPriority w:val="0"/>
    <w:pPr>
      <w:widowControl w:val="0"/>
      <w:jc w:val="both"/>
    </w:pPr>
    <w:rPr>
      <w:rFonts w:ascii="Calibri" w:hAnsi="Calibri" w:eastAsia="宋体" w:cs="Times New Roman"/>
      <w:lang w:val="en-US" w:eastAsia="zh-CN" w:bidi="ar-SA"/>
    </w:rPr>
  </w:style>
  <w:style w:type="paragraph" w:customStyle="1" w:styleId="479">
    <w:name w:val="Normal_50"/>
    <w:qFormat/>
    <w:uiPriority w:val="0"/>
    <w:pPr>
      <w:widowControl w:val="0"/>
      <w:jc w:val="both"/>
    </w:pPr>
    <w:rPr>
      <w:rFonts w:ascii="Calibri" w:hAnsi="Calibri" w:eastAsia="宋体" w:cs="Times New Roman"/>
      <w:lang w:val="en-US" w:eastAsia="zh-CN" w:bidi="ar-SA"/>
    </w:rPr>
  </w:style>
  <w:style w:type="paragraph" w:customStyle="1" w:styleId="480">
    <w:name w:val="Normal_48"/>
    <w:qFormat/>
    <w:uiPriority w:val="0"/>
    <w:pPr>
      <w:widowControl w:val="0"/>
      <w:jc w:val="both"/>
    </w:pPr>
    <w:rPr>
      <w:rFonts w:ascii="Calibri" w:hAnsi="Calibri" w:eastAsia="宋体" w:cs="Times New Roman"/>
      <w:lang w:val="en-US" w:eastAsia="zh-CN" w:bidi="ar-SA"/>
    </w:rPr>
  </w:style>
  <w:style w:type="paragraph" w:customStyle="1" w:styleId="481">
    <w:name w:val="Normal_47"/>
    <w:qFormat/>
    <w:uiPriority w:val="0"/>
    <w:pPr>
      <w:widowControl w:val="0"/>
      <w:jc w:val="both"/>
    </w:pPr>
    <w:rPr>
      <w:rFonts w:ascii="Calibri" w:hAnsi="Calibri" w:eastAsia="宋体" w:cs="Times New Roman"/>
      <w:lang w:val="en-US" w:eastAsia="zh-CN" w:bidi="ar-SA"/>
    </w:rPr>
  </w:style>
  <w:style w:type="paragraph" w:customStyle="1" w:styleId="482">
    <w:name w:val="Normal_46"/>
    <w:qFormat/>
    <w:uiPriority w:val="0"/>
    <w:pPr>
      <w:widowControl w:val="0"/>
      <w:jc w:val="both"/>
    </w:pPr>
    <w:rPr>
      <w:rFonts w:ascii="Calibri" w:hAnsi="Calibri" w:eastAsia="宋体" w:cs="Times New Roman"/>
      <w:lang w:val="en-US" w:eastAsia="zh-CN" w:bidi="ar-SA"/>
    </w:rPr>
  </w:style>
  <w:style w:type="paragraph" w:customStyle="1" w:styleId="483">
    <w:name w:val="Normal_45"/>
    <w:qFormat/>
    <w:uiPriority w:val="0"/>
    <w:pPr>
      <w:widowControl w:val="0"/>
      <w:jc w:val="both"/>
    </w:pPr>
    <w:rPr>
      <w:rFonts w:ascii="Calibri" w:hAnsi="Calibri" w:eastAsia="宋体" w:cs="Times New Roman"/>
      <w:lang w:val="en-US" w:eastAsia="zh-CN" w:bidi="ar-SA"/>
    </w:rPr>
  </w:style>
  <w:style w:type="paragraph" w:customStyle="1" w:styleId="484">
    <w:name w:val="Normal_44"/>
    <w:qFormat/>
    <w:uiPriority w:val="0"/>
    <w:pPr>
      <w:widowControl w:val="0"/>
      <w:jc w:val="both"/>
    </w:pPr>
    <w:rPr>
      <w:rFonts w:ascii="Calibri" w:hAnsi="Calibri" w:eastAsia="宋体" w:cs="Times New Roman"/>
      <w:lang w:val="en-US" w:eastAsia="zh-CN" w:bidi="ar-SA"/>
    </w:rPr>
  </w:style>
  <w:style w:type="paragraph" w:customStyle="1" w:styleId="485">
    <w:name w:val="Normal_43"/>
    <w:qFormat/>
    <w:uiPriority w:val="0"/>
    <w:pPr>
      <w:widowControl w:val="0"/>
      <w:jc w:val="both"/>
    </w:pPr>
    <w:rPr>
      <w:rFonts w:ascii="Calibri" w:hAnsi="Calibri" w:eastAsia="宋体" w:cs="Times New Roman"/>
      <w:lang w:val="en-US" w:eastAsia="zh-CN" w:bidi="ar-SA"/>
    </w:rPr>
  </w:style>
  <w:style w:type="paragraph" w:customStyle="1" w:styleId="486">
    <w:name w:val="Normal_42"/>
    <w:qFormat/>
    <w:uiPriority w:val="0"/>
    <w:pPr>
      <w:widowControl w:val="0"/>
      <w:jc w:val="both"/>
    </w:pPr>
    <w:rPr>
      <w:rFonts w:ascii="Calibri" w:hAnsi="Calibri" w:eastAsia="宋体" w:cs="Times New Roman"/>
      <w:lang w:val="en-US" w:eastAsia="zh-CN" w:bidi="ar-SA"/>
    </w:rPr>
  </w:style>
  <w:style w:type="paragraph" w:customStyle="1" w:styleId="487">
    <w:name w:val="Normal_41"/>
    <w:qFormat/>
    <w:uiPriority w:val="0"/>
    <w:pPr>
      <w:widowControl w:val="0"/>
      <w:jc w:val="both"/>
    </w:pPr>
    <w:rPr>
      <w:rFonts w:ascii="Calibri" w:hAnsi="Calibri" w:eastAsia="宋体" w:cs="Times New Roman"/>
      <w:lang w:val="en-US" w:eastAsia="zh-CN" w:bidi="ar-SA"/>
    </w:rPr>
  </w:style>
  <w:style w:type="paragraph" w:customStyle="1" w:styleId="488">
    <w:name w:val="Normal_40"/>
    <w:qFormat/>
    <w:uiPriority w:val="0"/>
    <w:pPr>
      <w:widowControl w:val="0"/>
      <w:jc w:val="both"/>
    </w:pPr>
    <w:rPr>
      <w:rFonts w:ascii="Calibri" w:hAnsi="Calibri" w:eastAsia="宋体" w:cs="Times New Roman"/>
      <w:lang w:val="en-US" w:eastAsia="zh-CN" w:bidi="ar-SA"/>
    </w:rPr>
  </w:style>
  <w:style w:type="paragraph" w:customStyle="1" w:styleId="489">
    <w:name w:val="Normal_39"/>
    <w:qFormat/>
    <w:uiPriority w:val="0"/>
    <w:pPr>
      <w:widowControl w:val="0"/>
      <w:jc w:val="both"/>
    </w:pPr>
    <w:rPr>
      <w:rFonts w:ascii="Calibri" w:hAnsi="Calibri" w:eastAsia="宋体" w:cs="Times New Roman"/>
      <w:lang w:val="en-US" w:eastAsia="zh-CN" w:bidi="ar-SA"/>
    </w:rPr>
  </w:style>
  <w:style w:type="paragraph" w:customStyle="1" w:styleId="490">
    <w:name w:val="Normal_37"/>
    <w:qFormat/>
    <w:uiPriority w:val="0"/>
    <w:pPr>
      <w:widowControl w:val="0"/>
      <w:jc w:val="both"/>
    </w:pPr>
    <w:rPr>
      <w:rFonts w:ascii="Calibri" w:hAnsi="Calibri" w:eastAsia="宋体" w:cs="Times New Roman"/>
      <w:lang w:val="en-US" w:eastAsia="zh-CN" w:bidi="ar-SA"/>
    </w:rPr>
  </w:style>
  <w:style w:type="paragraph" w:customStyle="1" w:styleId="491">
    <w:name w:val="Normal_35"/>
    <w:qFormat/>
    <w:uiPriority w:val="0"/>
    <w:pPr>
      <w:widowControl w:val="0"/>
      <w:jc w:val="both"/>
    </w:pPr>
    <w:rPr>
      <w:rFonts w:ascii="Calibri" w:hAnsi="Calibri" w:eastAsia="宋体" w:cs="Times New Roman"/>
      <w:lang w:val="en-US" w:eastAsia="zh-CN" w:bidi="ar-SA"/>
    </w:rPr>
  </w:style>
  <w:style w:type="paragraph" w:customStyle="1" w:styleId="492">
    <w:name w:val="Normal_34"/>
    <w:qFormat/>
    <w:uiPriority w:val="0"/>
    <w:pPr>
      <w:widowControl w:val="0"/>
      <w:jc w:val="both"/>
    </w:pPr>
    <w:rPr>
      <w:rFonts w:ascii="Calibri" w:hAnsi="Calibri" w:eastAsia="宋体" w:cs="Times New Roman"/>
      <w:lang w:val="en-US" w:eastAsia="zh-CN" w:bidi="ar-SA"/>
    </w:rPr>
  </w:style>
  <w:style w:type="paragraph" w:customStyle="1" w:styleId="493">
    <w:name w:val="Normal_33"/>
    <w:qFormat/>
    <w:uiPriority w:val="0"/>
    <w:pPr>
      <w:widowControl w:val="0"/>
      <w:jc w:val="both"/>
    </w:pPr>
    <w:rPr>
      <w:rFonts w:ascii="Calibri" w:hAnsi="Calibri" w:eastAsia="宋体" w:cs="Times New Roman"/>
      <w:lang w:val="en-US" w:eastAsia="zh-CN" w:bidi="ar-SA"/>
    </w:rPr>
  </w:style>
  <w:style w:type="paragraph" w:customStyle="1" w:styleId="494">
    <w:name w:val="Normal_0_1"/>
    <w:qFormat/>
    <w:uiPriority w:val="0"/>
    <w:rPr>
      <w:rFonts w:ascii="Times New Roman" w:hAnsi="Times New Roman" w:eastAsia="Times New Roman" w:cs="Times New Roman"/>
      <w:sz w:val="24"/>
      <w:szCs w:val="24"/>
      <w:lang w:val="en-US" w:eastAsia="zh-CN" w:bidi="ar-SA"/>
    </w:rPr>
  </w:style>
  <w:style w:type="paragraph" w:customStyle="1" w:styleId="495">
    <w:name w:val="EHPT"/>
    <w:basedOn w:val="1"/>
    <w:next w:val="17"/>
    <w:qFormat/>
    <w:uiPriority w:val="0"/>
    <w:pPr>
      <w:ind w:right="-694"/>
    </w:pPr>
    <w:rPr>
      <w:sz w:val="24"/>
      <w:szCs w:val="20"/>
    </w:rPr>
  </w:style>
  <w:style w:type="paragraph" w:customStyle="1" w:styleId="496">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497">
    <w:name w:val="Part Label"/>
    <w:basedOn w:val="1"/>
    <w:qFormat/>
    <w:uiPriority w:val="0"/>
    <w:pPr>
      <w:shd w:val="solid" w:color="auto" w:fill="auto"/>
      <w:spacing w:line="320" w:lineRule="exact"/>
      <w:jc w:val="center"/>
    </w:pPr>
    <w:rPr>
      <w:rFonts w:ascii="Arial" w:hAnsi="Arial"/>
      <w:b/>
      <w:bCs/>
      <w:color w:val="FFFFFF"/>
      <w:spacing w:val="16"/>
      <w:kern w:val="0"/>
      <w:sz w:val="20"/>
      <w:szCs w:val="20"/>
      <w:lang w:eastAsia="en-US"/>
    </w:rPr>
  </w:style>
  <w:style w:type="paragraph" w:customStyle="1" w:styleId="498">
    <w:name w:val="CM4"/>
    <w:basedOn w:val="499"/>
    <w:next w:val="499"/>
    <w:qFormat/>
    <w:uiPriority w:val="0"/>
    <w:pPr>
      <w:spacing w:line="626" w:lineRule="atLeast"/>
    </w:pPr>
    <w:rPr>
      <w:rFonts w:ascii=".a..DD.." w:eastAsia=".a..DD.."/>
      <w:sz w:val="24"/>
      <w:szCs w:val="24"/>
    </w:rPr>
  </w:style>
  <w:style w:type="paragraph" w:customStyle="1" w:styleId="49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500">
    <w:name w:val="style2"/>
    <w:basedOn w:val="1"/>
    <w:qFormat/>
    <w:uiPriority w:val="0"/>
    <w:pPr>
      <w:widowControl/>
      <w:spacing w:before="100" w:beforeAutospacing="1" w:after="100" w:afterAutospacing="1"/>
      <w:jc w:val="left"/>
    </w:pPr>
    <w:rPr>
      <w:rFonts w:ascii="宋体" w:hAnsi="宋体" w:cs="宋体"/>
      <w:kern w:val="0"/>
      <w:sz w:val="24"/>
    </w:rPr>
  </w:style>
  <w:style w:type="paragraph" w:customStyle="1" w:styleId="501">
    <w:name w:val="样式 标题 3"/>
    <w:basedOn w:val="8"/>
    <w:qFormat/>
    <w:uiPriority w:val="0"/>
    <w:pPr>
      <w:keepNext w:val="0"/>
      <w:spacing w:before="0" w:after="0" w:line="360" w:lineRule="auto"/>
      <w:ind w:left="360"/>
      <w:jc w:val="left"/>
    </w:pPr>
    <w:rPr>
      <w:b w:val="0"/>
      <w:bCs w:val="0"/>
      <w:kern w:val="0"/>
      <w:szCs w:val="20"/>
    </w:rPr>
  </w:style>
  <w:style w:type="paragraph" w:customStyle="1" w:styleId="502">
    <w:name w:val="Subtitle Cover"/>
    <w:basedOn w:val="503"/>
    <w:next w:val="17"/>
    <w:qFormat/>
    <w:uiPriority w:val="0"/>
    <w:pPr>
      <w:pBdr>
        <w:top w:val="single" w:color="auto" w:sz="6" w:space="24"/>
      </w:pBdr>
      <w:tabs>
        <w:tab w:val="left" w:pos="0"/>
      </w:tabs>
      <w:spacing w:before="0" w:after="0" w:line="480" w:lineRule="atLeast"/>
      <w:ind w:left="835" w:right="835"/>
    </w:pPr>
    <w:rPr>
      <w:rFonts w:ascii="Arial" w:hAnsi="Arial"/>
      <w:b w:val="0"/>
      <w:spacing w:val="-30"/>
      <w:sz w:val="48"/>
    </w:rPr>
  </w:style>
  <w:style w:type="paragraph" w:customStyle="1" w:styleId="503">
    <w:name w:val="Title Cover"/>
    <w:basedOn w:val="504"/>
    <w:next w:val="1"/>
    <w:qFormat/>
    <w:uiPriority w:val="0"/>
    <w:pPr>
      <w:pBdr>
        <w:top w:val="single" w:color="auto" w:sz="48" w:space="31"/>
      </w:pBdr>
      <w:tabs>
        <w:tab w:val="left" w:pos="0"/>
      </w:tabs>
      <w:spacing w:before="240" w:after="500" w:line="640" w:lineRule="exact"/>
      <w:ind w:left="0"/>
    </w:pPr>
    <w:rPr>
      <w:rFonts w:ascii="Arial Black" w:hAnsi="Arial Black"/>
      <w:b/>
      <w:spacing w:val="-48"/>
      <w:sz w:val="64"/>
    </w:rPr>
  </w:style>
  <w:style w:type="paragraph" w:customStyle="1" w:styleId="504">
    <w:name w:val="Heading Base"/>
    <w:basedOn w:val="1"/>
    <w:next w:val="17"/>
    <w:qFormat/>
    <w:uiPriority w:val="0"/>
    <w:pPr>
      <w:keepNext/>
      <w:keepLines/>
      <w:widowControl/>
      <w:spacing w:before="140" w:line="220" w:lineRule="atLeast"/>
      <w:ind w:left="1080"/>
      <w:jc w:val="left"/>
    </w:pPr>
    <w:rPr>
      <w:rFonts w:ascii="Arial" w:hAnsi="Arial"/>
      <w:spacing w:val="-4"/>
      <w:kern w:val="28"/>
      <w:sz w:val="22"/>
      <w:szCs w:val="20"/>
      <w:lang w:eastAsia="en-US"/>
    </w:rPr>
  </w:style>
  <w:style w:type="paragraph" w:customStyle="1" w:styleId="505">
    <w:name w:val="内部列表"/>
    <w:basedOn w:val="1"/>
    <w:qFormat/>
    <w:uiPriority w:val="0"/>
    <w:pPr>
      <w:tabs>
        <w:tab w:val="left" w:pos="900"/>
      </w:tabs>
      <w:adjustRightInd w:val="0"/>
      <w:snapToGrid w:val="0"/>
      <w:spacing w:line="300" w:lineRule="auto"/>
      <w:ind w:left="550" w:leftChars="400" w:hanging="150" w:hangingChars="150"/>
    </w:pPr>
  </w:style>
  <w:style w:type="paragraph" w:customStyle="1" w:styleId="506">
    <w:name w:val="正文中"/>
    <w:basedOn w:val="1"/>
    <w:qFormat/>
    <w:uiPriority w:val="0"/>
    <w:pPr>
      <w:keepNext/>
      <w:adjustRightInd w:val="0"/>
      <w:snapToGrid w:val="0"/>
      <w:spacing w:line="200" w:lineRule="atLeast"/>
      <w:jc w:val="center"/>
    </w:pPr>
    <w:rPr>
      <w:rFonts w:ascii="宋体"/>
      <w:szCs w:val="20"/>
    </w:rPr>
  </w:style>
  <w:style w:type="paragraph" w:customStyle="1" w:styleId="507">
    <w:name w:val="G2"/>
    <w:basedOn w:val="1"/>
    <w:qFormat/>
    <w:uiPriority w:val="0"/>
    <w:pPr>
      <w:tabs>
        <w:tab w:val="left" w:pos="840"/>
      </w:tabs>
      <w:spacing w:afterLines="50" w:line="360" w:lineRule="auto"/>
      <w:ind w:left="840" w:hanging="420"/>
    </w:pPr>
    <w:rPr>
      <w:rFonts w:ascii="黑体" w:eastAsia="黑体"/>
      <w:sz w:val="30"/>
    </w:rPr>
  </w:style>
  <w:style w:type="paragraph" w:customStyle="1" w:styleId="508">
    <w:name w:val="xl32"/>
    <w:basedOn w:val="1"/>
    <w:qFormat/>
    <w:uiPriority w:val="0"/>
    <w:pPr>
      <w:widowControl/>
      <w:pBdr>
        <w:top w:val="single" w:color="auto" w:sz="4" w:space="0"/>
        <w:left w:val="single" w:color="auto" w:sz="12"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509">
    <w:name w:val="表格内文字"/>
    <w:basedOn w:val="1"/>
    <w:qFormat/>
    <w:uiPriority w:val="0"/>
    <w:rPr>
      <w:sz w:val="24"/>
      <w:szCs w:val="20"/>
    </w:rPr>
  </w:style>
  <w:style w:type="paragraph" w:customStyle="1" w:styleId="510">
    <w:name w:val="样式"/>
    <w:basedOn w:val="4"/>
    <w:qFormat/>
    <w:uiPriority w:val="0"/>
    <w:pPr>
      <w:widowControl w:val="0"/>
      <w:ind w:firstLine="0"/>
      <w:jc w:val="center"/>
    </w:pPr>
    <w:rPr>
      <w:rFonts w:ascii="Calibri" w:hAnsi="Calibri"/>
      <w:kern w:val="2"/>
      <w:sz w:val="18"/>
      <w:szCs w:val="24"/>
    </w:rPr>
  </w:style>
  <w:style w:type="paragraph" w:customStyle="1" w:styleId="511">
    <w:name w:val="Char Char Char Char Char Char Char Char Char Char Char Char"/>
    <w:basedOn w:val="1"/>
    <w:qFormat/>
    <w:uiPriority w:val="0"/>
    <w:pPr>
      <w:widowControl/>
      <w:spacing w:after="160" w:line="240" w:lineRule="exact"/>
      <w:jc w:val="left"/>
    </w:pPr>
  </w:style>
  <w:style w:type="paragraph" w:customStyle="1" w:styleId="512">
    <w:name w:val="样式 正文缩进 + 首行缩进:  2 字符 + 首行缩进:  2 字符"/>
    <w:basedOn w:val="1"/>
    <w:qFormat/>
    <w:uiPriority w:val="0"/>
    <w:pPr>
      <w:keepNext/>
      <w:spacing w:line="360" w:lineRule="auto"/>
      <w:ind w:firstLine="480" w:firstLineChars="200"/>
    </w:pPr>
    <w:rPr>
      <w:sz w:val="24"/>
      <w:szCs w:val="20"/>
    </w:rPr>
  </w:style>
  <w:style w:type="paragraph" w:customStyle="1" w:styleId="513">
    <w:name w:val="Char3"/>
    <w:basedOn w:val="1"/>
    <w:qFormat/>
    <w:uiPriority w:val="0"/>
    <w:pPr>
      <w:widowControl/>
      <w:spacing w:after="160" w:line="240" w:lineRule="exact"/>
      <w:jc w:val="left"/>
    </w:pPr>
    <w:rPr>
      <w:sz w:val="24"/>
      <w:szCs w:val="20"/>
    </w:rPr>
  </w:style>
  <w:style w:type="paragraph" w:customStyle="1" w:styleId="514">
    <w:name w:val="seleftnavsub"/>
    <w:basedOn w:val="1"/>
    <w:qFormat/>
    <w:uiPriority w:val="0"/>
    <w:pPr>
      <w:widowControl/>
      <w:spacing w:before="100" w:beforeAutospacing="1" w:after="100" w:afterAutospacing="1" w:line="165" w:lineRule="atLeast"/>
      <w:jc w:val="left"/>
    </w:pPr>
    <w:rPr>
      <w:rFonts w:ascii="ˎ̥" w:hAnsi="ˎ̥" w:cs="宋体"/>
      <w:color w:val="666666"/>
      <w:kern w:val="0"/>
      <w:sz w:val="18"/>
      <w:szCs w:val="18"/>
    </w:rPr>
  </w:style>
  <w:style w:type="paragraph" w:customStyle="1" w:styleId="515">
    <w:name w:val="titre 2 sommaire"/>
    <w:basedOn w:val="516"/>
    <w:qFormat/>
    <w:uiPriority w:val="0"/>
    <w:pPr>
      <w:tabs>
        <w:tab w:val="left" w:leader="dot" w:pos="5954"/>
        <w:tab w:val="left" w:leader="underscore" w:pos="6576"/>
        <w:tab w:val="right" w:leader="underscore" w:pos="6803"/>
      </w:tabs>
      <w:ind w:left="0" w:right="0" w:firstLine="0"/>
    </w:pPr>
    <w:rPr>
      <w:rFonts w:ascii="Arial" w:hAnsi="Arial"/>
      <w:sz w:val="24"/>
    </w:rPr>
  </w:style>
  <w:style w:type="paragraph" w:customStyle="1" w:styleId="516">
    <w:name w:val="Titre 1 sommaire"/>
    <w:basedOn w:val="517"/>
    <w:next w:val="517"/>
    <w:qFormat/>
    <w:uiPriority w:val="0"/>
    <w:pPr>
      <w:tabs>
        <w:tab w:val="left" w:leader="underscore" w:pos="6576"/>
        <w:tab w:val="right" w:leader="underscore" w:pos="6803"/>
      </w:tabs>
    </w:pPr>
  </w:style>
  <w:style w:type="paragraph" w:customStyle="1" w:styleId="517">
    <w:name w:val="Mat. titre haut de page"/>
    <w:qFormat/>
    <w:uiPriority w:val="0"/>
    <w:pPr>
      <w:widowControl w:val="0"/>
      <w:tabs>
        <w:tab w:val="right" w:leader="underscore" w:pos="6803"/>
      </w:tabs>
      <w:spacing w:before="1" w:after="1"/>
      <w:ind w:left="284" w:right="1" w:hanging="284"/>
    </w:pPr>
    <w:rPr>
      <w:rFonts w:ascii="Helvetica" w:hAnsi="Helvetica" w:eastAsia="宋体" w:cs="Times New Roman"/>
      <w:b/>
      <w:color w:val="000000"/>
      <w:sz w:val="36"/>
      <w:lang w:val="fr-FR" w:eastAsia="zh-CN" w:bidi="ar-SA"/>
    </w:rPr>
  </w:style>
  <w:style w:type="paragraph" w:customStyle="1" w:styleId="518">
    <w:name w:val="wleftnav"/>
    <w:basedOn w:val="1"/>
    <w:qFormat/>
    <w:uiPriority w:val="0"/>
    <w:pPr>
      <w:widowControl/>
      <w:spacing w:before="100" w:beforeAutospacing="1" w:after="100" w:afterAutospacing="1" w:line="240" w:lineRule="atLeast"/>
      <w:jc w:val="left"/>
    </w:pPr>
    <w:rPr>
      <w:rFonts w:ascii="ˎ̥" w:hAnsi="ˎ̥" w:cs="宋体"/>
      <w:b/>
      <w:bCs/>
      <w:color w:val="003333"/>
      <w:kern w:val="0"/>
      <w:sz w:val="18"/>
      <w:szCs w:val="18"/>
    </w:rPr>
  </w:style>
  <w:style w:type="paragraph" w:customStyle="1" w:styleId="519">
    <w:name w:val="Normal_36"/>
    <w:qFormat/>
    <w:uiPriority w:val="0"/>
    <w:pPr>
      <w:widowControl w:val="0"/>
      <w:jc w:val="both"/>
    </w:pPr>
    <w:rPr>
      <w:rFonts w:ascii="Calibri" w:hAnsi="Calibri" w:eastAsia="宋体" w:cs="Times New Roman"/>
      <w:lang w:val="en-US" w:eastAsia="zh-CN" w:bidi="ar-SA"/>
    </w:rPr>
  </w:style>
  <w:style w:type="paragraph" w:customStyle="1" w:styleId="520">
    <w:name w:val="2册标题3"/>
    <w:basedOn w:val="1"/>
    <w:next w:val="1"/>
    <w:qFormat/>
    <w:uiPriority w:val="0"/>
    <w:pPr>
      <w:spacing w:beforeLines="50" w:afterLines="50" w:line="360" w:lineRule="auto"/>
      <w:ind w:left="420" w:leftChars="200" w:right="-201" w:rightChars="-201"/>
      <w:outlineLvl w:val="2"/>
    </w:pPr>
    <w:rPr>
      <w:rFonts w:ascii="黑体" w:hAnsi="宋体" w:eastAsia="黑体"/>
      <w:b/>
      <w:sz w:val="24"/>
      <w:szCs w:val="20"/>
    </w:rPr>
  </w:style>
  <w:style w:type="paragraph" w:customStyle="1" w:styleId="521">
    <w:name w:val="內文1"/>
    <w:basedOn w:val="522"/>
    <w:qFormat/>
    <w:uiPriority w:val="0"/>
    <w:rPr>
      <w:position w:val="4"/>
    </w:rPr>
  </w:style>
  <w:style w:type="paragraph" w:customStyle="1" w:styleId="522">
    <w:name w:val="內文二"/>
    <w:basedOn w:val="1"/>
    <w:qFormat/>
    <w:uiPriority w:val="0"/>
    <w:pPr>
      <w:adjustRightInd w:val="0"/>
      <w:spacing w:before="240" w:line="480" w:lineRule="atLeast"/>
      <w:ind w:left="1077"/>
      <w:textAlignment w:val="baseline"/>
    </w:pPr>
    <w:rPr>
      <w:rFonts w:ascii="全真楷書" w:eastAsia="全真楷書"/>
      <w:kern w:val="0"/>
      <w:sz w:val="24"/>
      <w:szCs w:val="20"/>
      <w:lang w:eastAsia="zh-TW"/>
    </w:rPr>
  </w:style>
  <w:style w:type="paragraph" w:customStyle="1" w:styleId="523">
    <w:name w:val="a1"/>
    <w:basedOn w:val="1"/>
    <w:qFormat/>
    <w:uiPriority w:val="0"/>
    <w:pPr>
      <w:widowControl/>
      <w:spacing w:before="100" w:beforeAutospacing="1" w:after="100" w:afterAutospacing="1" w:line="432" w:lineRule="auto"/>
      <w:jc w:val="left"/>
    </w:pPr>
    <w:rPr>
      <w:rFonts w:ascii="_x000B__x000C_" w:hAnsi="_x000B__x000C_" w:eastAsia="Arial Unicode MS" w:cs="Arial Unicode MS"/>
      <w:kern w:val="0"/>
      <w:sz w:val="16"/>
      <w:szCs w:val="16"/>
    </w:rPr>
  </w:style>
  <w:style w:type="paragraph" w:customStyle="1" w:styleId="524">
    <w:name w:val="TOC Base"/>
    <w:basedOn w:val="1"/>
    <w:qFormat/>
    <w:uiPriority w:val="0"/>
    <w:pPr>
      <w:widowControl/>
      <w:tabs>
        <w:tab w:val="right" w:leader="dot" w:pos="6480"/>
      </w:tabs>
      <w:spacing w:after="240" w:line="240" w:lineRule="atLeast"/>
      <w:jc w:val="left"/>
    </w:pPr>
    <w:rPr>
      <w:rFonts w:ascii="Arial" w:hAnsi="Arial"/>
      <w:spacing w:val="-5"/>
      <w:kern w:val="0"/>
      <w:sz w:val="20"/>
      <w:szCs w:val="20"/>
      <w:lang w:eastAsia="en-US"/>
    </w:rPr>
  </w:style>
  <w:style w:type="paragraph" w:customStyle="1" w:styleId="525">
    <w:name w:val="正文文本缩进正文文字缩进正文文字缩进 Char正文文本缩进 Char + 右侧:  -0.31 字符"/>
    <w:basedOn w:val="3"/>
    <w:qFormat/>
    <w:uiPriority w:val="0"/>
    <w:pPr>
      <w:tabs>
        <w:tab w:val="left" w:pos="0"/>
        <w:tab w:val="left" w:pos="945"/>
      </w:tabs>
      <w:autoSpaceDE w:val="0"/>
      <w:autoSpaceDN w:val="0"/>
      <w:adjustRightInd w:val="0"/>
      <w:spacing w:after="0" w:line="360" w:lineRule="auto"/>
      <w:ind w:left="0" w:leftChars="0" w:right="-87" w:rightChars="-31" w:firstLine="214" w:firstLineChars="214"/>
      <w:textAlignment w:val="baseline"/>
    </w:pPr>
    <w:rPr>
      <w:rFonts w:cs="宋体"/>
      <w:color w:val="000000"/>
      <w:spacing w:val="10"/>
      <w:sz w:val="24"/>
      <w:szCs w:val="20"/>
    </w:rPr>
  </w:style>
  <w:style w:type="paragraph" w:customStyle="1" w:styleId="526">
    <w:name w:val="Mat. titre page niveau 1"/>
    <w:qFormat/>
    <w:uiPriority w:val="0"/>
    <w:pPr>
      <w:widowControl w:val="0"/>
      <w:tabs>
        <w:tab w:val="left" w:leader="underscore" w:pos="5669"/>
      </w:tabs>
    </w:pPr>
    <w:rPr>
      <w:rFonts w:ascii="Helvetica" w:hAnsi="Helvetica" w:eastAsia="宋体" w:cs="Times New Roman"/>
      <w:color w:val="000000"/>
      <w:sz w:val="24"/>
      <w:lang w:val="fr-FR" w:eastAsia="zh-CN" w:bidi="ar-SA"/>
    </w:rPr>
  </w:style>
  <w:style w:type="paragraph" w:customStyle="1" w:styleId="527">
    <w:name w:val="Style77"/>
    <w:basedOn w:val="1"/>
    <w:unhideWhenUsed/>
    <w:qFormat/>
    <w:uiPriority w:val="99"/>
  </w:style>
  <w:style w:type="paragraph" w:customStyle="1" w:styleId="528">
    <w:name w:val="a14"/>
    <w:basedOn w:val="1"/>
    <w:qFormat/>
    <w:uiPriority w:val="0"/>
    <w:pPr>
      <w:widowControl/>
      <w:spacing w:before="100" w:beforeAutospacing="1" w:after="100" w:afterAutospacing="1" w:line="360" w:lineRule="auto"/>
      <w:ind w:firstLine="200" w:firstLineChars="200"/>
      <w:jc w:val="left"/>
    </w:pPr>
    <w:rPr>
      <w:rFonts w:ascii="Arial Unicode MS" w:hAnsi="Arial Unicode MS" w:eastAsia="Arial Unicode MS"/>
      <w:kern w:val="0"/>
      <w:sz w:val="24"/>
      <w:szCs w:val="20"/>
      <w:lang w:eastAsia="en-US"/>
    </w:rPr>
  </w:style>
  <w:style w:type="paragraph" w:customStyle="1" w:styleId="52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cs="Arial Unicode MS"/>
      <w:color w:val="000000"/>
      <w:kern w:val="0"/>
      <w:sz w:val="20"/>
      <w:szCs w:val="20"/>
    </w:rPr>
  </w:style>
  <w:style w:type="paragraph" w:customStyle="1" w:styleId="53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531">
    <w:name w:val="Body3"/>
    <w:basedOn w:val="1"/>
    <w:qFormat/>
    <w:uiPriority w:val="0"/>
    <w:pPr>
      <w:widowControl/>
      <w:ind w:left="1260"/>
    </w:pPr>
    <w:rPr>
      <w:color w:val="008000"/>
      <w:kern w:val="0"/>
      <w:szCs w:val="20"/>
      <w:lang w:eastAsia="en-US"/>
    </w:rPr>
  </w:style>
  <w:style w:type="paragraph" w:customStyle="1" w:styleId="532">
    <w:name w:val="CM24"/>
    <w:basedOn w:val="499"/>
    <w:next w:val="499"/>
    <w:qFormat/>
    <w:uiPriority w:val="0"/>
    <w:pPr>
      <w:spacing w:after="393"/>
    </w:pPr>
    <w:rPr>
      <w:rFonts w:ascii=".a..DD.." w:eastAsia=".a..DD.."/>
      <w:sz w:val="24"/>
      <w:szCs w:val="24"/>
    </w:rPr>
  </w:style>
  <w:style w:type="paragraph" w:customStyle="1" w:styleId="533">
    <w:name w:val="样式 标题 4 + 非加粗"/>
    <w:basedOn w:val="9"/>
    <w:qFormat/>
    <w:uiPriority w:val="0"/>
    <w:pPr>
      <w:keepNext w:val="0"/>
      <w:keepLines w:val="0"/>
      <w:adjustRightInd w:val="0"/>
      <w:spacing w:before="120" w:after="120" w:line="360" w:lineRule="auto"/>
      <w:ind w:firstLine="420" w:firstLineChars="200"/>
      <w:jc w:val="left"/>
      <w:textAlignment w:val="baseline"/>
    </w:pPr>
    <w:rPr>
      <w:rFonts w:ascii="Times New Roman" w:hAnsi="Times New Roman" w:eastAsia="宋体"/>
      <w:b w:val="0"/>
      <w:bCs w:val="0"/>
      <w:color w:val="FF0000"/>
      <w:kern w:val="0"/>
      <w:sz w:val="21"/>
      <w:szCs w:val="21"/>
    </w:rPr>
  </w:style>
  <w:style w:type="paragraph" w:customStyle="1" w:styleId="534">
    <w:name w:val="Style29"/>
    <w:basedOn w:val="1"/>
    <w:unhideWhenUsed/>
    <w:qFormat/>
    <w:uiPriority w:val="99"/>
    <w:pPr>
      <w:spacing w:line="547" w:lineRule="exact"/>
      <w:ind w:firstLine="547"/>
    </w:pPr>
  </w:style>
  <w:style w:type="paragraph" w:customStyle="1" w:styleId="535">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536">
    <w:name w:val="修订1"/>
    <w:qFormat/>
    <w:uiPriority w:val="99"/>
    <w:rPr>
      <w:rFonts w:ascii="Times New Roman" w:hAnsi="Times New Roman" w:eastAsia="宋体" w:cs="Times New Roman"/>
      <w:kern w:val="2"/>
      <w:sz w:val="21"/>
      <w:szCs w:val="24"/>
      <w:lang w:val="en-US" w:eastAsia="zh-CN" w:bidi="ar-SA"/>
    </w:rPr>
  </w:style>
  <w:style w:type="paragraph" w:customStyle="1" w:styleId="537">
    <w:name w:val="Style52"/>
    <w:basedOn w:val="1"/>
    <w:unhideWhenUsed/>
    <w:qFormat/>
    <w:uiPriority w:val="99"/>
    <w:pPr>
      <w:spacing w:line="682" w:lineRule="exact"/>
      <w:ind w:firstLine="557"/>
    </w:pPr>
  </w:style>
  <w:style w:type="paragraph" w:customStyle="1" w:styleId="538">
    <w:name w:val="p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539">
    <w:name w:val="Char Char1 Char Char Char"/>
    <w:basedOn w:val="1"/>
    <w:qFormat/>
    <w:uiPriority w:val="0"/>
    <w:rPr>
      <w:kern w:val="0"/>
      <w:sz w:val="20"/>
      <w:szCs w:val="20"/>
    </w:rPr>
  </w:style>
  <w:style w:type="paragraph" w:customStyle="1" w:styleId="540">
    <w:name w:val="Style Bulleted1"/>
    <w:basedOn w:val="1"/>
    <w:qFormat/>
    <w:uiPriority w:val="0"/>
    <w:pPr>
      <w:tabs>
        <w:tab w:val="left" w:pos="360"/>
      </w:tabs>
      <w:spacing w:line="360" w:lineRule="auto"/>
      <w:ind w:left="360" w:hanging="360"/>
    </w:pPr>
    <w:rPr>
      <w:sz w:val="24"/>
    </w:rPr>
  </w:style>
  <w:style w:type="paragraph" w:customStyle="1" w:styleId="541">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542">
    <w:name w:val="tab ttr haut"/>
    <w:basedOn w:val="543"/>
    <w:next w:val="543"/>
    <w:qFormat/>
    <w:uiPriority w:val="0"/>
    <w:pPr>
      <w:pBdr>
        <w:top w:val="single" w:color="auto" w:sz="6" w:space="0"/>
        <w:bottom w:val="none" w:color="auto" w:sz="0" w:space="0"/>
        <w:between w:val="single" w:color="auto" w:sz="6" w:space="1"/>
      </w:pBdr>
      <w:tabs>
        <w:tab w:val="left" w:pos="1134"/>
        <w:tab w:val="right" w:pos="2835"/>
        <w:tab w:val="decimal" w:pos="3912"/>
        <w:tab w:val="decimal" w:pos="4422"/>
        <w:tab w:val="decimal" w:pos="4932"/>
        <w:tab w:val="decimal" w:pos="5443"/>
        <w:tab w:val="decimal" w:pos="5953"/>
        <w:tab w:val="decimal" w:pos="6463"/>
        <w:tab w:val="decimal" w:pos="6973"/>
        <w:tab w:val="decimal" w:pos="7483"/>
        <w:tab w:val="decimal" w:pos="7994"/>
        <w:tab w:val="decimal" w:pos="8504"/>
        <w:tab w:val="decimal" w:pos="9014"/>
        <w:tab w:val="decimal" w:pos="9524"/>
        <w:tab w:val="decimal" w:pos="10035"/>
      </w:tabs>
    </w:pPr>
    <w:rPr>
      <w:b/>
    </w:rPr>
  </w:style>
  <w:style w:type="paragraph" w:customStyle="1" w:styleId="543">
    <w:name w:val="tab galaxy physique"/>
    <w:basedOn w:val="544"/>
    <w:qFormat/>
    <w:uiPriority w:val="0"/>
    <w:pPr>
      <w:pBdr>
        <w:bottom w:val="single" w:color="auto" w:sz="6" w:space="0"/>
        <w:between w:val="single" w:color="auto" w:sz="6" w:space="0"/>
      </w:pBdr>
      <w:tabs>
        <w:tab w:val="left" w:pos="1134"/>
        <w:tab w:val="right" w:pos="2835"/>
        <w:tab w:val="decimal" w:pos="3912"/>
        <w:tab w:val="decimal" w:pos="4422"/>
        <w:tab w:val="decimal" w:pos="4932"/>
        <w:tab w:val="decimal" w:pos="5443"/>
        <w:tab w:val="decimal" w:pos="5953"/>
        <w:tab w:val="decimal" w:pos="6463"/>
        <w:tab w:val="decimal" w:pos="6973"/>
        <w:tab w:val="decimal" w:pos="7483"/>
        <w:tab w:val="decimal" w:pos="7994"/>
        <w:tab w:val="decimal" w:pos="8504"/>
        <w:tab w:val="decimal" w:pos="9014"/>
        <w:tab w:val="decimal" w:pos="9524"/>
        <w:tab w:val="decimal" w:pos="10035"/>
      </w:tabs>
      <w:ind w:left="1" w:right="1" w:firstLine="1"/>
    </w:pPr>
    <w:rPr>
      <w:sz w:val="16"/>
    </w:rPr>
  </w:style>
  <w:style w:type="paragraph" w:customStyle="1" w:styleId="544">
    <w:name w:val="texte"/>
    <w:qFormat/>
    <w:uiPriority w:val="0"/>
    <w:pPr>
      <w:widowControl w:val="0"/>
      <w:spacing w:before="1" w:after="1"/>
    </w:pPr>
    <w:rPr>
      <w:rFonts w:ascii="Helvetica" w:hAnsi="Helvetica" w:eastAsia="宋体" w:cs="Times New Roman"/>
      <w:color w:val="000000"/>
      <w:sz w:val="18"/>
      <w:lang w:val="fr-FR" w:eastAsia="zh-CN" w:bidi="ar-SA"/>
    </w:rPr>
  </w:style>
  <w:style w:type="paragraph" w:customStyle="1" w:styleId="545">
    <w:name w:val="Picture"/>
    <w:basedOn w:val="1"/>
    <w:next w:val="27"/>
    <w:qFormat/>
    <w:uiPriority w:val="0"/>
    <w:pPr>
      <w:keepNext/>
      <w:widowControl/>
      <w:ind w:left="1080"/>
      <w:jc w:val="left"/>
    </w:pPr>
    <w:rPr>
      <w:rFonts w:ascii="Arial" w:hAnsi="Arial"/>
      <w:spacing w:val="-5"/>
      <w:kern w:val="0"/>
      <w:sz w:val="20"/>
      <w:szCs w:val="20"/>
      <w:lang w:eastAsia="en-US"/>
    </w:rPr>
  </w:style>
  <w:style w:type="paragraph" w:customStyle="1" w:styleId="546">
    <w:name w:val="tab r20"/>
    <w:basedOn w:val="543"/>
    <w:next w:val="543"/>
    <w:qFormat/>
    <w:uiPriority w:val="0"/>
  </w:style>
  <w:style w:type="paragraph" w:customStyle="1" w:styleId="547">
    <w:name w:val="Char Char Char"/>
    <w:basedOn w:val="30"/>
    <w:next w:val="8"/>
    <w:qFormat/>
    <w:uiPriority w:val="0"/>
    <w:pPr>
      <w:adjustRightInd w:val="0"/>
      <w:spacing w:line="600" w:lineRule="exact"/>
      <w:jc w:val="center"/>
      <w:outlineLvl w:val="2"/>
    </w:pPr>
    <w:rPr>
      <w:szCs w:val="20"/>
    </w:rPr>
  </w:style>
  <w:style w:type="paragraph" w:customStyle="1" w:styleId="548">
    <w:name w:val="Sommaire corps 9"/>
    <w:basedOn w:val="516"/>
    <w:qFormat/>
    <w:uiPriority w:val="0"/>
    <w:pPr>
      <w:tabs>
        <w:tab w:val="left" w:leader="dot" w:pos="6237"/>
        <w:tab w:val="clear" w:pos="6576"/>
      </w:tabs>
      <w:ind w:left="0" w:firstLine="0"/>
    </w:pPr>
    <w:rPr>
      <w:b w:val="0"/>
      <w:sz w:val="18"/>
    </w:rPr>
  </w:style>
  <w:style w:type="paragraph" w:customStyle="1" w:styleId="549">
    <w:name w:val="Company Name"/>
    <w:basedOn w:val="1"/>
    <w:qFormat/>
    <w:uiPriority w:val="0"/>
    <w:pPr>
      <w:keepNext/>
      <w:keepLines/>
      <w:widowControl/>
      <w:spacing w:line="220" w:lineRule="atLeast"/>
      <w:jc w:val="left"/>
    </w:pPr>
    <w:rPr>
      <w:rFonts w:ascii="Arial Black" w:hAnsi="Arial Black"/>
      <w:spacing w:val="-25"/>
      <w:kern w:val="28"/>
      <w:sz w:val="32"/>
      <w:szCs w:val="20"/>
      <w:lang w:eastAsia="en-US"/>
    </w:rPr>
  </w:style>
  <w:style w:type="paragraph" w:customStyle="1" w:styleId="550">
    <w:name w:val="默认段落字体 Char"/>
    <w:basedOn w:val="1"/>
    <w:qFormat/>
    <w:uiPriority w:val="0"/>
    <w:pPr>
      <w:spacing w:line="360" w:lineRule="auto"/>
      <w:jc w:val="left"/>
    </w:pPr>
  </w:style>
  <w:style w:type="paragraph" w:customStyle="1" w:styleId="551">
    <w:name w:val="Table Paragraph"/>
    <w:basedOn w:val="1"/>
    <w:qFormat/>
    <w:uiPriority w:val="1"/>
    <w:pPr>
      <w:spacing w:before="100" w:beforeAutospacing="1"/>
      <w:jc w:val="left"/>
    </w:pPr>
    <w:rPr>
      <w:rFonts w:cs="Arial"/>
      <w:kern w:val="0"/>
      <w:sz w:val="22"/>
      <w:szCs w:val="22"/>
    </w:rPr>
  </w:style>
  <w:style w:type="paragraph" w:customStyle="1" w:styleId="552">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553">
    <w:name w:val="!表格五号居中ALT+M"/>
    <w:basedOn w:val="1"/>
    <w:qFormat/>
    <w:uiPriority w:val="0"/>
    <w:pPr>
      <w:jc w:val="center"/>
    </w:pPr>
    <w:rPr>
      <w:szCs w:val="20"/>
    </w:rPr>
  </w:style>
  <w:style w:type="paragraph" w:customStyle="1" w:styleId="554">
    <w:name w:val="Style80"/>
    <w:basedOn w:val="1"/>
    <w:unhideWhenUsed/>
    <w:qFormat/>
    <w:uiPriority w:val="0"/>
  </w:style>
  <w:style w:type="paragraph" w:customStyle="1" w:styleId="555">
    <w:name w:val="文件正文"/>
    <w:basedOn w:val="1"/>
    <w:qFormat/>
    <w:uiPriority w:val="0"/>
    <w:pPr>
      <w:spacing w:line="360" w:lineRule="auto"/>
      <w:ind w:firstLine="480" w:firstLineChars="200"/>
    </w:pPr>
    <w:rPr>
      <w:rFonts w:eastAsia="仿宋_GB2312"/>
      <w:sz w:val="24"/>
      <w:szCs w:val="20"/>
    </w:rPr>
  </w:style>
  <w:style w:type="paragraph" w:customStyle="1" w:styleId="556">
    <w:name w:val="hironworks"/>
    <w:basedOn w:val="1"/>
    <w:qFormat/>
    <w:uiPriority w:val="0"/>
    <w:pPr>
      <w:widowControl/>
      <w:spacing w:before="100" w:beforeAutospacing="1" w:after="100" w:afterAutospacing="1" w:line="165" w:lineRule="atLeast"/>
      <w:jc w:val="left"/>
    </w:pPr>
    <w:rPr>
      <w:rFonts w:ascii="ˎ̥" w:hAnsi="ˎ̥" w:cs="宋体"/>
      <w:color w:val="666666"/>
      <w:kern w:val="0"/>
      <w:sz w:val="18"/>
      <w:szCs w:val="18"/>
    </w:rPr>
  </w:style>
  <w:style w:type="paragraph" w:customStyle="1" w:styleId="557">
    <w:name w:val="pheader"/>
    <w:basedOn w:val="1"/>
    <w:qFormat/>
    <w:uiPriority w:val="0"/>
    <w:pPr>
      <w:widowControl/>
      <w:spacing w:before="100" w:beforeAutospacing="1" w:after="100" w:afterAutospacing="1" w:line="240" w:lineRule="atLeast"/>
      <w:jc w:val="left"/>
    </w:pPr>
    <w:rPr>
      <w:rFonts w:ascii="ˎ̥" w:hAnsi="ˎ̥" w:cs="宋体"/>
      <w:b/>
      <w:bCs/>
      <w:color w:val="003366"/>
      <w:kern w:val="0"/>
      <w:sz w:val="18"/>
      <w:szCs w:val="18"/>
    </w:rPr>
  </w:style>
  <w:style w:type="paragraph" w:customStyle="1" w:styleId="558">
    <w:name w:val="Style74"/>
    <w:basedOn w:val="1"/>
    <w:unhideWhenUsed/>
    <w:qFormat/>
    <w:uiPriority w:val="0"/>
    <w:pPr>
      <w:spacing w:line="437" w:lineRule="exact"/>
    </w:pPr>
  </w:style>
  <w:style w:type="paragraph" w:customStyle="1" w:styleId="55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560">
    <w:name w:val="Char Char Char Char"/>
    <w:basedOn w:val="1"/>
    <w:qFormat/>
    <w:uiPriority w:val="0"/>
  </w:style>
  <w:style w:type="paragraph" w:customStyle="1" w:styleId="561">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562">
    <w:name w:val="Style5"/>
    <w:basedOn w:val="1"/>
    <w:unhideWhenUsed/>
    <w:qFormat/>
    <w:uiPriority w:val="99"/>
  </w:style>
  <w:style w:type="paragraph" w:customStyle="1" w:styleId="563">
    <w:name w:val="CM48"/>
    <w:basedOn w:val="499"/>
    <w:next w:val="499"/>
    <w:qFormat/>
    <w:uiPriority w:val="0"/>
    <w:pPr>
      <w:spacing w:after="168"/>
    </w:pPr>
    <w:rPr>
      <w:rFonts w:ascii="宋体" w:eastAsia="宋体" w:cs="宋体"/>
      <w:sz w:val="24"/>
      <w:szCs w:val="24"/>
    </w:rPr>
  </w:style>
  <w:style w:type="paragraph" w:customStyle="1" w:styleId="564">
    <w:name w:val="标题 0"/>
    <w:basedOn w:val="6"/>
    <w:qFormat/>
    <w:uiPriority w:val="0"/>
    <w:pPr>
      <w:keepLines/>
      <w:spacing w:before="340" w:after="330" w:line="578" w:lineRule="auto"/>
      <w:jc w:val="both"/>
    </w:pPr>
    <w:rPr>
      <w:bCs w:val="0"/>
      <w:kern w:val="44"/>
      <w:sz w:val="32"/>
    </w:rPr>
  </w:style>
  <w:style w:type="paragraph" w:customStyle="1" w:styleId="565">
    <w:name w:val="书籍标题3"/>
    <w:basedOn w:val="347"/>
    <w:qFormat/>
    <w:uiPriority w:val="0"/>
    <w:pPr>
      <w:ind w:left="927"/>
      <w:outlineLvl w:val="2"/>
    </w:pPr>
    <w:rPr>
      <w:rFonts w:ascii="宋体" w:hAnsi="宋体"/>
      <w:sz w:val="28"/>
      <w:szCs w:val="28"/>
      <w:lang w:val="hr-HR"/>
    </w:rPr>
  </w:style>
  <w:style w:type="paragraph" w:customStyle="1" w:styleId="566">
    <w:name w:val="prheader"/>
    <w:basedOn w:val="1"/>
    <w:qFormat/>
    <w:uiPriority w:val="0"/>
    <w:pPr>
      <w:widowControl/>
      <w:spacing w:before="100" w:beforeAutospacing="1" w:after="100" w:afterAutospacing="1" w:line="240" w:lineRule="atLeast"/>
      <w:jc w:val="left"/>
    </w:pPr>
    <w:rPr>
      <w:rFonts w:ascii="ˎ̥" w:hAnsi="ˎ̥" w:cs="宋体"/>
      <w:b/>
      <w:bCs/>
      <w:color w:val="003366"/>
      <w:kern w:val="0"/>
      <w:sz w:val="18"/>
      <w:szCs w:val="18"/>
    </w:rPr>
  </w:style>
  <w:style w:type="paragraph" w:customStyle="1" w:styleId="567">
    <w:name w:val="paradoxstyl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568">
    <w:name w:val="表格内容"/>
    <w:basedOn w:val="17"/>
    <w:qFormat/>
    <w:uiPriority w:val="0"/>
    <w:pPr>
      <w:suppressLineNumbers/>
      <w:suppressAutoHyphens/>
      <w:jc w:val="left"/>
    </w:pPr>
    <w:rPr>
      <w:rFonts w:cs="Tahoma"/>
      <w:kern w:val="0"/>
      <w:sz w:val="24"/>
    </w:rPr>
  </w:style>
  <w:style w:type="paragraph" w:customStyle="1" w:styleId="569">
    <w:name w:val="正文文本2"/>
    <w:basedOn w:val="1"/>
    <w:qFormat/>
    <w:uiPriority w:val="0"/>
    <w:pPr>
      <w:widowControl/>
      <w:shd w:val="clear" w:color="auto" w:fill="FFFFFF"/>
      <w:spacing w:before="120" w:line="391" w:lineRule="exact"/>
      <w:ind w:hanging="420"/>
      <w:jc w:val="distribute"/>
    </w:pPr>
    <w:rPr>
      <w:rFonts w:ascii="MingLiU" w:hAnsi="MingLiU" w:eastAsia="MingLiU" w:cs="MingLiU"/>
      <w:szCs w:val="21"/>
      <w:shd w:val="clear" w:color="auto" w:fill="FFFFFF"/>
    </w:rPr>
  </w:style>
  <w:style w:type="paragraph" w:customStyle="1" w:styleId="57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571">
    <w:name w:val="Style72"/>
    <w:basedOn w:val="1"/>
    <w:unhideWhenUsed/>
    <w:qFormat/>
    <w:uiPriority w:val="99"/>
  </w:style>
  <w:style w:type="paragraph" w:customStyle="1" w:styleId="572">
    <w:name w:val="1 Char Char Char Char"/>
    <w:basedOn w:val="1"/>
    <w:qFormat/>
    <w:uiPriority w:val="0"/>
  </w:style>
  <w:style w:type="paragraph" w:customStyle="1" w:styleId="573">
    <w:name w:val="Style12"/>
    <w:basedOn w:val="1"/>
    <w:unhideWhenUsed/>
    <w:qFormat/>
    <w:uiPriority w:val="99"/>
    <w:pPr>
      <w:spacing w:line="564" w:lineRule="exact"/>
      <w:ind w:hanging="115"/>
    </w:pPr>
  </w:style>
  <w:style w:type="paragraph" w:customStyle="1" w:styleId="574">
    <w:name w:val="b"/>
    <w:basedOn w:val="1"/>
    <w:qFormat/>
    <w:uiPriority w:val="0"/>
    <w:pPr>
      <w:widowControl/>
      <w:spacing w:before="100" w:beforeAutospacing="1" w:after="100" w:afterAutospacing="1"/>
      <w:jc w:val="left"/>
    </w:pPr>
    <w:rPr>
      <w:rFonts w:ascii="Verdana" w:hAnsi="Verdana" w:cs="宋体"/>
      <w:color w:val="000000"/>
      <w:kern w:val="0"/>
      <w:sz w:val="18"/>
      <w:szCs w:val="18"/>
    </w:rPr>
  </w:style>
  <w:style w:type="paragraph" w:customStyle="1" w:styleId="575">
    <w:name w:val="Char Char2"/>
    <w:basedOn w:val="1"/>
    <w:qFormat/>
    <w:uiPriority w:val="0"/>
    <w:pPr>
      <w:widowControl/>
      <w:jc w:val="left"/>
    </w:pPr>
    <w:rPr>
      <w:kern w:val="0"/>
      <w:sz w:val="24"/>
      <w:lang w:eastAsia="en-US"/>
    </w:rPr>
  </w:style>
  <w:style w:type="paragraph" w:customStyle="1" w:styleId="576">
    <w:name w:val="Style60"/>
    <w:basedOn w:val="1"/>
    <w:unhideWhenUsed/>
    <w:qFormat/>
    <w:uiPriority w:val="0"/>
    <w:pPr>
      <w:spacing w:line="566" w:lineRule="exact"/>
    </w:pPr>
  </w:style>
  <w:style w:type="paragraph" w:customStyle="1" w:styleId="577">
    <w:name w:val="正文(标准)"/>
    <w:basedOn w:val="1"/>
    <w:qFormat/>
    <w:uiPriority w:val="0"/>
    <w:pPr>
      <w:ind w:firstLine="200" w:firstLineChars="200"/>
    </w:pPr>
    <w:rPr>
      <w:rFonts w:eastAsia="仿宋_GB2312"/>
    </w:rPr>
  </w:style>
  <w:style w:type="paragraph" w:customStyle="1" w:styleId="578">
    <w:name w:val="Char Char Char1"/>
    <w:basedOn w:val="1"/>
    <w:qFormat/>
    <w:uiPriority w:val="0"/>
    <w:rPr>
      <w:rFonts w:ascii="宋体" w:hAnsi="宋体"/>
      <w:b/>
      <w:sz w:val="28"/>
      <w:szCs w:val="28"/>
    </w:rPr>
  </w:style>
  <w:style w:type="paragraph" w:customStyle="1" w:styleId="579">
    <w:name w:val="缺省文本"/>
    <w:basedOn w:val="1"/>
    <w:qFormat/>
    <w:uiPriority w:val="0"/>
    <w:pPr>
      <w:autoSpaceDE w:val="0"/>
      <w:autoSpaceDN w:val="0"/>
      <w:adjustRightInd w:val="0"/>
      <w:jc w:val="left"/>
    </w:pPr>
    <w:rPr>
      <w:kern w:val="0"/>
      <w:sz w:val="24"/>
    </w:rPr>
  </w:style>
  <w:style w:type="paragraph" w:customStyle="1" w:styleId="580">
    <w:name w:val="Style63"/>
    <w:basedOn w:val="1"/>
    <w:unhideWhenUsed/>
    <w:qFormat/>
    <w:uiPriority w:val="99"/>
    <w:pPr>
      <w:spacing w:line="564" w:lineRule="exact"/>
      <w:ind w:firstLine="682"/>
    </w:pPr>
  </w:style>
  <w:style w:type="paragraph" w:customStyle="1" w:styleId="581">
    <w:name w:val="Chapter Subtitle"/>
    <w:basedOn w:val="68"/>
    <w:qFormat/>
    <w:uiPriority w:val="0"/>
    <w:pPr>
      <w:keepNext/>
      <w:keepLines/>
      <w:widowControl/>
      <w:spacing w:before="60" w:after="120" w:line="340" w:lineRule="atLeast"/>
      <w:jc w:val="left"/>
      <w:outlineLvl w:val="9"/>
    </w:pPr>
    <w:rPr>
      <w:rFonts w:ascii="Arial" w:hAnsi="Arial"/>
      <w:b w:val="0"/>
      <w:bCs w:val="0"/>
      <w:spacing w:val="-16"/>
      <w:szCs w:val="20"/>
      <w:lang w:eastAsia="en-US"/>
    </w:rPr>
  </w:style>
  <w:style w:type="paragraph" w:customStyle="1" w:styleId="582">
    <w:name w:val="Char1 Char Char Char Char Char Char"/>
    <w:basedOn w:val="1"/>
    <w:qFormat/>
    <w:uiPriority w:val="0"/>
  </w:style>
  <w:style w:type="paragraph" w:customStyle="1" w:styleId="583">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584">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585">
    <w:name w:val="样式 标题 1 + Arial 五号 两端对齐 段前: 12 磅 段后: 12 磅"/>
    <w:basedOn w:val="6"/>
    <w:qFormat/>
    <w:uiPriority w:val="0"/>
    <w:pPr>
      <w:keepLines/>
      <w:spacing w:before="240" w:after="240" w:line="578" w:lineRule="auto"/>
      <w:jc w:val="both"/>
    </w:pPr>
    <w:rPr>
      <w:rFonts w:ascii="Arial" w:hAnsi="Arial"/>
      <w:spacing w:val="20"/>
      <w:kern w:val="44"/>
    </w:rPr>
  </w:style>
  <w:style w:type="paragraph" w:customStyle="1" w:styleId="586">
    <w:name w:val="表正文左"/>
    <w:basedOn w:val="587"/>
    <w:qFormat/>
    <w:uiPriority w:val="0"/>
    <w:pPr>
      <w:widowControl w:val="0"/>
      <w:ind w:left="530" w:hanging="530" w:hangingChars="530"/>
      <w:jc w:val="left"/>
    </w:pPr>
  </w:style>
  <w:style w:type="paragraph" w:customStyle="1" w:styleId="587">
    <w:name w:val="表正文中"/>
    <w:qFormat/>
    <w:uiPriority w:val="0"/>
    <w:pPr>
      <w:spacing w:line="276" w:lineRule="auto"/>
      <w:jc w:val="center"/>
    </w:pPr>
    <w:rPr>
      <w:rFonts w:ascii="Arial" w:hAnsi="Arial" w:eastAsia="宋体" w:cs="Times New Roman"/>
      <w:kern w:val="2"/>
      <w:sz w:val="18"/>
      <w:lang w:val="en-US" w:eastAsia="zh-CN" w:bidi="ar-SA"/>
    </w:rPr>
  </w:style>
  <w:style w:type="paragraph" w:customStyle="1" w:styleId="588">
    <w:name w:val="样式 标题 3H3Level 3 Headh3sect1.2.3Heading 3 - oldMapH31 +1"/>
    <w:basedOn w:val="8"/>
    <w:qFormat/>
    <w:uiPriority w:val="0"/>
    <w:pPr>
      <w:tabs>
        <w:tab w:val="left" w:pos="1260"/>
      </w:tabs>
      <w:spacing w:line="416" w:lineRule="auto"/>
      <w:ind w:left="1260" w:hanging="720"/>
    </w:pPr>
    <w:rPr>
      <w:rFonts w:eastAsia="黑体"/>
      <w:kern w:val="0"/>
      <w:sz w:val="30"/>
    </w:rPr>
  </w:style>
  <w:style w:type="paragraph" w:customStyle="1" w:styleId="589">
    <w:name w:val="_Style 586"/>
    <w:qFormat/>
    <w:uiPriority w:val="0"/>
    <w:rPr>
      <w:rFonts w:ascii="Times New Roman" w:hAnsi="Times New Roman" w:eastAsia="宋体" w:cs="Times New Roman"/>
      <w:kern w:val="2"/>
      <w:sz w:val="21"/>
      <w:szCs w:val="24"/>
      <w:lang w:val="en-US" w:eastAsia="zh-CN" w:bidi="ar-SA"/>
    </w:rPr>
  </w:style>
  <w:style w:type="paragraph" w:customStyle="1" w:styleId="590">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591">
    <w:name w:val="Char Char1 Char"/>
    <w:basedOn w:val="30"/>
    <w:qFormat/>
    <w:uiPriority w:val="0"/>
    <w:rPr>
      <w:rFonts w:ascii="Arial" w:hAnsi="Arial"/>
      <w:kern w:val="0"/>
      <w:sz w:val="32"/>
      <w:szCs w:val="20"/>
      <w:lang w:val="en-GB" w:eastAsia="en-US"/>
    </w:rPr>
  </w:style>
  <w:style w:type="paragraph" w:customStyle="1" w:styleId="592">
    <w:name w:val="CM91"/>
    <w:basedOn w:val="1"/>
    <w:next w:val="1"/>
    <w:qFormat/>
    <w:uiPriority w:val="0"/>
    <w:pPr>
      <w:autoSpaceDE w:val="0"/>
      <w:autoSpaceDN w:val="0"/>
      <w:adjustRightInd w:val="0"/>
      <w:spacing w:after="160"/>
      <w:jc w:val="left"/>
    </w:pPr>
    <w:rPr>
      <w:rFonts w:ascii="宋体"/>
      <w:kern w:val="0"/>
      <w:sz w:val="24"/>
      <w:szCs w:val="20"/>
    </w:rPr>
  </w:style>
  <w:style w:type="paragraph" w:customStyle="1" w:styleId="593">
    <w:name w:val="CM47"/>
    <w:basedOn w:val="499"/>
    <w:next w:val="499"/>
    <w:qFormat/>
    <w:uiPriority w:val="0"/>
    <w:pPr>
      <w:spacing w:after="443"/>
    </w:pPr>
    <w:rPr>
      <w:rFonts w:ascii="宋体" w:eastAsia="宋体" w:cs="宋体"/>
      <w:sz w:val="24"/>
      <w:szCs w:val="24"/>
    </w:rPr>
  </w:style>
  <w:style w:type="paragraph" w:customStyle="1" w:styleId="594">
    <w:name w:val="smalltext"/>
    <w:basedOn w:val="1"/>
    <w:qFormat/>
    <w:uiPriority w:val="0"/>
    <w:pPr>
      <w:widowControl/>
      <w:spacing w:before="100" w:beforeAutospacing="1" w:after="100" w:afterAutospacing="1"/>
      <w:jc w:val="left"/>
    </w:pPr>
    <w:rPr>
      <w:rFonts w:ascii="Arial" w:hAnsi="Arial" w:cs="Arial"/>
      <w:color w:val="666666"/>
      <w:kern w:val="0"/>
      <w:sz w:val="12"/>
      <w:szCs w:val="12"/>
    </w:rPr>
  </w:style>
  <w:style w:type="paragraph" w:customStyle="1" w:styleId="595">
    <w:name w:val="style15"/>
    <w:basedOn w:val="1"/>
    <w:qFormat/>
    <w:uiPriority w:val="0"/>
    <w:pPr>
      <w:widowControl/>
      <w:spacing w:before="100" w:beforeAutospacing="1" w:after="100" w:afterAutospacing="1"/>
      <w:jc w:val="left"/>
    </w:pPr>
    <w:rPr>
      <w:rFonts w:ascii="宋体" w:hAnsi="宋体" w:cs="宋体"/>
      <w:b/>
      <w:bCs/>
      <w:color w:val="0864B3"/>
      <w:kern w:val="0"/>
      <w:szCs w:val="21"/>
    </w:rPr>
  </w:style>
  <w:style w:type="paragraph" w:customStyle="1" w:styleId="596">
    <w:name w:val="列出段落21"/>
    <w:basedOn w:val="1"/>
    <w:qFormat/>
    <w:uiPriority w:val="0"/>
    <w:pPr>
      <w:ind w:firstLine="200" w:firstLineChars="200"/>
    </w:pPr>
    <w:rPr>
      <w:szCs w:val="22"/>
    </w:rPr>
  </w:style>
  <w:style w:type="paragraph" w:customStyle="1" w:styleId="597">
    <w:name w:val="样式 正文文字缩进 +"/>
    <w:basedOn w:val="3"/>
    <w:qFormat/>
    <w:uiPriority w:val="0"/>
    <w:pPr>
      <w:spacing w:after="0"/>
      <w:ind w:left="720" w:leftChars="343" w:firstLine="560" w:firstLineChars="200"/>
    </w:pPr>
    <w:rPr>
      <w:rFonts w:ascii="Times New Roman" w:hAnsi="Times New Roman"/>
      <w:kern w:val="0"/>
      <w:sz w:val="28"/>
    </w:rPr>
  </w:style>
  <w:style w:type="paragraph" w:customStyle="1" w:styleId="598">
    <w:name w:val="列表项目"/>
    <w:basedOn w:val="1"/>
    <w:qFormat/>
    <w:uiPriority w:val="0"/>
    <w:pPr>
      <w:tabs>
        <w:tab w:val="left" w:pos="420"/>
        <w:tab w:val="left" w:pos="980"/>
      </w:tabs>
      <w:spacing w:line="288" w:lineRule="auto"/>
      <w:ind w:left="980" w:hanging="360"/>
    </w:pPr>
    <w:rPr>
      <w:sz w:val="24"/>
      <w:szCs w:val="20"/>
    </w:rPr>
  </w:style>
  <w:style w:type="paragraph" w:customStyle="1" w:styleId="599">
    <w:name w:val="bodytext"/>
    <w:basedOn w:val="1"/>
    <w:qFormat/>
    <w:uiPriority w:val="0"/>
    <w:pPr>
      <w:widowControl/>
      <w:spacing w:after="100"/>
      <w:jc w:val="left"/>
    </w:pPr>
    <w:rPr>
      <w:rFonts w:ascii="Arial" w:hAnsi="Arial" w:cs="Arial"/>
      <w:kern w:val="0"/>
      <w:sz w:val="20"/>
      <w:szCs w:val="20"/>
    </w:rPr>
  </w:style>
  <w:style w:type="paragraph" w:customStyle="1" w:styleId="600">
    <w:name w:val="Style28"/>
    <w:basedOn w:val="1"/>
    <w:unhideWhenUsed/>
    <w:qFormat/>
    <w:uiPriority w:val="99"/>
    <w:pPr>
      <w:spacing w:line="552" w:lineRule="exact"/>
      <w:ind w:firstLine="547"/>
    </w:pPr>
  </w:style>
  <w:style w:type="paragraph" w:customStyle="1" w:styleId="601">
    <w:name w:val="xb35"/>
    <w:basedOn w:val="602"/>
    <w:qFormat/>
    <w:uiPriority w:val="0"/>
    <w:pPr>
      <w:tabs>
        <w:tab w:val="left" w:pos="1984"/>
        <w:tab w:val="left" w:pos="5613"/>
        <w:tab w:val="left" w:pos="7313"/>
        <w:tab w:val="left" w:pos="9014"/>
      </w:tabs>
    </w:pPr>
    <w:rPr>
      <w:spacing w:val="0"/>
      <w:sz w:val="16"/>
    </w:rPr>
  </w:style>
  <w:style w:type="paragraph" w:customStyle="1" w:styleId="602">
    <w:name w:val="xb"/>
    <w:qFormat/>
    <w:uiPriority w:val="0"/>
    <w:pPr>
      <w:widowControl w:val="0"/>
      <w:pBdr>
        <w:bottom w:val="single" w:color="auto" w:sz="6" w:space="0"/>
        <w:between w:val="single" w:color="auto" w:sz="6" w:space="0"/>
      </w:pBdr>
      <w:tabs>
        <w:tab w:val="left" w:pos="1984"/>
        <w:tab w:val="left" w:pos="5613"/>
        <w:tab w:val="left" w:pos="7313"/>
        <w:tab w:val="left" w:pos="9014"/>
      </w:tabs>
      <w:spacing w:before="1" w:after="1"/>
      <w:ind w:left="1" w:right="1" w:firstLine="1"/>
    </w:pPr>
    <w:rPr>
      <w:rFonts w:ascii="Helvetica" w:hAnsi="Helvetica" w:eastAsia="宋体" w:cs="Times New Roman"/>
      <w:color w:val="000000"/>
      <w:spacing w:val="200"/>
      <w:sz w:val="14"/>
      <w:lang w:val="fr-FR" w:eastAsia="zh-CN" w:bidi="ar-SA"/>
    </w:rPr>
  </w:style>
  <w:style w:type="paragraph" w:customStyle="1" w:styleId="603">
    <w:name w:val="附录标识"/>
    <w:basedOn w:val="604"/>
    <w:qFormat/>
    <w:uiPriority w:val="0"/>
    <w:pPr>
      <w:tabs>
        <w:tab w:val="left" w:pos="360"/>
        <w:tab w:val="left" w:pos="720"/>
        <w:tab w:val="left" w:pos="6405"/>
      </w:tabs>
      <w:spacing w:after="200"/>
    </w:pPr>
    <w:rPr>
      <w:sz w:val="21"/>
    </w:rPr>
  </w:style>
  <w:style w:type="paragraph" w:customStyle="1" w:styleId="604">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605">
    <w:name w:val="Footer Even"/>
    <w:basedOn w:val="59"/>
    <w:qFormat/>
    <w:uiPriority w:val="0"/>
    <w:pPr>
      <w:keepLines/>
      <w:widowControl/>
      <w:pBdr>
        <w:top w:val="single" w:color="auto" w:sz="6" w:space="2"/>
      </w:pBdr>
      <w:tabs>
        <w:tab w:val="center" w:pos="4320"/>
        <w:tab w:val="right" w:pos="8640"/>
        <w:tab w:val="clear" w:pos="4153"/>
        <w:tab w:val="clear" w:pos="8306"/>
      </w:tabs>
      <w:snapToGrid/>
      <w:spacing w:before="600" w:line="190" w:lineRule="atLeast"/>
      <w:ind w:left="1080"/>
    </w:pPr>
    <w:rPr>
      <w:rFonts w:ascii="Arial" w:hAnsi="Arial"/>
      <w:caps/>
      <w:spacing w:val="-5"/>
      <w:kern w:val="0"/>
      <w:sz w:val="15"/>
      <w:szCs w:val="20"/>
      <w:lang w:eastAsia="en-US"/>
    </w:rPr>
  </w:style>
  <w:style w:type="paragraph" w:customStyle="1" w:styleId="606">
    <w:name w:val="修订2"/>
    <w:qFormat/>
    <w:uiPriority w:val="0"/>
    <w:rPr>
      <w:rFonts w:ascii="Times New Roman" w:hAnsi="Times New Roman" w:eastAsia="宋体" w:cs="Times New Roman"/>
      <w:kern w:val="2"/>
      <w:sz w:val="21"/>
      <w:szCs w:val="24"/>
      <w:lang w:val="en-US" w:eastAsia="zh-CN" w:bidi="ar-SA"/>
    </w:rPr>
  </w:style>
  <w:style w:type="paragraph" w:customStyle="1" w:styleId="607">
    <w:name w:val="图表标题"/>
    <w:basedOn w:val="1"/>
    <w:next w:val="1"/>
    <w:qFormat/>
    <w:uiPriority w:val="0"/>
    <w:pPr>
      <w:keepNext/>
      <w:adjustRightInd w:val="0"/>
      <w:snapToGrid w:val="0"/>
      <w:spacing w:line="360" w:lineRule="auto"/>
      <w:ind w:firstLine="561"/>
      <w:jc w:val="center"/>
    </w:pPr>
    <w:rPr>
      <w:rFonts w:ascii="楷体_GB2312" w:eastAsia="楷体_GB2312"/>
      <w:b/>
      <w:sz w:val="28"/>
      <w:szCs w:val="20"/>
    </w:rPr>
  </w:style>
  <w:style w:type="paragraph" w:customStyle="1" w:styleId="608">
    <w:name w:val="Style58"/>
    <w:basedOn w:val="1"/>
    <w:unhideWhenUsed/>
    <w:qFormat/>
    <w:uiPriority w:val="0"/>
    <w:pPr>
      <w:spacing w:line="413" w:lineRule="exact"/>
    </w:pPr>
  </w:style>
  <w:style w:type="paragraph" w:customStyle="1" w:styleId="609">
    <w:name w:val="Char Char1 Char Char Char Char Char1 Char Char Char Char"/>
    <w:basedOn w:val="30"/>
    <w:qFormat/>
    <w:uiPriority w:val="0"/>
    <w:rPr>
      <w:rFonts w:ascii="Tahoma" w:hAnsi="Tahoma"/>
    </w:rPr>
  </w:style>
  <w:style w:type="paragraph" w:customStyle="1" w:styleId="610">
    <w:name w:val="xl29"/>
    <w:basedOn w:val="1"/>
    <w:qFormat/>
    <w:uiPriority w:val="0"/>
    <w:pPr>
      <w:widowControl/>
      <w:pBdr>
        <w:top w:val="single" w:color="auto" w:sz="12"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611">
    <w:name w:val="Char1 Char Char Char Char Char Char1"/>
    <w:basedOn w:val="1"/>
    <w:qFormat/>
    <w:uiPriority w:val="0"/>
  </w:style>
  <w:style w:type="paragraph" w:customStyle="1" w:styleId="612">
    <w:name w:val="Style10"/>
    <w:basedOn w:val="1"/>
    <w:unhideWhenUsed/>
    <w:qFormat/>
    <w:uiPriority w:val="99"/>
    <w:pPr>
      <w:spacing w:line="538" w:lineRule="exact"/>
    </w:pPr>
  </w:style>
  <w:style w:type="paragraph" w:customStyle="1" w:styleId="613">
    <w:name w:val="Style45"/>
    <w:basedOn w:val="1"/>
    <w:unhideWhenUsed/>
    <w:qFormat/>
    <w:uiPriority w:val="99"/>
  </w:style>
  <w:style w:type="paragraph" w:customStyle="1" w:styleId="614">
    <w:name w:val="Char"/>
    <w:basedOn w:val="1"/>
    <w:qFormat/>
    <w:uiPriority w:val="0"/>
    <w:pPr>
      <w:tabs>
        <w:tab w:val="left" w:pos="360"/>
      </w:tabs>
      <w:ind w:left="360" w:hanging="360" w:hangingChars="200"/>
    </w:pPr>
    <w:rPr>
      <w:sz w:val="24"/>
    </w:rPr>
  </w:style>
  <w:style w:type="paragraph" w:customStyle="1" w:styleId="615">
    <w:name w:val="Char Char1"/>
    <w:basedOn w:val="1"/>
    <w:qFormat/>
    <w:uiPriority w:val="0"/>
    <w:pPr>
      <w:widowControl/>
      <w:spacing w:after="160" w:line="240" w:lineRule="exact"/>
      <w:jc w:val="left"/>
    </w:pPr>
    <w:rPr>
      <w:szCs w:val="20"/>
    </w:rPr>
  </w:style>
  <w:style w:type="paragraph" w:customStyle="1" w:styleId="616">
    <w:name w:val="Pa9+1"/>
    <w:basedOn w:val="1"/>
    <w:next w:val="1"/>
    <w:qFormat/>
    <w:uiPriority w:val="0"/>
    <w:pPr>
      <w:autoSpaceDE w:val="0"/>
      <w:autoSpaceDN w:val="0"/>
      <w:adjustRightInd w:val="0"/>
      <w:spacing w:line="241" w:lineRule="atLeast"/>
      <w:jc w:val="left"/>
    </w:pPr>
    <w:rPr>
      <w:rFonts w:ascii="HelveticaNeueLT Std Lt" w:eastAsia="HelveticaNeueLT Std Lt"/>
      <w:kern w:val="0"/>
      <w:sz w:val="24"/>
    </w:rPr>
  </w:style>
  <w:style w:type="paragraph" w:customStyle="1" w:styleId="617">
    <w:name w:val="Style46"/>
    <w:basedOn w:val="1"/>
    <w:unhideWhenUsed/>
    <w:qFormat/>
    <w:uiPriority w:val="99"/>
    <w:pPr>
      <w:spacing w:line="672" w:lineRule="exact"/>
    </w:pPr>
  </w:style>
  <w:style w:type="paragraph" w:customStyle="1" w:styleId="618">
    <w:name w:val="Char Char1 Char Char Char Char Char Char Char"/>
    <w:basedOn w:val="1"/>
    <w:qFormat/>
    <w:uiPriority w:val="0"/>
    <w:pPr>
      <w:widowControl/>
      <w:spacing w:after="160" w:line="240" w:lineRule="exact"/>
      <w:jc w:val="left"/>
    </w:pPr>
  </w:style>
  <w:style w:type="paragraph" w:customStyle="1" w:styleId="61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62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621">
    <w:name w:val="1"/>
    <w:basedOn w:val="1"/>
    <w:qFormat/>
    <w:uiPriority w:val="0"/>
    <w:pPr>
      <w:spacing w:afterLines="50" w:line="360" w:lineRule="auto"/>
    </w:pPr>
    <w:rPr>
      <w:rFonts w:ascii="宋体" w:hAnsi="宋体"/>
      <w:b/>
      <w:sz w:val="30"/>
      <w:szCs w:val="21"/>
    </w:rPr>
  </w:style>
  <w:style w:type="paragraph" w:customStyle="1" w:styleId="622">
    <w:name w:val="style18"/>
    <w:basedOn w:val="1"/>
    <w:qFormat/>
    <w:uiPriority w:val="0"/>
    <w:pPr>
      <w:widowControl/>
      <w:spacing w:before="100" w:beforeAutospacing="1" w:after="100" w:afterAutospacing="1"/>
      <w:jc w:val="left"/>
    </w:pPr>
    <w:rPr>
      <w:rFonts w:ascii="宋体" w:hAnsi="宋体" w:cs="宋体"/>
      <w:b/>
      <w:bCs/>
      <w:color w:val="FFFFFF"/>
      <w:kern w:val="0"/>
      <w:sz w:val="18"/>
      <w:szCs w:val="18"/>
    </w:rPr>
  </w:style>
  <w:style w:type="paragraph" w:customStyle="1" w:styleId="623">
    <w:name w:val="Style34"/>
    <w:basedOn w:val="1"/>
    <w:qFormat/>
    <w:uiPriority w:val="99"/>
    <w:pPr>
      <w:spacing w:line="375" w:lineRule="exact"/>
    </w:pPr>
  </w:style>
  <w:style w:type="paragraph" w:customStyle="1" w:styleId="624">
    <w:name w:val="规范"/>
    <w:basedOn w:val="1"/>
    <w:next w:val="1"/>
    <w:qFormat/>
    <w:uiPriority w:val="0"/>
    <w:pPr>
      <w:tabs>
        <w:tab w:val="left" w:pos="420"/>
      </w:tabs>
      <w:spacing w:line="288" w:lineRule="auto"/>
      <w:ind w:left="420" w:hanging="420"/>
      <w:jc w:val="left"/>
    </w:pPr>
    <w:rPr>
      <w:sz w:val="24"/>
    </w:rPr>
  </w:style>
  <w:style w:type="paragraph" w:customStyle="1" w:styleId="625">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cs="Arial Unicode MS"/>
      <w:color w:val="000000"/>
      <w:kern w:val="0"/>
      <w:sz w:val="22"/>
      <w:szCs w:val="22"/>
    </w:rPr>
  </w:style>
  <w:style w:type="paragraph" w:customStyle="1" w:styleId="626">
    <w:name w:val="正文(悬挂缩进)"/>
    <w:qFormat/>
    <w:uiPriority w:val="0"/>
    <w:pPr>
      <w:adjustRightInd w:val="0"/>
      <w:snapToGrid w:val="0"/>
      <w:spacing w:line="360" w:lineRule="auto"/>
      <w:ind w:left="300" w:leftChars="200" w:hanging="100" w:hangingChars="100"/>
    </w:pPr>
    <w:rPr>
      <w:rFonts w:ascii="Times New Roman" w:hAnsi="Times New Roman" w:eastAsia="仿宋_GB2312" w:cs="Times New Roman"/>
      <w:spacing w:val="2"/>
      <w:kern w:val="24"/>
      <w:sz w:val="24"/>
      <w:lang w:val="en-US" w:eastAsia="zh-CN" w:bidi="ar-SA"/>
    </w:rPr>
  </w:style>
  <w:style w:type="paragraph" w:customStyle="1" w:styleId="627">
    <w:name w:val="font13"/>
    <w:basedOn w:val="1"/>
    <w:qFormat/>
    <w:uiPriority w:val="0"/>
    <w:pPr>
      <w:widowControl/>
      <w:spacing w:before="100" w:beforeAutospacing="1" w:after="100" w:afterAutospacing="1"/>
      <w:jc w:val="left"/>
    </w:pPr>
    <w:rPr>
      <w:rFonts w:eastAsia="Arial Unicode MS"/>
      <w:color w:val="000000"/>
      <w:kern w:val="0"/>
      <w:sz w:val="22"/>
      <w:szCs w:val="22"/>
    </w:rPr>
  </w:style>
  <w:style w:type="paragraph" w:customStyle="1" w:styleId="628">
    <w:name w:val="Style41"/>
    <w:basedOn w:val="1"/>
    <w:unhideWhenUsed/>
    <w:qFormat/>
    <w:uiPriority w:val="99"/>
    <w:pPr>
      <w:spacing w:line="542" w:lineRule="exact"/>
      <w:ind w:firstLine="125"/>
    </w:pPr>
  </w:style>
  <w:style w:type="paragraph" w:customStyle="1" w:styleId="629">
    <w:name w:val="正文右"/>
    <w:basedOn w:val="1"/>
    <w:qFormat/>
    <w:uiPriority w:val="0"/>
    <w:pPr>
      <w:keepNext/>
      <w:adjustRightInd w:val="0"/>
      <w:snapToGrid w:val="0"/>
      <w:spacing w:line="360" w:lineRule="atLeast"/>
      <w:jc w:val="center"/>
    </w:pPr>
    <w:rPr>
      <w:rFonts w:ascii="宋体"/>
      <w:sz w:val="32"/>
      <w:szCs w:val="20"/>
    </w:rPr>
  </w:style>
  <w:style w:type="paragraph" w:customStyle="1" w:styleId="630">
    <w:name w:val="样式 正文文本缩进正文文本缩进 Char Char正文文本缩进1正文文字缩进 Char1 Char正文文字缩进小黑点符..."/>
    <w:basedOn w:val="3"/>
    <w:qFormat/>
    <w:uiPriority w:val="0"/>
    <w:pPr>
      <w:autoSpaceDE w:val="0"/>
      <w:autoSpaceDN w:val="0"/>
      <w:adjustRightInd w:val="0"/>
      <w:spacing w:after="0" w:line="360" w:lineRule="auto"/>
      <w:ind w:left="0" w:leftChars="0" w:right="-79" w:firstLine="200" w:firstLineChars="200"/>
    </w:pPr>
    <w:rPr>
      <w:rFonts w:ascii="Times New Roman" w:hAnsi="Times New Roman" w:cs="宋体"/>
      <w:kern w:val="0"/>
      <w:sz w:val="24"/>
      <w:szCs w:val="20"/>
    </w:rPr>
  </w:style>
  <w:style w:type="paragraph" w:customStyle="1" w:styleId="631">
    <w:name w:val="Rubric"/>
    <w:basedOn w:val="1"/>
    <w:qFormat/>
    <w:uiPriority w:val="0"/>
    <w:pPr>
      <w:widowControl/>
      <w:overflowPunct w:val="0"/>
      <w:spacing w:beforeLines="100" w:afterLines="100" w:line="480" w:lineRule="auto"/>
      <w:jc w:val="center"/>
      <w:textAlignment w:val="baseline"/>
    </w:pPr>
    <w:rPr>
      <w:b/>
      <w:kern w:val="24"/>
      <w:sz w:val="32"/>
      <w:szCs w:val="20"/>
    </w:rPr>
  </w:style>
  <w:style w:type="paragraph" w:customStyle="1" w:styleId="632">
    <w:name w:val="news"/>
    <w:basedOn w:val="1"/>
    <w:qFormat/>
    <w:uiPriority w:val="0"/>
    <w:pPr>
      <w:widowControl/>
      <w:spacing w:before="100" w:beforeAutospacing="1" w:after="100" w:afterAutospacing="1" w:line="288" w:lineRule="auto"/>
      <w:jc w:val="left"/>
    </w:pPr>
    <w:rPr>
      <w:rFonts w:hint="eastAsia" w:ascii="宋体" w:hAnsi="宋体"/>
      <w:color w:val="333333"/>
      <w:kern w:val="0"/>
      <w:sz w:val="24"/>
    </w:rPr>
  </w:style>
  <w:style w:type="paragraph" w:customStyle="1" w:styleId="633">
    <w:name w:val="NO3"/>
    <w:basedOn w:val="1"/>
    <w:qFormat/>
    <w:uiPriority w:val="0"/>
    <w:pPr>
      <w:tabs>
        <w:tab w:val="left" w:pos="907"/>
      </w:tabs>
      <w:spacing w:line="360" w:lineRule="auto"/>
    </w:pPr>
    <w:rPr>
      <w:rFonts w:ascii="宋体" w:hAnsi="宋体"/>
      <w:sz w:val="24"/>
    </w:rPr>
  </w:style>
  <w:style w:type="paragraph" w:customStyle="1" w:styleId="634">
    <w:name w:val="标题 1 +"/>
    <w:basedOn w:val="6"/>
    <w:next w:val="1"/>
    <w:qFormat/>
    <w:uiPriority w:val="0"/>
    <w:pPr>
      <w:keepLines/>
      <w:spacing w:line="600" w:lineRule="auto"/>
    </w:pPr>
    <w:rPr>
      <w:rFonts w:eastAsia="黑体"/>
      <w:kern w:val="0"/>
      <w:sz w:val="32"/>
      <w:szCs w:val="32"/>
    </w:rPr>
  </w:style>
  <w:style w:type="paragraph" w:customStyle="1" w:styleId="635">
    <w:name w:val="CM25"/>
    <w:basedOn w:val="499"/>
    <w:next w:val="499"/>
    <w:qFormat/>
    <w:uiPriority w:val="0"/>
    <w:pPr>
      <w:spacing w:after="768"/>
    </w:pPr>
    <w:rPr>
      <w:rFonts w:ascii=".a..DD.." w:eastAsia=".a..DD.."/>
      <w:sz w:val="24"/>
      <w:szCs w:val="24"/>
    </w:rPr>
  </w:style>
  <w:style w:type="paragraph" w:customStyle="1" w:styleId="636">
    <w:name w:val="bodytext1"/>
    <w:basedOn w:val="1"/>
    <w:qFormat/>
    <w:uiPriority w:val="0"/>
    <w:pPr>
      <w:widowControl/>
      <w:spacing w:after="100"/>
      <w:jc w:val="left"/>
    </w:pPr>
    <w:rPr>
      <w:rFonts w:ascii="Arial" w:hAnsi="Arial" w:cs="Arial"/>
      <w:kern w:val="0"/>
      <w:sz w:val="20"/>
      <w:szCs w:val="20"/>
    </w:rPr>
  </w:style>
  <w:style w:type="paragraph" w:customStyle="1" w:styleId="637">
    <w:name w:val="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638">
    <w:name w:val="s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639">
    <w:name w:val="paheader"/>
    <w:basedOn w:val="1"/>
    <w:qFormat/>
    <w:uiPriority w:val="0"/>
    <w:pPr>
      <w:widowControl/>
      <w:spacing w:before="100" w:beforeAutospacing="1" w:after="100" w:afterAutospacing="1" w:line="240" w:lineRule="atLeast"/>
      <w:jc w:val="left"/>
    </w:pPr>
    <w:rPr>
      <w:rFonts w:ascii="ˎ̥" w:hAnsi="ˎ̥" w:cs="宋体"/>
      <w:b/>
      <w:bCs/>
      <w:color w:val="660000"/>
      <w:kern w:val="0"/>
      <w:sz w:val="18"/>
      <w:szCs w:val="18"/>
    </w:rPr>
  </w:style>
  <w:style w:type="paragraph" w:customStyle="1" w:styleId="640">
    <w:name w:val="Section Heading"/>
    <w:basedOn w:val="6"/>
    <w:qFormat/>
    <w:uiPriority w:val="0"/>
    <w:pPr>
      <w:keepLines/>
      <w:widowControl/>
      <w:pBdr>
        <w:top w:val="single" w:color="FFFFFF" w:sz="48" w:space="3"/>
        <w:left w:val="single" w:color="FFFFFF" w:sz="6" w:space="3"/>
        <w:bottom w:val="single" w:color="FFFFFF" w:sz="6" w:space="3"/>
      </w:pBdr>
      <w:shd w:val="solid" w:color="auto" w:fill="auto"/>
      <w:tabs>
        <w:tab w:val="left" w:pos="720"/>
      </w:tabs>
      <w:spacing w:after="240" w:line="240" w:lineRule="atLeast"/>
      <w:ind w:left="120"/>
      <w:jc w:val="left"/>
    </w:pPr>
    <w:rPr>
      <w:rFonts w:ascii="Arial Black" w:hAnsi="Arial Black"/>
      <w:b w:val="0"/>
      <w:bCs w:val="0"/>
      <w:color w:val="FFFFFF"/>
      <w:spacing w:val="-10"/>
      <w:kern w:val="20"/>
      <w:lang w:eastAsia="en-US"/>
    </w:rPr>
  </w:style>
  <w:style w:type="paragraph" w:customStyle="1" w:styleId="641">
    <w:name w:val="五级条标题"/>
    <w:basedOn w:val="642"/>
    <w:next w:val="647"/>
    <w:qFormat/>
    <w:uiPriority w:val="0"/>
    <w:pPr>
      <w:tabs>
        <w:tab w:val="left" w:pos="840"/>
        <w:tab w:val="left" w:pos="1260"/>
        <w:tab w:val="left" w:pos="2100"/>
        <w:tab w:val="left" w:pos="2940"/>
      </w:tabs>
      <w:ind w:left="2940"/>
      <w:outlineLvl w:val="6"/>
    </w:pPr>
  </w:style>
  <w:style w:type="paragraph" w:customStyle="1" w:styleId="642">
    <w:name w:val="四级条标题"/>
    <w:basedOn w:val="643"/>
    <w:next w:val="647"/>
    <w:qFormat/>
    <w:uiPriority w:val="0"/>
    <w:pPr>
      <w:tabs>
        <w:tab w:val="left" w:pos="840"/>
        <w:tab w:val="left" w:pos="1260"/>
        <w:tab w:val="left" w:pos="2100"/>
      </w:tabs>
      <w:ind w:left="2580"/>
      <w:outlineLvl w:val="5"/>
    </w:pPr>
  </w:style>
  <w:style w:type="paragraph" w:customStyle="1" w:styleId="643">
    <w:name w:val="三级条标题"/>
    <w:basedOn w:val="644"/>
    <w:next w:val="647"/>
    <w:qFormat/>
    <w:uiPriority w:val="0"/>
    <w:pPr>
      <w:tabs>
        <w:tab w:val="left" w:pos="840"/>
        <w:tab w:val="left" w:pos="1260"/>
        <w:tab w:val="left" w:pos="2100"/>
      </w:tabs>
      <w:ind w:left="2100" w:hanging="420"/>
      <w:outlineLvl w:val="4"/>
    </w:pPr>
  </w:style>
  <w:style w:type="paragraph" w:customStyle="1" w:styleId="644">
    <w:name w:val="二级条标题"/>
    <w:basedOn w:val="645"/>
    <w:next w:val="647"/>
    <w:qFormat/>
    <w:uiPriority w:val="0"/>
    <w:pPr>
      <w:tabs>
        <w:tab w:val="left" w:pos="840"/>
        <w:tab w:val="left" w:pos="1260"/>
      </w:tabs>
      <w:ind w:left="0" w:firstLine="0"/>
      <w:outlineLvl w:val="3"/>
    </w:pPr>
  </w:style>
  <w:style w:type="paragraph" w:customStyle="1" w:styleId="645">
    <w:name w:val="一级条标题"/>
    <w:basedOn w:val="646"/>
    <w:next w:val="647"/>
    <w:qFormat/>
    <w:uiPriority w:val="0"/>
    <w:pPr>
      <w:tabs>
        <w:tab w:val="left" w:pos="840"/>
        <w:tab w:val="left" w:pos="1260"/>
      </w:tabs>
      <w:ind w:left="1260"/>
      <w:outlineLvl w:val="2"/>
    </w:pPr>
  </w:style>
  <w:style w:type="paragraph" w:customStyle="1" w:styleId="646">
    <w:name w:val="章标题"/>
    <w:next w:val="647"/>
    <w:qFormat/>
    <w:uiPriority w:val="0"/>
    <w:pPr>
      <w:tabs>
        <w:tab w:val="left" w:pos="840"/>
      </w:tabs>
      <w:spacing w:beforeLines="50" w:afterLines="50"/>
      <w:ind w:left="840" w:hanging="420"/>
      <w:jc w:val="both"/>
      <w:outlineLvl w:val="1"/>
    </w:pPr>
    <w:rPr>
      <w:rFonts w:ascii="黑体" w:hAnsi="Times New Roman" w:eastAsia="黑体" w:cs="Times New Roman"/>
      <w:sz w:val="21"/>
      <w:lang w:val="en-US" w:eastAsia="zh-CN" w:bidi="ar-SA"/>
    </w:rPr>
  </w:style>
  <w:style w:type="paragraph" w:customStyle="1" w:styleId="64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8">
    <w:name w:val="黑圆标"/>
    <w:basedOn w:val="4"/>
    <w:qFormat/>
    <w:uiPriority w:val="0"/>
    <w:pPr>
      <w:widowControl w:val="0"/>
      <w:tabs>
        <w:tab w:val="left" w:pos="340"/>
        <w:tab w:val="left" w:pos="425"/>
      </w:tabs>
      <w:spacing w:line="400" w:lineRule="exact"/>
      <w:ind w:left="340" w:hanging="340" w:firstLineChars="200"/>
      <w:jc w:val="both"/>
    </w:pPr>
    <w:rPr>
      <w:rFonts w:ascii="Calibri" w:hAnsi="Calibri"/>
      <w:color w:val="000000"/>
      <w:kern w:val="2"/>
      <w:sz w:val="24"/>
      <w:lang w:val="sv-SE"/>
    </w:rPr>
  </w:style>
  <w:style w:type="paragraph" w:customStyle="1" w:styleId="649">
    <w:name w:val="p16"/>
    <w:basedOn w:val="1"/>
    <w:qFormat/>
    <w:uiPriority w:val="0"/>
    <w:pPr>
      <w:widowControl/>
      <w:jc w:val="left"/>
    </w:pPr>
    <w:rPr>
      <w:kern w:val="0"/>
      <w:szCs w:val="21"/>
    </w:rPr>
  </w:style>
  <w:style w:type="paragraph" w:customStyle="1" w:styleId="650">
    <w:name w:val="Arial corps 9"/>
    <w:basedOn w:val="544"/>
    <w:qFormat/>
    <w:uiPriority w:val="0"/>
    <w:rPr>
      <w:rFonts w:ascii="Arial" w:hAnsi="Arial"/>
    </w:rPr>
  </w:style>
  <w:style w:type="paragraph" w:customStyle="1" w:styleId="651">
    <w:name w:val="特点反白字"/>
    <w:qFormat/>
    <w:uiPriority w:val="0"/>
    <w:pPr>
      <w:autoSpaceDE w:val="0"/>
      <w:autoSpaceDN w:val="0"/>
      <w:adjustRightInd w:val="0"/>
      <w:ind w:left="198"/>
      <w:jc w:val="both"/>
    </w:pPr>
    <w:rPr>
      <w:rFonts w:ascii="汉鼎简中等线Arial" w:hAnsi="Times New Roman" w:eastAsia="汉鼎简中等线Arial" w:cs="Times New Roman"/>
      <w:color w:val="FFFFFF"/>
      <w:sz w:val="16"/>
      <w:szCs w:val="16"/>
      <w:lang w:val="en-US" w:eastAsia="en-US" w:bidi="ar-SA"/>
    </w:rPr>
  </w:style>
  <w:style w:type="paragraph" w:customStyle="1" w:styleId="652">
    <w:name w:val="图片"/>
    <w:basedOn w:val="1"/>
    <w:qFormat/>
    <w:uiPriority w:val="0"/>
  </w:style>
  <w:style w:type="paragraph" w:customStyle="1" w:styleId="653">
    <w:name w:val="siheader"/>
    <w:basedOn w:val="1"/>
    <w:qFormat/>
    <w:uiPriority w:val="0"/>
    <w:pPr>
      <w:widowControl/>
      <w:spacing w:before="100" w:beforeAutospacing="1" w:after="100" w:afterAutospacing="1" w:line="240" w:lineRule="atLeast"/>
      <w:jc w:val="left"/>
    </w:pPr>
    <w:rPr>
      <w:rFonts w:ascii="ˎ̥" w:hAnsi="ˎ̥" w:cs="宋体"/>
      <w:b/>
      <w:bCs/>
      <w:color w:val="003366"/>
      <w:kern w:val="0"/>
      <w:sz w:val="18"/>
      <w:szCs w:val="18"/>
    </w:rPr>
  </w:style>
  <w:style w:type="paragraph" w:customStyle="1" w:styleId="654">
    <w:name w:val="正文（不缩进）"/>
    <w:basedOn w:val="1"/>
    <w:qFormat/>
    <w:uiPriority w:val="0"/>
    <w:pPr>
      <w:tabs>
        <w:tab w:val="left" w:pos="420"/>
      </w:tabs>
      <w:spacing w:line="360" w:lineRule="auto"/>
    </w:pPr>
    <w:rPr>
      <w:sz w:val="24"/>
      <w:szCs w:val="20"/>
    </w:rPr>
  </w:style>
  <w:style w:type="paragraph" w:customStyle="1" w:styleId="655">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656">
    <w:name w:val="Style9"/>
    <w:basedOn w:val="1"/>
    <w:unhideWhenUsed/>
    <w:qFormat/>
    <w:uiPriority w:val="99"/>
  </w:style>
  <w:style w:type="paragraph" w:customStyle="1" w:styleId="657">
    <w:name w:val="正文(数字序号)"/>
    <w:basedOn w:val="1"/>
    <w:qFormat/>
    <w:uiPriority w:val="0"/>
    <w:pPr>
      <w:tabs>
        <w:tab w:val="left" w:pos="567"/>
      </w:tabs>
      <w:spacing w:line="360" w:lineRule="auto"/>
      <w:ind w:firstLine="567"/>
    </w:pPr>
    <w:rPr>
      <w:rFonts w:eastAsia="仿宋_GB2312"/>
      <w:sz w:val="24"/>
    </w:rPr>
  </w:style>
  <w:style w:type="paragraph" w:customStyle="1" w:styleId="658">
    <w:name w:val="样式 目录 2 + 首行缩进:  2 字符 段后: 0.5 行"/>
    <w:basedOn w:val="77"/>
    <w:qFormat/>
    <w:uiPriority w:val="0"/>
    <w:pPr>
      <w:tabs>
        <w:tab w:val="left" w:pos="534"/>
        <w:tab w:val="right" w:leader="dot" w:pos="8277"/>
      </w:tabs>
      <w:spacing w:line="240" w:lineRule="auto"/>
      <w:ind w:left="0" w:leftChars="0"/>
      <w:jc w:val="left"/>
    </w:pPr>
    <w:rPr>
      <w:rFonts w:cs="宋体"/>
      <w:iCs/>
      <w:snapToGrid w:val="0"/>
      <w:kern w:val="0"/>
      <w:sz w:val="20"/>
      <w:szCs w:val="20"/>
    </w:rPr>
  </w:style>
  <w:style w:type="paragraph" w:customStyle="1" w:styleId="659">
    <w:name w:val="图签"/>
    <w:basedOn w:val="1"/>
    <w:qFormat/>
    <w:uiPriority w:val="0"/>
    <w:pPr>
      <w:keepNext/>
      <w:adjustRightInd w:val="0"/>
      <w:snapToGrid w:val="0"/>
      <w:spacing w:line="240" w:lineRule="exact"/>
    </w:pPr>
    <w:rPr>
      <w:rFonts w:ascii="宋体"/>
      <w:szCs w:val="20"/>
    </w:rPr>
  </w:style>
  <w:style w:type="paragraph" w:customStyle="1" w:styleId="660">
    <w:name w:val="TOC 标题1"/>
    <w:basedOn w:val="6"/>
    <w:next w:val="1"/>
    <w:qFormat/>
    <w:uiPriority w:val="39"/>
    <w:pPr>
      <w:keepLines/>
      <w:widowControl/>
      <w:spacing w:line="276" w:lineRule="auto"/>
      <w:jc w:val="left"/>
      <w:outlineLvl w:val="9"/>
    </w:pPr>
    <w:rPr>
      <w:rFonts w:ascii="Cambria" w:hAnsi="Cambria"/>
      <w:color w:val="365F91"/>
      <w:kern w:val="0"/>
      <w:sz w:val="28"/>
      <w:szCs w:val="28"/>
    </w:rPr>
  </w:style>
  <w:style w:type="paragraph" w:customStyle="1" w:styleId="661">
    <w:name w:val="Style62"/>
    <w:basedOn w:val="1"/>
    <w:unhideWhenUsed/>
    <w:qFormat/>
    <w:uiPriority w:val="99"/>
  </w:style>
  <w:style w:type="paragraph" w:customStyle="1" w:styleId="662">
    <w:name w:val="CM99"/>
    <w:basedOn w:val="1"/>
    <w:next w:val="1"/>
    <w:qFormat/>
    <w:uiPriority w:val="0"/>
    <w:pPr>
      <w:autoSpaceDE w:val="0"/>
      <w:autoSpaceDN w:val="0"/>
      <w:adjustRightInd w:val="0"/>
      <w:spacing w:after="443"/>
      <w:jc w:val="left"/>
    </w:pPr>
    <w:rPr>
      <w:rFonts w:ascii="宋体"/>
      <w:kern w:val="0"/>
      <w:sz w:val="24"/>
      <w:szCs w:val="20"/>
    </w:rPr>
  </w:style>
  <w:style w:type="paragraph" w:customStyle="1" w:styleId="663">
    <w:name w:val="iheader"/>
    <w:basedOn w:val="1"/>
    <w:qFormat/>
    <w:uiPriority w:val="0"/>
    <w:pPr>
      <w:widowControl/>
      <w:spacing w:before="100" w:beforeAutospacing="1" w:after="100" w:afterAutospacing="1" w:line="240" w:lineRule="atLeast"/>
      <w:jc w:val="left"/>
    </w:pPr>
    <w:rPr>
      <w:rFonts w:ascii="ˎ̥" w:hAnsi="ˎ̥" w:cs="宋体"/>
      <w:b/>
      <w:bCs/>
      <w:color w:val="003366"/>
      <w:kern w:val="0"/>
      <w:sz w:val="18"/>
      <w:szCs w:val="18"/>
    </w:rPr>
  </w:style>
  <w:style w:type="paragraph" w:customStyle="1" w:styleId="664">
    <w:name w:val="CM21"/>
    <w:basedOn w:val="499"/>
    <w:next w:val="499"/>
    <w:qFormat/>
    <w:uiPriority w:val="0"/>
    <w:pPr>
      <w:spacing w:after="600"/>
    </w:pPr>
    <w:rPr>
      <w:rFonts w:ascii=".a..DD.." w:eastAsia=".a..DD.."/>
      <w:sz w:val="24"/>
      <w:szCs w:val="24"/>
    </w:rPr>
  </w:style>
  <w:style w:type="paragraph" w:customStyle="1" w:styleId="66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666">
    <w:name w:val="文字"/>
    <w:basedOn w:val="1"/>
    <w:qFormat/>
    <w:uiPriority w:val="0"/>
    <w:pPr>
      <w:spacing w:before="120" w:line="300" w:lineRule="auto"/>
      <w:ind w:firstLine="461" w:firstLineChars="192"/>
    </w:pPr>
    <w:rPr>
      <w:rFonts w:ascii="宋体" w:hAnsi="宋体"/>
      <w:sz w:val="24"/>
      <w:szCs w:val="20"/>
    </w:rPr>
  </w:style>
  <w:style w:type="paragraph" w:customStyle="1" w:styleId="667">
    <w:name w:val="CM12"/>
    <w:basedOn w:val="499"/>
    <w:next w:val="499"/>
    <w:qFormat/>
    <w:uiPriority w:val="0"/>
    <w:pPr>
      <w:spacing w:after="463"/>
    </w:pPr>
    <w:rPr>
      <w:rFonts w:ascii="Arial" w:hAnsi="Arial" w:eastAsia="宋体"/>
      <w:sz w:val="24"/>
      <w:szCs w:val="24"/>
    </w:rPr>
  </w:style>
  <w:style w:type="paragraph" w:customStyle="1" w:styleId="668">
    <w:name w:val="Section Header"/>
    <w:basedOn w:val="1"/>
    <w:next w:val="1"/>
    <w:qFormat/>
    <w:uiPriority w:val="0"/>
    <w:pPr>
      <w:widowControl/>
      <w:jc w:val="left"/>
    </w:pPr>
    <w:rPr>
      <w:rFonts w:ascii="Helvetica" w:hAnsi="Helvetica" w:eastAsia="PMingLiU"/>
      <w:b/>
      <w:kern w:val="0"/>
      <w:sz w:val="28"/>
      <w:szCs w:val="20"/>
      <w:lang w:eastAsia="zh-TW"/>
    </w:rPr>
  </w:style>
  <w:style w:type="paragraph" w:customStyle="1" w:styleId="669">
    <w:name w:val="正文 A"/>
    <w:qFormat/>
    <w:uiPriority w:val="0"/>
    <w:rPr>
      <w:rFonts w:ascii="Times New Roman" w:hAnsi="Times New Roman" w:eastAsia="Calibri" w:cs="Calibri"/>
      <w:color w:val="000000"/>
      <w:sz w:val="24"/>
      <w:szCs w:val="24"/>
      <w:u w:color="000000"/>
      <w:lang w:val="en-US" w:eastAsia="zh-CN" w:bidi="ar-SA"/>
    </w:rPr>
  </w:style>
  <w:style w:type="paragraph" w:customStyle="1" w:styleId="670">
    <w:name w:val="样式 标题 2 + 字距调整二号"/>
    <w:basedOn w:val="7"/>
    <w:qFormat/>
    <w:uiPriority w:val="0"/>
    <w:pPr>
      <w:tabs>
        <w:tab w:val="left" w:pos="576"/>
      </w:tabs>
      <w:spacing w:before="120" w:after="120"/>
      <w:ind w:left="576" w:hanging="576"/>
    </w:pPr>
    <w:rPr>
      <w:rFonts w:ascii="Times New Roman" w:hAnsi="Times New Roman"/>
      <w:bCs w:val="0"/>
      <w:kern w:val="44"/>
      <w:szCs w:val="20"/>
    </w:rPr>
  </w:style>
  <w:style w:type="paragraph" w:customStyle="1" w:styleId="671">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72">
    <w:name w:val="Char1 Char Char Char"/>
    <w:basedOn w:val="1"/>
    <w:qFormat/>
    <w:uiPriority w:val="0"/>
    <w:pPr>
      <w:widowControl/>
      <w:spacing w:after="160" w:line="240" w:lineRule="exact"/>
      <w:jc w:val="left"/>
    </w:pPr>
    <w:rPr>
      <w:kern w:val="0"/>
      <w:sz w:val="24"/>
      <w:szCs w:val="20"/>
    </w:rPr>
  </w:style>
  <w:style w:type="paragraph" w:customStyle="1" w:styleId="673">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674">
    <w:name w:val="Style81"/>
    <w:basedOn w:val="1"/>
    <w:unhideWhenUsed/>
    <w:qFormat/>
    <w:uiPriority w:val="0"/>
    <w:pPr>
      <w:spacing w:line="547" w:lineRule="exact"/>
    </w:pPr>
  </w:style>
  <w:style w:type="paragraph" w:customStyle="1" w:styleId="675">
    <w:name w:val="Char Char Char Char Char Char Char Char Char Char1"/>
    <w:basedOn w:val="1"/>
    <w:qFormat/>
    <w:uiPriority w:val="0"/>
  </w:style>
  <w:style w:type="paragraph" w:customStyle="1" w:styleId="676">
    <w:name w:val="ziti"/>
    <w:basedOn w:val="1"/>
    <w:qFormat/>
    <w:uiPriority w:val="0"/>
    <w:pPr>
      <w:widowControl/>
      <w:spacing w:before="100" w:beforeAutospacing="1" w:after="100" w:afterAutospacing="1" w:line="345" w:lineRule="atLeast"/>
      <w:jc w:val="left"/>
    </w:pPr>
    <w:rPr>
      <w:rFonts w:ascii="Arial Unicode MS" w:hAnsi="Arial Unicode MS" w:eastAsia="Arial Unicode MS" w:cs="Arial Unicode MS"/>
      <w:kern w:val="0"/>
      <w:szCs w:val="21"/>
    </w:rPr>
  </w:style>
  <w:style w:type="paragraph" w:customStyle="1" w:styleId="677">
    <w:name w:val="wheader"/>
    <w:basedOn w:val="1"/>
    <w:qFormat/>
    <w:uiPriority w:val="0"/>
    <w:pPr>
      <w:widowControl/>
      <w:spacing w:before="100" w:beforeAutospacing="1" w:after="100" w:afterAutospacing="1" w:line="240" w:lineRule="atLeast"/>
      <w:jc w:val="left"/>
    </w:pPr>
    <w:rPr>
      <w:rFonts w:ascii="ˎ̥" w:hAnsi="ˎ̥" w:cs="宋体"/>
      <w:b/>
      <w:bCs/>
      <w:color w:val="003333"/>
      <w:kern w:val="0"/>
      <w:sz w:val="18"/>
      <w:szCs w:val="18"/>
    </w:rPr>
  </w:style>
  <w:style w:type="paragraph" w:customStyle="1" w:styleId="678">
    <w:name w:val="xl28"/>
    <w:basedOn w:val="1"/>
    <w:qFormat/>
    <w:uiPriority w:val="0"/>
    <w:pPr>
      <w:widowControl/>
      <w:pBdr>
        <w:top w:val="single" w:color="auto" w:sz="12" w:space="0"/>
        <w:left w:val="single" w:color="auto" w:sz="12"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67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680">
    <w:name w:val="页脚 New New New New New New"/>
    <w:basedOn w:val="681"/>
    <w:qFormat/>
    <w:uiPriority w:val="0"/>
    <w:pPr>
      <w:tabs>
        <w:tab w:val="center" w:pos="4153"/>
        <w:tab w:val="right" w:pos="8306"/>
      </w:tabs>
      <w:snapToGrid w:val="0"/>
      <w:jc w:val="left"/>
    </w:pPr>
    <w:rPr>
      <w:sz w:val="18"/>
      <w:szCs w:val="18"/>
    </w:rPr>
  </w:style>
  <w:style w:type="paragraph" w:customStyle="1" w:styleId="681">
    <w:name w:val="正文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2">
    <w:name w:val="样式 标题 2 + Times New Roman 四号 非加粗 段前: 5 磅 段后: 0 磅 行距: 固定值 20..."/>
    <w:basedOn w:val="7"/>
    <w:qFormat/>
    <w:uiPriority w:val="0"/>
    <w:pPr>
      <w:spacing w:before="100" w:line="400" w:lineRule="exact"/>
    </w:pPr>
    <w:rPr>
      <w:rFonts w:ascii="Times New Roman" w:hAnsi="Times New Roman" w:eastAsia="黑体"/>
      <w:b w:val="0"/>
      <w:bCs w:val="0"/>
      <w:sz w:val="28"/>
      <w:szCs w:val="20"/>
    </w:rPr>
  </w:style>
  <w:style w:type="paragraph" w:customStyle="1" w:styleId="683">
    <w:name w:val="Default Text"/>
    <w:basedOn w:val="1"/>
    <w:qFormat/>
    <w:uiPriority w:val="0"/>
    <w:pPr>
      <w:autoSpaceDE w:val="0"/>
      <w:autoSpaceDN w:val="0"/>
      <w:adjustRightInd w:val="0"/>
      <w:jc w:val="left"/>
      <w:textAlignment w:val="baseline"/>
    </w:pPr>
    <w:rPr>
      <w:rFonts w:ascii="楷体" w:hAnsi="Tms Rmn" w:eastAsia="楷体"/>
      <w:kern w:val="0"/>
      <w:sz w:val="28"/>
      <w:szCs w:val="20"/>
      <w:lang w:bidi="he-IL"/>
    </w:rPr>
  </w:style>
  <w:style w:type="paragraph" w:customStyle="1" w:styleId="684">
    <w:name w:val="font8"/>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685">
    <w:name w:val="表格表头"/>
    <w:basedOn w:val="686"/>
    <w:next w:val="686"/>
    <w:qFormat/>
    <w:uiPriority w:val="0"/>
    <w:pPr>
      <w:tabs>
        <w:tab w:val="left" w:pos="420"/>
      </w:tabs>
      <w:spacing w:before="60" w:beforeAutospacing="0" w:after="60" w:afterAutospacing="0" w:line="240" w:lineRule="auto"/>
      <w:jc w:val="center"/>
    </w:pPr>
    <w:rPr>
      <w:rFonts w:eastAsia="黑体"/>
      <w:b/>
      <w:color w:val="000000"/>
      <w:sz w:val="21"/>
    </w:rPr>
  </w:style>
  <w:style w:type="paragraph" w:customStyle="1" w:styleId="686">
    <w:name w:val="表格正文"/>
    <w:basedOn w:val="1"/>
    <w:qFormat/>
    <w:uiPriority w:val="0"/>
    <w:pPr>
      <w:spacing w:before="100" w:beforeAutospacing="1" w:after="100" w:afterAutospacing="1" w:line="240" w:lineRule="atLeast"/>
    </w:pPr>
    <w:rPr>
      <w:rFonts w:eastAsia="楷体_GB2312"/>
      <w:sz w:val="24"/>
      <w:szCs w:val="20"/>
    </w:rPr>
  </w:style>
  <w:style w:type="paragraph" w:customStyle="1" w:styleId="687">
    <w:name w:val="CM18"/>
    <w:basedOn w:val="499"/>
    <w:next w:val="499"/>
    <w:qFormat/>
    <w:uiPriority w:val="0"/>
    <w:pPr>
      <w:spacing w:line="626" w:lineRule="atLeast"/>
    </w:pPr>
    <w:rPr>
      <w:rFonts w:ascii=".a..DD.." w:eastAsia=".a..DD.."/>
      <w:sz w:val="24"/>
      <w:szCs w:val="24"/>
    </w:rPr>
  </w:style>
  <w:style w:type="paragraph" w:customStyle="1" w:styleId="688">
    <w:name w:val="sleftnav"/>
    <w:basedOn w:val="1"/>
    <w:qFormat/>
    <w:uiPriority w:val="0"/>
    <w:pPr>
      <w:widowControl/>
      <w:spacing w:before="100" w:beforeAutospacing="1" w:after="100" w:afterAutospacing="1" w:line="240" w:lineRule="atLeast"/>
      <w:jc w:val="left"/>
    </w:pPr>
    <w:rPr>
      <w:rFonts w:ascii="ˎ̥" w:hAnsi="ˎ̥" w:cs="宋体"/>
      <w:b/>
      <w:bCs/>
      <w:color w:val="660033"/>
      <w:kern w:val="0"/>
      <w:sz w:val="18"/>
      <w:szCs w:val="18"/>
    </w:rPr>
  </w:style>
  <w:style w:type="paragraph" w:customStyle="1" w:styleId="689">
    <w:name w:val="unnamed3"/>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690">
    <w:name w:val="Titre séparateur"/>
    <w:basedOn w:val="691"/>
    <w:qFormat/>
    <w:uiPriority w:val="0"/>
    <w:pPr>
      <w:shd w:val="pct10" w:color="auto" w:fill="FFFFFF"/>
      <w:spacing w:before="200" w:after="200"/>
    </w:pPr>
  </w:style>
  <w:style w:type="paragraph" w:customStyle="1" w:styleId="691">
    <w:name w:val="正文文本 21"/>
    <w:basedOn w:val="1"/>
    <w:qFormat/>
    <w:uiPriority w:val="0"/>
    <w:pPr>
      <w:jc w:val="left"/>
    </w:pPr>
    <w:rPr>
      <w:rFonts w:ascii="Arial" w:hAnsi="Arial"/>
      <w:b/>
      <w:kern w:val="0"/>
      <w:sz w:val="24"/>
      <w:szCs w:val="20"/>
      <w:lang w:val="fr-FR"/>
    </w:rPr>
  </w:style>
  <w:style w:type="paragraph" w:customStyle="1" w:styleId="692">
    <w:name w:val="正文段"/>
    <w:basedOn w:val="1"/>
    <w:qFormat/>
    <w:uiPriority w:val="0"/>
    <w:pPr>
      <w:widowControl/>
      <w:adjustRightInd w:val="0"/>
      <w:snapToGrid w:val="0"/>
      <w:spacing w:after="240" w:line="360" w:lineRule="atLeast"/>
      <w:ind w:firstLine="454" w:firstLineChars="200"/>
      <w:textAlignment w:val="bottom"/>
    </w:pPr>
    <w:rPr>
      <w:rFonts w:ascii="宋体"/>
      <w:kern w:val="0"/>
      <w:sz w:val="24"/>
      <w:szCs w:val="20"/>
    </w:rPr>
  </w:style>
  <w:style w:type="paragraph" w:customStyle="1" w:styleId="693">
    <w:name w:val="Style73"/>
    <w:basedOn w:val="1"/>
    <w:unhideWhenUsed/>
    <w:qFormat/>
    <w:uiPriority w:val="99"/>
    <w:pPr>
      <w:spacing w:line="538" w:lineRule="exact"/>
      <w:ind w:firstLine="533"/>
    </w:pPr>
  </w:style>
  <w:style w:type="paragraph" w:customStyle="1" w:styleId="694">
    <w:name w:val="Index Base"/>
    <w:basedOn w:val="1"/>
    <w:qFormat/>
    <w:uiPriority w:val="0"/>
    <w:pPr>
      <w:widowControl/>
      <w:spacing w:line="240" w:lineRule="atLeast"/>
      <w:ind w:left="360" w:hanging="360"/>
      <w:jc w:val="left"/>
    </w:pPr>
    <w:rPr>
      <w:rFonts w:ascii="Arial" w:hAnsi="Arial"/>
      <w:spacing w:val="-5"/>
      <w:kern w:val="0"/>
      <w:sz w:val="18"/>
      <w:szCs w:val="20"/>
      <w:lang w:eastAsia="en-US"/>
    </w:rPr>
  </w:style>
  <w:style w:type="paragraph" w:customStyle="1" w:styleId="695">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696">
    <w:name w:val="_Style 693"/>
    <w:basedOn w:val="6"/>
    <w:next w:val="1"/>
    <w:qFormat/>
    <w:uiPriority w:val="39"/>
    <w:pPr>
      <w:keepLines/>
      <w:widowControl/>
      <w:spacing w:before="480" w:line="276" w:lineRule="auto"/>
      <w:jc w:val="left"/>
      <w:outlineLvl w:val="9"/>
    </w:pPr>
    <w:rPr>
      <w:rFonts w:ascii="Cambria" w:hAnsi="Cambria"/>
      <w:color w:val="365F91"/>
      <w:kern w:val="0"/>
      <w:sz w:val="28"/>
      <w:szCs w:val="28"/>
    </w:rPr>
  </w:style>
  <w:style w:type="paragraph" w:customStyle="1" w:styleId="697">
    <w:name w:val="Style13"/>
    <w:basedOn w:val="1"/>
    <w:unhideWhenUsed/>
    <w:qFormat/>
    <w:uiPriority w:val="99"/>
  </w:style>
  <w:style w:type="paragraph" w:customStyle="1" w:styleId="698">
    <w:name w:val="middle"/>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699">
    <w:name w:val="tex"/>
    <w:basedOn w:val="1"/>
    <w:qFormat/>
    <w:uiPriority w:val="0"/>
    <w:pPr>
      <w:widowControl/>
      <w:spacing w:before="100" w:beforeAutospacing="1" w:after="100" w:afterAutospacing="1" w:line="400" w:lineRule="atLeast"/>
      <w:jc w:val="left"/>
    </w:pPr>
    <w:rPr>
      <w:rFonts w:ascii="宋体" w:hAnsi="宋体"/>
      <w:color w:val="000000"/>
      <w:kern w:val="0"/>
      <w:sz w:val="28"/>
      <w:szCs w:val="28"/>
    </w:rPr>
  </w:style>
  <w:style w:type="paragraph" w:customStyle="1" w:styleId="700">
    <w:name w:val="Char Char Char Char Char Char Char Char Char Char"/>
    <w:basedOn w:val="1"/>
    <w:qFormat/>
    <w:uiPriority w:val="0"/>
  </w:style>
  <w:style w:type="paragraph" w:styleId="701">
    <w:name w:val="List Paragraph"/>
    <w:basedOn w:val="1"/>
    <w:qFormat/>
    <w:uiPriority w:val="99"/>
    <w:pPr>
      <w:ind w:firstLine="420" w:firstLineChars="200"/>
    </w:pPr>
    <w:rPr>
      <w:szCs w:val="22"/>
    </w:rPr>
  </w:style>
  <w:style w:type="paragraph" w:customStyle="1" w:styleId="702">
    <w:name w:val="表格文字2"/>
    <w:basedOn w:val="1"/>
    <w:qFormat/>
    <w:uiPriority w:val="0"/>
    <w:pPr>
      <w:spacing w:line="360" w:lineRule="auto"/>
      <w:jc w:val="center"/>
    </w:pPr>
    <w:rPr>
      <w:rFonts w:ascii="宋体"/>
      <w:spacing w:val="22"/>
      <w:szCs w:val="20"/>
    </w:rPr>
  </w:style>
  <w:style w:type="paragraph" w:customStyle="1" w:styleId="703">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eastAsia="Arial Unicode MS" w:cs="Arial"/>
      <w:kern w:val="0"/>
      <w:sz w:val="20"/>
      <w:szCs w:val="20"/>
    </w:rPr>
  </w:style>
  <w:style w:type="paragraph" w:customStyle="1" w:styleId="704">
    <w:name w:val="xl30"/>
    <w:basedOn w:val="1"/>
    <w:qFormat/>
    <w:uiPriority w:val="0"/>
    <w:pPr>
      <w:widowControl/>
      <w:pBdr>
        <w:top w:val="single" w:color="auto" w:sz="4" w:space="0"/>
        <w:left w:val="single" w:color="auto" w:sz="12"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705">
    <w:name w:val="Style56"/>
    <w:basedOn w:val="1"/>
    <w:unhideWhenUsed/>
    <w:qFormat/>
    <w:uiPriority w:val="0"/>
  </w:style>
  <w:style w:type="paragraph" w:customStyle="1" w:styleId="706">
    <w:name w:val="Char2"/>
    <w:basedOn w:val="1"/>
    <w:qFormat/>
    <w:uiPriority w:val="0"/>
    <w:pPr>
      <w:widowControl/>
      <w:spacing w:after="160" w:line="240" w:lineRule="exact"/>
      <w:jc w:val="left"/>
    </w:pPr>
  </w:style>
  <w:style w:type="paragraph" w:customStyle="1" w:styleId="707">
    <w:name w:val="unnamed2"/>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708">
    <w:name w:val="Style61"/>
    <w:basedOn w:val="1"/>
    <w:unhideWhenUsed/>
    <w:qFormat/>
    <w:uiPriority w:val="99"/>
  </w:style>
  <w:style w:type="paragraph" w:customStyle="1" w:styleId="709">
    <w:name w:val="标题3"/>
    <w:basedOn w:val="6"/>
    <w:qFormat/>
    <w:uiPriority w:val="0"/>
    <w:pPr>
      <w:spacing w:beforeLines="50" w:afterLines="50" w:line="400" w:lineRule="exact"/>
      <w:jc w:val="both"/>
    </w:pPr>
    <w:rPr>
      <w:rFonts w:ascii="宋体" w:hAnsi="宋体"/>
      <w:kern w:val="32"/>
      <w:szCs w:val="32"/>
    </w:rPr>
  </w:style>
  <w:style w:type="paragraph" w:customStyle="1" w:styleId="710">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711">
    <w:name w:val="aheader"/>
    <w:basedOn w:val="1"/>
    <w:qFormat/>
    <w:uiPriority w:val="0"/>
    <w:pPr>
      <w:widowControl/>
      <w:spacing w:before="100" w:beforeAutospacing="1" w:after="100" w:afterAutospacing="1" w:line="240" w:lineRule="atLeast"/>
      <w:jc w:val="left"/>
    </w:pPr>
    <w:rPr>
      <w:rFonts w:ascii="ˎ̥" w:hAnsi="ˎ̥" w:cs="宋体"/>
      <w:b/>
      <w:bCs/>
      <w:color w:val="4A296B"/>
      <w:kern w:val="0"/>
      <w:sz w:val="18"/>
      <w:szCs w:val="18"/>
    </w:rPr>
  </w:style>
  <w:style w:type="paragraph" w:customStyle="1" w:styleId="712">
    <w:name w:val="Body Text Keep"/>
    <w:basedOn w:val="17"/>
    <w:qFormat/>
    <w:uiPriority w:val="0"/>
    <w:pPr>
      <w:keepNext/>
      <w:widowControl/>
      <w:spacing w:after="240" w:line="240" w:lineRule="atLeast"/>
    </w:pPr>
    <w:rPr>
      <w:rFonts w:ascii="Arial" w:hAnsi="Arial"/>
      <w:spacing w:val="-5"/>
      <w:kern w:val="0"/>
      <w:sz w:val="20"/>
      <w:szCs w:val="20"/>
      <w:lang w:eastAsia="en-US"/>
    </w:rPr>
  </w:style>
  <w:style w:type="paragraph" w:customStyle="1" w:styleId="713">
    <w:name w:val="Section Label"/>
    <w:basedOn w:val="504"/>
    <w:next w:val="17"/>
    <w:qFormat/>
    <w:uiPriority w:val="0"/>
    <w:pPr>
      <w:pBdr>
        <w:bottom w:val="single" w:color="auto" w:sz="6" w:space="2"/>
      </w:pBdr>
      <w:spacing w:before="360" w:after="360"/>
      <w:ind w:left="0"/>
    </w:pPr>
    <w:rPr>
      <w:rFonts w:ascii="Arial Black" w:hAnsi="Arial Black"/>
      <w:spacing w:val="-35"/>
      <w:sz w:val="50"/>
    </w:rPr>
  </w:style>
  <w:style w:type="paragraph" w:customStyle="1" w:styleId="714">
    <w:name w:val="正文左"/>
    <w:basedOn w:val="1"/>
    <w:qFormat/>
    <w:uiPriority w:val="0"/>
    <w:pPr>
      <w:keepNext/>
      <w:adjustRightInd w:val="0"/>
      <w:snapToGrid w:val="0"/>
      <w:ind w:left="259" w:leftChars="-1" w:hanging="261"/>
      <w:jc w:val="center"/>
      <w:outlineLvl w:val="0"/>
    </w:pPr>
    <w:rPr>
      <w:rFonts w:ascii="黑体" w:eastAsia="黑体"/>
      <w:b/>
      <w:sz w:val="52"/>
      <w:szCs w:val="20"/>
      <w:lang w:val="zh-CN"/>
    </w:rPr>
  </w:style>
  <w:style w:type="paragraph" w:customStyle="1" w:styleId="715">
    <w:name w:val="Style65"/>
    <w:basedOn w:val="1"/>
    <w:unhideWhenUsed/>
    <w:qFormat/>
    <w:uiPriority w:val="0"/>
  </w:style>
  <w:style w:type="paragraph" w:customStyle="1" w:styleId="716">
    <w:name w:val="CM16"/>
    <w:basedOn w:val="499"/>
    <w:next w:val="499"/>
    <w:qFormat/>
    <w:uiPriority w:val="0"/>
    <w:pPr>
      <w:spacing w:after="208"/>
    </w:pPr>
    <w:rPr>
      <w:rFonts w:ascii="Arial" w:hAnsi="Arial" w:eastAsia="宋体"/>
      <w:sz w:val="24"/>
      <w:szCs w:val="24"/>
    </w:rPr>
  </w:style>
  <w:style w:type="paragraph" w:customStyle="1" w:styleId="717">
    <w:name w:val="body1"/>
    <w:basedOn w:val="1"/>
    <w:qFormat/>
    <w:uiPriority w:val="0"/>
    <w:pPr>
      <w:widowControl/>
      <w:spacing w:after="120"/>
      <w:ind w:left="907"/>
    </w:pPr>
    <w:rPr>
      <w:kern w:val="0"/>
      <w:szCs w:val="20"/>
      <w:lang w:eastAsia="en-US"/>
    </w:rPr>
  </w:style>
  <w:style w:type="paragraph" w:customStyle="1" w:styleId="718">
    <w:name w:val="Style48"/>
    <w:basedOn w:val="1"/>
    <w:unhideWhenUsed/>
    <w:qFormat/>
    <w:uiPriority w:val="99"/>
    <w:pPr>
      <w:spacing w:line="542" w:lineRule="exact"/>
      <w:jc w:val="right"/>
    </w:pPr>
  </w:style>
  <w:style w:type="paragraph" w:customStyle="1" w:styleId="719">
    <w:name w:val="tleftnav"/>
    <w:basedOn w:val="1"/>
    <w:qFormat/>
    <w:uiPriority w:val="0"/>
    <w:pPr>
      <w:widowControl/>
      <w:spacing w:before="100" w:beforeAutospacing="1" w:after="100" w:afterAutospacing="1" w:line="240" w:lineRule="atLeast"/>
      <w:jc w:val="left"/>
    </w:pPr>
    <w:rPr>
      <w:rFonts w:ascii="ˎ̥" w:hAnsi="ˎ̥" w:cs="宋体"/>
      <w:b/>
      <w:bCs/>
      <w:color w:val="294130"/>
      <w:kern w:val="0"/>
      <w:sz w:val="18"/>
      <w:szCs w:val="18"/>
    </w:rPr>
  </w:style>
  <w:style w:type="paragraph" w:customStyle="1" w:styleId="720">
    <w:name w:val="默认段落字体 Char Char Char"/>
    <w:basedOn w:val="30"/>
    <w:qFormat/>
    <w:uiPriority w:val="0"/>
    <w:rPr>
      <w:rFonts w:ascii="Tahoma" w:hAnsi="Tahoma"/>
      <w:sz w:val="24"/>
      <w:szCs w:val="20"/>
    </w:rPr>
  </w:style>
  <w:style w:type="paragraph" w:customStyle="1" w:styleId="721">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722">
    <w:name w:val="Return Address"/>
    <w:basedOn w:val="1"/>
    <w:qFormat/>
    <w:uiPriority w:val="0"/>
    <w:pPr>
      <w:keepLines/>
      <w:framePr w:w="5160" w:h="840" w:wrap="notBeside" w:vAnchor="page" w:hAnchor="page" w:x="6120" w:y="914" w:anchorLock="1"/>
      <w:widowControl/>
      <w:tabs>
        <w:tab w:val="left" w:pos="2160"/>
      </w:tabs>
      <w:spacing w:line="160" w:lineRule="atLeast"/>
      <w:jc w:val="left"/>
    </w:pPr>
    <w:rPr>
      <w:rFonts w:ascii="Arial" w:hAnsi="Arial"/>
      <w:kern w:val="0"/>
      <w:sz w:val="14"/>
      <w:szCs w:val="20"/>
      <w:lang w:eastAsia="en-US"/>
    </w:rPr>
  </w:style>
  <w:style w:type="paragraph" w:customStyle="1" w:styleId="723">
    <w:name w:val="font10"/>
    <w:basedOn w:val="1"/>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724">
    <w:name w:val="titre haut de page"/>
    <w:qFormat/>
    <w:uiPriority w:val="0"/>
    <w:pPr>
      <w:widowControl w:val="0"/>
      <w:spacing w:before="1" w:after="1"/>
      <w:ind w:left="1" w:right="1" w:firstLine="1"/>
    </w:pPr>
    <w:rPr>
      <w:rFonts w:ascii="Helvetica" w:hAnsi="Helvetica" w:eastAsia="宋体" w:cs="Times New Roman"/>
      <w:b/>
      <w:color w:val="000000"/>
      <w:sz w:val="36"/>
      <w:lang w:val="fr-FR" w:eastAsia="zh-CN" w:bidi="ar-SA"/>
    </w:rPr>
  </w:style>
  <w:style w:type="paragraph" w:customStyle="1" w:styleId="725">
    <w:name w:val="14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726">
    <w:name w:val="特点黄标"/>
    <w:basedOn w:val="1"/>
    <w:qFormat/>
    <w:uiPriority w:val="0"/>
    <w:pPr>
      <w:widowControl/>
      <w:autoSpaceDE w:val="0"/>
      <w:autoSpaceDN w:val="0"/>
      <w:adjustRightInd w:val="0"/>
    </w:pPr>
    <w:rPr>
      <w:rFonts w:ascii="汉鼎简大黑Arial Black" w:eastAsia="汉鼎简大黑Arial Black"/>
      <w:color w:val="FFD80E"/>
      <w:kern w:val="0"/>
      <w:sz w:val="20"/>
      <w:lang w:eastAsia="en-US"/>
    </w:rPr>
  </w:style>
  <w:style w:type="paragraph" w:customStyle="1" w:styleId="727">
    <w:name w:val="paradoxstyle"/>
    <w:basedOn w:val="1"/>
    <w:qFormat/>
    <w:uiPriority w:val="0"/>
    <w:pPr>
      <w:widowControl/>
      <w:spacing w:before="100" w:beforeAutospacing="1" w:after="100" w:afterAutospacing="1"/>
      <w:jc w:val="left"/>
    </w:pPr>
    <w:rPr>
      <w:rFonts w:ascii="宋体" w:hAnsi="宋体"/>
      <w:kern w:val="0"/>
      <w:sz w:val="24"/>
    </w:rPr>
  </w:style>
  <w:style w:type="paragraph" w:customStyle="1" w:styleId="728">
    <w:name w:val="修订3"/>
    <w:unhideWhenUsed/>
    <w:qFormat/>
    <w:uiPriority w:val="0"/>
    <w:rPr>
      <w:rFonts w:ascii="Times New Roman" w:hAnsi="Times New Roman" w:eastAsia="宋体" w:cs="Times New Roman"/>
      <w:kern w:val="2"/>
      <w:sz w:val="21"/>
      <w:szCs w:val="24"/>
      <w:lang w:val="en-US" w:eastAsia="zh-CN" w:bidi="ar-SA"/>
    </w:rPr>
  </w:style>
  <w:style w:type="paragraph" w:customStyle="1" w:styleId="729">
    <w:name w:val="_Style 4"/>
    <w:basedOn w:val="1"/>
    <w:qFormat/>
    <w:uiPriority w:val="34"/>
    <w:pPr>
      <w:widowControl/>
      <w:spacing w:line="120" w:lineRule="exact"/>
      <w:ind w:firstLine="420" w:firstLineChars="200"/>
      <w:jc w:val="left"/>
    </w:pPr>
    <w:rPr>
      <w:sz w:val="18"/>
      <w:szCs w:val="18"/>
    </w:rPr>
  </w:style>
  <w:style w:type="paragraph" w:customStyle="1" w:styleId="730">
    <w:name w:val="t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styleId="731">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32">
    <w:name w:val="样式 首行缩进:  0.74 厘米"/>
    <w:basedOn w:val="1"/>
    <w:qFormat/>
    <w:uiPriority w:val="0"/>
    <w:pPr>
      <w:spacing w:line="360" w:lineRule="auto"/>
      <w:ind w:firstLine="200" w:firstLineChars="200"/>
    </w:pPr>
    <w:rPr>
      <w:rFonts w:cs="宋体"/>
      <w:sz w:val="24"/>
      <w:szCs w:val="20"/>
    </w:rPr>
  </w:style>
  <w:style w:type="paragraph" w:customStyle="1" w:styleId="733">
    <w:name w:val="正文样式"/>
    <w:basedOn w:val="1"/>
    <w:qFormat/>
    <w:uiPriority w:val="0"/>
    <w:pPr>
      <w:adjustRightInd w:val="0"/>
      <w:snapToGrid w:val="0"/>
      <w:spacing w:line="360" w:lineRule="auto"/>
      <w:ind w:firstLine="200" w:firstLineChars="200"/>
    </w:pPr>
    <w:rPr>
      <w:sz w:val="24"/>
      <w:szCs w:val="20"/>
    </w:rPr>
  </w:style>
  <w:style w:type="paragraph" w:customStyle="1" w:styleId="734">
    <w:name w:val="默认段落字体 Para Char Char Char Char Char Char Char Char Char Char Char Char Char Char Char Char Char Char Char"/>
    <w:basedOn w:val="1"/>
    <w:qFormat/>
    <w:uiPriority w:val="0"/>
  </w:style>
  <w:style w:type="paragraph" w:customStyle="1" w:styleId="735">
    <w:name w:val="CM59"/>
    <w:basedOn w:val="499"/>
    <w:next w:val="499"/>
    <w:qFormat/>
    <w:uiPriority w:val="0"/>
    <w:pPr>
      <w:spacing w:after="117"/>
    </w:pPr>
    <w:rPr>
      <w:rFonts w:ascii="宋体" w:eastAsia="宋体" w:cs="宋体"/>
      <w:sz w:val="24"/>
      <w:szCs w:val="24"/>
    </w:rPr>
  </w:style>
  <w:style w:type="paragraph" w:customStyle="1" w:styleId="736">
    <w:name w:val="w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737">
    <w:name w:val="Titre 2 sommaire"/>
    <w:basedOn w:val="1"/>
    <w:next w:val="1"/>
    <w:qFormat/>
    <w:uiPriority w:val="0"/>
    <w:pPr>
      <w:tabs>
        <w:tab w:val="left" w:leader="dot" w:pos="6180"/>
      </w:tabs>
      <w:spacing w:before="1" w:after="1"/>
      <w:ind w:left="1" w:firstLine="849"/>
      <w:jc w:val="left"/>
    </w:pPr>
    <w:rPr>
      <w:rFonts w:ascii="Helvetica" w:hAnsi="Helvetica"/>
      <w:color w:val="000000"/>
      <w:kern w:val="0"/>
      <w:sz w:val="20"/>
      <w:szCs w:val="20"/>
      <w:lang w:val="fr-FR"/>
    </w:rPr>
  </w:style>
  <w:style w:type="paragraph" w:customStyle="1" w:styleId="738">
    <w:name w:val="Style76"/>
    <w:basedOn w:val="1"/>
    <w:unhideWhenUsed/>
    <w:qFormat/>
    <w:uiPriority w:val="99"/>
  </w:style>
  <w:style w:type="paragraph" w:customStyle="1" w:styleId="739">
    <w:name w:val="bodylink"/>
    <w:basedOn w:val="1"/>
    <w:qFormat/>
    <w:uiPriority w:val="0"/>
    <w:pPr>
      <w:widowControl/>
      <w:spacing w:before="100" w:beforeAutospacing="1" w:after="100" w:afterAutospacing="1" w:line="240" w:lineRule="atLeast"/>
      <w:jc w:val="left"/>
    </w:pPr>
    <w:rPr>
      <w:rFonts w:ascii="ˎ̥" w:hAnsi="ˎ̥" w:cs="宋体"/>
      <w:color w:val="666699"/>
      <w:kern w:val="0"/>
      <w:sz w:val="18"/>
      <w:szCs w:val="18"/>
    </w:rPr>
  </w:style>
  <w:style w:type="paragraph" w:customStyle="1" w:styleId="740">
    <w:name w:val="Header Even"/>
    <w:basedOn w:val="61"/>
    <w:qFormat/>
    <w:uiPriority w:val="0"/>
    <w:pPr>
      <w:keepLines/>
      <w:widowControl/>
      <w:pBdr>
        <w:bottom w:val="single" w:color="auto" w:sz="6" w:space="1"/>
      </w:pBdr>
      <w:tabs>
        <w:tab w:val="center" w:pos="4320"/>
        <w:tab w:val="right" w:pos="8640"/>
        <w:tab w:val="clear" w:pos="4153"/>
        <w:tab w:val="clear" w:pos="8306"/>
      </w:tabs>
      <w:snapToGrid/>
      <w:spacing w:after="600" w:line="190" w:lineRule="atLeast"/>
      <w:ind w:left="1080"/>
      <w:jc w:val="left"/>
    </w:pPr>
    <w:rPr>
      <w:rFonts w:ascii="Arial" w:hAnsi="Arial"/>
      <w:caps/>
      <w:spacing w:val="-5"/>
      <w:kern w:val="0"/>
      <w:sz w:val="15"/>
      <w:szCs w:val="20"/>
      <w:lang w:eastAsia="en-US"/>
    </w:rPr>
  </w:style>
  <w:style w:type="paragraph" w:customStyle="1" w:styleId="741">
    <w:name w:val="CM26"/>
    <w:basedOn w:val="499"/>
    <w:next w:val="499"/>
    <w:qFormat/>
    <w:uiPriority w:val="0"/>
    <w:pPr>
      <w:spacing w:after="163"/>
    </w:pPr>
    <w:rPr>
      <w:rFonts w:ascii=".a..DD.." w:eastAsia=".a..DD.."/>
      <w:sz w:val="24"/>
      <w:szCs w:val="24"/>
    </w:rPr>
  </w:style>
  <w:style w:type="paragraph" w:customStyle="1" w:styleId="742">
    <w:name w:val="Header First"/>
    <w:basedOn w:val="61"/>
    <w:qFormat/>
    <w:uiPriority w:val="0"/>
    <w:pPr>
      <w:keepLines/>
      <w:widowControl/>
      <w:pBdr>
        <w:top w:val="single" w:color="auto" w:sz="6" w:space="2"/>
        <w:bottom w:val="none" w:color="auto" w:sz="0" w:space="0"/>
      </w:pBdr>
      <w:tabs>
        <w:tab w:val="center" w:pos="4320"/>
        <w:tab w:val="right" w:pos="8640"/>
        <w:tab w:val="clear" w:pos="4153"/>
        <w:tab w:val="clear" w:pos="8306"/>
      </w:tabs>
      <w:snapToGrid/>
      <w:spacing w:line="190" w:lineRule="atLeast"/>
      <w:ind w:left="1080"/>
      <w:jc w:val="right"/>
    </w:pPr>
    <w:rPr>
      <w:rFonts w:ascii="Arial" w:hAnsi="Arial"/>
      <w:caps/>
      <w:spacing w:val="-5"/>
      <w:kern w:val="0"/>
      <w:sz w:val="15"/>
      <w:szCs w:val="20"/>
      <w:lang w:eastAsia="en-US"/>
    </w:rPr>
  </w:style>
  <w:style w:type="paragraph" w:customStyle="1" w:styleId="74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744">
    <w:name w:val="TOC 标题2"/>
    <w:basedOn w:val="6"/>
    <w:next w:val="1"/>
    <w:qFormat/>
    <w:uiPriority w:val="0"/>
    <w:pPr>
      <w:keepLines/>
      <w:spacing w:before="340" w:after="330" w:line="576" w:lineRule="auto"/>
      <w:jc w:val="both"/>
      <w:outlineLvl w:val="9"/>
    </w:pPr>
    <w:rPr>
      <w:rFonts w:ascii="Calibri" w:hAnsi="Calibri"/>
      <w:kern w:val="44"/>
      <w:sz w:val="44"/>
      <w:szCs w:val="44"/>
    </w:rPr>
  </w:style>
  <w:style w:type="paragraph" w:customStyle="1" w:styleId="745">
    <w:name w:val="Char5"/>
    <w:basedOn w:val="1"/>
    <w:qFormat/>
    <w:uiPriority w:val="0"/>
    <w:rPr>
      <w:rFonts w:ascii="Tahoma" w:hAnsi="Tahoma"/>
      <w:sz w:val="24"/>
      <w:szCs w:val="20"/>
    </w:rPr>
  </w:style>
  <w:style w:type="paragraph" w:customStyle="1" w:styleId="746">
    <w:name w:val="paleftnav"/>
    <w:basedOn w:val="1"/>
    <w:qFormat/>
    <w:uiPriority w:val="0"/>
    <w:pPr>
      <w:widowControl/>
      <w:spacing w:before="100" w:beforeAutospacing="1" w:after="100" w:afterAutospacing="1" w:line="240" w:lineRule="atLeast"/>
      <w:jc w:val="left"/>
    </w:pPr>
    <w:rPr>
      <w:rFonts w:ascii="ˎ̥" w:hAnsi="ˎ̥" w:cs="宋体"/>
      <w:b/>
      <w:bCs/>
      <w:color w:val="660000"/>
      <w:kern w:val="0"/>
      <w:sz w:val="18"/>
      <w:szCs w:val="18"/>
    </w:rPr>
  </w:style>
  <w:style w:type="paragraph" w:customStyle="1" w:styleId="747">
    <w:name w:val="ser"/>
    <w:basedOn w:val="1"/>
    <w:qFormat/>
    <w:uiPriority w:val="0"/>
    <w:pPr>
      <w:widowControl/>
      <w:spacing w:before="100" w:beforeAutospacing="1" w:after="100" w:afterAutospacing="1" w:line="288" w:lineRule="auto"/>
      <w:jc w:val="left"/>
    </w:pPr>
    <w:rPr>
      <w:rFonts w:hint="eastAsia" w:ascii="宋体" w:hAnsi="宋体"/>
      <w:color w:val="333333"/>
      <w:kern w:val="0"/>
      <w:sz w:val="24"/>
    </w:rPr>
  </w:style>
  <w:style w:type="paragraph" w:customStyle="1" w:styleId="748">
    <w:name w:val="Style24"/>
    <w:basedOn w:val="1"/>
    <w:unhideWhenUsed/>
    <w:qFormat/>
    <w:uiPriority w:val="99"/>
  </w:style>
  <w:style w:type="paragraph" w:customStyle="1" w:styleId="749">
    <w:name w:val="Body1!"/>
    <w:basedOn w:val="1"/>
    <w:qFormat/>
    <w:uiPriority w:val="0"/>
    <w:pPr>
      <w:widowControl/>
      <w:tabs>
        <w:tab w:val="left" w:pos="1247"/>
      </w:tabs>
      <w:spacing w:line="288" w:lineRule="auto"/>
      <w:ind w:left="1247" w:firstLine="200" w:firstLineChars="200"/>
    </w:pPr>
    <w:rPr>
      <w:rFonts w:ascii="Arial" w:hAnsi="Arial"/>
      <w:kern w:val="0"/>
      <w:szCs w:val="21"/>
      <w:lang w:eastAsia="en-US"/>
    </w:rPr>
  </w:style>
  <w:style w:type="paragraph" w:customStyle="1" w:styleId="750">
    <w:name w:val="样式 表内正文 + 五号 行距: 单倍行距"/>
    <w:basedOn w:val="1"/>
    <w:qFormat/>
    <w:uiPriority w:val="0"/>
    <w:pPr>
      <w:adjustRightInd w:val="0"/>
      <w:snapToGrid w:val="0"/>
    </w:pPr>
    <w:rPr>
      <w:rFonts w:ascii="Arial" w:hAnsi="Arial"/>
      <w:szCs w:val="20"/>
    </w:rPr>
  </w:style>
  <w:style w:type="paragraph" w:customStyle="1" w:styleId="751">
    <w:name w:val="正文加重首行缩进2字"/>
    <w:basedOn w:val="752"/>
    <w:qFormat/>
    <w:uiPriority w:val="0"/>
    <w:rPr>
      <w:b/>
    </w:rPr>
  </w:style>
  <w:style w:type="paragraph" w:customStyle="1" w:styleId="752">
    <w:name w:val="正文首行缩进2字"/>
    <w:basedOn w:val="1"/>
    <w:qFormat/>
    <w:uiPriority w:val="0"/>
    <w:pPr>
      <w:spacing w:before="100" w:after="100" w:line="360" w:lineRule="auto"/>
      <w:ind w:firstLine="560" w:firstLineChars="200"/>
    </w:pPr>
    <w:rPr>
      <w:rFonts w:eastAsia="楷体_GB2312"/>
      <w:kern w:val="0"/>
      <w:sz w:val="28"/>
      <w:szCs w:val="20"/>
    </w:rPr>
  </w:style>
  <w:style w:type="paragraph" w:customStyle="1" w:styleId="753">
    <w:name w:val="CM13"/>
    <w:basedOn w:val="499"/>
    <w:next w:val="499"/>
    <w:qFormat/>
    <w:uiPriority w:val="0"/>
    <w:pPr>
      <w:spacing w:after="4643"/>
    </w:pPr>
    <w:rPr>
      <w:rFonts w:ascii="Arial" w:hAnsi="Arial" w:eastAsia="宋体"/>
      <w:sz w:val="24"/>
      <w:szCs w:val="24"/>
    </w:rPr>
  </w:style>
  <w:style w:type="paragraph" w:customStyle="1" w:styleId="754">
    <w:name w:val="form"/>
    <w:basedOn w:val="1"/>
    <w:qFormat/>
    <w:uiPriority w:val="0"/>
    <w:pPr>
      <w:widowControl/>
      <w:spacing w:before="100" w:beforeAutospacing="1" w:after="100" w:afterAutospacing="1"/>
      <w:jc w:val="left"/>
    </w:pPr>
    <w:rPr>
      <w:rFonts w:ascii="ˎ̥" w:hAnsi="ˎ̥" w:cs="宋体"/>
      <w:color w:val="666666"/>
      <w:kern w:val="0"/>
      <w:sz w:val="15"/>
      <w:szCs w:val="15"/>
    </w:rPr>
  </w:style>
  <w:style w:type="paragraph" w:customStyle="1" w:styleId="755">
    <w:name w:val="样式 标题 3 + (中文) 黑体 小四 非加粗 段前: 7.8 磅 段后: 0 磅 行距: 固定值 20 磅"/>
    <w:basedOn w:val="8"/>
    <w:qFormat/>
    <w:uiPriority w:val="0"/>
    <w:pPr>
      <w:spacing w:before="0" w:after="0" w:line="400" w:lineRule="exact"/>
    </w:pPr>
    <w:rPr>
      <w:rFonts w:eastAsia="黑体" w:cs="宋体"/>
      <w:b w:val="0"/>
      <w:bCs w:val="0"/>
      <w:sz w:val="24"/>
      <w:szCs w:val="20"/>
    </w:rPr>
  </w:style>
  <w:style w:type="paragraph" w:customStyle="1" w:styleId="756">
    <w:name w:val="悬挂2"/>
    <w:qFormat/>
    <w:uiPriority w:val="0"/>
    <w:pPr>
      <w:spacing w:beforeLines="50" w:afterLines="50" w:line="320" w:lineRule="exact"/>
      <w:ind w:left="300" w:leftChars="200" w:hanging="100" w:hangingChars="100"/>
      <w:jc w:val="both"/>
    </w:pPr>
    <w:rPr>
      <w:rFonts w:ascii="宋体" w:hAnsi="宋体" w:eastAsia="宋体" w:cs="Times New Roman"/>
      <w:color w:val="0000FF"/>
      <w:sz w:val="21"/>
      <w:szCs w:val="24"/>
      <w:lang w:val="en-US" w:eastAsia="zh-CN" w:bidi="ar-SA"/>
    </w:rPr>
  </w:style>
  <w:style w:type="paragraph" w:customStyle="1" w:styleId="757">
    <w:name w:val="标题1"/>
    <w:basedOn w:val="1"/>
    <w:qFormat/>
    <w:uiPriority w:val="0"/>
    <w:pPr>
      <w:jc w:val="right"/>
    </w:pPr>
    <w:rPr>
      <w:b/>
      <w:bCs/>
      <w:sz w:val="24"/>
    </w:rPr>
  </w:style>
  <w:style w:type="paragraph" w:customStyle="1" w:styleId="758">
    <w:name w:val="sheader"/>
    <w:basedOn w:val="1"/>
    <w:qFormat/>
    <w:uiPriority w:val="0"/>
    <w:pPr>
      <w:widowControl/>
      <w:spacing w:before="100" w:beforeAutospacing="1" w:after="100" w:afterAutospacing="1" w:line="240" w:lineRule="atLeast"/>
      <w:jc w:val="left"/>
    </w:pPr>
    <w:rPr>
      <w:rFonts w:ascii="ˎ̥" w:hAnsi="ˎ̥" w:cs="宋体"/>
      <w:b/>
      <w:bCs/>
      <w:color w:val="660033"/>
      <w:kern w:val="0"/>
      <w:sz w:val="18"/>
      <w:szCs w:val="18"/>
    </w:rPr>
  </w:style>
  <w:style w:type="paragraph" w:customStyle="1" w:styleId="759">
    <w:name w:val="Style59"/>
    <w:basedOn w:val="1"/>
    <w:unhideWhenUsed/>
    <w:qFormat/>
    <w:uiPriority w:val="0"/>
  </w:style>
  <w:style w:type="paragraph" w:customStyle="1" w:styleId="760">
    <w:name w:val="Table Text"/>
    <w:basedOn w:val="1"/>
    <w:qFormat/>
    <w:uiPriority w:val="0"/>
    <w:pPr>
      <w:widowControl/>
      <w:spacing w:before="60"/>
      <w:jc w:val="left"/>
    </w:pPr>
    <w:rPr>
      <w:rFonts w:ascii="Arial" w:hAnsi="Arial"/>
      <w:spacing w:val="-5"/>
      <w:kern w:val="0"/>
      <w:sz w:val="16"/>
      <w:szCs w:val="20"/>
      <w:lang w:eastAsia="en-US"/>
    </w:rPr>
  </w:style>
  <w:style w:type="paragraph" w:customStyle="1" w:styleId="761">
    <w:name w:val="正文（无缩进）"/>
    <w:qFormat/>
    <w:uiPriority w:val="0"/>
    <w:pPr>
      <w:jc w:val="center"/>
    </w:pPr>
    <w:rPr>
      <w:rFonts w:ascii="Times New Roman" w:hAnsi="Times New Roman" w:eastAsia="仿宋_GB2312" w:cs="Times New Roman"/>
      <w:color w:val="000000"/>
      <w:kern w:val="24"/>
      <w:sz w:val="24"/>
      <w:lang w:val="en-US" w:eastAsia="zh-CN" w:bidi="ar-SA"/>
    </w:rPr>
  </w:style>
  <w:style w:type="paragraph" w:customStyle="1" w:styleId="762">
    <w:name w:val="leheader"/>
    <w:basedOn w:val="1"/>
    <w:qFormat/>
    <w:uiPriority w:val="0"/>
    <w:pPr>
      <w:widowControl/>
      <w:spacing w:before="100" w:beforeAutospacing="1" w:after="100" w:afterAutospacing="1" w:line="240" w:lineRule="atLeast"/>
      <w:jc w:val="left"/>
    </w:pPr>
    <w:rPr>
      <w:rFonts w:ascii="ˎ̥" w:hAnsi="ˎ̥" w:cs="宋体"/>
      <w:b/>
      <w:bCs/>
      <w:color w:val="660000"/>
      <w:kern w:val="0"/>
      <w:sz w:val="18"/>
      <w:szCs w:val="18"/>
    </w:rPr>
  </w:style>
  <w:style w:type="paragraph" w:customStyle="1" w:styleId="763">
    <w:name w:val="样式 标题 2"/>
    <w:basedOn w:val="7"/>
    <w:qFormat/>
    <w:uiPriority w:val="0"/>
    <w:pPr>
      <w:ind w:left="360"/>
      <w:jc w:val="left"/>
    </w:pPr>
    <w:rPr>
      <w:rFonts w:eastAsia="黑体"/>
      <w:bCs w:val="0"/>
      <w:sz w:val="32"/>
      <w:szCs w:val="20"/>
    </w:rPr>
  </w:style>
  <w:style w:type="paragraph" w:customStyle="1" w:styleId="76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765">
    <w:name w:val="Style36"/>
    <w:basedOn w:val="1"/>
    <w:unhideWhenUsed/>
    <w:qFormat/>
    <w:uiPriority w:val="99"/>
  </w:style>
  <w:style w:type="paragraph" w:customStyle="1" w:styleId="766">
    <w:name w:val="Plain text level 1"/>
    <w:basedOn w:val="1"/>
    <w:qFormat/>
    <w:uiPriority w:val="0"/>
    <w:pPr>
      <w:widowControl/>
      <w:overflowPunct w:val="0"/>
      <w:autoSpaceDE w:val="0"/>
      <w:autoSpaceDN w:val="0"/>
      <w:adjustRightInd w:val="0"/>
      <w:spacing w:line="240" w:lineRule="exact"/>
      <w:textAlignment w:val="baseline"/>
    </w:pPr>
    <w:rPr>
      <w:rFonts w:ascii="Courier New" w:hAnsi="Courier New"/>
      <w:kern w:val="0"/>
      <w:sz w:val="24"/>
      <w:szCs w:val="20"/>
    </w:rPr>
  </w:style>
  <w:style w:type="paragraph" w:customStyle="1" w:styleId="767">
    <w:name w:val="Part Subtitle"/>
    <w:basedOn w:val="1"/>
    <w:next w:val="17"/>
    <w:qFormat/>
    <w:uiPriority w:val="0"/>
    <w:pPr>
      <w:keepNext/>
      <w:widowControl/>
      <w:spacing w:before="360" w:after="120"/>
      <w:ind w:left="1080"/>
      <w:jc w:val="left"/>
    </w:pPr>
    <w:rPr>
      <w:rFonts w:ascii="Arial" w:hAnsi="Arial"/>
      <w:i/>
      <w:spacing w:val="-5"/>
      <w:kern w:val="28"/>
      <w:sz w:val="26"/>
      <w:szCs w:val="20"/>
      <w:lang w:eastAsia="en-US"/>
    </w:rPr>
  </w:style>
  <w:style w:type="paragraph" w:customStyle="1" w:styleId="768">
    <w:name w:val="图形居中"/>
    <w:basedOn w:val="1"/>
    <w:qFormat/>
    <w:uiPriority w:val="0"/>
    <w:pPr>
      <w:spacing w:afterLines="50" w:line="360" w:lineRule="auto"/>
      <w:ind w:left="720"/>
      <w:jc w:val="center"/>
    </w:pPr>
    <w:rPr>
      <w:rFonts w:cs="宋体"/>
      <w:kern w:val="0"/>
      <w:sz w:val="24"/>
      <w:szCs w:val="20"/>
    </w:rPr>
  </w:style>
  <w:style w:type="paragraph" w:customStyle="1" w:styleId="769">
    <w:name w:val="Chapter Title"/>
    <w:basedOn w:val="1"/>
    <w:qFormat/>
    <w:uiPriority w:val="0"/>
    <w:pPr>
      <w:widowControl/>
      <w:spacing w:before="120" w:line="660" w:lineRule="exact"/>
      <w:jc w:val="center"/>
    </w:pPr>
    <w:rPr>
      <w:rFonts w:ascii="Arial Black" w:hAnsi="Arial Black"/>
      <w:color w:val="FFFFFF"/>
      <w:spacing w:val="-40"/>
      <w:kern w:val="0"/>
      <w:sz w:val="84"/>
      <w:szCs w:val="20"/>
      <w:lang w:eastAsia="en-US"/>
    </w:rPr>
  </w:style>
  <w:style w:type="paragraph" w:customStyle="1" w:styleId="770">
    <w:name w:val="修订211"/>
    <w:qFormat/>
    <w:uiPriority w:val="99"/>
    <w:rPr>
      <w:rFonts w:ascii="Times New Roman" w:hAnsi="Times New Roman" w:eastAsia="宋体" w:cs="Times New Roman"/>
      <w:kern w:val="2"/>
      <w:sz w:val="21"/>
      <w:szCs w:val="24"/>
      <w:lang w:val="en-US" w:eastAsia="zh-CN" w:bidi="ar-SA"/>
    </w:rPr>
  </w:style>
  <w:style w:type="paragraph" w:customStyle="1" w:styleId="771">
    <w:name w:val="scfbrieftext"/>
    <w:basedOn w:val="1"/>
    <w:qFormat/>
    <w:uiPriority w:val="0"/>
    <w:pPr>
      <w:widowControl/>
      <w:jc w:val="left"/>
    </w:pPr>
    <w:rPr>
      <w:rFonts w:ascii="Arial" w:hAnsi="Arial"/>
      <w:kern w:val="0"/>
      <w:sz w:val="22"/>
      <w:szCs w:val="20"/>
      <w:lang w:eastAsia="en-US"/>
    </w:rPr>
  </w:style>
  <w:style w:type="paragraph" w:customStyle="1" w:styleId="772">
    <w:name w:val="Header Odd"/>
    <w:basedOn w:val="61"/>
    <w:qFormat/>
    <w:uiPriority w:val="0"/>
    <w:pPr>
      <w:keepLines/>
      <w:widowControl/>
      <w:pBdr>
        <w:bottom w:val="single" w:color="auto" w:sz="6" w:space="1"/>
      </w:pBdr>
      <w:tabs>
        <w:tab w:val="center" w:pos="4320"/>
        <w:tab w:val="right" w:pos="8640"/>
        <w:tab w:val="clear" w:pos="4153"/>
        <w:tab w:val="clear" w:pos="8306"/>
      </w:tabs>
      <w:snapToGrid/>
      <w:spacing w:after="600" w:line="190" w:lineRule="atLeast"/>
      <w:ind w:left="1080"/>
      <w:jc w:val="left"/>
    </w:pPr>
    <w:rPr>
      <w:rFonts w:ascii="Arial" w:hAnsi="Arial"/>
      <w:caps/>
      <w:spacing w:val="-5"/>
      <w:kern w:val="0"/>
      <w:sz w:val="15"/>
      <w:szCs w:val="20"/>
      <w:lang w:eastAsia="en-US"/>
    </w:rPr>
  </w:style>
  <w:style w:type="paragraph" w:customStyle="1" w:styleId="773">
    <w:name w:val="带符号正文（缩进）"/>
    <w:qFormat/>
    <w:uiPriority w:val="0"/>
    <w:pPr>
      <w:spacing w:before="100" w:beforeAutospacing="1" w:after="100" w:afterAutospacing="1" w:line="360" w:lineRule="auto"/>
    </w:pPr>
    <w:rPr>
      <w:rFonts w:ascii="Times New Roman" w:hAnsi="Times New Roman" w:eastAsia="宋体" w:cs="Times New Roman"/>
      <w:sz w:val="24"/>
      <w:lang w:val="en-US" w:eastAsia="zh-CN" w:bidi="ar-SA"/>
    </w:rPr>
  </w:style>
  <w:style w:type="paragraph" w:customStyle="1" w:styleId="774">
    <w:name w:val="CM15"/>
    <w:basedOn w:val="499"/>
    <w:next w:val="499"/>
    <w:qFormat/>
    <w:uiPriority w:val="0"/>
    <w:pPr>
      <w:spacing w:after="65"/>
    </w:pPr>
    <w:rPr>
      <w:rFonts w:ascii="Arial" w:hAnsi="Arial" w:eastAsia="宋体"/>
      <w:sz w:val="24"/>
      <w:szCs w:val="24"/>
    </w:rPr>
  </w:style>
  <w:style w:type="paragraph" w:customStyle="1" w:styleId="77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76">
    <w:name w:val="样式 标题 1 + 黑体 小二"/>
    <w:basedOn w:val="6"/>
    <w:qFormat/>
    <w:uiPriority w:val="0"/>
    <w:pPr>
      <w:keepLines/>
      <w:tabs>
        <w:tab w:val="left" w:pos="972"/>
      </w:tabs>
      <w:spacing w:before="360" w:after="360" w:line="578" w:lineRule="auto"/>
      <w:ind w:left="972" w:hanging="432"/>
      <w:jc w:val="both"/>
    </w:pPr>
    <w:rPr>
      <w:rFonts w:ascii="黑体" w:hAnsi="黑体" w:eastAsia="黑体"/>
      <w:kern w:val="44"/>
      <w:sz w:val="36"/>
      <w:szCs w:val="44"/>
    </w:rPr>
  </w:style>
  <w:style w:type="paragraph" w:customStyle="1" w:styleId="777">
    <w:name w:val="Document Label"/>
    <w:basedOn w:val="503"/>
    <w:qFormat/>
    <w:uiPriority w:val="0"/>
  </w:style>
  <w:style w:type="paragraph" w:customStyle="1" w:styleId="778">
    <w:name w:val="Char1 Char Char Char Char Char Char Char Char Char"/>
    <w:basedOn w:val="1"/>
    <w:qFormat/>
    <w:uiPriority w:val="0"/>
    <w:rPr>
      <w:szCs w:val="20"/>
    </w:rPr>
  </w:style>
  <w:style w:type="paragraph" w:customStyle="1" w:styleId="779">
    <w:name w:val="Default Paragraph Font Para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780">
    <w:name w:val="Char Char1 Char1"/>
    <w:basedOn w:val="30"/>
    <w:qFormat/>
    <w:uiPriority w:val="0"/>
    <w:rPr>
      <w:rFonts w:ascii="Tahoma" w:hAnsi="Tahoma"/>
      <w:sz w:val="24"/>
    </w:rPr>
  </w:style>
  <w:style w:type="paragraph" w:customStyle="1" w:styleId="781">
    <w:name w:val="正文首缩两字"/>
    <w:basedOn w:val="1"/>
    <w:qFormat/>
    <w:uiPriority w:val="0"/>
    <w:pPr>
      <w:spacing w:line="360" w:lineRule="auto"/>
      <w:ind w:firstLine="200" w:firstLineChars="200"/>
    </w:pPr>
    <w:rPr>
      <w:rFonts w:ascii="Verdana" w:hAnsi="Verdana"/>
      <w:sz w:val="24"/>
      <w:szCs w:val="20"/>
    </w:rPr>
  </w:style>
  <w:style w:type="paragraph" w:customStyle="1" w:styleId="782">
    <w:name w:val="正文 1"/>
    <w:basedOn w:val="1"/>
    <w:qFormat/>
    <w:uiPriority w:val="0"/>
    <w:pPr>
      <w:widowControl/>
      <w:snapToGrid w:val="0"/>
      <w:spacing w:before="80" w:after="80" w:line="360" w:lineRule="auto"/>
      <w:ind w:left="1418"/>
    </w:pPr>
    <w:rPr>
      <w:szCs w:val="20"/>
    </w:rPr>
  </w:style>
  <w:style w:type="paragraph" w:customStyle="1" w:styleId="783">
    <w:name w:val="Style2"/>
    <w:basedOn w:val="1"/>
    <w:qFormat/>
    <w:uiPriority w:val="0"/>
    <w:pPr>
      <w:widowControl/>
      <w:tabs>
        <w:tab w:val="left" w:pos="907"/>
      </w:tabs>
      <w:overflowPunct w:val="0"/>
      <w:adjustRightInd w:val="0"/>
      <w:snapToGrid w:val="0"/>
      <w:spacing w:line="360" w:lineRule="auto"/>
      <w:ind w:left="907" w:hanging="397"/>
      <w:jc w:val="left"/>
      <w:textAlignment w:val="baseline"/>
    </w:pPr>
    <w:rPr>
      <w:rFonts w:ascii="Arial" w:hAnsi="Arial"/>
      <w:kern w:val="24"/>
      <w:sz w:val="24"/>
      <w:szCs w:val="20"/>
    </w:rPr>
  </w:style>
  <w:style w:type="paragraph" w:customStyle="1" w:styleId="784">
    <w:name w:val="Style8"/>
    <w:basedOn w:val="1"/>
    <w:unhideWhenUsed/>
    <w:qFormat/>
    <w:uiPriority w:val="99"/>
    <w:pPr>
      <w:spacing w:line="566" w:lineRule="exact"/>
      <w:jc w:val="center"/>
    </w:pPr>
  </w:style>
  <w:style w:type="paragraph" w:customStyle="1" w:styleId="785">
    <w:name w:val="tab ttr dern ligne"/>
    <w:basedOn w:val="786"/>
    <w:qFormat/>
    <w:uiPriority w:val="0"/>
    <w:pPr>
      <w:tabs>
        <w:tab w:val="left" w:pos="1134"/>
        <w:tab w:val="right" w:pos="2835"/>
        <w:tab w:val="decimal" w:pos="3912"/>
        <w:tab w:val="decimal" w:pos="4422"/>
        <w:tab w:val="decimal" w:pos="4932"/>
        <w:tab w:val="decimal" w:pos="5443"/>
        <w:tab w:val="decimal" w:pos="5953"/>
        <w:tab w:val="decimal" w:pos="6463"/>
        <w:tab w:val="decimal" w:pos="6973"/>
        <w:tab w:val="decimal" w:pos="7483"/>
        <w:tab w:val="decimal" w:pos="7994"/>
        <w:tab w:val="decimal" w:pos="8504"/>
        <w:tab w:val="decimal" w:pos="9014"/>
        <w:tab w:val="decimal" w:pos="9524"/>
        <w:tab w:val="decimal" w:pos="10035"/>
      </w:tabs>
    </w:pPr>
  </w:style>
  <w:style w:type="paragraph" w:customStyle="1" w:styleId="786">
    <w:name w:val="tab ttr bas"/>
    <w:basedOn w:val="543"/>
    <w:next w:val="543"/>
    <w:qFormat/>
    <w:uiPriority w:val="0"/>
  </w:style>
  <w:style w:type="paragraph" w:customStyle="1" w:styleId="787">
    <w:name w:val="botnav"/>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78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789">
    <w:name w:val="Z1"/>
    <w:basedOn w:val="1"/>
    <w:qFormat/>
    <w:uiPriority w:val="0"/>
    <w:pPr>
      <w:widowControl/>
      <w:overflowPunct w:val="0"/>
      <w:autoSpaceDE w:val="0"/>
      <w:autoSpaceDN w:val="0"/>
      <w:adjustRightInd w:val="0"/>
      <w:spacing w:line="360" w:lineRule="auto"/>
      <w:ind w:firstLine="630"/>
      <w:textAlignment w:val="baseline"/>
    </w:pPr>
    <w:rPr>
      <w:rFonts w:ascii="楷体" w:eastAsia="楷体"/>
      <w:kern w:val="0"/>
      <w:sz w:val="24"/>
      <w:szCs w:val="20"/>
    </w:rPr>
  </w:style>
  <w:style w:type="paragraph" w:customStyle="1" w:styleId="790">
    <w:name w:val="Definition Term"/>
    <w:basedOn w:val="1"/>
    <w:next w:val="1"/>
    <w:qFormat/>
    <w:uiPriority w:val="0"/>
    <w:pPr>
      <w:spacing w:line="288" w:lineRule="auto"/>
    </w:pPr>
    <w:rPr>
      <w:szCs w:val="20"/>
    </w:rPr>
  </w:style>
  <w:style w:type="paragraph" w:customStyle="1" w:styleId="791">
    <w:name w:val="List Paragraph2"/>
    <w:basedOn w:val="1"/>
    <w:qFormat/>
    <w:uiPriority w:val="0"/>
    <w:pPr>
      <w:ind w:firstLine="420" w:firstLineChars="200"/>
    </w:pPr>
    <w:rPr>
      <w:rFonts w:cs="Calibri"/>
      <w:szCs w:val="21"/>
    </w:rPr>
  </w:style>
  <w:style w:type="paragraph" w:customStyle="1" w:styleId="792">
    <w:name w:val="CM3"/>
    <w:basedOn w:val="499"/>
    <w:next w:val="499"/>
    <w:qFormat/>
    <w:uiPriority w:val="0"/>
    <w:pPr>
      <w:spacing w:line="626" w:lineRule="atLeast"/>
    </w:pPr>
    <w:rPr>
      <w:rFonts w:ascii=".a..DD.." w:eastAsia=".a..DD.."/>
      <w:sz w:val="24"/>
      <w:szCs w:val="24"/>
    </w:rPr>
  </w:style>
  <w:style w:type="paragraph" w:customStyle="1" w:styleId="793">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94">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eastAsia="Arial Unicode MS"/>
      <w:kern w:val="0"/>
      <w:sz w:val="20"/>
      <w:szCs w:val="20"/>
    </w:rPr>
  </w:style>
  <w:style w:type="paragraph" w:customStyle="1" w:styleId="795">
    <w:name w:val="标题2"/>
    <w:basedOn w:val="87"/>
    <w:qFormat/>
    <w:uiPriority w:val="0"/>
    <w:pPr>
      <w:spacing w:after="240"/>
      <w:jc w:val="left"/>
    </w:pPr>
    <w:rPr>
      <w:sz w:val="30"/>
    </w:rPr>
  </w:style>
  <w:style w:type="paragraph" w:customStyle="1" w:styleId="796">
    <w:name w:val="列出段落2"/>
    <w:basedOn w:val="1"/>
    <w:qFormat/>
    <w:uiPriority w:val="0"/>
    <w:pPr>
      <w:ind w:firstLine="200" w:firstLineChars="200"/>
    </w:pPr>
    <w:rPr>
      <w:szCs w:val="22"/>
    </w:rPr>
  </w:style>
  <w:style w:type="paragraph" w:customStyle="1" w:styleId="797">
    <w:name w:val="Style16"/>
    <w:basedOn w:val="1"/>
    <w:unhideWhenUsed/>
    <w:qFormat/>
    <w:uiPriority w:val="99"/>
    <w:pPr>
      <w:jc w:val="right"/>
    </w:pPr>
  </w:style>
  <w:style w:type="paragraph" w:customStyle="1" w:styleId="798">
    <w:name w:val="Char Char Char Char Char Char Char Char Char Char2"/>
    <w:basedOn w:val="1"/>
    <w:qFormat/>
    <w:uiPriority w:val="0"/>
  </w:style>
  <w:style w:type="paragraph" w:customStyle="1" w:styleId="799">
    <w:name w:val="修订21"/>
    <w:qFormat/>
    <w:uiPriority w:val="0"/>
    <w:rPr>
      <w:rFonts w:ascii="Times New Roman" w:hAnsi="Times New Roman" w:eastAsia="宋体" w:cs="Times New Roman"/>
      <w:kern w:val="2"/>
      <w:sz w:val="21"/>
      <w:szCs w:val="24"/>
      <w:lang w:val="en-US" w:eastAsia="zh-CN" w:bidi="ar-SA"/>
    </w:rPr>
  </w:style>
  <w:style w:type="paragraph" w:customStyle="1" w:styleId="800">
    <w:name w:val="CM23"/>
    <w:basedOn w:val="499"/>
    <w:next w:val="499"/>
    <w:qFormat/>
    <w:uiPriority w:val="0"/>
    <w:pPr>
      <w:spacing w:after="893"/>
    </w:pPr>
    <w:rPr>
      <w:rFonts w:ascii=".a..DD.." w:eastAsia=".a..DD.."/>
      <w:sz w:val="24"/>
      <w:szCs w:val="24"/>
    </w:rPr>
  </w:style>
  <w:style w:type="paragraph" w:customStyle="1" w:styleId="801">
    <w:name w:val="页眉 New New New New New New"/>
    <w:basedOn w:val="681"/>
    <w:qFormat/>
    <w:uiPriority w:val="0"/>
    <w:pPr>
      <w:pBdr>
        <w:bottom w:val="single" w:color="auto" w:sz="6" w:space="1"/>
      </w:pBdr>
      <w:tabs>
        <w:tab w:val="center" w:pos="4153"/>
        <w:tab w:val="right" w:pos="8306"/>
      </w:tabs>
      <w:snapToGrid w:val="0"/>
      <w:jc w:val="center"/>
    </w:pPr>
    <w:rPr>
      <w:sz w:val="18"/>
      <w:szCs w:val="18"/>
    </w:rPr>
  </w:style>
  <w:style w:type="paragraph" w:customStyle="1" w:styleId="802">
    <w:name w:val="Header Base"/>
    <w:basedOn w:val="1"/>
    <w:qFormat/>
    <w:uiPriority w:val="0"/>
    <w:pPr>
      <w:keepLines/>
      <w:widowControl/>
      <w:tabs>
        <w:tab w:val="center" w:pos="4320"/>
        <w:tab w:val="right" w:pos="8640"/>
      </w:tabs>
      <w:spacing w:line="190" w:lineRule="atLeast"/>
      <w:ind w:left="1080"/>
      <w:jc w:val="left"/>
    </w:pPr>
    <w:rPr>
      <w:rFonts w:ascii="Arial" w:hAnsi="Arial"/>
      <w:caps/>
      <w:spacing w:val="-5"/>
      <w:kern w:val="0"/>
      <w:sz w:val="15"/>
      <w:szCs w:val="20"/>
      <w:lang w:eastAsia="en-US"/>
    </w:rPr>
  </w:style>
  <w:style w:type="paragraph" w:customStyle="1" w:styleId="803">
    <w:name w:val="Part Title"/>
    <w:basedOn w:val="1"/>
    <w:qFormat/>
    <w:uiPriority w:val="0"/>
    <w:pPr>
      <w:widowControl/>
      <w:shd w:val="solid" w:color="auto" w:fill="auto"/>
      <w:spacing w:line="660" w:lineRule="exact"/>
      <w:jc w:val="center"/>
    </w:pPr>
    <w:rPr>
      <w:rFonts w:ascii="Arial Black" w:hAnsi="Arial Black"/>
      <w:color w:val="FFFFFF"/>
      <w:spacing w:val="-40"/>
      <w:kern w:val="0"/>
      <w:sz w:val="84"/>
      <w:szCs w:val="20"/>
      <w:lang w:eastAsia="en-US"/>
    </w:rPr>
  </w:style>
  <w:style w:type="paragraph" w:customStyle="1" w:styleId="804">
    <w:name w:val="Style69"/>
    <w:basedOn w:val="1"/>
    <w:unhideWhenUsed/>
    <w:qFormat/>
    <w:uiPriority w:val="99"/>
    <w:pPr>
      <w:spacing w:line="557" w:lineRule="exact"/>
      <w:ind w:firstLine="1666"/>
    </w:pPr>
  </w:style>
  <w:style w:type="paragraph" w:customStyle="1" w:styleId="805">
    <w:name w:val="子标题"/>
    <w:basedOn w:val="1"/>
    <w:qFormat/>
    <w:uiPriority w:val="0"/>
    <w:pPr>
      <w:keepNext/>
      <w:spacing w:line="0" w:lineRule="atLeast"/>
      <w:jc w:val="center"/>
      <w:outlineLvl w:val="6"/>
    </w:pPr>
    <w:rPr>
      <w:rFonts w:ascii="Arial" w:hAnsi="Arial" w:eastAsia="黑体" w:cs="Arial"/>
      <w:iCs/>
      <w:color w:val="000080"/>
      <w:sz w:val="20"/>
      <w:szCs w:val="20"/>
    </w:rPr>
  </w:style>
  <w:style w:type="paragraph" w:customStyle="1" w:styleId="806">
    <w:name w:val="titre page niveau 1"/>
    <w:qFormat/>
    <w:uiPriority w:val="0"/>
    <w:pPr>
      <w:widowControl w:val="0"/>
      <w:spacing w:before="1" w:after="1"/>
      <w:ind w:left="1" w:right="1" w:firstLine="1"/>
    </w:pPr>
    <w:rPr>
      <w:rFonts w:ascii="Helvetica" w:hAnsi="Helvetica" w:eastAsia="宋体" w:cs="Times New Roman"/>
      <w:b/>
      <w:color w:val="000000"/>
      <w:sz w:val="24"/>
      <w:lang w:val="fr-FR" w:eastAsia="zh-CN" w:bidi="ar-SA"/>
    </w:rPr>
  </w:style>
  <w:style w:type="paragraph" w:customStyle="1" w:styleId="807">
    <w:name w:val="titre page niveau 2"/>
    <w:basedOn w:val="806"/>
    <w:next w:val="544"/>
    <w:qFormat/>
    <w:uiPriority w:val="0"/>
    <w:pPr>
      <w:spacing w:before="100"/>
      <w:ind w:left="0" w:right="0" w:firstLine="0"/>
    </w:pPr>
    <w:rPr>
      <w:rFonts w:ascii="Arial" w:hAnsi="Arial"/>
      <w:sz w:val="20"/>
    </w:rPr>
  </w:style>
  <w:style w:type="paragraph" w:customStyle="1" w:styleId="808">
    <w:name w:val="seleftnav"/>
    <w:basedOn w:val="1"/>
    <w:qFormat/>
    <w:uiPriority w:val="0"/>
    <w:pPr>
      <w:widowControl/>
      <w:spacing w:before="100" w:beforeAutospacing="1" w:after="100" w:afterAutospacing="1" w:line="240" w:lineRule="atLeast"/>
      <w:jc w:val="left"/>
    </w:pPr>
    <w:rPr>
      <w:rFonts w:ascii="ˎ̥" w:hAnsi="ˎ̥" w:cs="宋体"/>
      <w:b/>
      <w:bCs/>
      <w:color w:val="082929"/>
      <w:kern w:val="0"/>
      <w:sz w:val="18"/>
      <w:szCs w:val="18"/>
    </w:rPr>
  </w:style>
  <w:style w:type="paragraph" w:customStyle="1" w:styleId="809">
    <w:name w:val="样式 标题 1 + 宋体"/>
    <w:basedOn w:val="6"/>
    <w:qFormat/>
    <w:uiPriority w:val="0"/>
    <w:pPr>
      <w:keepLines/>
      <w:tabs>
        <w:tab w:val="left" w:pos="840"/>
      </w:tabs>
      <w:spacing w:before="340" w:after="330" w:line="578" w:lineRule="auto"/>
      <w:ind w:left="840" w:hanging="420"/>
      <w:jc w:val="both"/>
    </w:pPr>
    <w:rPr>
      <w:rFonts w:ascii="宋体" w:hAnsi="宋体"/>
      <w:kern w:val="44"/>
      <w:szCs w:val="44"/>
    </w:rPr>
  </w:style>
  <w:style w:type="paragraph" w:customStyle="1" w:styleId="810">
    <w:name w:val="Table Header"/>
    <w:basedOn w:val="1"/>
    <w:qFormat/>
    <w:uiPriority w:val="0"/>
    <w:pPr>
      <w:widowControl/>
      <w:spacing w:before="60"/>
      <w:jc w:val="center"/>
    </w:pPr>
    <w:rPr>
      <w:rFonts w:ascii="Arial Black" w:hAnsi="Arial Black"/>
      <w:spacing w:val="-5"/>
      <w:kern w:val="0"/>
      <w:sz w:val="16"/>
      <w:szCs w:val="20"/>
      <w:lang w:eastAsia="en-US"/>
    </w:rPr>
  </w:style>
  <w:style w:type="paragraph" w:customStyle="1" w:styleId="811">
    <w:name w:val="xl26"/>
    <w:basedOn w:val="1"/>
    <w:qFormat/>
    <w:uiPriority w:val="0"/>
    <w:pPr>
      <w:widowControl/>
      <w:spacing w:before="100" w:beforeAutospacing="1" w:after="100" w:afterAutospacing="1"/>
      <w:jc w:val="left"/>
      <w:textAlignment w:val="top"/>
    </w:pPr>
    <w:rPr>
      <w:rFonts w:eastAsia="Arial Unicode MS"/>
      <w:kern w:val="0"/>
      <w:sz w:val="22"/>
      <w:szCs w:val="22"/>
    </w:rPr>
  </w:style>
  <w:style w:type="paragraph" w:customStyle="1" w:styleId="812">
    <w:name w:val="普通 (Web)"/>
    <w:basedOn w:val="1"/>
    <w:qFormat/>
    <w:uiPriority w:val="0"/>
    <w:pPr>
      <w:widowControl/>
      <w:spacing w:before="100" w:beforeAutospacing="1" w:after="100" w:afterAutospacing="1"/>
      <w:jc w:val="left"/>
    </w:pPr>
    <w:rPr>
      <w:rFonts w:ascii="Arial Unicode MS" w:hAnsi="Arial Unicode MS" w:eastAsia="Arial Unicode MS" w:cs="宋体"/>
      <w:kern w:val="0"/>
      <w:sz w:val="24"/>
    </w:rPr>
  </w:style>
  <w:style w:type="paragraph" w:customStyle="1" w:styleId="813">
    <w:name w:val="百姓X"/>
    <w:basedOn w:val="1"/>
    <w:qFormat/>
    <w:uiPriority w:val="0"/>
    <w:pPr>
      <w:spacing w:before="120" w:after="120" w:line="360" w:lineRule="auto"/>
      <w:ind w:firstLine="480" w:firstLineChars="200"/>
    </w:pPr>
    <w:rPr>
      <w:rFonts w:ascii="宋体" w:hAnsi="宋体" w:cs="Arial"/>
      <w:bCs/>
      <w:color w:val="000000"/>
      <w:kern w:val="0"/>
      <w:sz w:val="24"/>
      <w:szCs w:val="16"/>
    </w:rPr>
  </w:style>
  <w:style w:type="paragraph" w:customStyle="1" w:styleId="814">
    <w:name w:val="Style78"/>
    <w:basedOn w:val="1"/>
    <w:unhideWhenUsed/>
    <w:qFormat/>
    <w:uiPriority w:val="99"/>
  </w:style>
  <w:style w:type="paragraph" w:customStyle="1" w:styleId="815">
    <w:name w:val="Style4"/>
    <w:basedOn w:val="1"/>
    <w:unhideWhenUsed/>
    <w:qFormat/>
    <w:uiPriority w:val="99"/>
  </w:style>
  <w:style w:type="paragraph" w:customStyle="1" w:styleId="816">
    <w:name w:val="CM14"/>
    <w:basedOn w:val="499"/>
    <w:next w:val="499"/>
    <w:qFormat/>
    <w:uiPriority w:val="0"/>
    <w:pPr>
      <w:spacing w:after="280"/>
    </w:pPr>
    <w:rPr>
      <w:rFonts w:ascii="Arial" w:hAnsi="Arial" w:eastAsia="宋体"/>
      <w:sz w:val="24"/>
      <w:szCs w:val="24"/>
    </w:rPr>
  </w:style>
  <w:style w:type="paragraph" w:customStyle="1" w:styleId="817">
    <w:name w:val="样式 标题 2 + 行距: 多倍行距 1.73 字行"/>
    <w:basedOn w:val="7"/>
    <w:qFormat/>
    <w:uiPriority w:val="0"/>
    <w:pPr>
      <w:tabs>
        <w:tab w:val="left" w:pos="1116"/>
      </w:tabs>
      <w:spacing w:before="260" w:after="260" w:line="415" w:lineRule="auto"/>
      <w:ind w:firstLine="200" w:firstLineChars="200"/>
    </w:pPr>
    <w:rPr>
      <w:rFonts w:eastAsia="黑体" w:cs="宋体"/>
      <w:sz w:val="32"/>
      <w:szCs w:val="20"/>
    </w:rPr>
  </w:style>
  <w:style w:type="paragraph" w:customStyle="1" w:styleId="818">
    <w:name w:val="_Style 39"/>
    <w:basedOn w:val="819"/>
    <w:qFormat/>
    <w:uiPriority w:val="0"/>
  </w:style>
  <w:style w:type="paragraph" w:customStyle="1" w:styleId="819">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0">
    <w:name w:val="正文符号2"/>
    <w:basedOn w:val="821"/>
    <w:qFormat/>
    <w:uiPriority w:val="0"/>
    <w:pPr>
      <w:tabs>
        <w:tab w:val="left" w:pos="420"/>
        <w:tab w:val="left" w:pos="720"/>
        <w:tab w:val="left" w:pos="900"/>
        <w:tab w:val="left" w:pos="1080"/>
      </w:tabs>
      <w:ind w:left="720" w:hanging="360"/>
    </w:pPr>
  </w:style>
  <w:style w:type="paragraph" w:customStyle="1" w:styleId="821">
    <w:name w:val="正文符号1"/>
    <w:basedOn w:val="752"/>
    <w:qFormat/>
    <w:uiPriority w:val="0"/>
    <w:pPr>
      <w:tabs>
        <w:tab w:val="left" w:pos="420"/>
        <w:tab w:val="left" w:pos="1080"/>
      </w:tabs>
      <w:ind w:left="420" w:hanging="420"/>
    </w:pPr>
  </w:style>
  <w:style w:type="paragraph" w:customStyle="1" w:styleId="822">
    <w:name w:val="aleftnav"/>
    <w:basedOn w:val="1"/>
    <w:qFormat/>
    <w:uiPriority w:val="0"/>
    <w:pPr>
      <w:widowControl/>
      <w:spacing w:before="100" w:beforeAutospacing="1" w:after="100" w:afterAutospacing="1" w:line="240" w:lineRule="atLeast"/>
      <w:jc w:val="left"/>
    </w:pPr>
    <w:rPr>
      <w:rFonts w:ascii="ˎ̥" w:hAnsi="ˎ̥" w:cs="宋体"/>
      <w:b/>
      <w:bCs/>
      <w:color w:val="4A296B"/>
      <w:kern w:val="0"/>
      <w:sz w:val="18"/>
      <w:szCs w:val="18"/>
    </w:rPr>
  </w:style>
  <w:style w:type="paragraph" w:customStyle="1" w:styleId="823">
    <w:name w:val="T1"/>
    <w:basedOn w:val="6"/>
    <w:next w:val="1"/>
    <w:qFormat/>
    <w:uiPriority w:val="0"/>
    <w:pPr>
      <w:keepLines/>
      <w:spacing w:before="340" w:after="330" w:line="578" w:lineRule="atLeast"/>
    </w:pPr>
    <w:rPr>
      <w:rFonts w:ascii="Arial" w:hAnsi="Arial" w:eastAsia="黑体"/>
      <w:spacing w:val="10"/>
      <w:kern w:val="44"/>
      <w:sz w:val="44"/>
      <w:szCs w:val="44"/>
    </w:rPr>
  </w:style>
  <w:style w:type="paragraph" w:customStyle="1" w:styleId="824">
    <w:name w:val="Style21"/>
    <w:basedOn w:val="1"/>
    <w:unhideWhenUsed/>
    <w:qFormat/>
    <w:uiPriority w:val="99"/>
    <w:pPr>
      <w:spacing w:line="566" w:lineRule="exact"/>
      <w:ind w:firstLine="682"/>
    </w:pPr>
  </w:style>
  <w:style w:type="paragraph" w:customStyle="1" w:styleId="825">
    <w:name w:val="默认段落字体 Para Char Char Char Char Char Char Char Char Char Char Char Char Char"/>
    <w:basedOn w:val="30"/>
    <w:qFormat/>
    <w:uiPriority w:val="0"/>
    <w:rPr>
      <w:rFonts w:ascii="Tahoma" w:hAnsi="Tahoma" w:cs="Tahoma"/>
      <w:sz w:val="24"/>
    </w:rPr>
  </w:style>
  <w:style w:type="paragraph" w:customStyle="1" w:styleId="826">
    <w:name w:val="Char Char Char Char Char Char Char Char Char"/>
    <w:basedOn w:val="1"/>
    <w:qFormat/>
    <w:uiPriority w:val="0"/>
    <w:pPr>
      <w:spacing w:line="360" w:lineRule="auto"/>
      <w:ind w:firstLine="200" w:firstLineChars="200"/>
    </w:pPr>
  </w:style>
  <w:style w:type="paragraph" w:customStyle="1" w:styleId="827">
    <w:name w:val="_Style 8"/>
    <w:basedOn w:val="1"/>
    <w:qFormat/>
    <w:uiPriority w:val="0"/>
    <w:pPr>
      <w:widowControl/>
      <w:ind w:firstLine="420" w:firstLineChars="200"/>
      <w:jc w:val="left"/>
    </w:pPr>
    <w:rPr>
      <w:rFonts w:ascii="宋体" w:hAnsi="宋体" w:cs="宋体"/>
      <w:kern w:val="0"/>
      <w:sz w:val="24"/>
    </w:rPr>
  </w:style>
  <w:style w:type="paragraph" w:customStyle="1" w:styleId="828">
    <w:name w:val="BodyText"/>
    <w:basedOn w:val="1"/>
    <w:qFormat/>
    <w:uiPriority w:val="0"/>
    <w:pPr>
      <w:widowControl/>
      <w:spacing w:before="120" w:after="120" w:line="360" w:lineRule="auto"/>
    </w:pPr>
    <w:rPr>
      <w:rFonts w:ascii="宋体"/>
      <w:snapToGrid w:val="0"/>
      <w:kern w:val="0"/>
      <w:sz w:val="28"/>
      <w:szCs w:val="20"/>
    </w:rPr>
  </w:style>
  <w:style w:type="paragraph" w:customStyle="1" w:styleId="829">
    <w:name w:val="表格正文中"/>
    <w:basedOn w:val="686"/>
    <w:qFormat/>
    <w:uiPriority w:val="0"/>
    <w:pPr>
      <w:ind w:firstLine="200" w:firstLineChars="200"/>
      <w:jc w:val="center"/>
    </w:pPr>
  </w:style>
  <w:style w:type="paragraph" w:customStyle="1" w:styleId="830">
    <w:name w:val="Style67"/>
    <w:basedOn w:val="1"/>
    <w:unhideWhenUsed/>
    <w:qFormat/>
    <w:uiPriority w:val="0"/>
    <w:pPr>
      <w:spacing w:line="566" w:lineRule="exact"/>
      <w:ind w:firstLine="552"/>
    </w:pPr>
  </w:style>
  <w:style w:type="paragraph" w:customStyle="1" w:styleId="831">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eastAsia="Arial Unicode MS"/>
      <w:color w:val="000000"/>
      <w:kern w:val="0"/>
      <w:sz w:val="22"/>
      <w:szCs w:val="22"/>
    </w:rPr>
  </w:style>
  <w:style w:type="paragraph" w:customStyle="1" w:styleId="832">
    <w:name w:val="框内白字"/>
    <w:qFormat/>
    <w:uiPriority w:val="0"/>
    <w:pPr>
      <w:autoSpaceDE w:val="0"/>
      <w:autoSpaceDN w:val="0"/>
      <w:adjustRightInd w:val="0"/>
      <w:jc w:val="center"/>
    </w:pPr>
    <w:rPr>
      <w:rFonts w:ascii="汉鼎简中等线Arial" w:hAnsi="Times New Roman" w:eastAsia="汉鼎简中等线Arial" w:cs="Times New Roman"/>
      <w:color w:val="FFFFFF"/>
      <w:sz w:val="18"/>
      <w:szCs w:val="18"/>
      <w:lang w:val="en-US" w:eastAsia="en-US" w:bidi="ar-SA"/>
    </w:rPr>
  </w:style>
  <w:style w:type="paragraph" w:customStyle="1" w:styleId="833">
    <w:name w:val="Normal_49"/>
    <w:qFormat/>
    <w:uiPriority w:val="0"/>
    <w:pPr>
      <w:widowControl w:val="0"/>
      <w:jc w:val="both"/>
    </w:pPr>
    <w:rPr>
      <w:rFonts w:ascii="Calibri" w:hAnsi="Calibri" w:eastAsia="宋体" w:cs="Times New Roman"/>
      <w:lang w:val="en-US" w:eastAsia="zh-CN" w:bidi="ar-SA"/>
    </w:rPr>
  </w:style>
  <w:style w:type="paragraph" w:customStyle="1" w:styleId="834">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835">
    <w:name w:val="Char Char Char Char Char Char Char Char Char Char Char Char Char Char Char Char Char Char 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836">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837">
    <w:name w:val="Char10"/>
    <w:basedOn w:val="1"/>
    <w:qFormat/>
    <w:uiPriority w:val="0"/>
  </w:style>
  <w:style w:type="paragraph" w:customStyle="1" w:styleId="838">
    <w:name w:val="正文样式2"/>
    <w:basedOn w:val="1"/>
    <w:qFormat/>
    <w:uiPriority w:val="0"/>
    <w:pPr>
      <w:spacing w:before="156" w:after="156" w:line="360" w:lineRule="auto"/>
      <w:ind w:firstLine="420"/>
    </w:pPr>
    <w:rPr>
      <w:rFonts w:eastAsia="楷体_GB2312"/>
      <w:sz w:val="24"/>
      <w:szCs w:val="20"/>
    </w:rPr>
  </w:style>
  <w:style w:type="paragraph" w:customStyle="1" w:styleId="839">
    <w:name w:val="样式 正文段 + 首行缩进:  2 字符1"/>
    <w:basedOn w:val="1"/>
    <w:qFormat/>
    <w:uiPriority w:val="0"/>
    <w:pPr>
      <w:autoSpaceDE w:val="0"/>
      <w:autoSpaceDN w:val="0"/>
      <w:adjustRightInd w:val="0"/>
      <w:spacing w:before="100" w:beforeAutospacing="1" w:after="100" w:afterAutospacing="1" w:line="440" w:lineRule="exact"/>
      <w:ind w:firstLine="200" w:firstLineChars="200"/>
      <w:jc w:val="left"/>
    </w:pPr>
    <w:rPr>
      <w:rFonts w:cs="宋体"/>
      <w:kern w:val="0"/>
      <w:sz w:val="24"/>
      <w:szCs w:val="20"/>
    </w:rPr>
  </w:style>
  <w:style w:type="paragraph" w:customStyle="1" w:styleId="840">
    <w:name w:val="TOC 标题11"/>
    <w:basedOn w:val="6"/>
    <w:next w:val="1"/>
    <w:qFormat/>
    <w:uiPriority w:val="39"/>
    <w:pPr>
      <w:keepLines/>
      <w:spacing w:before="340" w:after="330" w:line="578" w:lineRule="auto"/>
      <w:jc w:val="both"/>
      <w:outlineLvl w:val="9"/>
    </w:pPr>
    <w:rPr>
      <w:kern w:val="44"/>
      <w:sz w:val="44"/>
      <w:szCs w:val="44"/>
    </w:rPr>
  </w:style>
  <w:style w:type="paragraph" w:customStyle="1" w:styleId="841">
    <w:name w:val="HC正文"/>
    <w:basedOn w:val="1"/>
    <w:qFormat/>
    <w:uiPriority w:val="0"/>
    <w:pPr>
      <w:tabs>
        <w:tab w:val="left" w:pos="0"/>
      </w:tabs>
      <w:adjustRightInd w:val="0"/>
      <w:snapToGrid w:val="0"/>
      <w:spacing w:line="300" w:lineRule="auto"/>
      <w:ind w:firstLine="480" w:firstLineChars="200"/>
    </w:pPr>
    <w:rPr>
      <w:rFonts w:eastAsia="仿宋_GB2312"/>
      <w:sz w:val="24"/>
    </w:rPr>
  </w:style>
  <w:style w:type="paragraph" w:customStyle="1" w:styleId="842">
    <w:name w:val="contentnoteheader"/>
    <w:basedOn w:val="1"/>
    <w:qFormat/>
    <w:uiPriority w:val="0"/>
    <w:pPr>
      <w:widowControl/>
      <w:spacing w:before="100" w:beforeAutospacing="1" w:after="100" w:afterAutospacing="1" w:line="360" w:lineRule="auto"/>
      <w:jc w:val="left"/>
    </w:pPr>
    <w:rPr>
      <w:rFonts w:ascii="宋体" w:hAnsi="宋体"/>
      <w:kern w:val="0"/>
      <w:sz w:val="24"/>
    </w:rPr>
  </w:style>
  <w:style w:type="paragraph" w:customStyle="1" w:styleId="843">
    <w:name w:val="_Style 10"/>
    <w:basedOn w:val="1"/>
    <w:qFormat/>
    <w:uiPriority w:val="0"/>
    <w:rPr>
      <w:rFonts w:ascii="宋体" w:hAnsi="宋体"/>
      <w:sz w:val="24"/>
      <w:szCs w:val="20"/>
    </w:rPr>
  </w:style>
  <w:style w:type="paragraph" w:customStyle="1" w:styleId="844">
    <w:name w:val="样式 纯文本 + (符号) 宋体 加粗"/>
    <w:basedOn w:val="47"/>
    <w:qFormat/>
    <w:uiPriority w:val="0"/>
    <w:pPr>
      <w:tabs>
        <w:tab w:val="left" w:pos="570"/>
      </w:tabs>
      <w:spacing w:line="360" w:lineRule="auto"/>
      <w:ind w:left="570" w:hanging="360"/>
    </w:pPr>
  </w:style>
  <w:style w:type="paragraph" w:customStyle="1" w:styleId="845">
    <w:name w:val="Normal ss"/>
    <w:basedOn w:val="1"/>
    <w:qFormat/>
    <w:uiPriority w:val="0"/>
    <w:pPr>
      <w:widowControl/>
      <w:jc w:val="left"/>
    </w:pPr>
    <w:rPr>
      <w:kern w:val="0"/>
      <w:sz w:val="22"/>
      <w:szCs w:val="20"/>
    </w:rPr>
  </w:style>
  <w:style w:type="paragraph" w:customStyle="1" w:styleId="846">
    <w:name w:val="Char21"/>
    <w:basedOn w:val="1"/>
    <w:qFormat/>
    <w:uiPriority w:val="0"/>
    <w:rPr>
      <w:rFonts w:ascii="Tahoma" w:hAnsi="Tahoma"/>
      <w:sz w:val="24"/>
      <w:szCs w:val="20"/>
    </w:rPr>
  </w:style>
  <w:style w:type="paragraph" w:customStyle="1" w:styleId="847">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848">
    <w:name w:val="样式 标题 2 + 宋体 五号 行距: 单倍行距"/>
    <w:basedOn w:val="7"/>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49">
    <w:name w:val="Style27"/>
    <w:basedOn w:val="1"/>
    <w:unhideWhenUsed/>
    <w:qFormat/>
    <w:uiPriority w:val="99"/>
  </w:style>
  <w:style w:type="paragraph" w:customStyle="1" w:styleId="850">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851">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852">
    <w:name w:val="Aufzaehlung"/>
    <w:basedOn w:val="1"/>
    <w:qFormat/>
    <w:uiPriority w:val="0"/>
    <w:pPr>
      <w:widowControl/>
      <w:spacing w:line="240" w:lineRule="atLeast"/>
      <w:ind w:left="284" w:hanging="284"/>
      <w:jc w:val="left"/>
    </w:pPr>
    <w:rPr>
      <w:rFonts w:ascii="Arial" w:hAnsi="Arial"/>
      <w:kern w:val="0"/>
      <w:sz w:val="22"/>
      <w:lang w:eastAsia="en-US"/>
    </w:rPr>
  </w:style>
  <w:style w:type="paragraph" w:customStyle="1" w:styleId="853">
    <w:name w:val="橙色小标题"/>
    <w:basedOn w:val="1"/>
    <w:qFormat/>
    <w:uiPriority w:val="0"/>
    <w:pPr>
      <w:widowControl/>
      <w:autoSpaceDE w:val="0"/>
      <w:autoSpaceDN w:val="0"/>
      <w:adjustRightInd w:val="0"/>
    </w:pPr>
    <w:rPr>
      <w:rFonts w:ascii="汉鼎简大黑Arial Black" w:eastAsia="汉鼎简大黑Arial Black"/>
      <w:color w:val="FF9808"/>
      <w:kern w:val="0"/>
      <w:sz w:val="28"/>
      <w:szCs w:val="28"/>
      <w:lang w:eastAsia="en-US"/>
    </w:rPr>
  </w:style>
  <w:style w:type="paragraph" w:customStyle="1" w:styleId="85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Cs w:val="21"/>
    </w:rPr>
  </w:style>
  <w:style w:type="paragraph" w:customStyle="1" w:styleId="855">
    <w:name w:val="CM57"/>
    <w:basedOn w:val="499"/>
    <w:next w:val="499"/>
    <w:qFormat/>
    <w:uiPriority w:val="0"/>
    <w:pPr>
      <w:spacing w:after="343"/>
    </w:pPr>
    <w:rPr>
      <w:rFonts w:ascii="宋体" w:eastAsia="宋体" w:cs="宋体"/>
      <w:sz w:val="24"/>
      <w:szCs w:val="24"/>
    </w:rPr>
  </w:style>
  <w:style w:type="paragraph" w:customStyle="1" w:styleId="85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eastAsia="Arial Unicode MS" w:cs="Arial"/>
      <w:kern w:val="0"/>
      <w:sz w:val="20"/>
      <w:szCs w:val="20"/>
    </w:rPr>
  </w:style>
  <w:style w:type="paragraph" w:customStyle="1" w:styleId="857">
    <w:name w:val="Style50"/>
    <w:basedOn w:val="1"/>
    <w:unhideWhenUsed/>
    <w:qFormat/>
    <w:uiPriority w:val="99"/>
  </w:style>
  <w:style w:type="paragraph" w:customStyle="1" w:styleId="858">
    <w:name w:val="CM1"/>
    <w:basedOn w:val="499"/>
    <w:next w:val="499"/>
    <w:qFormat/>
    <w:uiPriority w:val="0"/>
    <w:pPr>
      <w:spacing w:line="320" w:lineRule="atLeast"/>
    </w:pPr>
    <w:rPr>
      <w:rFonts w:ascii="Arial" w:hAnsi="Arial" w:eastAsia="宋体"/>
      <w:sz w:val="24"/>
      <w:szCs w:val="24"/>
    </w:rPr>
  </w:style>
  <w:style w:type="paragraph" w:customStyle="1" w:styleId="859">
    <w:name w:val="Char2 Char Char Char"/>
    <w:basedOn w:val="1"/>
    <w:qFormat/>
    <w:uiPriority w:val="0"/>
    <w:pPr>
      <w:widowControl/>
      <w:spacing w:after="160" w:line="240" w:lineRule="exact"/>
      <w:ind w:right="32"/>
      <w:jc w:val="left"/>
    </w:pPr>
    <w:rPr>
      <w:rFonts w:ascii="Verdana" w:hAnsi="Verdana" w:eastAsia="仿宋_GB2312"/>
      <w:kern w:val="0"/>
      <w:sz w:val="24"/>
      <w:szCs w:val="20"/>
      <w:lang w:eastAsia="en-US"/>
    </w:rPr>
  </w:style>
  <w:style w:type="paragraph" w:customStyle="1" w:styleId="860">
    <w:name w:val="CM7"/>
    <w:basedOn w:val="499"/>
    <w:next w:val="499"/>
    <w:qFormat/>
    <w:uiPriority w:val="0"/>
    <w:pPr>
      <w:spacing w:after="120"/>
    </w:pPr>
    <w:rPr>
      <w:rFonts w:ascii="Arial" w:hAnsi="Arial" w:eastAsia="宋体"/>
      <w:sz w:val="24"/>
      <w:szCs w:val="24"/>
    </w:rPr>
  </w:style>
  <w:style w:type="paragraph" w:customStyle="1" w:styleId="861">
    <w:name w:val="le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862">
    <w:name w:val="样式 样式 标题 3H3Level 3 Headh3sect1.2.3Heading 3 - oldMapH31 + +"/>
    <w:basedOn w:val="863"/>
    <w:qFormat/>
    <w:uiPriority w:val="0"/>
    <w:pPr>
      <w:tabs>
        <w:tab w:val="left" w:pos="1260"/>
      </w:tabs>
      <w:ind w:left="1260" w:hanging="720"/>
    </w:pPr>
  </w:style>
  <w:style w:type="paragraph" w:customStyle="1" w:styleId="863">
    <w:name w:val="样式 标题 3H3Level 3 Headh3sect1.2.3Heading 3 - oldMapH31 +"/>
    <w:basedOn w:val="8"/>
    <w:qFormat/>
    <w:uiPriority w:val="0"/>
    <w:pPr>
      <w:spacing w:line="416" w:lineRule="auto"/>
    </w:pPr>
    <w:rPr>
      <w:kern w:val="0"/>
    </w:rPr>
  </w:style>
  <w:style w:type="paragraph" w:customStyle="1" w:styleId="864">
    <w:name w:val="Char Char Char Char Char Char"/>
    <w:basedOn w:val="1"/>
    <w:qFormat/>
    <w:uiPriority w:val="0"/>
    <w:rPr>
      <w:rFonts w:ascii="Tahoma" w:hAnsi="Tahoma"/>
      <w:sz w:val="24"/>
      <w:szCs w:val="20"/>
    </w:rPr>
  </w:style>
  <w:style w:type="paragraph" w:customStyle="1" w:styleId="865">
    <w:name w:val="font12"/>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866">
    <w:name w:val="body3"/>
    <w:basedOn w:val="1"/>
    <w:next w:val="9"/>
    <w:qFormat/>
    <w:uiPriority w:val="0"/>
    <w:pPr>
      <w:widowControl/>
      <w:overflowPunct w:val="0"/>
      <w:autoSpaceDE w:val="0"/>
      <w:autoSpaceDN w:val="0"/>
      <w:adjustRightInd w:val="0"/>
      <w:spacing w:line="0" w:lineRule="atLeast"/>
      <w:ind w:left="2610" w:right="210"/>
      <w:jc w:val="left"/>
      <w:textAlignment w:val="baseline"/>
    </w:pPr>
    <w:rPr>
      <w:rFonts w:ascii="宋体"/>
      <w:kern w:val="0"/>
      <w:sz w:val="28"/>
      <w:szCs w:val="20"/>
    </w:rPr>
  </w:style>
  <w:style w:type="paragraph" w:customStyle="1" w:styleId="867">
    <w:name w:val="seheader"/>
    <w:basedOn w:val="1"/>
    <w:qFormat/>
    <w:uiPriority w:val="0"/>
    <w:pPr>
      <w:widowControl/>
      <w:spacing w:before="100" w:beforeAutospacing="1" w:after="100" w:afterAutospacing="1" w:line="240" w:lineRule="atLeast"/>
      <w:jc w:val="left"/>
    </w:pPr>
    <w:rPr>
      <w:rFonts w:ascii="ˎ̥" w:hAnsi="ˎ̥" w:cs="宋体"/>
      <w:b/>
      <w:bCs/>
      <w:color w:val="082929"/>
      <w:kern w:val="0"/>
      <w:sz w:val="18"/>
      <w:szCs w:val="18"/>
    </w:rPr>
  </w:style>
  <w:style w:type="paragraph" w:customStyle="1" w:styleId="868">
    <w:name w:val="Footer First"/>
    <w:basedOn w:val="59"/>
    <w:qFormat/>
    <w:uiPriority w:val="0"/>
    <w:pPr>
      <w:keepLines/>
      <w:widowControl/>
      <w:pBdr>
        <w:top w:val="single" w:color="auto" w:sz="6" w:space="2"/>
      </w:pBdr>
      <w:tabs>
        <w:tab w:val="center" w:pos="4320"/>
        <w:tab w:val="right" w:pos="8640"/>
        <w:tab w:val="clear" w:pos="4153"/>
        <w:tab w:val="clear" w:pos="8306"/>
      </w:tabs>
      <w:snapToGrid/>
      <w:spacing w:before="600" w:line="190" w:lineRule="atLeast"/>
      <w:ind w:left="1080"/>
    </w:pPr>
    <w:rPr>
      <w:rFonts w:ascii="Arial" w:hAnsi="Arial"/>
      <w:caps/>
      <w:spacing w:val="-5"/>
      <w:kern w:val="0"/>
      <w:sz w:val="15"/>
      <w:szCs w:val="20"/>
      <w:lang w:eastAsia="en-US"/>
    </w:rPr>
  </w:style>
  <w:style w:type="paragraph" w:customStyle="1" w:styleId="869">
    <w:name w:val="样式 标题 1"/>
    <w:basedOn w:val="6"/>
    <w:qFormat/>
    <w:uiPriority w:val="0"/>
    <w:pPr>
      <w:tabs>
        <w:tab w:val="left" w:pos="420"/>
      </w:tabs>
      <w:spacing w:before="340" w:after="330" w:line="576" w:lineRule="auto"/>
      <w:ind w:left="420" w:hanging="420"/>
      <w:jc w:val="both"/>
    </w:pPr>
    <w:rPr>
      <w:rFonts w:ascii="Arial" w:hAnsi="Arial"/>
      <w:bCs w:val="0"/>
      <w:kern w:val="44"/>
      <w:sz w:val="32"/>
    </w:rPr>
  </w:style>
  <w:style w:type="paragraph" w:customStyle="1" w:styleId="870">
    <w:name w:val="样式 非加粗 居中"/>
    <w:basedOn w:val="1"/>
    <w:qFormat/>
    <w:uiPriority w:val="0"/>
    <w:pPr>
      <w:keepNext/>
      <w:adjustRightInd w:val="0"/>
      <w:snapToGrid w:val="0"/>
      <w:spacing w:before="100" w:beforeAutospacing="1" w:after="100" w:afterAutospacing="1"/>
      <w:ind w:left="98" w:leftChars="41"/>
      <w:jc w:val="center"/>
    </w:pPr>
    <w:rPr>
      <w:rFonts w:ascii="宋体" w:hAnsi="宋体"/>
      <w:b/>
      <w:snapToGrid w:val="0"/>
      <w:kern w:val="0"/>
      <w:sz w:val="24"/>
      <w:szCs w:val="20"/>
    </w:rPr>
  </w:style>
  <w:style w:type="paragraph" w:customStyle="1" w:styleId="871">
    <w:name w:val="CM11"/>
    <w:basedOn w:val="499"/>
    <w:next w:val="499"/>
    <w:qFormat/>
    <w:uiPriority w:val="0"/>
    <w:pPr>
      <w:spacing w:line="626" w:lineRule="atLeast"/>
    </w:pPr>
    <w:rPr>
      <w:rFonts w:ascii=".a..DD.." w:eastAsia=".a..DD.."/>
      <w:sz w:val="24"/>
      <w:szCs w:val="24"/>
    </w:rPr>
  </w:style>
  <w:style w:type="paragraph" w:customStyle="1" w:styleId="872">
    <w:name w:val="t3"/>
    <w:basedOn w:val="1"/>
    <w:qFormat/>
    <w:uiPriority w:val="0"/>
    <w:pPr>
      <w:widowControl/>
      <w:spacing w:before="100" w:beforeAutospacing="1" w:after="100" w:afterAutospacing="1" w:line="408" w:lineRule="auto"/>
      <w:jc w:val="left"/>
    </w:pPr>
    <w:rPr>
      <w:rFonts w:ascii="宋体" w:hAnsi="宋体"/>
      <w:b/>
      <w:bCs/>
      <w:color w:val="000000"/>
      <w:kern w:val="0"/>
      <w:sz w:val="22"/>
      <w:szCs w:val="22"/>
    </w:rPr>
  </w:style>
  <w:style w:type="paragraph" w:customStyle="1" w:styleId="873">
    <w:name w:val="Style71"/>
    <w:basedOn w:val="1"/>
    <w:unhideWhenUsed/>
    <w:qFormat/>
    <w:uiPriority w:val="99"/>
    <w:pPr>
      <w:spacing w:line="538" w:lineRule="exact"/>
      <w:ind w:firstLine="101"/>
    </w:pPr>
  </w:style>
  <w:style w:type="paragraph" w:customStyle="1" w:styleId="87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875">
    <w:name w:val="Style1"/>
    <w:basedOn w:val="4"/>
    <w:qFormat/>
    <w:uiPriority w:val="0"/>
    <w:pPr>
      <w:widowControl w:val="0"/>
      <w:tabs>
        <w:tab w:val="left" w:pos="840"/>
      </w:tabs>
      <w:overflowPunct w:val="0"/>
      <w:spacing w:line="360" w:lineRule="auto"/>
      <w:ind w:left="200" w:leftChars="200" w:firstLine="0"/>
      <w:jc w:val="both"/>
      <w:textAlignment w:val="baseline"/>
    </w:pPr>
    <w:rPr>
      <w:rFonts w:ascii="Calibri" w:hAnsi="Calibri"/>
      <w:kern w:val="24"/>
      <w:sz w:val="24"/>
    </w:rPr>
  </w:style>
  <w:style w:type="paragraph" w:customStyle="1" w:styleId="876">
    <w:name w:val="样式 图表 + 五号"/>
    <w:basedOn w:val="1"/>
    <w:qFormat/>
    <w:uiPriority w:val="0"/>
    <w:pPr>
      <w:spacing w:line="360" w:lineRule="auto"/>
      <w:ind w:left="-61" w:leftChars="-29" w:firstLine="522" w:firstLineChars="200"/>
    </w:pPr>
    <w:rPr>
      <w:rFonts w:ascii="宋体" w:hAnsi="宋体"/>
      <w:b/>
      <w:color w:val="FF0000"/>
      <w:spacing w:val="-10"/>
      <w:sz w:val="28"/>
      <w:szCs w:val="28"/>
    </w:rPr>
  </w:style>
  <w:style w:type="paragraph" w:customStyle="1" w:styleId="877">
    <w:name w:val="reg"/>
    <w:basedOn w:val="1"/>
    <w:qFormat/>
    <w:uiPriority w:val="0"/>
    <w:pPr>
      <w:widowControl/>
      <w:spacing w:before="100" w:beforeAutospacing="1" w:after="100" w:afterAutospacing="1" w:line="0" w:lineRule="atLeast"/>
      <w:jc w:val="left"/>
    </w:pPr>
    <w:rPr>
      <w:rFonts w:ascii="宋体" w:hAnsi="宋体" w:cs="宋体"/>
      <w:kern w:val="0"/>
      <w:sz w:val="12"/>
      <w:szCs w:val="12"/>
    </w:rPr>
  </w:style>
  <w:style w:type="paragraph" w:customStyle="1" w:styleId="878">
    <w:name w:val="CSCEC正文"/>
    <w:basedOn w:val="1"/>
    <w:qFormat/>
    <w:uiPriority w:val="0"/>
    <w:pPr>
      <w:widowControl/>
      <w:spacing w:line="440" w:lineRule="exact"/>
      <w:ind w:firstLine="200" w:firstLineChars="200"/>
      <w:jc w:val="left"/>
    </w:pPr>
    <w:rPr>
      <w:rFonts w:ascii="宋体"/>
      <w:kern w:val="0"/>
      <w:sz w:val="24"/>
    </w:rPr>
  </w:style>
  <w:style w:type="paragraph" w:customStyle="1" w:styleId="879">
    <w:name w:val="Char1 Char Char Char 字元 Char Char 字元 Char 字元 Char1 Char Char Char"/>
    <w:basedOn w:val="1"/>
    <w:qFormat/>
    <w:uiPriority w:val="0"/>
    <w:rPr>
      <w:szCs w:val="20"/>
    </w:rPr>
  </w:style>
  <w:style w:type="paragraph" w:customStyle="1" w:styleId="880">
    <w:name w:val="_Style 31"/>
    <w:basedOn w:val="1"/>
    <w:qFormat/>
    <w:uiPriority w:val="0"/>
    <w:rPr>
      <w:rFonts w:ascii="仿宋_GB2312" w:eastAsia="仿宋_GB2312"/>
      <w:kern w:val="0"/>
      <w:szCs w:val="20"/>
    </w:rPr>
  </w:style>
  <w:style w:type="paragraph" w:customStyle="1" w:styleId="881">
    <w:name w:val="表项"/>
    <w:next w:val="1"/>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882">
    <w:name w:val="hnews"/>
    <w:basedOn w:val="1"/>
    <w:qFormat/>
    <w:uiPriority w:val="0"/>
    <w:pPr>
      <w:widowControl/>
      <w:spacing w:before="100" w:beforeAutospacing="1" w:after="100" w:afterAutospacing="1" w:line="240" w:lineRule="atLeast"/>
      <w:jc w:val="left"/>
    </w:pPr>
    <w:rPr>
      <w:rFonts w:ascii="ˎ̥" w:hAnsi="ˎ̥" w:cs="宋体"/>
      <w:color w:val="000000"/>
      <w:kern w:val="0"/>
      <w:sz w:val="18"/>
      <w:szCs w:val="18"/>
    </w:rPr>
  </w:style>
  <w:style w:type="paragraph" w:customStyle="1" w:styleId="883">
    <w:name w:val="xl51"/>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w:hAnsi="Arial" w:eastAsia="Arial Unicode MS" w:cs="Arial"/>
      <w:kern w:val="0"/>
      <w:szCs w:val="21"/>
    </w:rPr>
  </w:style>
  <w:style w:type="paragraph" w:customStyle="1" w:styleId="884">
    <w:name w:val="表格标题"/>
    <w:basedOn w:val="686"/>
    <w:qFormat/>
    <w:uiPriority w:val="0"/>
    <w:pPr>
      <w:spacing w:before="0" w:beforeAutospacing="0" w:after="0" w:afterAutospacing="0"/>
      <w:ind w:firstLine="200" w:firstLineChars="200"/>
      <w:jc w:val="center"/>
    </w:pPr>
    <w:rPr>
      <w:rFonts w:ascii="宋体" w:hAnsi="宋体" w:eastAsia="宋体"/>
      <w:b/>
    </w:rPr>
  </w:style>
  <w:style w:type="paragraph" w:customStyle="1" w:styleId="885">
    <w:name w:val="CM45"/>
    <w:basedOn w:val="499"/>
    <w:next w:val="499"/>
    <w:qFormat/>
    <w:uiPriority w:val="0"/>
    <w:pPr>
      <w:spacing w:after="273"/>
    </w:pPr>
    <w:rPr>
      <w:rFonts w:ascii="宋体" w:eastAsia="宋体" w:cs="宋体"/>
      <w:sz w:val="24"/>
      <w:szCs w:val="24"/>
    </w:rPr>
  </w:style>
  <w:style w:type="paragraph" w:customStyle="1" w:styleId="88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887">
    <w:name w:val="Char1 Char Char Char Char Char Char Char Char Char1"/>
    <w:basedOn w:val="1"/>
    <w:qFormat/>
    <w:uiPriority w:val="0"/>
    <w:pPr>
      <w:adjustRightInd w:val="0"/>
    </w:pPr>
    <w:rPr>
      <w:kern w:val="0"/>
      <w:sz w:val="24"/>
      <w:szCs w:val="20"/>
    </w:rPr>
  </w:style>
  <w:style w:type="paragraph" w:customStyle="1" w:styleId="888">
    <w:name w:val="body"/>
    <w:basedOn w:val="1"/>
    <w:qFormat/>
    <w:uiPriority w:val="0"/>
    <w:pPr>
      <w:widowControl/>
      <w:spacing w:before="100" w:beforeAutospacing="1" w:after="100" w:afterAutospacing="1" w:line="270" w:lineRule="atLeast"/>
      <w:jc w:val="left"/>
    </w:pPr>
    <w:rPr>
      <w:rFonts w:ascii="宋体" w:hAnsi="宋体" w:cs="宋体"/>
      <w:color w:val="333333"/>
      <w:kern w:val="0"/>
      <w:sz w:val="18"/>
      <w:szCs w:val="18"/>
    </w:rPr>
  </w:style>
  <w:style w:type="paragraph" w:customStyle="1" w:styleId="889">
    <w:name w:val="leleftnav"/>
    <w:basedOn w:val="1"/>
    <w:qFormat/>
    <w:uiPriority w:val="0"/>
    <w:pPr>
      <w:widowControl/>
      <w:spacing w:before="100" w:beforeAutospacing="1" w:after="100" w:afterAutospacing="1" w:line="240" w:lineRule="atLeast"/>
      <w:jc w:val="left"/>
    </w:pPr>
    <w:rPr>
      <w:rFonts w:ascii="ˎ̥" w:hAnsi="ˎ̥" w:cs="宋体"/>
      <w:b/>
      <w:bCs/>
      <w:color w:val="660000"/>
      <w:kern w:val="0"/>
      <w:sz w:val="18"/>
      <w:szCs w:val="18"/>
    </w:rPr>
  </w:style>
  <w:style w:type="paragraph" w:customStyle="1" w:styleId="890">
    <w:name w:val="表格"/>
    <w:basedOn w:val="1"/>
    <w:qFormat/>
    <w:uiPriority w:val="0"/>
    <w:pPr>
      <w:widowControl/>
      <w:jc w:val="center"/>
      <w:textAlignment w:val="center"/>
    </w:pPr>
    <w:rPr>
      <w:rFonts w:ascii="华文细黑" w:hAnsi="华文细黑"/>
      <w:kern w:val="0"/>
      <w:szCs w:val="20"/>
      <w:lang w:eastAsia="en-US" w:bidi="en-US"/>
    </w:rPr>
  </w:style>
  <w:style w:type="paragraph" w:customStyle="1" w:styleId="891">
    <w:name w:val="样式 样式 标题 2 + 左侧:  0.32 厘米 悬挂缩进: 5.4 字符 + 宋体"/>
    <w:basedOn w:val="1"/>
    <w:qFormat/>
    <w:uiPriority w:val="0"/>
    <w:pPr>
      <w:tabs>
        <w:tab w:val="left" w:pos="340"/>
      </w:tabs>
      <w:ind w:left="340" w:hanging="340"/>
    </w:pPr>
  </w:style>
  <w:style w:type="paragraph" w:customStyle="1" w:styleId="892">
    <w:name w:val="模块说明"/>
    <w:basedOn w:val="4"/>
    <w:qFormat/>
    <w:uiPriority w:val="0"/>
    <w:pPr>
      <w:widowControl w:val="0"/>
      <w:tabs>
        <w:tab w:val="left" w:pos="360"/>
      </w:tabs>
      <w:spacing w:before="120" w:line="300" w:lineRule="auto"/>
      <w:ind w:left="360" w:hanging="360"/>
      <w:jc w:val="both"/>
    </w:pPr>
    <w:rPr>
      <w:rFonts w:ascii="Calibri" w:hAnsi="Calibri"/>
      <w:kern w:val="2"/>
      <w:sz w:val="24"/>
    </w:rPr>
  </w:style>
  <w:style w:type="paragraph" w:customStyle="1" w:styleId="893">
    <w:name w:val="Head3GRN"/>
    <w:basedOn w:val="8"/>
    <w:qFormat/>
    <w:uiPriority w:val="0"/>
    <w:pPr>
      <w:keepNext w:val="0"/>
      <w:keepLines w:val="0"/>
      <w:widowControl/>
      <w:tabs>
        <w:tab w:val="left" w:pos="720"/>
        <w:tab w:val="left" w:pos="1260"/>
      </w:tabs>
      <w:spacing w:before="0" w:after="0" w:line="240" w:lineRule="auto"/>
      <w:ind w:left="900"/>
      <w:outlineLvl w:val="9"/>
    </w:pPr>
    <w:rPr>
      <w:b w:val="0"/>
      <w:bCs w:val="0"/>
      <w:color w:val="008000"/>
      <w:kern w:val="0"/>
      <w:sz w:val="21"/>
      <w:szCs w:val="20"/>
      <w:lang w:eastAsia="en-US"/>
    </w:rPr>
  </w:style>
  <w:style w:type="paragraph" w:customStyle="1" w:styleId="894">
    <w:name w:val="Char3 Char Char Char Char Char Char"/>
    <w:basedOn w:val="1"/>
    <w:qFormat/>
    <w:uiPriority w:val="0"/>
    <w:rPr>
      <w:rFonts w:hint="eastAsia" w:ascii="宋体" w:hAnsi="宋体"/>
      <w:sz w:val="24"/>
    </w:rPr>
  </w:style>
  <w:style w:type="paragraph" w:customStyle="1" w:styleId="895">
    <w:name w:val="Char Char Char Char Char Char Char Char Char Char Char Char1"/>
    <w:basedOn w:val="1"/>
    <w:qFormat/>
    <w:uiPriority w:val="0"/>
    <w:pPr>
      <w:widowControl/>
      <w:spacing w:after="160" w:line="240" w:lineRule="exact"/>
      <w:jc w:val="left"/>
    </w:pPr>
  </w:style>
  <w:style w:type="paragraph" w:customStyle="1" w:styleId="896">
    <w:name w:val="Char Char Char Char1"/>
    <w:basedOn w:val="1"/>
    <w:qFormat/>
    <w:uiPriority w:val="0"/>
    <w:rPr>
      <w:kern w:val="0"/>
      <w:sz w:val="20"/>
      <w:szCs w:val="20"/>
    </w:rPr>
  </w:style>
  <w:style w:type="paragraph" w:customStyle="1" w:styleId="897">
    <w:name w:val="font0"/>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898">
    <w:name w:val="NOTE1"/>
    <w:basedOn w:val="1"/>
    <w:qFormat/>
    <w:uiPriority w:val="0"/>
    <w:pPr>
      <w:widowControl/>
      <w:autoSpaceDE w:val="0"/>
      <w:autoSpaceDN w:val="0"/>
      <w:adjustRightInd w:val="0"/>
      <w:spacing w:line="380" w:lineRule="atLeast"/>
      <w:ind w:left="737" w:right="284" w:firstLine="397"/>
      <w:textAlignment w:val="bottom"/>
    </w:pPr>
    <w:rPr>
      <w:kern w:val="0"/>
      <w:sz w:val="23"/>
      <w:szCs w:val="20"/>
    </w:rPr>
  </w:style>
  <w:style w:type="paragraph" w:customStyle="1" w:styleId="899">
    <w:name w:val="样式 标题 3 + 小三"/>
    <w:basedOn w:val="8"/>
    <w:qFormat/>
    <w:uiPriority w:val="0"/>
    <w:pPr>
      <w:tabs>
        <w:tab w:val="left" w:pos="2491"/>
      </w:tabs>
      <w:spacing w:line="416" w:lineRule="auto"/>
      <w:ind w:left="1618" w:hanging="567"/>
    </w:pPr>
    <w:rPr>
      <w:kern w:val="0"/>
      <w:sz w:val="30"/>
    </w:rPr>
  </w:style>
  <w:style w:type="paragraph" w:customStyle="1" w:styleId="900">
    <w:name w:val="样式6"/>
    <w:basedOn w:val="1"/>
    <w:qFormat/>
    <w:uiPriority w:val="0"/>
    <w:pPr>
      <w:pBdr>
        <w:top w:val="single" w:color="auto" w:sz="4" w:space="1"/>
      </w:pBdr>
    </w:pPr>
  </w:style>
  <w:style w:type="paragraph" w:customStyle="1" w:styleId="901">
    <w:name w:val="默认段落字体 Para Char"/>
    <w:basedOn w:val="1"/>
    <w:qFormat/>
    <w:uiPriority w:val="0"/>
    <w:pPr>
      <w:keepNext/>
      <w:tabs>
        <w:tab w:val="left" w:pos="360"/>
        <w:tab w:val="left" w:pos="1008"/>
      </w:tabs>
      <w:adjustRightInd w:val="0"/>
      <w:snapToGrid w:val="0"/>
      <w:spacing w:line="360" w:lineRule="auto"/>
      <w:ind w:left="420" w:hanging="420"/>
    </w:pPr>
    <w:rPr>
      <w:rFonts w:ascii="宋体"/>
      <w:szCs w:val="20"/>
    </w:rPr>
  </w:style>
  <w:style w:type="paragraph" w:customStyle="1" w:styleId="902">
    <w:name w:val="Block Quotation"/>
    <w:basedOn w:val="1"/>
    <w:qFormat/>
    <w:uiPriority w:val="0"/>
    <w:pPr>
      <w:widowControl/>
      <w:pBdr>
        <w:top w:val="double" w:color="auto" w:sz="4" w:space="4"/>
        <w:left w:val="double" w:color="auto" w:sz="4" w:space="4"/>
        <w:bottom w:val="double" w:color="auto" w:sz="4" w:space="4"/>
        <w:right w:val="double" w:color="auto" w:sz="4" w:space="12"/>
      </w:pBdr>
      <w:shd w:val="pct5" w:color="auto" w:fill="auto"/>
      <w:spacing w:after="60" w:line="120" w:lineRule="atLeast"/>
      <w:ind w:left="2250" w:right="245"/>
    </w:pPr>
    <w:rPr>
      <w:rFonts w:ascii="Arial Narrow" w:hAnsi="Arial Narrow"/>
      <w:b/>
      <w:bCs/>
      <w:spacing w:val="-5"/>
      <w:kern w:val="0"/>
      <w:sz w:val="20"/>
      <w:szCs w:val="20"/>
      <w:lang w:eastAsia="en-US"/>
    </w:rPr>
  </w:style>
  <w:style w:type="paragraph" w:customStyle="1" w:styleId="903">
    <w:name w:val="text"/>
    <w:basedOn w:val="1"/>
    <w:qFormat/>
    <w:uiPriority w:val="0"/>
    <w:pPr>
      <w:widowControl/>
      <w:spacing w:before="100" w:beforeAutospacing="1" w:after="100" w:afterAutospacing="1"/>
      <w:jc w:val="left"/>
    </w:pPr>
    <w:rPr>
      <w:rFonts w:ascii="_x000B__x000C_" w:hAnsi="_x000B__x000C_" w:eastAsia="Arial Unicode MS" w:cs="Arial Unicode MS"/>
      <w:color w:val="000000"/>
      <w:kern w:val="0"/>
      <w:sz w:val="24"/>
    </w:rPr>
  </w:style>
  <w:style w:type="paragraph" w:customStyle="1" w:styleId="90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05">
    <w:name w:val="列出段落1"/>
    <w:basedOn w:val="1"/>
    <w:qFormat/>
    <w:uiPriority w:val="99"/>
    <w:pPr>
      <w:spacing w:line="460" w:lineRule="exact"/>
      <w:ind w:firstLine="420" w:firstLineChars="200"/>
    </w:pPr>
    <w:rPr>
      <w:spacing w:val="6"/>
      <w:sz w:val="24"/>
    </w:rPr>
  </w:style>
  <w:style w:type="paragraph" w:customStyle="1" w:styleId="906">
    <w:name w:val="Style23"/>
    <w:basedOn w:val="1"/>
    <w:unhideWhenUsed/>
    <w:qFormat/>
    <w:uiPriority w:val="99"/>
  </w:style>
  <w:style w:type="paragraph" w:customStyle="1" w:styleId="907">
    <w:name w:val="列表符号"/>
    <w:basedOn w:val="1"/>
    <w:qFormat/>
    <w:uiPriority w:val="0"/>
    <w:pPr>
      <w:tabs>
        <w:tab w:val="left" w:pos="340"/>
      </w:tabs>
      <w:spacing w:line="360" w:lineRule="auto"/>
      <w:ind w:left="340" w:hanging="340"/>
    </w:pPr>
    <w:rPr>
      <w:sz w:val="24"/>
    </w:rPr>
  </w:style>
  <w:style w:type="paragraph" w:customStyle="1" w:styleId="908">
    <w:name w:val="xl43"/>
    <w:basedOn w:val="1"/>
    <w:qFormat/>
    <w:uiPriority w:val="0"/>
    <w:pPr>
      <w:widowControl/>
      <w:pBdr>
        <w:top w:val="single" w:color="auto" w:sz="4" w:space="0"/>
        <w:left w:val="single" w:color="auto" w:sz="12"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909">
    <w:name w:val="并列正文"/>
    <w:basedOn w:val="1"/>
    <w:qFormat/>
    <w:uiPriority w:val="0"/>
    <w:pPr>
      <w:autoSpaceDE w:val="0"/>
    </w:pPr>
    <w:rPr>
      <w:rFonts w:ascii="宋体" w:hAnsi="宋体"/>
      <w:color w:val="000000"/>
      <w:szCs w:val="20"/>
    </w:rPr>
  </w:style>
  <w:style w:type="paragraph" w:customStyle="1" w:styleId="910">
    <w:name w:val="Normal_38"/>
    <w:qFormat/>
    <w:uiPriority w:val="0"/>
    <w:pPr>
      <w:widowControl w:val="0"/>
      <w:jc w:val="both"/>
    </w:pPr>
    <w:rPr>
      <w:rFonts w:ascii="Calibri" w:hAnsi="Calibri" w:eastAsia="宋体" w:cs="Times New Roman"/>
      <w:lang w:val="en-US" w:eastAsia="zh-CN" w:bidi="ar-SA"/>
    </w:rPr>
  </w:style>
  <w:style w:type="paragraph" w:customStyle="1" w:styleId="911">
    <w:name w:val="并列正文缩进1"/>
    <w:basedOn w:val="909"/>
    <w:qFormat/>
    <w:uiPriority w:val="0"/>
    <w:pPr>
      <w:tabs>
        <w:tab w:val="left" w:pos="360"/>
      </w:tabs>
      <w:jc w:val="left"/>
    </w:pPr>
    <w:rPr>
      <w:color w:val="008080"/>
      <w:sz w:val="18"/>
    </w:rPr>
  </w:style>
  <w:style w:type="paragraph" w:customStyle="1" w:styleId="912">
    <w:name w:val="pleftnav"/>
    <w:basedOn w:val="1"/>
    <w:qFormat/>
    <w:uiPriority w:val="0"/>
    <w:pPr>
      <w:widowControl/>
      <w:spacing w:before="100" w:beforeAutospacing="1" w:after="100" w:afterAutospacing="1" w:line="240" w:lineRule="atLeast"/>
      <w:jc w:val="left"/>
    </w:pPr>
    <w:rPr>
      <w:rFonts w:ascii="ˎ̥" w:hAnsi="ˎ̥" w:cs="宋体"/>
      <w:b/>
      <w:bCs/>
      <w:color w:val="003366"/>
      <w:kern w:val="0"/>
      <w:sz w:val="18"/>
      <w:szCs w:val="18"/>
    </w:rPr>
  </w:style>
  <w:style w:type="paragraph" w:customStyle="1" w:styleId="913">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914">
    <w:name w:val="Style11"/>
    <w:basedOn w:val="1"/>
    <w:unhideWhenUsed/>
    <w:qFormat/>
    <w:uiPriority w:val="99"/>
    <w:pPr>
      <w:spacing w:line="559" w:lineRule="exact"/>
      <w:ind w:firstLine="590"/>
    </w:pPr>
  </w:style>
  <w:style w:type="paragraph" w:customStyle="1" w:styleId="91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916">
    <w:name w:val="正文居中"/>
    <w:basedOn w:val="1"/>
    <w:next w:val="89"/>
    <w:qFormat/>
    <w:uiPriority w:val="0"/>
    <w:pPr>
      <w:adjustRightInd w:val="0"/>
      <w:snapToGrid w:val="0"/>
      <w:spacing w:line="300" w:lineRule="auto"/>
      <w:jc w:val="center"/>
    </w:pPr>
  </w:style>
  <w:style w:type="paragraph" w:customStyle="1" w:styleId="917">
    <w:name w:val="CM5"/>
    <w:basedOn w:val="499"/>
    <w:next w:val="499"/>
    <w:qFormat/>
    <w:uiPriority w:val="0"/>
    <w:pPr>
      <w:spacing w:line="626" w:lineRule="atLeast"/>
    </w:pPr>
    <w:rPr>
      <w:rFonts w:ascii=".a..DD.." w:eastAsia=".a..DD.."/>
      <w:sz w:val="24"/>
      <w:szCs w:val="24"/>
    </w:rPr>
  </w:style>
  <w:style w:type="paragraph" w:customStyle="1" w:styleId="918">
    <w:name w:val="xl24"/>
    <w:basedOn w:val="1"/>
    <w:qFormat/>
    <w:uiPriority w:val="0"/>
    <w:pPr>
      <w:widowControl/>
      <w:spacing w:before="100" w:beforeAutospacing="1" w:after="100" w:afterAutospacing="1"/>
      <w:jc w:val="center"/>
    </w:pPr>
    <w:rPr>
      <w:rFonts w:ascii="Arial" w:hAnsi="Arial" w:cs="Arial"/>
      <w:kern w:val="0"/>
      <w:sz w:val="24"/>
    </w:rPr>
  </w:style>
  <w:style w:type="paragraph" w:customStyle="1" w:styleId="919">
    <w:name w:val="样式4"/>
    <w:basedOn w:val="9"/>
    <w:qFormat/>
    <w:uiPriority w:val="0"/>
    <w:pPr>
      <w:keepLines w:val="0"/>
      <w:spacing w:before="0" w:after="0" w:line="360" w:lineRule="auto"/>
      <w:ind w:firstLine="560" w:firstLineChars="200"/>
      <w:jc w:val="center"/>
    </w:pPr>
    <w:rPr>
      <w:rFonts w:ascii="宋体" w:hAnsi="宋体" w:eastAsia="宋体"/>
      <w:b w:val="0"/>
      <w:bCs w:val="0"/>
      <w:szCs w:val="24"/>
    </w:rPr>
  </w:style>
  <w:style w:type="paragraph" w:customStyle="1" w:styleId="920">
    <w:name w:val="Style54"/>
    <w:basedOn w:val="1"/>
    <w:unhideWhenUsed/>
    <w:qFormat/>
    <w:uiPriority w:val="0"/>
  </w:style>
  <w:style w:type="paragraph" w:customStyle="1" w:styleId="921">
    <w:name w:val="居中"/>
    <w:basedOn w:val="1"/>
    <w:qFormat/>
    <w:uiPriority w:val="0"/>
    <w:pPr>
      <w:jc w:val="center"/>
    </w:pPr>
    <w:rPr>
      <w:szCs w:val="20"/>
    </w:rPr>
  </w:style>
  <w:style w:type="paragraph" w:customStyle="1" w:styleId="922">
    <w:name w:val="Style44"/>
    <w:basedOn w:val="1"/>
    <w:unhideWhenUsed/>
    <w:qFormat/>
    <w:uiPriority w:val="99"/>
  </w:style>
  <w:style w:type="paragraph" w:customStyle="1" w:styleId="923">
    <w:name w:val="Char4"/>
    <w:basedOn w:val="1"/>
    <w:qFormat/>
    <w:uiPriority w:val="0"/>
    <w:pPr>
      <w:widowControl/>
      <w:spacing w:after="160" w:line="240" w:lineRule="exact"/>
      <w:jc w:val="left"/>
    </w:pPr>
    <w:rPr>
      <w:rFonts w:ascii="Verdana" w:hAnsi="Verdana"/>
      <w:kern w:val="0"/>
      <w:sz w:val="20"/>
      <w:szCs w:val="20"/>
      <w:lang w:eastAsia="en-US"/>
    </w:rPr>
  </w:style>
  <w:style w:type="paragraph" w:customStyle="1" w:styleId="924">
    <w:name w:val="Style70"/>
    <w:basedOn w:val="1"/>
    <w:unhideWhenUsed/>
    <w:qFormat/>
    <w:uiPriority w:val="99"/>
    <w:pPr>
      <w:spacing w:line="549" w:lineRule="exact"/>
      <w:ind w:firstLine="686"/>
    </w:pPr>
  </w:style>
  <w:style w:type="paragraph" w:customStyle="1" w:styleId="925">
    <w:name w:val="Style53"/>
    <w:basedOn w:val="1"/>
    <w:unhideWhenUsed/>
    <w:qFormat/>
    <w:uiPriority w:val="99"/>
    <w:pPr>
      <w:spacing w:line="533" w:lineRule="exact"/>
      <w:ind w:firstLine="581"/>
    </w:pPr>
  </w:style>
  <w:style w:type="paragraph" w:customStyle="1" w:styleId="926">
    <w:name w:val="样式 宋体 五号 首行缩进:  0.95 厘米"/>
    <w:basedOn w:val="1"/>
    <w:qFormat/>
    <w:uiPriority w:val="0"/>
    <w:pPr>
      <w:tabs>
        <w:tab w:val="left" w:pos="4860"/>
      </w:tabs>
      <w:spacing w:line="360" w:lineRule="auto"/>
      <w:ind w:firstLine="540"/>
    </w:pPr>
    <w:rPr>
      <w:rFonts w:ascii="宋体" w:hAnsi="宋体" w:cs="宋体"/>
      <w:sz w:val="24"/>
    </w:rPr>
  </w:style>
  <w:style w:type="paragraph" w:customStyle="1" w:styleId="927">
    <w:name w:val="正文2"/>
    <w:qFormat/>
    <w:uiPriority w:val="0"/>
    <w:pPr>
      <w:jc w:val="both"/>
    </w:pPr>
    <w:rPr>
      <w:rFonts w:ascii="Times New Roman" w:hAnsi="Times New Roman" w:eastAsia="宋体" w:cs="Times New Roman"/>
      <w:kern w:val="2"/>
      <w:sz w:val="21"/>
      <w:szCs w:val="21"/>
      <w:lang w:val="en-US" w:eastAsia="zh-CN" w:bidi="ar-SA"/>
    </w:rPr>
  </w:style>
  <w:style w:type="paragraph" w:customStyle="1" w:styleId="928">
    <w:name w:val="Style47"/>
    <w:basedOn w:val="1"/>
    <w:unhideWhenUsed/>
    <w:qFormat/>
    <w:uiPriority w:val="0"/>
  </w:style>
  <w:style w:type="paragraph" w:customStyle="1" w:styleId="929">
    <w:name w:val="pa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930">
    <w:name w:val="Style15"/>
    <w:basedOn w:val="1"/>
    <w:unhideWhenUsed/>
    <w:qFormat/>
    <w:uiPriority w:val="99"/>
    <w:pPr>
      <w:spacing w:line="557" w:lineRule="exact"/>
      <w:ind w:firstLine="672"/>
    </w:pPr>
  </w:style>
  <w:style w:type="paragraph" w:customStyle="1" w:styleId="931">
    <w:name w:val="样式 正文缩进 + 首行缩进:  2 字符"/>
    <w:basedOn w:val="4"/>
    <w:qFormat/>
    <w:uiPriority w:val="0"/>
    <w:pPr>
      <w:widowControl w:val="0"/>
      <w:spacing w:line="360" w:lineRule="auto"/>
      <w:ind w:firstLine="480" w:firstLineChars="200"/>
      <w:jc w:val="both"/>
    </w:pPr>
    <w:rPr>
      <w:rFonts w:ascii="Calibri" w:hAnsi="Calibri"/>
      <w:kern w:val="2"/>
      <w:sz w:val="24"/>
    </w:rPr>
  </w:style>
  <w:style w:type="paragraph" w:customStyle="1" w:styleId="932">
    <w:name w:val="1."/>
    <w:basedOn w:val="1"/>
    <w:qFormat/>
    <w:uiPriority w:val="0"/>
    <w:pPr>
      <w:spacing w:line="360" w:lineRule="auto"/>
      <w:ind w:firstLine="480" w:firstLineChars="200"/>
    </w:pPr>
    <w:rPr>
      <w:sz w:val="24"/>
    </w:rPr>
  </w:style>
  <w:style w:type="paragraph" w:customStyle="1" w:styleId="93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934">
    <w:name w:val="_Style 25"/>
    <w:basedOn w:val="1"/>
    <w:qFormat/>
    <w:uiPriority w:val="0"/>
    <w:pPr>
      <w:widowControl/>
      <w:jc w:val="left"/>
    </w:pPr>
    <w:rPr>
      <w:kern w:val="0"/>
      <w:sz w:val="24"/>
      <w:lang w:eastAsia="en-US"/>
    </w:rPr>
  </w:style>
  <w:style w:type="paragraph" w:customStyle="1" w:styleId="935">
    <w:name w:val="纯文本1"/>
    <w:basedOn w:val="1"/>
    <w:qFormat/>
    <w:uiPriority w:val="0"/>
    <w:pPr>
      <w:keepNext/>
      <w:tabs>
        <w:tab w:val="left" w:pos="900"/>
        <w:tab w:val="left" w:pos="1985"/>
      </w:tabs>
      <w:autoSpaceDE w:val="0"/>
      <w:autoSpaceDN w:val="0"/>
      <w:adjustRightInd w:val="0"/>
      <w:snapToGrid w:val="0"/>
      <w:spacing w:line="360" w:lineRule="auto"/>
      <w:ind w:left="900" w:hanging="420" w:firstLineChars="200"/>
      <w:textAlignment w:val="baseline"/>
    </w:pPr>
    <w:rPr>
      <w:rFonts w:ascii="宋体"/>
      <w:snapToGrid w:val="0"/>
      <w:kern w:val="0"/>
      <w:sz w:val="24"/>
      <w:szCs w:val="20"/>
    </w:rPr>
  </w:style>
  <w:style w:type="paragraph" w:customStyle="1" w:styleId="936">
    <w:name w:val="xl49"/>
    <w:basedOn w:val="1"/>
    <w:qFormat/>
    <w:uiPriority w:val="0"/>
    <w:pPr>
      <w:widowControl/>
      <w:pBdr>
        <w:left w:val="single" w:color="auto" w:sz="4" w:space="0"/>
        <w:bottom w:val="single" w:color="auto" w:sz="4" w:space="0"/>
        <w:right w:val="single" w:color="000000" w:sz="4" w:space="0"/>
      </w:pBdr>
      <w:spacing w:before="100" w:beforeAutospacing="1" w:after="100" w:afterAutospacing="1"/>
      <w:jc w:val="center"/>
      <w:textAlignment w:val="center"/>
    </w:pPr>
    <w:rPr>
      <w:rFonts w:ascii="Arial" w:hAnsi="Arial" w:eastAsia="Arial Unicode MS" w:cs="Arial"/>
      <w:kern w:val="0"/>
      <w:szCs w:val="21"/>
    </w:rPr>
  </w:style>
  <w:style w:type="paragraph" w:customStyle="1" w:styleId="937">
    <w:name w:val="Style64"/>
    <w:basedOn w:val="1"/>
    <w:unhideWhenUsed/>
    <w:qFormat/>
    <w:uiPriority w:val="99"/>
  </w:style>
  <w:style w:type="paragraph" w:customStyle="1" w:styleId="938">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939">
    <w:name w:val="样式 标题 2标题 1.1 + (中文) 宋体 四号 加粗 段后: 6 磅"/>
    <w:basedOn w:val="7"/>
    <w:qFormat/>
    <w:uiPriority w:val="0"/>
    <w:pPr>
      <w:tabs>
        <w:tab w:val="left" w:pos="360"/>
        <w:tab w:val="left" w:pos="1081"/>
      </w:tabs>
      <w:spacing w:beforeLines="50" w:after="120"/>
      <w:ind w:left="360" w:hanging="360"/>
    </w:pPr>
    <w:rPr>
      <w:rFonts w:ascii="Times New Roman" w:hAnsi="宋体"/>
      <w:bCs w:val="0"/>
      <w:kern w:val="0"/>
      <w:sz w:val="28"/>
      <w:szCs w:val="20"/>
    </w:rPr>
  </w:style>
  <w:style w:type="paragraph" w:customStyle="1" w:styleId="940">
    <w:name w:val="样式 段后: 0.25 行"/>
    <w:basedOn w:val="1"/>
    <w:qFormat/>
    <w:uiPriority w:val="0"/>
    <w:pPr>
      <w:spacing w:line="300" w:lineRule="auto"/>
      <w:ind w:firstLine="420" w:firstLineChars="200"/>
    </w:pPr>
    <w:rPr>
      <w:rFonts w:ascii="Arial" w:hAnsi="Arial"/>
      <w:szCs w:val="20"/>
    </w:rPr>
  </w:style>
  <w:style w:type="paragraph" w:customStyle="1" w:styleId="941">
    <w:name w:val="CM2"/>
    <w:basedOn w:val="499"/>
    <w:next w:val="499"/>
    <w:qFormat/>
    <w:uiPriority w:val="0"/>
    <w:pPr>
      <w:spacing w:line="623" w:lineRule="atLeast"/>
    </w:pPr>
    <w:rPr>
      <w:rFonts w:ascii=".a..DD.." w:eastAsia=".a..DD.."/>
      <w:sz w:val="24"/>
      <w:szCs w:val="24"/>
    </w:rPr>
  </w:style>
  <w:style w:type="paragraph" w:customStyle="1" w:styleId="942">
    <w:name w:val="xl72"/>
    <w:basedOn w:val="1"/>
    <w:qFormat/>
    <w:uiPriority w:val="0"/>
    <w:pPr>
      <w:widowControl/>
      <w:spacing w:before="100" w:beforeAutospacing="1" w:after="100" w:afterAutospacing="1"/>
      <w:jc w:val="left"/>
    </w:pPr>
    <w:rPr>
      <w:rFonts w:ascii="宋体" w:hAnsi="宋体"/>
      <w:b/>
      <w:bCs/>
      <w:kern w:val="0"/>
      <w:sz w:val="28"/>
      <w:szCs w:val="28"/>
    </w:rPr>
  </w:style>
  <w:style w:type="paragraph" w:customStyle="1" w:styleId="943">
    <w:name w:val="zzz"/>
    <w:qFormat/>
    <w:uiPriority w:val="0"/>
    <w:pPr>
      <w:widowControl w:val="0"/>
      <w:pBdr>
        <w:bottom w:val="single" w:color="auto" w:sz="6" w:space="0"/>
        <w:between w:val="single" w:color="auto" w:sz="6" w:space="0"/>
      </w:pBdr>
      <w:tabs>
        <w:tab w:val="left" w:pos="3288"/>
        <w:tab w:val="left" w:pos="5159"/>
        <w:tab w:val="left" w:pos="6180"/>
        <w:tab w:val="left" w:pos="7767"/>
        <w:tab w:val="left" w:pos="9298"/>
      </w:tabs>
      <w:spacing w:before="1" w:after="1"/>
      <w:ind w:left="1" w:right="1" w:firstLine="1"/>
    </w:pPr>
    <w:rPr>
      <w:rFonts w:ascii="Helvetica" w:hAnsi="Helvetica" w:eastAsia="宋体" w:cs="Times New Roman"/>
      <w:b/>
      <w:color w:val="000000"/>
      <w:sz w:val="16"/>
      <w:lang w:val="fr-FR" w:eastAsia="zh-CN" w:bidi="ar-SA"/>
    </w:rPr>
  </w:style>
  <w:style w:type="paragraph" w:customStyle="1" w:styleId="944">
    <w:name w:val="texte 2 col"/>
    <w:basedOn w:val="544"/>
    <w:qFormat/>
    <w:uiPriority w:val="0"/>
    <w:rPr>
      <w:rFonts w:ascii="Arial" w:hAnsi="Arial"/>
    </w:rPr>
  </w:style>
  <w:style w:type="paragraph" w:customStyle="1" w:styleId="945">
    <w:name w:val="A3"/>
    <w:basedOn w:val="1"/>
    <w:qFormat/>
    <w:uiPriority w:val="0"/>
    <w:pPr>
      <w:widowControl/>
      <w:overflowPunct w:val="0"/>
      <w:autoSpaceDE w:val="0"/>
      <w:autoSpaceDN w:val="0"/>
      <w:adjustRightInd w:val="0"/>
      <w:spacing w:line="360" w:lineRule="auto"/>
      <w:ind w:firstLine="720"/>
      <w:textAlignment w:val="baseline"/>
    </w:pPr>
    <w:rPr>
      <w:rFonts w:ascii="楷体" w:eastAsia="楷体"/>
      <w:kern w:val="0"/>
      <w:sz w:val="24"/>
      <w:szCs w:val="20"/>
    </w:rPr>
  </w:style>
  <w:style w:type="paragraph" w:customStyle="1" w:styleId="946">
    <w:name w:val="书籍标题4"/>
    <w:basedOn w:val="565"/>
    <w:next w:val="1"/>
    <w:qFormat/>
    <w:uiPriority w:val="0"/>
    <w:pPr>
      <w:ind w:left="567" w:firstLine="0"/>
      <w:outlineLvl w:val="3"/>
    </w:pPr>
    <w:rPr>
      <w:sz w:val="24"/>
      <w:szCs w:val="24"/>
      <w:lang w:val="zh-CN"/>
    </w:rPr>
  </w:style>
  <w:style w:type="paragraph" w:customStyle="1" w:styleId="947">
    <w:name w:val="aleftnavsub"/>
    <w:basedOn w:val="1"/>
    <w:qFormat/>
    <w:uiPriority w:val="0"/>
    <w:pPr>
      <w:widowControl/>
      <w:spacing w:before="100" w:beforeAutospacing="1" w:after="100" w:afterAutospacing="1" w:line="240" w:lineRule="atLeast"/>
      <w:jc w:val="left"/>
    </w:pPr>
    <w:rPr>
      <w:rFonts w:ascii="ˎ̥" w:hAnsi="ˎ̥" w:cs="宋体"/>
      <w:color w:val="666666"/>
      <w:kern w:val="0"/>
      <w:sz w:val="18"/>
      <w:szCs w:val="18"/>
    </w:rPr>
  </w:style>
  <w:style w:type="paragraph" w:customStyle="1" w:styleId="948">
    <w:name w:val="NOTE"/>
    <w:basedOn w:val="1"/>
    <w:qFormat/>
    <w:uiPriority w:val="0"/>
    <w:pPr>
      <w:widowControl/>
      <w:tabs>
        <w:tab w:val="left" w:pos="360"/>
      </w:tabs>
      <w:autoSpaceDE w:val="0"/>
      <w:autoSpaceDN w:val="0"/>
      <w:adjustRightInd w:val="0"/>
      <w:spacing w:beforeLines="100" w:after="100" w:afterAutospacing="1" w:line="480" w:lineRule="atLeast"/>
      <w:ind w:left="720" w:right="227" w:hanging="360" w:firstLineChars="200"/>
      <w:textAlignment w:val="bottom"/>
    </w:pPr>
    <w:rPr>
      <w:rFonts w:ascii="宋体" w:hAnsi="宋体" w:eastAsia="楷体_GB2312"/>
      <w:bCs/>
      <w:kern w:val="0"/>
      <w:sz w:val="23"/>
      <w:szCs w:val="20"/>
    </w:rPr>
  </w:style>
  <w:style w:type="paragraph" w:customStyle="1" w:styleId="94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950">
    <w:name w:val="需求书2"/>
    <w:basedOn w:val="1"/>
    <w:qFormat/>
    <w:uiPriority w:val="0"/>
    <w:pPr>
      <w:spacing w:line="360" w:lineRule="auto"/>
      <w:ind w:firstLine="200" w:firstLineChars="200"/>
      <w:jc w:val="left"/>
    </w:pPr>
    <w:rPr>
      <w:b/>
      <w:sz w:val="24"/>
      <w:szCs w:val="20"/>
    </w:rPr>
  </w:style>
  <w:style w:type="paragraph" w:customStyle="1" w:styleId="951">
    <w:name w:val="表正文缩"/>
    <w:basedOn w:val="586"/>
    <w:qFormat/>
    <w:uiPriority w:val="0"/>
    <w:pPr>
      <w:ind w:left="450" w:leftChars="450" w:firstLine="0" w:firstLineChars="0"/>
    </w:pPr>
  </w:style>
  <w:style w:type="paragraph" w:customStyle="1" w:styleId="952">
    <w:name w:val="标题2+"/>
    <w:basedOn w:val="7"/>
    <w:qFormat/>
    <w:uiPriority w:val="0"/>
    <w:pPr>
      <w:snapToGrid w:val="0"/>
      <w:spacing w:beforeLines="50" w:afterLines="50"/>
    </w:pPr>
    <w:rPr>
      <w:rFonts w:eastAsia="黑体" w:cs="Arial"/>
      <w:b w:val="0"/>
      <w:szCs w:val="24"/>
    </w:rPr>
  </w:style>
  <w:style w:type="paragraph" w:customStyle="1" w:styleId="953">
    <w:name w:val="正文文字2"/>
    <w:basedOn w:val="1"/>
    <w:qFormat/>
    <w:uiPriority w:val="0"/>
    <w:pPr>
      <w:spacing w:before="60" w:after="60" w:line="500" w:lineRule="exact"/>
      <w:ind w:left="510" w:firstLine="567"/>
    </w:pPr>
    <w:rPr>
      <w:sz w:val="28"/>
      <w:szCs w:val="20"/>
    </w:rPr>
  </w:style>
  <w:style w:type="paragraph" w:customStyle="1" w:styleId="954">
    <w:name w:val="CM20"/>
    <w:basedOn w:val="499"/>
    <w:next w:val="499"/>
    <w:qFormat/>
    <w:uiPriority w:val="0"/>
    <w:pPr>
      <w:spacing w:after="115"/>
    </w:pPr>
    <w:rPr>
      <w:rFonts w:ascii=".a..DD.." w:eastAsia=".a..DD.."/>
      <w:sz w:val="24"/>
      <w:szCs w:val="24"/>
    </w:rPr>
  </w:style>
  <w:style w:type="paragraph" w:customStyle="1" w:styleId="955">
    <w:name w:val="_Style 36"/>
    <w:qFormat/>
    <w:uiPriority w:val="0"/>
    <w:rPr>
      <w:rFonts w:ascii="Times New Roman" w:hAnsi="Times New Roman" w:eastAsia="宋体" w:cs="Times New Roman"/>
      <w:kern w:val="2"/>
      <w:sz w:val="21"/>
      <w:szCs w:val="24"/>
      <w:lang w:val="en-US" w:eastAsia="zh-CN" w:bidi="ar-SA"/>
    </w:rPr>
  </w:style>
  <w:style w:type="paragraph" w:customStyle="1" w:styleId="956">
    <w:name w:val="正文21"/>
    <w:basedOn w:val="1"/>
    <w:qFormat/>
    <w:uiPriority w:val="0"/>
    <w:pPr>
      <w:widowControl/>
      <w:tabs>
        <w:tab w:val="left" w:pos="425"/>
      </w:tabs>
      <w:spacing w:line="360" w:lineRule="auto"/>
      <w:ind w:left="425" w:hanging="425"/>
    </w:pPr>
    <w:rPr>
      <w:rFonts w:ascii="宋体"/>
      <w:kern w:val="16"/>
      <w:sz w:val="24"/>
      <w:szCs w:val="20"/>
    </w:rPr>
  </w:style>
  <w:style w:type="paragraph" w:customStyle="1" w:styleId="957">
    <w:name w:val="Normal_60"/>
    <w:qFormat/>
    <w:uiPriority w:val="0"/>
    <w:pPr>
      <w:widowControl w:val="0"/>
      <w:jc w:val="both"/>
    </w:pPr>
    <w:rPr>
      <w:rFonts w:ascii="Calibri" w:hAnsi="Calibri" w:eastAsia="宋体" w:cs="Times New Roman"/>
      <w:lang w:val="en-US" w:eastAsia="zh-CN" w:bidi="ar-SA"/>
    </w:rPr>
  </w:style>
  <w:style w:type="paragraph" w:customStyle="1" w:styleId="958">
    <w:name w:val="Style42"/>
    <w:basedOn w:val="1"/>
    <w:unhideWhenUsed/>
    <w:qFormat/>
    <w:uiPriority w:val="99"/>
    <w:pPr>
      <w:spacing w:line="542" w:lineRule="exact"/>
      <w:ind w:firstLine="547"/>
    </w:pPr>
  </w:style>
  <w:style w:type="paragraph" w:customStyle="1" w:styleId="959">
    <w:name w:val="unname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60">
    <w:name w:val="Style68"/>
    <w:basedOn w:val="1"/>
    <w:unhideWhenUsed/>
    <w:qFormat/>
    <w:uiPriority w:val="99"/>
    <w:pPr>
      <w:spacing w:line="547" w:lineRule="exact"/>
    </w:pPr>
  </w:style>
  <w:style w:type="paragraph" w:customStyle="1" w:styleId="961">
    <w:name w:val="9小四表格正文"/>
    <w:qFormat/>
    <w:uiPriority w:val="0"/>
    <w:pPr>
      <w:jc w:val="center"/>
    </w:pPr>
    <w:rPr>
      <w:rFonts w:ascii="Times New Roman" w:hAnsi="Times New Roman" w:eastAsia="仿宋_GB2312" w:cs="Times New Roman"/>
      <w:kern w:val="2"/>
      <w:sz w:val="24"/>
      <w:szCs w:val="24"/>
      <w:lang w:val="en-US" w:eastAsia="zh-CN" w:bidi="ar-SA"/>
    </w:rPr>
  </w:style>
  <w:style w:type="paragraph" w:customStyle="1" w:styleId="962">
    <w:name w:val="Footer Odd"/>
    <w:basedOn w:val="59"/>
    <w:qFormat/>
    <w:uiPriority w:val="0"/>
    <w:pPr>
      <w:keepLines/>
      <w:widowControl/>
      <w:pBdr>
        <w:top w:val="single" w:color="auto" w:sz="6" w:space="2"/>
      </w:pBdr>
      <w:tabs>
        <w:tab w:val="center" w:pos="4320"/>
        <w:tab w:val="right" w:pos="8640"/>
        <w:tab w:val="clear" w:pos="4153"/>
        <w:tab w:val="clear" w:pos="8306"/>
      </w:tabs>
      <w:snapToGrid/>
      <w:spacing w:before="600" w:line="190" w:lineRule="atLeast"/>
      <w:ind w:left="1080"/>
    </w:pPr>
    <w:rPr>
      <w:rFonts w:ascii="Arial" w:hAnsi="Arial"/>
      <w:caps/>
      <w:spacing w:val="-5"/>
      <w:kern w:val="0"/>
      <w:sz w:val="15"/>
      <w:szCs w:val="20"/>
      <w:lang w:eastAsia="en-US"/>
    </w:rPr>
  </w:style>
  <w:style w:type="paragraph" w:customStyle="1" w:styleId="963">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964">
    <w:name w:val="theader"/>
    <w:basedOn w:val="1"/>
    <w:qFormat/>
    <w:uiPriority w:val="0"/>
    <w:pPr>
      <w:widowControl/>
      <w:spacing w:before="100" w:beforeAutospacing="1" w:after="100" w:afterAutospacing="1" w:line="240" w:lineRule="atLeast"/>
      <w:jc w:val="left"/>
    </w:pPr>
    <w:rPr>
      <w:rFonts w:ascii="ˎ̥" w:hAnsi="ˎ̥" w:cs="宋体"/>
      <w:b/>
      <w:bCs/>
      <w:color w:val="294130"/>
      <w:kern w:val="0"/>
      <w:sz w:val="18"/>
      <w:szCs w:val="18"/>
    </w:rPr>
  </w:style>
  <w:style w:type="paragraph" w:customStyle="1" w:styleId="965">
    <w:name w:val="Style26"/>
    <w:basedOn w:val="1"/>
    <w:unhideWhenUsed/>
    <w:qFormat/>
    <w:uiPriority w:val="99"/>
  </w:style>
  <w:style w:type="table" w:customStyle="1" w:styleId="966">
    <w:name w:val="网格型2"/>
    <w:basedOn w:val="9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7">
    <w:name w:val="网格型1"/>
    <w:basedOn w:val="9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68">
    <w:name w:val="_Style 29"/>
    <w:basedOn w:val="1"/>
    <w:next w:val="701"/>
    <w:qFormat/>
    <w:uiPriority w:val="99"/>
    <w:pPr>
      <w:ind w:firstLine="420" w:firstLineChars="200"/>
    </w:pPr>
    <w:rPr>
      <w:rFonts w:asciiTheme="minorHAnsi" w:hAnsiTheme="minorHAnsi" w:cstheme="minorBidi"/>
      <w:sz w:val="24"/>
    </w:rPr>
  </w:style>
  <w:style w:type="paragraph" w:customStyle="1" w:styleId="969">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82FA16-7082-4E2F-B149-51E70413A3D3}">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118</Pages>
  <Words>72935</Words>
  <Characters>79202</Characters>
  <Lines>617</Lines>
  <Paragraphs>173</Paragraphs>
  <TotalTime>116</TotalTime>
  <ScaleCrop>false</ScaleCrop>
  <LinksUpToDate>false</LinksUpToDate>
  <CharactersWithSpaces>83832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2022-10-13T03:59:00Z</dcterms:created>
  <dc:creator>X</dc:creator>
  <cp:lastModifiedBy>Administrator</cp:lastModifiedBy>
  <cp:lastPrinted>2022-11-14T02:02:00Z</cp:lastPrinted>
  <dcterms:modified xsi:type="dcterms:W3CDTF">2022-11-16T12:28:43Z</dcterms:modified>
  <dc:title>政府采购</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660657C14B0742D486B286E33816DFCE</vt:lpwstr>
  </property>
  <property fmtid="{D5CDD505-2E9C-101B-9397-08002B2CF9AE}" pid="4" name="commondata">
    <vt:lpwstr>eyJoZGlkIjoiYjdkM2JmNzAyODE3NzNhYjMzMThlZTYxZGZlZTQ1NDAifQ==</vt:lpwstr>
  </property>
</Properties>
</file>