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仿宋" w:hAnsi="仿宋" w:eastAsia="仿宋" w:cs="仿宋"/>
          <w:b/>
          <w:color w:val="auto"/>
          <w:sz w:val="52"/>
          <w:szCs w:val="52"/>
          <w:highlight w:val="none"/>
          <w:lang w:eastAsia="zh-CN"/>
        </w:rPr>
      </w:pPr>
    </w:p>
    <w:p>
      <w:pPr>
        <w:jc w:val="center"/>
        <w:rPr>
          <w:rFonts w:hint="eastAsia" w:ascii="宋体" w:hAnsi="宋体" w:eastAsia="宋体" w:cs="宋体"/>
          <w:b/>
          <w:color w:val="auto"/>
          <w:sz w:val="48"/>
          <w:szCs w:val="48"/>
          <w:highlight w:val="none"/>
          <w:lang w:val="en-US" w:eastAsia="zh-CN"/>
        </w:rPr>
      </w:pPr>
      <w:r>
        <w:rPr>
          <w:rFonts w:hint="eastAsia" w:ascii="宋体" w:hAnsi="宋体" w:eastAsia="宋体" w:cs="宋体"/>
          <w:b/>
          <w:color w:val="auto"/>
          <w:sz w:val="48"/>
          <w:szCs w:val="48"/>
          <w:highlight w:val="none"/>
          <w:lang w:eastAsia="zh-CN"/>
        </w:rPr>
        <w:t>202</w:t>
      </w:r>
      <w:r>
        <w:rPr>
          <w:rFonts w:hint="eastAsia" w:ascii="宋体" w:hAnsi="宋体" w:eastAsia="宋体" w:cs="宋体"/>
          <w:b/>
          <w:color w:val="auto"/>
          <w:sz w:val="48"/>
          <w:szCs w:val="48"/>
          <w:highlight w:val="none"/>
          <w:lang w:val="en-US" w:eastAsia="zh-CN"/>
        </w:rPr>
        <w:t>3</w:t>
      </w:r>
      <w:r>
        <w:rPr>
          <w:rFonts w:hint="eastAsia" w:ascii="宋体" w:hAnsi="宋体" w:eastAsia="宋体" w:cs="宋体"/>
          <w:b/>
          <w:color w:val="auto"/>
          <w:sz w:val="48"/>
          <w:szCs w:val="48"/>
          <w:highlight w:val="none"/>
          <w:lang w:eastAsia="zh-CN"/>
        </w:rPr>
        <w:t>年</w:t>
      </w:r>
      <w:r>
        <w:rPr>
          <w:rFonts w:hint="eastAsia" w:ascii="宋体" w:hAnsi="宋体" w:cs="宋体"/>
          <w:b/>
          <w:color w:val="auto"/>
          <w:sz w:val="48"/>
          <w:szCs w:val="48"/>
          <w:highlight w:val="none"/>
          <w:lang w:val="en-US" w:eastAsia="zh-CN"/>
        </w:rPr>
        <w:t>新疆南部</w:t>
      </w:r>
      <w:r>
        <w:rPr>
          <w:rFonts w:hint="eastAsia" w:ascii="宋体" w:hAnsi="宋体" w:eastAsia="宋体" w:cs="宋体"/>
          <w:b/>
          <w:color w:val="auto"/>
          <w:sz w:val="48"/>
          <w:szCs w:val="48"/>
          <w:highlight w:val="none"/>
          <w:lang w:val="en-US" w:eastAsia="zh-CN"/>
        </w:rPr>
        <w:t>联盟</w:t>
      </w:r>
      <w:r>
        <w:rPr>
          <w:rFonts w:hint="eastAsia" w:ascii="宋体" w:hAnsi="宋体" w:cs="宋体"/>
          <w:b/>
          <w:color w:val="auto"/>
          <w:sz w:val="48"/>
          <w:szCs w:val="48"/>
          <w:highlight w:val="none"/>
          <w:lang w:val="en-US" w:eastAsia="zh-CN"/>
        </w:rPr>
        <w:t>药品</w:t>
      </w:r>
      <w:r>
        <w:rPr>
          <w:rFonts w:hint="eastAsia" w:ascii="宋体" w:hAnsi="宋体" w:eastAsia="宋体" w:cs="宋体"/>
          <w:b/>
          <w:color w:val="auto"/>
          <w:sz w:val="48"/>
          <w:szCs w:val="48"/>
          <w:highlight w:val="none"/>
          <w:lang w:val="en-US" w:eastAsia="zh-CN"/>
        </w:rPr>
        <w:t>联合议价</w:t>
      </w:r>
    </w:p>
    <w:p>
      <w:pPr>
        <w:jc w:val="center"/>
        <w:rPr>
          <w:rFonts w:hint="eastAsia" w:ascii="宋体" w:hAnsi="宋体" w:cs="宋体"/>
          <w:b/>
          <w:color w:val="auto"/>
          <w:sz w:val="48"/>
          <w:szCs w:val="48"/>
          <w:highlight w:val="none"/>
          <w:lang w:val="en-US" w:eastAsia="zh-CN"/>
        </w:rPr>
      </w:pPr>
      <w:r>
        <w:rPr>
          <w:rFonts w:hint="eastAsia" w:ascii="宋体" w:hAnsi="宋体" w:cs="宋体"/>
          <w:b/>
          <w:color w:val="auto"/>
          <w:sz w:val="48"/>
          <w:szCs w:val="48"/>
          <w:highlight w:val="none"/>
          <w:lang w:val="en-US" w:eastAsia="zh-CN"/>
        </w:rPr>
        <w:t>采购项目</w:t>
      </w:r>
    </w:p>
    <w:p>
      <w:pPr>
        <w:jc w:val="center"/>
        <w:rPr>
          <w:color w:val="auto"/>
          <w:highlight w:val="none"/>
        </w:rPr>
      </w:pPr>
    </w:p>
    <w:p>
      <w:pPr>
        <w:pStyle w:val="9"/>
        <w:ind w:left="0"/>
        <w:rPr>
          <w:rFonts w:ascii="宋体"/>
          <w:b/>
          <w:color w:val="auto"/>
          <w:sz w:val="44"/>
          <w:highlight w:val="none"/>
          <w:u w:val="none"/>
        </w:rPr>
      </w:pPr>
    </w:p>
    <w:p>
      <w:pPr>
        <w:pStyle w:val="9"/>
        <w:spacing w:before="3"/>
        <w:ind w:left="0"/>
        <w:rPr>
          <w:rFonts w:ascii="宋体"/>
          <w:b/>
          <w:color w:val="auto"/>
          <w:sz w:val="36"/>
          <w:highlight w:val="none"/>
          <w:u w:val="none"/>
        </w:rPr>
      </w:pPr>
    </w:p>
    <w:p>
      <w:pPr>
        <w:jc w:val="center"/>
        <w:rPr>
          <w:rFonts w:hint="eastAsia" w:ascii="仿宋" w:hAnsi="仿宋" w:eastAsia="仿宋" w:cs="仿宋"/>
          <w:b/>
          <w:color w:val="auto"/>
          <w:sz w:val="84"/>
          <w:highlight w:val="none"/>
        </w:rPr>
      </w:pPr>
      <w:r>
        <w:rPr>
          <w:rFonts w:hint="eastAsia" w:ascii="仿宋" w:hAnsi="仿宋" w:eastAsia="仿宋" w:cs="仿宋"/>
          <w:b/>
          <w:color w:val="auto"/>
          <w:sz w:val="84"/>
          <w:highlight w:val="none"/>
        </w:rPr>
        <w:t>采 购</w:t>
      </w:r>
      <w:r>
        <w:rPr>
          <w:rFonts w:hint="eastAsia" w:ascii="仿宋" w:hAnsi="仿宋" w:eastAsia="仿宋" w:cs="仿宋"/>
          <w:b/>
          <w:color w:val="auto"/>
          <w:sz w:val="84"/>
          <w:highlight w:val="none"/>
          <w:lang w:val="en-US" w:eastAsia="zh-CN"/>
        </w:rPr>
        <w:t xml:space="preserve"> </w:t>
      </w:r>
      <w:r>
        <w:rPr>
          <w:rFonts w:hint="eastAsia" w:ascii="仿宋" w:hAnsi="仿宋" w:eastAsia="仿宋" w:cs="仿宋"/>
          <w:b/>
          <w:color w:val="auto"/>
          <w:sz w:val="84"/>
          <w:highlight w:val="none"/>
        </w:rPr>
        <w:t>文</w:t>
      </w:r>
      <w:r>
        <w:rPr>
          <w:rFonts w:hint="eastAsia" w:ascii="仿宋" w:hAnsi="仿宋" w:eastAsia="仿宋" w:cs="仿宋"/>
          <w:b/>
          <w:color w:val="auto"/>
          <w:sz w:val="84"/>
          <w:highlight w:val="none"/>
          <w:lang w:val="en-US" w:eastAsia="zh-CN"/>
        </w:rPr>
        <w:t xml:space="preserve"> </w:t>
      </w:r>
      <w:r>
        <w:rPr>
          <w:rFonts w:hint="eastAsia" w:ascii="仿宋" w:hAnsi="仿宋" w:eastAsia="仿宋" w:cs="仿宋"/>
          <w:b/>
          <w:color w:val="auto"/>
          <w:sz w:val="84"/>
          <w:highlight w:val="none"/>
        </w:rPr>
        <w:t>件</w:t>
      </w:r>
    </w:p>
    <w:p>
      <w:pPr>
        <w:pStyle w:val="2"/>
        <w:rPr>
          <w:rFonts w:hint="eastAsia" w:ascii="仿宋" w:hAnsi="仿宋" w:eastAsia="仿宋" w:cs="仿宋"/>
          <w:b/>
          <w:color w:val="auto"/>
          <w:sz w:val="84"/>
          <w:highlight w:val="none"/>
        </w:rPr>
      </w:pPr>
    </w:p>
    <w:p>
      <w:pPr>
        <w:pStyle w:val="2"/>
        <w:rPr>
          <w:rFonts w:hint="eastAsia" w:ascii="仿宋" w:hAnsi="仿宋" w:eastAsia="仿宋" w:cs="仿宋"/>
          <w:b/>
          <w:color w:val="auto"/>
          <w:sz w:val="84"/>
          <w:highlight w:val="none"/>
        </w:rPr>
      </w:pPr>
    </w:p>
    <w:p>
      <w:pPr>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采购编号：NBLMJC——2023-01号）</w:t>
      </w:r>
    </w:p>
    <w:p>
      <w:pPr>
        <w:pStyle w:val="31"/>
        <w:rPr>
          <w:rFonts w:hint="eastAsia" w:ascii="宋体" w:hAnsi="宋体" w:eastAsia="宋体" w:cs="宋体"/>
          <w:color w:val="auto"/>
          <w:sz w:val="28"/>
          <w:szCs w:val="28"/>
          <w:highlight w:val="none"/>
        </w:rPr>
      </w:pPr>
    </w:p>
    <w:p>
      <w:pPr>
        <w:pStyle w:val="31"/>
        <w:rPr>
          <w:rFonts w:hint="eastAsia" w:ascii="宋体" w:hAnsi="宋体" w:eastAsia="宋体" w:cs="宋体"/>
          <w:color w:val="auto"/>
          <w:sz w:val="28"/>
          <w:szCs w:val="28"/>
          <w:highlight w:val="none"/>
        </w:rPr>
      </w:pPr>
    </w:p>
    <w:p>
      <w:pPr>
        <w:spacing w:line="570" w:lineRule="exact"/>
        <w:rPr>
          <w:rFonts w:hint="eastAsia" w:ascii="宋体" w:hAnsi="宋体" w:eastAsia="宋体" w:cs="宋体"/>
          <w:color w:val="auto"/>
          <w:sz w:val="28"/>
          <w:szCs w:val="28"/>
          <w:highlight w:val="none"/>
        </w:rPr>
      </w:pPr>
    </w:p>
    <w:p>
      <w:pPr>
        <w:pStyle w:val="31"/>
        <w:rPr>
          <w:rFonts w:hint="eastAsia" w:ascii="宋体" w:hAnsi="宋体" w:eastAsia="宋体" w:cs="宋体"/>
          <w:color w:val="auto"/>
          <w:sz w:val="28"/>
          <w:szCs w:val="28"/>
          <w:highlight w:val="none"/>
        </w:rPr>
      </w:pPr>
    </w:p>
    <w:p>
      <w:pPr>
        <w:pStyle w:val="31"/>
        <w:rPr>
          <w:rFonts w:hint="eastAsia" w:ascii="宋体" w:hAnsi="宋体" w:eastAsia="宋体" w:cs="宋体"/>
          <w:color w:val="auto"/>
          <w:sz w:val="28"/>
          <w:szCs w:val="28"/>
          <w:highlight w:val="none"/>
        </w:rPr>
      </w:pPr>
    </w:p>
    <w:p>
      <w:pPr>
        <w:spacing w:line="600" w:lineRule="exact"/>
        <w:jc w:val="both"/>
        <w:rPr>
          <w:rFonts w:hint="eastAsia" w:ascii="宋体" w:hAnsi="宋体" w:eastAsia="宋体" w:cs="宋体"/>
          <w:color w:val="auto"/>
          <w:sz w:val="28"/>
          <w:szCs w:val="28"/>
          <w:highlight w:val="none"/>
        </w:rPr>
      </w:pPr>
    </w:p>
    <w:p>
      <w:pPr>
        <w:spacing w:line="600" w:lineRule="exact"/>
        <w:jc w:val="center"/>
        <w:rPr>
          <w:rFonts w:hint="eastAsia" w:ascii="宋体" w:hAnsi="宋体" w:eastAsia="宋体" w:cs="宋体"/>
          <w:color w:val="auto"/>
          <w:sz w:val="28"/>
          <w:szCs w:val="28"/>
          <w:highlight w:val="none"/>
        </w:rPr>
      </w:pPr>
    </w:p>
    <w:p>
      <w:pPr>
        <w:tabs>
          <w:tab w:val="left" w:pos="2863"/>
        </w:tabs>
        <w:snapToGrid w:val="0"/>
        <w:spacing w:line="570" w:lineRule="exact"/>
        <w:jc w:val="center"/>
        <w:outlineLvl w:val="0"/>
        <w:rPr>
          <w:rFonts w:hint="eastAsia" w:ascii="仿宋" w:hAnsi="仿宋" w:eastAsia="仿宋" w:cs="仿宋"/>
          <w:color w:val="auto"/>
          <w:kern w:val="2"/>
          <w:sz w:val="28"/>
          <w:szCs w:val="28"/>
          <w:highlight w:val="none"/>
          <w:lang w:val="en-US" w:eastAsia="zh-CN" w:bidi="ar-SA"/>
        </w:rPr>
      </w:pPr>
      <w:bookmarkStart w:id="0" w:name="_Toc16421"/>
      <w:bookmarkStart w:id="1" w:name="_Toc1454"/>
      <w:bookmarkStart w:id="2" w:name="_Toc6252"/>
      <w:bookmarkStart w:id="3" w:name="_Toc15939"/>
      <w:bookmarkStart w:id="4" w:name="_Toc12921"/>
      <w:r>
        <w:rPr>
          <w:rFonts w:hint="eastAsia" w:ascii="仿宋" w:hAnsi="仿宋" w:eastAsia="仿宋" w:cs="仿宋"/>
          <w:color w:val="auto"/>
          <w:kern w:val="2"/>
          <w:sz w:val="28"/>
          <w:szCs w:val="28"/>
          <w:highlight w:val="none"/>
          <w:lang w:val="en-US" w:eastAsia="zh-CN" w:bidi="ar-SA"/>
        </w:rPr>
        <w:t>南部联盟医药集采领导小组办公室</w:t>
      </w:r>
      <w:bookmarkEnd w:id="0"/>
      <w:bookmarkEnd w:id="1"/>
      <w:bookmarkEnd w:id="2"/>
      <w:bookmarkEnd w:id="3"/>
      <w:bookmarkEnd w:id="4"/>
    </w:p>
    <w:p>
      <w:pPr>
        <w:tabs>
          <w:tab w:val="left" w:pos="2863"/>
        </w:tabs>
        <w:snapToGrid w:val="0"/>
        <w:spacing w:line="570" w:lineRule="exact"/>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二○二三</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五</w:t>
      </w:r>
      <w:r>
        <w:rPr>
          <w:rFonts w:hint="eastAsia" w:ascii="宋体" w:hAnsi="宋体" w:eastAsia="宋体" w:cs="宋体"/>
          <w:color w:val="auto"/>
          <w:sz w:val="28"/>
          <w:szCs w:val="28"/>
          <w:highlight w:val="none"/>
        </w:rPr>
        <w:t>月</w:t>
      </w:r>
    </w:p>
    <w:p>
      <w:pPr>
        <w:pStyle w:val="31"/>
        <w:rPr>
          <w:rFonts w:hint="eastAsia" w:ascii="宋体" w:hAnsi="宋体" w:eastAsia="宋体" w:cs="宋体"/>
          <w:color w:val="auto"/>
          <w:sz w:val="28"/>
          <w:szCs w:val="28"/>
          <w:highlight w:val="none"/>
        </w:rPr>
      </w:pPr>
    </w:p>
    <w:p>
      <w:pPr>
        <w:spacing w:line="570" w:lineRule="exact"/>
        <w:jc w:val="both"/>
        <w:outlineLvl w:val="9"/>
        <w:rPr>
          <w:rFonts w:hint="eastAsia" w:ascii="宋体" w:hAnsi="宋体" w:eastAsia="宋体" w:cs="宋体"/>
          <w:b/>
          <w:bCs/>
          <w:color w:val="auto"/>
          <w:sz w:val="44"/>
          <w:szCs w:val="44"/>
          <w:highlight w:val="none"/>
        </w:rPr>
        <w:sectPr>
          <w:footerReference r:id="rId3" w:type="default"/>
          <w:pgSz w:w="11906" w:h="16838"/>
          <w:pgMar w:top="1440" w:right="1457" w:bottom="1440" w:left="1457" w:header="851" w:footer="992" w:gutter="0"/>
          <w:pgNumType w:fmt="decimal" w:start="1"/>
          <w:cols w:space="720" w:num="1"/>
          <w:docGrid w:type="lines" w:linePitch="435" w:charSpace="0"/>
        </w:sectPr>
      </w:pPr>
      <w:bookmarkStart w:id="5" w:name="_Toc9990"/>
      <w:bookmarkStart w:id="6" w:name="_Toc2001"/>
      <w:bookmarkStart w:id="7" w:name="_Toc27074"/>
    </w:p>
    <w:p>
      <w:pPr>
        <w:spacing w:line="570" w:lineRule="exact"/>
        <w:ind w:firstLine="2650" w:firstLineChars="600"/>
        <w:jc w:val="both"/>
        <w:outlineLvl w:val="0"/>
        <w:rPr>
          <w:rFonts w:hint="eastAsia" w:ascii="宋体" w:hAnsi="宋体" w:eastAsia="宋体" w:cs="宋体"/>
          <w:b/>
          <w:bCs/>
          <w:color w:val="auto"/>
          <w:sz w:val="44"/>
          <w:szCs w:val="44"/>
          <w:highlight w:val="none"/>
        </w:rPr>
      </w:pPr>
      <w:bookmarkStart w:id="8" w:name="_Toc7660"/>
      <w:bookmarkStart w:id="9" w:name="_Toc22664"/>
      <w:r>
        <w:rPr>
          <w:rFonts w:hint="eastAsia" w:ascii="宋体" w:hAnsi="宋体" w:eastAsia="宋体" w:cs="宋体"/>
          <w:b/>
          <w:bCs/>
          <w:color w:val="auto"/>
          <w:sz w:val="44"/>
          <w:szCs w:val="44"/>
          <w:highlight w:val="none"/>
        </w:rPr>
        <w:t>工 作 流 程 图</w:t>
      </w:r>
      <w:bookmarkEnd w:id="5"/>
      <w:bookmarkEnd w:id="6"/>
      <w:bookmarkEnd w:id="7"/>
      <w:bookmarkEnd w:id="8"/>
      <w:bookmarkEnd w:id="9"/>
    </w:p>
    <w:p>
      <w:pPr>
        <w:pStyle w:val="31"/>
        <w:jc w:val="center"/>
        <w:rPr>
          <w:rFonts w:hint="eastAsia" w:ascii="宋体" w:hAnsi="宋体" w:eastAsia="宋体" w:cs="宋体"/>
          <w:color w:val="auto"/>
          <w:sz w:val="28"/>
          <w:szCs w:val="28"/>
          <w:highlight w:val="none"/>
        </w:rPr>
      </w:pPr>
    </w:p>
    <w:p>
      <w:pPr>
        <w:pStyle w:val="31"/>
        <w:jc w:val="center"/>
        <w:rPr>
          <w:rFonts w:hint="eastAsia" w:ascii="宋体" w:hAnsi="宋体" w:eastAsia="宋体" w:cs="宋体"/>
          <w:color w:val="auto"/>
          <w:sz w:val="28"/>
          <w:szCs w:val="28"/>
          <w:highlight w:val="none"/>
        </w:rPr>
      </w:pPr>
    </w:p>
    <w:p>
      <w:pPr>
        <w:pStyle w:val="31"/>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62336" behindDoc="0" locked="0" layoutInCell="1" allowOverlap="1">
                <wp:simplePos x="0" y="0"/>
                <wp:positionH relativeFrom="column">
                  <wp:posOffset>1581785</wp:posOffset>
                </wp:positionH>
                <wp:positionV relativeFrom="paragraph">
                  <wp:posOffset>223520</wp:posOffset>
                </wp:positionV>
                <wp:extent cx="2075815" cy="335280"/>
                <wp:effectExtent l="6350" t="6350" r="20955" b="8890"/>
                <wp:wrapNone/>
                <wp:docPr id="28" name="矩形 28"/>
                <wp:cNvGraphicFramePr/>
                <a:graphic xmlns:a="http://schemas.openxmlformats.org/drawingml/2006/main">
                  <a:graphicData uri="http://schemas.microsoft.com/office/word/2010/wordprocessingShape">
                    <wps:wsp>
                      <wps:cNvSpPr/>
                      <wps:spPr>
                        <a:xfrm>
                          <a:off x="0" y="0"/>
                          <a:ext cx="2075815" cy="335280"/>
                        </a:xfrm>
                        <a:prstGeom prst="rect">
                          <a:avLst/>
                        </a:prstGeom>
                        <a:solidFill>
                          <a:sysClr val="window" lastClr="FFFFFF"/>
                        </a:solidFill>
                        <a:ln w="12700" cap="flat" cmpd="sng" algn="ctr">
                          <a:solidFill>
                            <a:sysClr val="windowText" lastClr="000000"/>
                          </a:solidFill>
                          <a:prstDash val="solid"/>
                        </a:ln>
                        <a:effectLst/>
                      </wps:spPr>
                      <wps:txbx>
                        <w:txbxContent>
                          <w:p>
                            <w:pPr>
                              <w:adjustRightInd w:val="0"/>
                              <w:snapToGrid w:val="0"/>
                              <w:jc w:val="center"/>
                              <w:rPr>
                                <w:rFonts w:asciiTheme="minorHAnsi" w:hAnsiTheme="minorHAnsi" w:eastAsiaTheme="minorEastAsia" w:cstheme="minorBidi"/>
                                <w:b/>
                                <w:color w:val="000000"/>
                                <w:sz w:val="21"/>
                                <w:szCs w:val="22"/>
                              </w:rPr>
                            </w:pPr>
                            <w:r>
                              <w:rPr>
                                <w:rFonts w:hint="eastAsia" w:asciiTheme="minorHAnsi" w:hAnsiTheme="minorHAnsi" w:eastAsiaTheme="minorEastAsia" w:cstheme="minorBidi"/>
                                <w:b/>
                                <w:color w:val="000000"/>
                                <w:sz w:val="21"/>
                                <w:szCs w:val="22"/>
                              </w:rPr>
                              <w:t>采购项目发起</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4.55pt;margin-top:17.6pt;height:26.4pt;width:163.45pt;z-index:251662336;v-text-anchor:middle;mso-width-relative:page;mso-height-relative:page;" fillcolor="#FFFFFF" filled="t" stroked="t" coordsize="21600,21600" o:gfxdata="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NdpFTLXAAAACQEAAA8AAAAAAAAAAQAg&#10;AAAAIgAAAGRycy9kb3ducmV2LnhtbFBLAQIUABQAAAAIAIdO4kC17JzVgQIAABwFAAAOAAAAAAAA&#10;AAEAIAAAACYBAABkcnMvZTJvRG9jLnhtbFBLBQYAAAAABgAGAFkBAAAZBgAAAAA=&#10;">
                <v:fill on="t" focussize="0,0"/>
                <v:stroke weight="1pt" color="#000000" joinstyle="round"/>
                <v:imagedata o:title=""/>
                <o:lock v:ext="edit" aspectratio="f"/>
                <v:textbox>
                  <w:txbxContent>
                    <w:p>
                      <w:pPr>
                        <w:adjustRightInd w:val="0"/>
                        <w:snapToGrid w:val="0"/>
                        <w:jc w:val="center"/>
                        <w:rPr>
                          <w:rFonts w:asciiTheme="minorHAnsi" w:hAnsiTheme="minorHAnsi" w:eastAsiaTheme="minorEastAsia" w:cstheme="minorBidi"/>
                          <w:b/>
                          <w:color w:val="000000"/>
                          <w:sz w:val="21"/>
                          <w:szCs w:val="22"/>
                        </w:rPr>
                      </w:pPr>
                      <w:r>
                        <w:rPr>
                          <w:rFonts w:hint="eastAsia" w:asciiTheme="minorHAnsi" w:hAnsiTheme="minorHAnsi" w:eastAsiaTheme="minorEastAsia" w:cstheme="minorBidi"/>
                          <w:b/>
                          <w:color w:val="000000"/>
                          <w:sz w:val="21"/>
                          <w:szCs w:val="22"/>
                        </w:rPr>
                        <w:t>采购项目发起</w:t>
                      </w:r>
                    </w:p>
                  </w:txbxContent>
                </v:textbox>
              </v:rect>
            </w:pict>
          </mc:Fallback>
        </mc:AlternateContent>
      </w:r>
    </w:p>
    <w:p>
      <w:pPr>
        <w:pStyle w:val="9"/>
        <w:spacing w:line="57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63360" behindDoc="0" locked="0" layoutInCell="1" allowOverlap="1">
                <wp:simplePos x="0" y="0"/>
                <wp:positionH relativeFrom="margin">
                  <wp:posOffset>2662555</wp:posOffset>
                </wp:positionH>
                <wp:positionV relativeFrom="paragraph">
                  <wp:posOffset>311785</wp:posOffset>
                </wp:positionV>
                <wp:extent cx="0" cy="236220"/>
                <wp:effectExtent l="76200" t="0" r="57150" b="49530"/>
                <wp:wrapNone/>
                <wp:docPr id="10" name="直接箭头连接符 36"/>
                <wp:cNvGraphicFramePr/>
                <a:graphic xmlns:a="http://schemas.openxmlformats.org/drawingml/2006/main">
                  <a:graphicData uri="http://schemas.microsoft.com/office/word/2010/wordprocessingShape">
                    <wps:wsp>
                      <wps:cNvCnPr/>
                      <wps:spPr>
                        <a:xfrm>
                          <a:off x="0" y="0"/>
                          <a:ext cx="0" cy="236220"/>
                        </a:xfrm>
                        <a:prstGeom prst="straightConnector1">
                          <a:avLst/>
                        </a:prstGeom>
                        <a:ln w="15875" cap="flat" cmpd="sng">
                          <a:solidFill>
                            <a:srgbClr val="000000"/>
                          </a:solidFill>
                          <a:prstDash val="solid"/>
                          <a:round/>
                          <a:headEnd type="none" w="med" len="med"/>
                          <a:tailEnd type="triangle" w="med" len="med"/>
                        </a:ln>
                      </wps:spPr>
                      <wps:bodyPr/>
                    </wps:wsp>
                  </a:graphicData>
                </a:graphic>
              </wp:anchor>
            </w:drawing>
          </mc:Choice>
          <mc:Fallback>
            <w:pict>
              <v:shape id="直接箭头连接符 36" o:spid="_x0000_s1026" o:spt="32" type="#_x0000_t32" style="position:absolute;left:0pt;margin-left:209.65pt;margin-top:24.55pt;height:18.6pt;width:0pt;mso-position-horizontal-relative:margin;z-index:251663360;mso-width-relative:page;mso-height-relative:page;" filled="f" stroked="t" coordsize="21600,21600" o:gfxdata="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IJKAZ1wAAAAkBAAAPAAAAAAAAAAEAIAAAACIA&#10;AABkcnMvZG93bnJldi54bWxQSwECFAAUAAAACACHTuJAZTEhgAoCAAD8AwAADgAAAAAAAAABACAA&#10;AAAmAQAAZHJzL2Uyb0RvYy54bWxQSwUGAAAAAAYABgBZAQAAogUAAAAA&#10;">
                <v:fill on="f" focussize="0,0"/>
                <v:stroke weight="1.25pt" color="#000000" joinstyle="round" endarrow="block"/>
                <v:imagedata o:title=""/>
                <o:lock v:ext="edit" aspectratio="f"/>
              </v:shape>
            </w:pict>
          </mc:Fallback>
        </mc:AlternateContent>
      </w:r>
    </w:p>
    <w:p>
      <w:pPr>
        <w:pStyle w:val="3"/>
        <w:spacing w:line="570" w:lineRule="exact"/>
        <w:jc w:val="center"/>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64384" behindDoc="0" locked="0" layoutInCell="1" allowOverlap="1">
                <wp:simplePos x="0" y="0"/>
                <wp:positionH relativeFrom="margin">
                  <wp:posOffset>1567815</wp:posOffset>
                </wp:positionH>
                <wp:positionV relativeFrom="paragraph">
                  <wp:posOffset>194945</wp:posOffset>
                </wp:positionV>
                <wp:extent cx="2058035" cy="387985"/>
                <wp:effectExtent l="6350" t="6350" r="8255" b="17145"/>
                <wp:wrapNone/>
                <wp:docPr id="26" name="矩形 26"/>
                <wp:cNvGraphicFramePr/>
                <a:graphic xmlns:a="http://schemas.openxmlformats.org/drawingml/2006/main">
                  <a:graphicData uri="http://schemas.microsoft.com/office/word/2010/wordprocessingShape">
                    <wps:wsp>
                      <wps:cNvSpPr/>
                      <wps:spPr>
                        <a:xfrm>
                          <a:off x="0" y="0"/>
                          <a:ext cx="2058035" cy="387985"/>
                        </a:xfrm>
                        <a:prstGeom prst="rect">
                          <a:avLst/>
                        </a:prstGeom>
                        <a:solidFill>
                          <a:sysClr val="window" lastClr="FFFFFF"/>
                        </a:solidFill>
                        <a:ln w="12700" cap="flat" cmpd="sng" algn="ctr">
                          <a:solidFill>
                            <a:sysClr val="windowText" lastClr="000000"/>
                          </a:solidFill>
                          <a:prstDash val="solid"/>
                        </a:ln>
                        <a:effectLst/>
                      </wps:spPr>
                      <wps:txbx>
                        <w:txbxContent>
                          <w:p>
                            <w:pPr>
                              <w:adjustRightInd w:val="0"/>
                              <w:snapToGrid w:val="0"/>
                              <w:jc w:val="center"/>
                              <w:rPr>
                                <w:rFonts w:hint="default" w:asciiTheme="minorHAnsi" w:hAnsiTheme="minorHAnsi" w:eastAsiaTheme="minorEastAsia" w:cstheme="minorBidi"/>
                                <w:b/>
                                <w:color w:val="000000"/>
                                <w:sz w:val="21"/>
                                <w:szCs w:val="22"/>
                                <w:lang w:val="en-US" w:eastAsia="zh-CN"/>
                              </w:rPr>
                            </w:pPr>
                            <w:r>
                              <w:rPr>
                                <w:rFonts w:hint="eastAsia" w:asciiTheme="minorHAnsi" w:hAnsiTheme="minorHAnsi" w:eastAsiaTheme="minorEastAsia" w:cstheme="minorBidi"/>
                                <w:b/>
                                <w:color w:val="000000"/>
                                <w:sz w:val="21"/>
                                <w:szCs w:val="22"/>
                              </w:rPr>
                              <w:t>发布采购文件</w:t>
                            </w:r>
                            <w:r>
                              <w:rPr>
                                <w:rFonts w:hint="eastAsia" w:asciiTheme="minorHAnsi" w:hAnsiTheme="minorHAnsi" w:eastAsiaTheme="minorEastAsia" w:cstheme="minorBidi"/>
                                <w:b/>
                                <w:color w:val="000000"/>
                                <w:sz w:val="21"/>
                                <w:szCs w:val="22"/>
                                <w:lang w:eastAsia="zh-CN"/>
                              </w:rPr>
                              <w:t>、</w:t>
                            </w:r>
                            <w:r>
                              <w:rPr>
                                <w:rFonts w:hint="eastAsia" w:asciiTheme="minorHAnsi" w:hAnsiTheme="minorHAnsi" w:eastAsiaTheme="minorEastAsia" w:cstheme="minorBidi"/>
                                <w:b/>
                                <w:color w:val="000000"/>
                                <w:sz w:val="21"/>
                                <w:szCs w:val="22"/>
                                <w:lang w:val="en-US" w:eastAsia="zh-CN"/>
                              </w:rPr>
                              <w:t>产品目录</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3.45pt;margin-top:15.35pt;height:30.55pt;width:162.05pt;mso-position-horizontal-relative:margin;z-index:251664384;v-text-anchor:middle;mso-width-relative:page;mso-height-relative:page;" fillcolor="#FFFFFF" filled="t" stroked="t" coordsize="21600,21600" o:gfxdata="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WWWOUdcAAAAJAQAADwAAAAAAAAABACAA&#10;AAAiAAAAZHJzL2Rvd25yZXYueG1sUEsBAhQAFAAAAAgAh07iQF5b+3SAAgAAHAUAAA4AAAAAAAAA&#10;AQAgAAAAJgEAAGRycy9lMm9Eb2MueG1sUEsFBgAAAAAGAAYAWQEAABgGAAAAAA==&#10;">
                <v:fill on="t" focussize="0,0"/>
                <v:stroke weight="1pt" color="#000000" joinstyle="round"/>
                <v:imagedata o:title=""/>
                <o:lock v:ext="edit" aspectratio="f"/>
                <v:textbox>
                  <w:txbxContent>
                    <w:p>
                      <w:pPr>
                        <w:adjustRightInd w:val="0"/>
                        <w:snapToGrid w:val="0"/>
                        <w:jc w:val="center"/>
                        <w:rPr>
                          <w:rFonts w:hint="default" w:asciiTheme="minorHAnsi" w:hAnsiTheme="minorHAnsi" w:eastAsiaTheme="minorEastAsia" w:cstheme="minorBidi"/>
                          <w:b/>
                          <w:color w:val="000000"/>
                          <w:sz w:val="21"/>
                          <w:szCs w:val="22"/>
                          <w:lang w:val="en-US" w:eastAsia="zh-CN"/>
                        </w:rPr>
                      </w:pPr>
                      <w:r>
                        <w:rPr>
                          <w:rFonts w:hint="eastAsia" w:asciiTheme="minorHAnsi" w:hAnsiTheme="minorHAnsi" w:eastAsiaTheme="minorEastAsia" w:cstheme="minorBidi"/>
                          <w:b/>
                          <w:color w:val="000000"/>
                          <w:sz w:val="21"/>
                          <w:szCs w:val="22"/>
                        </w:rPr>
                        <w:t>发布采购文件</w:t>
                      </w:r>
                      <w:r>
                        <w:rPr>
                          <w:rFonts w:hint="eastAsia" w:asciiTheme="minorHAnsi" w:hAnsiTheme="minorHAnsi" w:eastAsiaTheme="minorEastAsia" w:cstheme="minorBidi"/>
                          <w:b/>
                          <w:color w:val="000000"/>
                          <w:sz w:val="21"/>
                          <w:szCs w:val="22"/>
                          <w:lang w:eastAsia="zh-CN"/>
                        </w:rPr>
                        <w:t>、</w:t>
                      </w:r>
                      <w:r>
                        <w:rPr>
                          <w:rFonts w:hint="eastAsia" w:asciiTheme="minorHAnsi" w:hAnsiTheme="minorHAnsi" w:eastAsiaTheme="minorEastAsia" w:cstheme="minorBidi"/>
                          <w:b/>
                          <w:color w:val="000000"/>
                          <w:sz w:val="21"/>
                          <w:szCs w:val="22"/>
                          <w:lang w:val="en-US" w:eastAsia="zh-CN"/>
                        </w:rPr>
                        <w:t>产品目录</w:t>
                      </w:r>
                    </w:p>
                  </w:txbxContent>
                </v:textbox>
              </v:rect>
            </w:pict>
          </mc:Fallback>
        </mc:AlternateContent>
      </w:r>
      <w:r>
        <w:rPr>
          <w:rFonts w:hint="eastAsia" w:ascii="宋体" w:hAnsi="宋体" w:eastAsia="宋体" w:cs="宋体"/>
          <w:color w:val="auto"/>
          <w:sz w:val="28"/>
          <w:szCs w:val="28"/>
          <w:highlight w:val="none"/>
        </w:rPr>
        <mc:AlternateContent>
          <mc:Choice Requires="wps">
            <w:drawing>
              <wp:anchor distT="0" distB="0" distL="113665" distR="113665" simplePos="0" relativeHeight="251670528" behindDoc="0" locked="0" layoutInCell="1" allowOverlap="1">
                <wp:simplePos x="0" y="0"/>
                <wp:positionH relativeFrom="column">
                  <wp:posOffset>2656205</wp:posOffset>
                </wp:positionH>
                <wp:positionV relativeFrom="paragraph">
                  <wp:posOffset>607695</wp:posOffset>
                </wp:positionV>
                <wp:extent cx="7620" cy="226060"/>
                <wp:effectExtent l="35560" t="0" r="33020" b="2540"/>
                <wp:wrapNone/>
                <wp:docPr id="12" name="直接箭头连接符 12"/>
                <wp:cNvGraphicFramePr/>
                <a:graphic xmlns:a="http://schemas.openxmlformats.org/drawingml/2006/main">
                  <a:graphicData uri="http://schemas.microsoft.com/office/word/2010/wordprocessingShape">
                    <wps:wsp>
                      <wps:cNvCnPr/>
                      <wps:spPr>
                        <a:xfrm flipH="1">
                          <a:off x="0" y="0"/>
                          <a:ext cx="7620" cy="226060"/>
                        </a:xfrm>
                        <a:prstGeom prst="straightConnector1">
                          <a:avLst/>
                        </a:prstGeom>
                        <a:noFill/>
                        <a:ln w="15875" cap="flat" cmpd="sng" algn="ctr">
                          <a:solidFill>
                            <a:sysClr val="windowText" lastClr="000000"/>
                          </a:solidFill>
                          <a:prstDash val="solid"/>
                          <a:tailEnd type="triangle"/>
                        </a:ln>
                        <a:effectLst/>
                      </wps:spPr>
                      <wps:bodyPr/>
                    </wps:wsp>
                  </a:graphicData>
                </a:graphic>
              </wp:anchor>
            </w:drawing>
          </mc:Choice>
          <mc:Fallback>
            <w:pict>
              <v:shape id="_x0000_s1026" o:spid="_x0000_s1026" o:spt="32" type="#_x0000_t32" style="position:absolute;left:0pt;flip:x;margin-left:209.15pt;margin-top:47.85pt;height:17.8pt;width:0.6pt;z-index:251670528;mso-width-relative:page;mso-height-relative:page;" filled="f" stroked="t" coordsize="21600,21600" o:gfxdata="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DvhUl/cAAAACgEA&#10;AA8AAAAAAAAAAQAgAAAAIgAAAGRycy9kb3ducmV2LnhtbFBLAQIUABQAAAAIAIdO4kBbt/tVFgIA&#10;APsDAAAOAAAAAAAAAAEAIAAAACsBAABkcnMvZTJvRG9jLnhtbFBLBQYAAAAABgAGAFkBAACzBQAA&#10;AAA=&#10;">
                <v:fill on="f" focussize="0,0"/>
                <v:stroke weight="1.25pt" color="#000000" joinstyle="round" endarrow="block"/>
                <v:imagedata o:title=""/>
                <o:lock v:ext="edit" aspectratio="f"/>
              </v:shape>
            </w:pict>
          </mc:Fallback>
        </mc:AlternateContent>
      </w:r>
    </w:p>
    <w:p>
      <w:pPr>
        <w:pStyle w:val="3"/>
        <w:spacing w:line="570" w:lineRule="exact"/>
        <w:jc w:val="center"/>
        <w:outlineLvl w:val="9"/>
        <w:rPr>
          <w:rFonts w:hint="eastAsia" w:ascii="宋体" w:hAnsi="宋体" w:eastAsia="宋体" w:cs="宋体"/>
          <w:b w:val="0"/>
          <w:color w:val="auto"/>
          <w:kern w:val="2"/>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65408" behindDoc="0" locked="0" layoutInCell="1" allowOverlap="1">
                <wp:simplePos x="0" y="0"/>
                <wp:positionH relativeFrom="margin">
                  <wp:posOffset>1573530</wp:posOffset>
                </wp:positionH>
                <wp:positionV relativeFrom="paragraph">
                  <wp:posOffset>57150</wp:posOffset>
                </wp:positionV>
                <wp:extent cx="2045970" cy="347980"/>
                <wp:effectExtent l="6350" t="6350" r="20320" b="11430"/>
                <wp:wrapNone/>
                <wp:docPr id="25" name="矩形 25"/>
                <wp:cNvGraphicFramePr/>
                <a:graphic xmlns:a="http://schemas.openxmlformats.org/drawingml/2006/main">
                  <a:graphicData uri="http://schemas.microsoft.com/office/word/2010/wordprocessingShape">
                    <wps:wsp>
                      <wps:cNvSpPr/>
                      <wps:spPr>
                        <a:xfrm>
                          <a:off x="0" y="0"/>
                          <a:ext cx="2045970" cy="347980"/>
                        </a:xfrm>
                        <a:prstGeom prst="rect">
                          <a:avLst/>
                        </a:prstGeom>
                        <a:solidFill>
                          <a:sysClr val="window" lastClr="FFFFFF"/>
                        </a:solidFill>
                        <a:ln w="12700" cap="flat" cmpd="sng" algn="ctr">
                          <a:solidFill>
                            <a:sysClr val="windowText" lastClr="000000"/>
                          </a:solidFill>
                          <a:prstDash val="solid"/>
                        </a:ln>
                        <a:effectLst/>
                      </wps:spPr>
                      <wps:txbx>
                        <w:txbxContent>
                          <w:p>
                            <w:pPr>
                              <w:adjustRightInd w:val="0"/>
                              <w:snapToGrid w:val="0"/>
                              <w:jc w:val="center"/>
                              <w:rPr>
                                <w:rFonts w:eastAsiaTheme="minorEastAsia"/>
                                <w:b/>
                                <w:color w:val="000000"/>
                              </w:rPr>
                            </w:pPr>
                            <w:r>
                              <w:rPr>
                                <w:rFonts w:hint="eastAsia" w:asciiTheme="minorHAnsi" w:hAnsiTheme="minorHAnsi" w:eastAsiaTheme="minorEastAsia" w:cstheme="minorBidi"/>
                                <w:b/>
                                <w:color w:val="000000"/>
                                <w:sz w:val="21"/>
                                <w:szCs w:val="22"/>
                              </w:rPr>
                              <w:t>企业领取用户名、数字证书</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3.9pt;margin-top:4.5pt;height:27.4pt;width:161.1pt;mso-position-horizontal-relative:margin;z-index:251665408;v-text-anchor:middle;mso-width-relative:page;mso-height-relative:page;" fillcolor="#FFFFFF" filled="t" stroked="t" coordsize="21600,21600" o:gfxdata="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Os/GEdYAAAAIAQAADwAAAAAAAAABACAA&#10;AAAiAAAAZHJzL2Rvd25yZXYueG1sUEsBAhQAFAAAAAgAh07iQAezrraBAgAAHAUAAA4AAAAAAAAA&#10;AQAgAAAAJQEAAGRycy9lMm9Eb2MueG1sUEsFBgAAAAAGAAYAWQEAABgGAAAAAA==&#10;">
                <v:fill on="t" focussize="0,0"/>
                <v:stroke weight="1pt" color="#000000" joinstyle="round"/>
                <v:imagedata o:title=""/>
                <o:lock v:ext="edit" aspectratio="f"/>
                <v:textbox>
                  <w:txbxContent>
                    <w:p>
                      <w:pPr>
                        <w:adjustRightInd w:val="0"/>
                        <w:snapToGrid w:val="0"/>
                        <w:jc w:val="center"/>
                        <w:rPr>
                          <w:rFonts w:eastAsiaTheme="minorEastAsia"/>
                          <w:b/>
                          <w:color w:val="000000"/>
                        </w:rPr>
                      </w:pPr>
                      <w:r>
                        <w:rPr>
                          <w:rFonts w:hint="eastAsia" w:asciiTheme="minorHAnsi" w:hAnsiTheme="minorHAnsi" w:eastAsiaTheme="minorEastAsia" w:cstheme="minorBidi"/>
                          <w:b/>
                          <w:color w:val="000000"/>
                          <w:sz w:val="21"/>
                          <w:szCs w:val="22"/>
                        </w:rPr>
                        <w:t>企业领取用户名、数字证书</w:t>
                      </w:r>
                    </w:p>
                  </w:txbxContent>
                </v:textbox>
              </v:rect>
            </w:pict>
          </mc:Fallback>
        </mc:AlternateContent>
      </w:r>
      <w:r>
        <w:rPr>
          <w:rFonts w:hint="eastAsia" w:ascii="宋体" w:hAnsi="宋体" w:eastAsia="宋体" w:cs="宋体"/>
          <w:color w:val="auto"/>
          <w:sz w:val="28"/>
          <w:szCs w:val="28"/>
          <w:highlight w:val="none"/>
        </w:rPr>
        <mc:AlternateContent>
          <mc:Choice Requires="wps">
            <w:drawing>
              <wp:anchor distT="0" distB="0" distL="113665" distR="113665" simplePos="0" relativeHeight="251671552" behindDoc="0" locked="0" layoutInCell="1" allowOverlap="1">
                <wp:simplePos x="0" y="0"/>
                <wp:positionH relativeFrom="margin">
                  <wp:posOffset>2655570</wp:posOffset>
                </wp:positionH>
                <wp:positionV relativeFrom="paragraph">
                  <wp:posOffset>420370</wp:posOffset>
                </wp:positionV>
                <wp:extent cx="8255" cy="230505"/>
                <wp:effectExtent l="32385" t="0" r="35560" b="13335"/>
                <wp:wrapNone/>
                <wp:docPr id="13" name="直接箭头连接符 13"/>
                <wp:cNvGraphicFramePr/>
                <a:graphic xmlns:a="http://schemas.openxmlformats.org/drawingml/2006/main">
                  <a:graphicData uri="http://schemas.microsoft.com/office/word/2010/wordprocessingShape">
                    <wps:wsp>
                      <wps:cNvCnPr/>
                      <wps:spPr>
                        <a:xfrm>
                          <a:off x="0" y="0"/>
                          <a:ext cx="8255" cy="230505"/>
                        </a:xfrm>
                        <a:prstGeom prst="straightConnector1">
                          <a:avLst/>
                        </a:prstGeom>
                        <a:noFill/>
                        <a:ln w="15875" cap="flat" cmpd="sng" algn="ctr">
                          <a:solidFill>
                            <a:sysClr val="windowText" lastClr="000000"/>
                          </a:solidFill>
                          <a:prstDash val="solid"/>
                          <a:tailEnd type="triangle"/>
                        </a:ln>
                        <a:effectLst/>
                      </wps:spPr>
                      <wps:bodyPr/>
                    </wps:wsp>
                  </a:graphicData>
                </a:graphic>
              </wp:anchor>
            </w:drawing>
          </mc:Choice>
          <mc:Fallback>
            <w:pict>
              <v:shape id="_x0000_s1026" o:spid="_x0000_s1026" o:spt="32" type="#_x0000_t32" style="position:absolute;left:0pt;margin-left:209.1pt;margin-top:33.1pt;height:18.15pt;width:0.65pt;mso-position-horizontal-relative:margin;z-index:251671552;mso-width-relative:page;mso-height-relative:page;" filled="f" stroked="t" coordsize="21600,21600" o:gfxdata="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5/hT3NoAAAAKAQAADwAAAAAAAAAB&#10;ACAAAAAiAAAAZHJzL2Rvd25yZXYueG1sUEsBAhQAFAAAAAgAh07iQLck28EOAgAA8QMAAA4AAAAA&#10;AAAAAQAgAAAAKQEAAGRycy9lMm9Eb2MueG1sUEsFBgAAAAAGAAYAWQEAAKkFAAAAAA==&#10;">
                <v:fill on="f" focussize="0,0"/>
                <v:stroke weight="1.25pt" color="#000000" joinstyle="round" endarrow="block"/>
                <v:imagedata o:title=""/>
                <o:lock v:ext="edit" aspectratio="f"/>
              </v:shape>
            </w:pict>
          </mc:Fallback>
        </mc:AlternateContent>
      </w:r>
    </w:p>
    <w:p>
      <w:pPr>
        <w:spacing w:line="57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66432" behindDoc="0" locked="0" layoutInCell="1" allowOverlap="1">
                <wp:simplePos x="0" y="0"/>
                <wp:positionH relativeFrom="margin">
                  <wp:posOffset>1600200</wp:posOffset>
                </wp:positionH>
                <wp:positionV relativeFrom="paragraph">
                  <wp:posOffset>87630</wp:posOffset>
                </wp:positionV>
                <wp:extent cx="2033905" cy="366395"/>
                <wp:effectExtent l="6350" t="6350" r="17145" b="8255"/>
                <wp:wrapNone/>
                <wp:docPr id="8" name="矩形 4"/>
                <wp:cNvGraphicFramePr/>
                <a:graphic xmlns:a="http://schemas.openxmlformats.org/drawingml/2006/main">
                  <a:graphicData uri="http://schemas.microsoft.com/office/word/2010/wordprocessingShape">
                    <wps:wsp>
                      <wps:cNvSpPr/>
                      <wps:spPr>
                        <a:xfrm>
                          <a:off x="0" y="0"/>
                          <a:ext cx="2033905" cy="366395"/>
                        </a:xfrm>
                        <a:prstGeom prst="rect">
                          <a:avLst/>
                        </a:prstGeom>
                        <a:solidFill>
                          <a:sysClr val="window" lastClr="FFFFFF"/>
                        </a:solidFill>
                        <a:ln w="12700" cap="flat" cmpd="sng" algn="ctr">
                          <a:solidFill>
                            <a:sysClr val="windowText" lastClr="000000"/>
                          </a:solidFill>
                          <a:prstDash val="solid"/>
                        </a:ln>
                        <a:effectLst/>
                      </wps:spPr>
                      <wps:txbx>
                        <w:txbxContent>
                          <w:p>
                            <w:pPr>
                              <w:adjustRightInd w:val="0"/>
                              <w:snapToGrid w:val="0"/>
                              <w:jc w:val="center"/>
                              <w:rPr>
                                <w:rFonts w:hint="default" w:eastAsiaTheme="minorEastAsia"/>
                                <w:b/>
                                <w:color w:val="000000"/>
                                <w:lang w:val="en-US" w:eastAsia="zh-CN"/>
                              </w:rPr>
                            </w:pPr>
                            <w:r>
                              <w:rPr>
                                <w:rFonts w:hint="eastAsia" w:asciiTheme="minorHAnsi" w:hAnsiTheme="minorHAnsi" w:eastAsiaTheme="minorEastAsia" w:cstheme="minorBidi"/>
                                <w:b/>
                                <w:color w:val="000000"/>
                                <w:sz w:val="21"/>
                                <w:szCs w:val="22"/>
                                <w:lang w:val="en-US" w:eastAsia="zh-CN"/>
                              </w:rPr>
                              <w:t>企业报名、提交申报药品材料</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4" o:spid="_x0000_s1026" o:spt="1" style="position:absolute;left:0pt;margin-left:126pt;margin-top:6.9pt;height:28.85pt;width:160.15pt;mso-position-horizontal-relative:margin;z-index:251666432;v-text-anchor:middle;mso-width-relative:page;mso-height-relative:page;" fillcolor="#FFFFFF" filled="t" stroked="t" coordsize="21600,21600" o:gfxdata="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MNOK47WAAAACQEAAA8AAAAAAAAAAQAgAAAA&#10;IgAAAGRycy9kb3ducmV2LnhtbFBLAQIUABQAAAAIAIdO4kABDoVHfwIAABoFAAAOAAAAAAAAAAEA&#10;IAAAACUBAABkcnMvZTJvRG9jLnhtbFBLBQYAAAAABgAGAFkBAAAWBgAAAAA=&#10;">
                <v:fill on="t" focussize="0,0"/>
                <v:stroke weight="1pt" color="#000000" joinstyle="round"/>
                <v:imagedata o:title=""/>
                <o:lock v:ext="edit" aspectratio="f"/>
                <v:textbox>
                  <w:txbxContent>
                    <w:p>
                      <w:pPr>
                        <w:adjustRightInd w:val="0"/>
                        <w:snapToGrid w:val="0"/>
                        <w:jc w:val="center"/>
                        <w:rPr>
                          <w:rFonts w:hint="default" w:eastAsiaTheme="minorEastAsia"/>
                          <w:b/>
                          <w:color w:val="000000"/>
                          <w:lang w:val="en-US" w:eastAsia="zh-CN"/>
                        </w:rPr>
                      </w:pPr>
                      <w:r>
                        <w:rPr>
                          <w:rFonts w:hint="eastAsia" w:asciiTheme="minorHAnsi" w:hAnsiTheme="minorHAnsi" w:eastAsiaTheme="minorEastAsia" w:cstheme="minorBidi"/>
                          <w:b/>
                          <w:color w:val="000000"/>
                          <w:sz w:val="21"/>
                          <w:szCs w:val="22"/>
                          <w:lang w:val="en-US" w:eastAsia="zh-CN"/>
                        </w:rPr>
                        <w:t>企业报名、提交申报药品材料</w:t>
                      </w:r>
                    </w:p>
                  </w:txbxContent>
                </v:textbox>
              </v:rect>
            </w:pict>
          </mc:Fallback>
        </mc:AlternateContent>
      </w:r>
    </w:p>
    <w:p>
      <w:pPr>
        <w:pStyle w:val="3"/>
        <w:spacing w:line="570" w:lineRule="exact"/>
        <w:jc w:val="center"/>
        <w:outlineLvl w:val="9"/>
        <w:rPr>
          <w:rFonts w:hint="eastAsia" w:ascii="宋体" w:hAnsi="宋体" w:eastAsia="宋体" w:cs="宋体"/>
          <w:b w:val="0"/>
          <w:color w:val="auto"/>
          <w:kern w:val="2"/>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3665" distR="113665" simplePos="0" relativeHeight="251682816" behindDoc="0" locked="0" layoutInCell="1" allowOverlap="1">
                <wp:simplePos x="0" y="0"/>
                <wp:positionH relativeFrom="margin">
                  <wp:posOffset>2670175</wp:posOffset>
                </wp:positionH>
                <wp:positionV relativeFrom="paragraph">
                  <wp:posOffset>648970</wp:posOffset>
                </wp:positionV>
                <wp:extent cx="4445" cy="245745"/>
                <wp:effectExtent l="36830" t="0" r="34925" b="13335"/>
                <wp:wrapNone/>
                <wp:docPr id="2" name="直接箭头连接符 2"/>
                <wp:cNvGraphicFramePr/>
                <a:graphic xmlns:a="http://schemas.openxmlformats.org/drawingml/2006/main">
                  <a:graphicData uri="http://schemas.microsoft.com/office/word/2010/wordprocessingShape">
                    <wps:wsp>
                      <wps:cNvCnPr/>
                      <wps:spPr>
                        <a:xfrm flipH="1">
                          <a:off x="0" y="0"/>
                          <a:ext cx="4445" cy="245745"/>
                        </a:xfrm>
                        <a:prstGeom prst="straightConnector1">
                          <a:avLst/>
                        </a:prstGeom>
                        <a:noFill/>
                        <a:ln w="15875" cap="flat" cmpd="sng" algn="ctr">
                          <a:solidFill>
                            <a:sysClr val="windowText" lastClr="000000"/>
                          </a:solidFill>
                          <a:prstDash val="solid"/>
                          <a:tailEnd type="triangle"/>
                        </a:ln>
                        <a:effectLst/>
                      </wps:spPr>
                      <wps:bodyPr/>
                    </wps:wsp>
                  </a:graphicData>
                </a:graphic>
              </wp:anchor>
            </w:drawing>
          </mc:Choice>
          <mc:Fallback>
            <w:pict>
              <v:shape id="_x0000_s1026" o:spid="_x0000_s1026" o:spt="32" type="#_x0000_t32" style="position:absolute;left:0pt;flip:x;margin-left:210.25pt;margin-top:51.1pt;height:19.35pt;width:0.35pt;mso-position-horizontal-relative:margin;z-index:251682816;mso-width-relative:page;mso-height-relative:page;" filled="f" stroked="t" coordsize="21600,21600" o:gfxdata="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5X9XDbAAAACwEAAA8A&#10;AAAAAAAAAQAgAAAAIgAAAGRycy9kb3ducmV2LnhtbFBLAQIUABQAAAAIAIdO4kCSd1kiFAIAAPkD&#10;AAAOAAAAAAAAAAEAIAAAACoBAABkcnMvZTJvRG9jLnhtbFBLBQYAAAAABgAGAFkBAACwBQAAAAA=&#10;">
                <v:fill on="f" focussize="0,0"/>
                <v:stroke weight="1.25pt" color="#000000" joinstyle="round" endarrow="block"/>
                <v:imagedata o:title=""/>
                <o:lock v:ext="edit" aspectratio="f"/>
              </v:shape>
            </w:pict>
          </mc:Fallback>
        </mc:AlternateContent>
      </w:r>
      <w:r>
        <w:rPr>
          <w:rFonts w:hint="eastAsia" w:ascii="宋体" w:hAnsi="宋体" w:eastAsia="宋体" w:cs="宋体"/>
          <w:b w:val="0"/>
          <w:color w:val="auto"/>
          <w:sz w:val="28"/>
          <w:szCs w:val="28"/>
          <w:highlight w:val="none"/>
        </w:rPr>
        <mc:AlternateContent>
          <mc:Choice Requires="wps">
            <w:drawing>
              <wp:anchor distT="0" distB="0" distL="114300" distR="114300" simplePos="0" relativeHeight="251667456" behindDoc="0" locked="0" layoutInCell="1" allowOverlap="1">
                <wp:simplePos x="0" y="0"/>
                <wp:positionH relativeFrom="column">
                  <wp:posOffset>1618615</wp:posOffset>
                </wp:positionH>
                <wp:positionV relativeFrom="paragraph">
                  <wp:posOffset>328295</wp:posOffset>
                </wp:positionV>
                <wp:extent cx="2031365" cy="320675"/>
                <wp:effectExtent l="6350" t="6350" r="19685" b="8255"/>
                <wp:wrapNone/>
                <wp:docPr id="7" name="矩形 5"/>
                <wp:cNvGraphicFramePr/>
                <a:graphic xmlns:a="http://schemas.openxmlformats.org/drawingml/2006/main">
                  <a:graphicData uri="http://schemas.microsoft.com/office/word/2010/wordprocessingShape">
                    <wps:wsp>
                      <wps:cNvSpPr/>
                      <wps:spPr>
                        <a:xfrm>
                          <a:off x="0" y="0"/>
                          <a:ext cx="2031365" cy="320675"/>
                        </a:xfrm>
                        <a:prstGeom prst="rect">
                          <a:avLst/>
                        </a:prstGeom>
                        <a:solidFill>
                          <a:sysClr val="window" lastClr="FFFFFF"/>
                        </a:solidFill>
                        <a:ln w="12700" cap="flat" cmpd="sng" algn="ctr">
                          <a:solidFill>
                            <a:sysClr val="windowText" lastClr="000000"/>
                          </a:solidFill>
                          <a:prstDash val="solid"/>
                        </a:ln>
                        <a:effectLst/>
                      </wps:spPr>
                      <wps:txbx>
                        <w:txbxContent>
                          <w:p>
                            <w:pPr>
                              <w:adjustRightInd w:val="0"/>
                              <w:snapToGrid w:val="0"/>
                              <w:jc w:val="center"/>
                              <w:rPr>
                                <w:rFonts w:hint="default" w:asciiTheme="minorHAnsi" w:hAnsiTheme="minorHAnsi" w:eastAsiaTheme="minorEastAsia" w:cstheme="minorBidi"/>
                                <w:b/>
                                <w:color w:val="000000"/>
                                <w:sz w:val="21"/>
                                <w:szCs w:val="22"/>
                                <w:lang w:val="en-US" w:eastAsia="zh-CN"/>
                              </w:rPr>
                            </w:pPr>
                            <w:r>
                              <w:rPr>
                                <w:rFonts w:hint="eastAsia" w:asciiTheme="minorHAnsi" w:hAnsiTheme="minorHAnsi" w:eastAsiaTheme="minorEastAsia" w:cstheme="minorBidi"/>
                                <w:b/>
                                <w:color w:val="000000"/>
                                <w:sz w:val="21"/>
                                <w:szCs w:val="22"/>
                              </w:rPr>
                              <w:t>资质信息审核</w:t>
                            </w:r>
                            <w:r>
                              <w:rPr>
                                <w:rFonts w:hint="eastAsia" w:asciiTheme="minorHAnsi" w:hAnsiTheme="minorHAnsi" w:eastAsiaTheme="minorEastAsia" w:cstheme="minorBidi"/>
                                <w:b/>
                                <w:color w:val="000000"/>
                                <w:sz w:val="21"/>
                                <w:szCs w:val="22"/>
                                <w:lang w:eastAsia="zh-CN"/>
                              </w:rPr>
                              <w:t>，</w:t>
                            </w:r>
                            <w:r>
                              <w:rPr>
                                <w:rFonts w:hint="eastAsia" w:asciiTheme="minorHAnsi" w:hAnsiTheme="minorHAnsi" w:eastAsiaTheme="minorEastAsia" w:cstheme="minorBidi"/>
                                <w:b/>
                                <w:color w:val="000000"/>
                                <w:sz w:val="21"/>
                                <w:szCs w:val="22"/>
                                <w:lang w:val="en-US" w:eastAsia="zh-CN"/>
                              </w:rPr>
                              <w:t>确认申报药品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5" o:spid="_x0000_s1026" o:spt="1" style="position:absolute;left:0pt;margin-left:127.45pt;margin-top:25.85pt;height:25.25pt;width:159.95pt;z-index:251667456;v-text-anchor:middle;mso-width-relative:page;mso-height-relative:page;" fillcolor="#FFFFFF" filled="t" stroked="t" coordsize="21600,21600" o:gfxdata="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O07YlHXAAAACgEAAA8AAAAAAAAAAQAg&#10;AAAAIgAAAGRycy9kb3ducmV2LnhtbFBLAQIUABQAAAAIAIdO4kBpx0wGgQIAABoFAAAOAAAAAAAA&#10;AAEAIAAAACYBAABkcnMvZTJvRG9jLnhtbFBLBQYAAAAABgAGAFkBAAAZBgAAAAA=&#10;">
                <v:fill on="t" focussize="0,0"/>
                <v:stroke weight="1pt" color="#000000" joinstyle="round"/>
                <v:imagedata o:title=""/>
                <o:lock v:ext="edit" aspectratio="f"/>
                <v:textbox>
                  <w:txbxContent>
                    <w:p>
                      <w:pPr>
                        <w:adjustRightInd w:val="0"/>
                        <w:snapToGrid w:val="0"/>
                        <w:jc w:val="center"/>
                        <w:rPr>
                          <w:rFonts w:hint="default" w:asciiTheme="minorHAnsi" w:hAnsiTheme="minorHAnsi" w:eastAsiaTheme="minorEastAsia" w:cstheme="minorBidi"/>
                          <w:b/>
                          <w:color w:val="000000"/>
                          <w:sz w:val="21"/>
                          <w:szCs w:val="22"/>
                          <w:lang w:val="en-US" w:eastAsia="zh-CN"/>
                        </w:rPr>
                      </w:pPr>
                      <w:r>
                        <w:rPr>
                          <w:rFonts w:hint="eastAsia" w:asciiTheme="minorHAnsi" w:hAnsiTheme="minorHAnsi" w:eastAsiaTheme="minorEastAsia" w:cstheme="minorBidi"/>
                          <w:b/>
                          <w:color w:val="000000"/>
                          <w:sz w:val="21"/>
                          <w:szCs w:val="22"/>
                        </w:rPr>
                        <w:t>资质信息审核</w:t>
                      </w:r>
                      <w:r>
                        <w:rPr>
                          <w:rFonts w:hint="eastAsia" w:asciiTheme="minorHAnsi" w:hAnsiTheme="minorHAnsi" w:eastAsiaTheme="minorEastAsia" w:cstheme="minorBidi"/>
                          <w:b/>
                          <w:color w:val="000000"/>
                          <w:sz w:val="21"/>
                          <w:szCs w:val="22"/>
                          <w:lang w:eastAsia="zh-CN"/>
                        </w:rPr>
                        <w:t>，</w:t>
                      </w:r>
                      <w:r>
                        <w:rPr>
                          <w:rFonts w:hint="eastAsia" w:asciiTheme="minorHAnsi" w:hAnsiTheme="minorHAnsi" w:eastAsiaTheme="minorEastAsia" w:cstheme="minorBidi"/>
                          <w:b/>
                          <w:color w:val="000000"/>
                          <w:sz w:val="21"/>
                          <w:szCs w:val="22"/>
                          <w:lang w:val="en-US" w:eastAsia="zh-CN"/>
                        </w:rPr>
                        <w:t>确认申报药品</w:t>
                      </w:r>
                    </w:p>
                  </w:txbxContent>
                </v:textbox>
              </v:rect>
            </w:pict>
          </mc:Fallback>
        </mc:AlternateContent>
      </w:r>
      <w:r>
        <w:rPr>
          <w:rFonts w:hint="eastAsia" w:ascii="宋体" w:hAnsi="宋体" w:eastAsia="宋体" w:cs="宋体"/>
          <w:b w:val="0"/>
          <w:color w:val="auto"/>
          <w:sz w:val="28"/>
          <w:szCs w:val="28"/>
          <w:highlight w:val="none"/>
        </w:rPr>
        <mc:AlternateContent>
          <mc:Choice Requires="wps">
            <w:drawing>
              <wp:anchor distT="0" distB="0" distL="113665" distR="113665" simplePos="0" relativeHeight="251675648" behindDoc="0" locked="0" layoutInCell="1" allowOverlap="1">
                <wp:simplePos x="0" y="0"/>
                <wp:positionH relativeFrom="column">
                  <wp:posOffset>2663825</wp:posOffset>
                </wp:positionH>
                <wp:positionV relativeFrom="paragraph">
                  <wp:posOffset>102235</wp:posOffset>
                </wp:positionV>
                <wp:extent cx="635" cy="204470"/>
                <wp:effectExtent l="37465" t="0" r="38100" b="8890"/>
                <wp:wrapNone/>
                <wp:docPr id="35" name="直接箭头连接符 35"/>
                <wp:cNvGraphicFramePr/>
                <a:graphic xmlns:a="http://schemas.openxmlformats.org/drawingml/2006/main">
                  <a:graphicData uri="http://schemas.microsoft.com/office/word/2010/wordprocessingShape">
                    <wps:wsp>
                      <wps:cNvCnPr/>
                      <wps:spPr>
                        <a:xfrm>
                          <a:off x="0" y="0"/>
                          <a:ext cx="635" cy="204470"/>
                        </a:xfrm>
                        <a:prstGeom prst="straightConnector1">
                          <a:avLst/>
                        </a:prstGeom>
                        <a:noFill/>
                        <a:ln w="15875" cap="flat" cmpd="sng" algn="ctr">
                          <a:solidFill>
                            <a:sysClr val="windowText" lastClr="000000"/>
                          </a:solidFill>
                          <a:prstDash val="solid"/>
                          <a:tailEnd type="triangle"/>
                        </a:ln>
                        <a:effectLst/>
                      </wps:spPr>
                      <wps:bodyPr/>
                    </wps:wsp>
                  </a:graphicData>
                </a:graphic>
              </wp:anchor>
            </w:drawing>
          </mc:Choice>
          <mc:Fallback>
            <w:pict>
              <v:shape id="_x0000_s1026" o:spid="_x0000_s1026" o:spt="32" type="#_x0000_t32" style="position:absolute;left:0pt;margin-left:209.75pt;margin-top:8.05pt;height:16.1pt;width:0.05pt;z-index:251675648;mso-width-relative:page;mso-height-relative:page;" filled="f" stroked="t" coordsize="21600,21600" o:gfxdata="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okfC+tgAAAAJAQAADwAAAAAAAAABACAA&#10;AAAiAAAAZHJzL2Rvd25yZXYueG1sUEsBAhQAFAAAAAgAh07iQJK8YsENAgAA8AMAAA4AAAAAAAAA&#10;AQAgAAAAJwEAAGRycy9lMm9Eb2MueG1sUEsFBgAAAAAGAAYAWQEAAKYFAAAAAA==&#10;">
                <v:fill on="f" focussize="0,0"/>
                <v:stroke weight="1.25pt" color="#000000" joinstyle="round" endarrow="block"/>
                <v:imagedata o:title=""/>
                <o:lock v:ext="edit" aspectratio="f"/>
              </v:shape>
            </w:pict>
          </mc:Fallback>
        </mc:AlternateContent>
      </w:r>
    </w:p>
    <w:p>
      <w:pPr>
        <w:pStyle w:val="3"/>
        <w:spacing w:line="570" w:lineRule="exact"/>
        <w:jc w:val="center"/>
        <w:outlineLvl w:val="9"/>
        <w:rPr>
          <w:rFonts w:hint="eastAsia" w:ascii="宋体" w:hAnsi="宋体" w:eastAsia="宋体" w:cs="宋体"/>
          <w:b w:val="0"/>
          <w:color w:val="auto"/>
          <w:kern w:val="2"/>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3665" distR="113665" simplePos="0" relativeHeight="251677696" behindDoc="0" locked="0" layoutInCell="1" allowOverlap="1">
                <wp:simplePos x="0" y="0"/>
                <wp:positionH relativeFrom="column">
                  <wp:posOffset>2680335</wp:posOffset>
                </wp:positionH>
                <wp:positionV relativeFrom="paragraph">
                  <wp:posOffset>467360</wp:posOffset>
                </wp:positionV>
                <wp:extent cx="0" cy="198120"/>
                <wp:effectExtent l="38100" t="0" r="38100" b="0"/>
                <wp:wrapNone/>
                <wp:docPr id="9" name="直接箭头连接符 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15875" cap="flat" cmpd="sng" algn="ctr">
                          <a:solidFill>
                            <a:sysClr val="windowText" lastClr="000000"/>
                          </a:solidFill>
                          <a:prstDash val="solid"/>
                          <a:tailEnd type="triangle"/>
                        </a:ln>
                        <a:effectLst/>
                      </wps:spPr>
                      <wps:bodyPr/>
                    </wps:wsp>
                  </a:graphicData>
                </a:graphic>
              </wp:anchor>
            </w:drawing>
          </mc:Choice>
          <mc:Fallback>
            <w:pict>
              <v:shape id="_x0000_s1026" o:spid="_x0000_s1026" o:spt="32" type="#_x0000_t32" style="position:absolute;left:0pt;margin-left:211.05pt;margin-top:36.8pt;height:15.6pt;width:0pt;z-index:251677696;mso-width-relative:page;mso-height-relative:page;" filled="f" stroked="t" coordsize="21600,21600" o:gfxdata="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FlNm49gAAAAKAQAADwAAAAAAAAABACAAAAAi&#10;AAAAZHJzL2Rvd25yZXYueG1sUEsBAhQAFAAAAAgAh07iQCKPTrAKAgAA7AMAAA4AAAAAAAAAAQAg&#10;AAAAJwEAAGRycy9lMm9Eb2MueG1sUEsFBgAAAAAGAAYAWQEAAKMFAAAAAA==&#10;">
                <v:fill on="f" focussize="0,0"/>
                <v:stroke weight="1.25pt" color="#000000" joinstyle="round" endarrow="block"/>
                <v:imagedata o:title=""/>
                <o:lock v:ext="edit" aspectratio="f"/>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83840" behindDoc="0" locked="0" layoutInCell="1" allowOverlap="1">
                <wp:simplePos x="0" y="0"/>
                <wp:positionH relativeFrom="margin">
                  <wp:posOffset>1613535</wp:posOffset>
                </wp:positionH>
                <wp:positionV relativeFrom="paragraph">
                  <wp:posOffset>113665</wp:posOffset>
                </wp:positionV>
                <wp:extent cx="2033905" cy="353060"/>
                <wp:effectExtent l="6350" t="6350" r="17145" b="6350"/>
                <wp:wrapNone/>
                <wp:docPr id="4" name="矩形 4"/>
                <wp:cNvGraphicFramePr/>
                <a:graphic xmlns:a="http://schemas.openxmlformats.org/drawingml/2006/main">
                  <a:graphicData uri="http://schemas.microsoft.com/office/word/2010/wordprocessingShape">
                    <wps:wsp>
                      <wps:cNvSpPr/>
                      <wps:spPr>
                        <a:xfrm>
                          <a:off x="0" y="0"/>
                          <a:ext cx="2033905" cy="353060"/>
                        </a:xfrm>
                        <a:prstGeom prst="rect">
                          <a:avLst/>
                        </a:prstGeom>
                        <a:solidFill>
                          <a:sysClr val="window" lastClr="FFFFFF"/>
                        </a:solidFill>
                        <a:ln w="12700" cap="flat" cmpd="sng" algn="ctr">
                          <a:solidFill>
                            <a:sysClr val="windowText" lastClr="000000"/>
                          </a:solidFill>
                          <a:prstDash val="solid"/>
                        </a:ln>
                        <a:effectLst/>
                      </wps:spPr>
                      <wps:txbx>
                        <w:txbxContent>
                          <w:p>
                            <w:pPr>
                              <w:adjustRightInd w:val="0"/>
                              <w:snapToGrid w:val="0"/>
                              <w:jc w:val="center"/>
                              <w:rPr>
                                <w:rFonts w:hint="default" w:eastAsiaTheme="minorEastAsia"/>
                                <w:b/>
                                <w:color w:val="000000"/>
                                <w:lang w:val="en-US" w:eastAsia="zh-CN"/>
                              </w:rPr>
                            </w:pPr>
                            <w:r>
                              <w:rPr>
                                <w:rFonts w:hint="eastAsia" w:asciiTheme="minorHAnsi" w:hAnsiTheme="minorHAnsi" w:eastAsiaTheme="minorEastAsia" w:cstheme="minorBidi"/>
                                <w:b/>
                                <w:color w:val="000000"/>
                                <w:sz w:val="21"/>
                                <w:szCs w:val="22"/>
                                <w:lang w:val="en-US" w:eastAsia="zh-CN"/>
                              </w:rPr>
                              <w:t>根据药品报名情况进行分组</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7.05pt;margin-top:8.95pt;height:27.8pt;width:160.15pt;mso-position-horizontal-relative:margin;z-index:251683840;v-text-anchor:middle;mso-width-relative:page;mso-height-relative:page;" fillcolor="#FFFFFF" filled="t" stroked="t" coordsize="21600,21600" o:gfxdata="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5TcRPdcAAAAJAQAADwAAAAAAAAABACAA&#10;AAAiAAAAZHJzL2Rvd25yZXYueG1sUEsBAhQAFAAAAAgAh07iQAUoTc+AAgAAGgUAAA4AAAAAAAAA&#10;AQAgAAAAJgEAAGRycy9lMm9Eb2MueG1sUEsFBgAAAAAGAAYAWQEAABgGAAAAAA==&#10;">
                <v:fill on="t" focussize="0,0"/>
                <v:stroke weight="1pt" color="#000000" joinstyle="round"/>
                <v:imagedata o:title=""/>
                <o:lock v:ext="edit" aspectratio="f"/>
                <v:textbox>
                  <w:txbxContent>
                    <w:p>
                      <w:pPr>
                        <w:adjustRightInd w:val="0"/>
                        <w:snapToGrid w:val="0"/>
                        <w:jc w:val="center"/>
                        <w:rPr>
                          <w:rFonts w:hint="default" w:eastAsiaTheme="minorEastAsia"/>
                          <w:b/>
                          <w:color w:val="000000"/>
                          <w:lang w:val="en-US" w:eastAsia="zh-CN"/>
                        </w:rPr>
                      </w:pPr>
                      <w:r>
                        <w:rPr>
                          <w:rFonts w:hint="eastAsia" w:asciiTheme="minorHAnsi" w:hAnsiTheme="minorHAnsi" w:eastAsiaTheme="minorEastAsia" w:cstheme="minorBidi"/>
                          <w:b/>
                          <w:color w:val="000000"/>
                          <w:sz w:val="21"/>
                          <w:szCs w:val="22"/>
                          <w:lang w:val="en-US" w:eastAsia="zh-CN"/>
                        </w:rPr>
                        <w:t>根据药品报名情况进行分组</w:t>
                      </w:r>
                    </w:p>
                  </w:txbxContent>
                </v:textbox>
              </v:rect>
            </w:pict>
          </mc:Fallback>
        </mc:AlternateContent>
      </w:r>
    </w:p>
    <w:p>
      <w:pPr>
        <w:pStyle w:val="3"/>
        <w:spacing w:line="570" w:lineRule="exact"/>
        <w:jc w:val="center"/>
        <w:outlineLvl w:val="9"/>
        <w:rPr>
          <w:rFonts w:hint="eastAsia" w:ascii="宋体" w:hAnsi="宋体" w:eastAsia="宋体" w:cs="宋体"/>
          <w:b w:val="0"/>
          <w:color w:val="auto"/>
          <w:kern w:val="2"/>
          <w:sz w:val="28"/>
          <w:szCs w:val="28"/>
          <w:highlight w:val="none"/>
        </w:rPr>
      </w:pPr>
      <w:r>
        <w:rPr>
          <w:rFonts w:hint="eastAsia" w:ascii="宋体" w:hAnsi="宋体" w:eastAsia="宋体" w:cs="宋体"/>
          <w:b w:val="0"/>
          <w:color w:val="auto"/>
          <w:sz w:val="28"/>
          <w:szCs w:val="28"/>
          <w:highlight w:val="none"/>
        </w:rPr>
        <mc:AlternateContent>
          <mc:Choice Requires="wps">
            <w:drawing>
              <wp:anchor distT="0" distB="0" distL="113665" distR="113665" simplePos="0" relativeHeight="251681792" behindDoc="0" locked="0" layoutInCell="1" allowOverlap="1">
                <wp:simplePos x="0" y="0"/>
                <wp:positionH relativeFrom="column">
                  <wp:posOffset>2694305</wp:posOffset>
                </wp:positionH>
                <wp:positionV relativeFrom="paragraph">
                  <wp:posOffset>401955</wp:posOffset>
                </wp:positionV>
                <wp:extent cx="2540" cy="191135"/>
                <wp:effectExtent l="36830" t="0" r="36830" b="6985"/>
                <wp:wrapNone/>
                <wp:docPr id="3" name="直接箭头连接符 3"/>
                <wp:cNvGraphicFramePr/>
                <a:graphic xmlns:a="http://schemas.openxmlformats.org/drawingml/2006/main">
                  <a:graphicData uri="http://schemas.microsoft.com/office/word/2010/wordprocessingShape">
                    <wps:wsp>
                      <wps:cNvCnPr/>
                      <wps:spPr>
                        <a:xfrm>
                          <a:off x="0" y="0"/>
                          <a:ext cx="2540" cy="191135"/>
                        </a:xfrm>
                        <a:prstGeom prst="straightConnector1">
                          <a:avLst/>
                        </a:prstGeom>
                        <a:noFill/>
                        <a:ln w="15875" cap="flat" cmpd="sng" algn="ctr">
                          <a:solidFill>
                            <a:sysClr val="windowText" lastClr="000000"/>
                          </a:solidFill>
                          <a:prstDash val="solid"/>
                          <a:tailEnd type="triangle"/>
                        </a:ln>
                        <a:effectLst/>
                      </wps:spPr>
                      <wps:bodyPr/>
                    </wps:wsp>
                  </a:graphicData>
                </a:graphic>
              </wp:anchor>
            </w:drawing>
          </mc:Choice>
          <mc:Fallback>
            <w:pict>
              <v:shape id="_x0000_s1026" o:spid="_x0000_s1026" o:spt="32" type="#_x0000_t32" style="position:absolute;left:0pt;margin-left:212.15pt;margin-top:31.65pt;height:15.05pt;width:0.2pt;z-index:251681792;mso-width-relative:page;mso-height-relative:page;" filled="f" stroked="t" coordsize="21600,21600" o:gfxdata="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otGzC2QAAAAkBAAAPAAAAAAAAAAEA&#10;IAAAACIAAABkcnMvZG93bnJldi54bWxQSwECFAAUAAAACACHTuJAXTN/Vw4CAADvAwAADgAAAAAA&#10;AAABACAAAAAoAQAAZHJzL2Uyb0RvYy54bWxQSwUGAAAAAAYABgBZAQAAqAUAAAAA&#10;">
                <v:fill on="f" focussize="0,0"/>
                <v:stroke weight="1.25pt" color="#000000" joinstyle="round" endarrow="block"/>
                <v:imagedata o:title=""/>
                <o:lock v:ext="edit" aspectratio="f"/>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78720" behindDoc="0" locked="0" layoutInCell="1" allowOverlap="1">
                <wp:simplePos x="0" y="0"/>
                <wp:positionH relativeFrom="column">
                  <wp:posOffset>1602740</wp:posOffset>
                </wp:positionH>
                <wp:positionV relativeFrom="paragraph">
                  <wp:posOffset>96520</wp:posOffset>
                </wp:positionV>
                <wp:extent cx="2046605" cy="297815"/>
                <wp:effectExtent l="6350" t="6350" r="19685" b="15875"/>
                <wp:wrapNone/>
                <wp:docPr id="6" name="矩形 5"/>
                <wp:cNvGraphicFramePr/>
                <a:graphic xmlns:a="http://schemas.openxmlformats.org/drawingml/2006/main">
                  <a:graphicData uri="http://schemas.microsoft.com/office/word/2010/wordprocessingShape">
                    <wps:wsp>
                      <wps:cNvSpPr/>
                      <wps:spPr>
                        <a:xfrm>
                          <a:off x="0" y="0"/>
                          <a:ext cx="2046605" cy="297815"/>
                        </a:xfrm>
                        <a:prstGeom prst="rect">
                          <a:avLst/>
                        </a:prstGeom>
                        <a:solidFill>
                          <a:sysClr val="window" lastClr="FFFFFF"/>
                        </a:solidFill>
                        <a:ln w="12700" cap="flat" cmpd="sng" algn="ctr">
                          <a:solidFill>
                            <a:sysClr val="windowText" lastClr="000000"/>
                          </a:solidFill>
                          <a:prstDash val="solid"/>
                        </a:ln>
                        <a:effectLst/>
                      </wps:spPr>
                      <wps:txbx>
                        <w:txbxContent>
                          <w:p>
                            <w:pPr>
                              <w:adjustRightInd w:val="0"/>
                              <w:snapToGrid w:val="0"/>
                              <w:jc w:val="center"/>
                              <w:rPr>
                                <w:rFonts w:asciiTheme="minorHAnsi" w:hAnsiTheme="minorHAnsi" w:eastAsiaTheme="minorEastAsia" w:cstheme="minorBidi"/>
                                <w:b/>
                                <w:color w:val="000000"/>
                                <w:sz w:val="21"/>
                                <w:szCs w:val="22"/>
                              </w:rPr>
                            </w:pPr>
                            <w:r>
                              <w:rPr>
                                <w:rFonts w:hint="eastAsia" w:asciiTheme="minorHAnsi" w:hAnsiTheme="minorHAnsi" w:eastAsiaTheme="minorEastAsia" w:cstheme="minorBidi"/>
                                <w:b/>
                                <w:color w:val="000000"/>
                                <w:sz w:val="21"/>
                                <w:szCs w:val="22"/>
                              </w:rPr>
                              <w:t>产品网上报价</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5" o:spid="_x0000_s1026" o:spt="1" style="position:absolute;left:0pt;margin-left:126.2pt;margin-top:7.6pt;height:23.45pt;width:161.15pt;z-index:251678720;v-text-anchor:middle;mso-width-relative:page;mso-height-relative:page;" fillcolor="#FFFFFF" filled="t" stroked="t" coordsize="21600,21600" o:gfxdata="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c2mfrtcAAAAJAQAADwAAAAAAAAABACAA&#10;AAAiAAAAZHJzL2Rvd25yZXYueG1sUEsBAhQAFAAAAAgAh07iQLC+fNSAAgAAGgUAAA4AAAAAAAAA&#10;AQAgAAAAJgEAAGRycy9lMm9Eb2MueG1sUEsFBgAAAAAGAAYAWQEAABgGAAAAAA==&#10;">
                <v:fill on="t" focussize="0,0"/>
                <v:stroke weight="1pt" color="#000000" joinstyle="round"/>
                <v:imagedata o:title=""/>
                <o:lock v:ext="edit" aspectratio="f"/>
                <v:textbox>
                  <w:txbxContent>
                    <w:p>
                      <w:pPr>
                        <w:adjustRightInd w:val="0"/>
                        <w:snapToGrid w:val="0"/>
                        <w:jc w:val="center"/>
                        <w:rPr>
                          <w:rFonts w:asciiTheme="minorHAnsi" w:hAnsiTheme="minorHAnsi" w:eastAsiaTheme="minorEastAsia" w:cstheme="minorBidi"/>
                          <w:b/>
                          <w:color w:val="000000"/>
                          <w:sz w:val="21"/>
                          <w:szCs w:val="22"/>
                        </w:rPr>
                      </w:pPr>
                      <w:r>
                        <w:rPr>
                          <w:rFonts w:hint="eastAsia" w:asciiTheme="minorHAnsi" w:hAnsiTheme="minorHAnsi" w:eastAsiaTheme="minorEastAsia" w:cstheme="minorBidi"/>
                          <w:b/>
                          <w:color w:val="000000"/>
                          <w:sz w:val="21"/>
                          <w:szCs w:val="22"/>
                        </w:rPr>
                        <w:t>产品网上报价</w:t>
                      </w:r>
                    </w:p>
                  </w:txbxContent>
                </v:textbox>
              </v:rect>
            </w:pict>
          </mc:Fallback>
        </mc:AlternateContent>
      </w:r>
    </w:p>
    <w:p>
      <w:pPr>
        <w:spacing w:line="570" w:lineRule="exact"/>
        <w:jc w:val="center"/>
        <w:rPr>
          <w:rFonts w:hint="eastAsia" w:ascii="宋体" w:hAnsi="宋体" w:eastAsia="宋体" w:cs="宋体"/>
          <w:color w:val="auto"/>
          <w:sz w:val="28"/>
          <w:szCs w:val="28"/>
          <w:highlight w:val="none"/>
        </w:rPr>
      </w:pPr>
      <w:r>
        <w:rPr>
          <w:rFonts w:hint="eastAsia" w:ascii="宋体" w:hAnsi="宋体" w:eastAsia="宋体" w:cs="宋体"/>
          <w:b w:val="0"/>
          <w:color w:val="auto"/>
          <w:sz w:val="28"/>
          <w:szCs w:val="28"/>
          <w:highlight w:val="none"/>
        </w:rPr>
        <mc:AlternateContent>
          <mc:Choice Requires="wps">
            <w:drawing>
              <wp:anchor distT="0" distB="0" distL="113665" distR="113665" simplePos="0" relativeHeight="251679744" behindDoc="0" locked="0" layoutInCell="1" allowOverlap="1">
                <wp:simplePos x="0" y="0"/>
                <wp:positionH relativeFrom="margin">
                  <wp:posOffset>2692400</wp:posOffset>
                </wp:positionH>
                <wp:positionV relativeFrom="paragraph">
                  <wp:posOffset>351155</wp:posOffset>
                </wp:positionV>
                <wp:extent cx="635" cy="245745"/>
                <wp:effectExtent l="76200" t="0" r="75565" b="59055"/>
                <wp:wrapNone/>
                <wp:docPr id="19" name="直接箭头连接符 19"/>
                <wp:cNvGraphicFramePr/>
                <a:graphic xmlns:a="http://schemas.openxmlformats.org/drawingml/2006/main">
                  <a:graphicData uri="http://schemas.microsoft.com/office/word/2010/wordprocessingShape">
                    <wps:wsp>
                      <wps:cNvCnPr/>
                      <wps:spPr>
                        <a:xfrm>
                          <a:off x="0" y="0"/>
                          <a:ext cx="635" cy="245745"/>
                        </a:xfrm>
                        <a:prstGeom prst="straightConnector1">
                          <a:avLst/>
                        </a:prstGeom>
                        <a:noFill/>
                        <a:ln w="15875" cap="flat" cmpd="sng" algn="ctr">
                          <a:solidFill>
                            <a:sysClr val="windowText" lastClr="000000"/>
                          </a:solidFill>
                          <a:prstDash val="solid"/>
                          <a:tailEnd type="triangle"/>
                        </a:ln>
                        <a:effectLst/>
                      </wps:spPr>
                      <wps:bodyPr/>
                    </wps:wsp>
                  </a:graphicData>
                </a:graphic>
              </wp:anchor>
            </w:drawing>
          </mc:Choice>
          <mc:Fallback>
            <w:pict>
              <v:shape id="_x0000_s1026" o:spid="_x0000_s1026" o:spt="32" type="#_x0000_t32" style="position:absolute;left:0pt;margin-left:212pt;margin-top:27.65pt;height:19.35pt;width:0.05pt;mso-position-horizontal-relative:margin;z-index:251679744;mso-width-relative:page;mso-height-relative:page;" filled="f" stroked="t" coordsize="21600,21600" o:gfxdata="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fdEvx2QAAAAkBAAAPAAAAAAAAAAEA&#10;IAAAACIAAABkcnMvZG93bnJldi54bWxQSwECFAAUAAAACACHTuJATEV/wg4CAADwAwAADgAAAAAA&#10;AAABACAAAAAoAQAAZHJzL2Uyb0RvYy54bWxQSwUGAAAAAAYABgBZAQAAqAUAAAAA&#10;">
                <v:fill on="f" focussize="0,0"/>
                <v:stroke weight="1.25pt" color="#000000" joinstyle="round" endarrow="block"/>
                <v:imagedata o:title=""/>
                <o:lock v:ext="edit" aspectratio="f"/>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8480" behindDoc="0" locked="0" layoutInCell="1" allowOverlap="1">
                <wp:simplePos x="0" y="0"/>
                <wp:positionH relativeFrom="column">
                  <wp:posOffset>1612265</wp:posOffset>
                </wp:positionH>
                <wp:positionV relativeFrom="paragraph">
                  <wp:posOffset>29210</wp:posOffset>
                </wp:positionV>
                <wp:extent cx="2023745" cy="311785"/>
                <wp:effectExtent l="6350" t="6350" r="12065" b="17145"/>
                <wp:wrapNone/>
                <wp:docPr id="15" name="矩形 15"/>
                <wp:cNvGraphicFramePr/>
                <a:graphic xmlns:a="http://schemas.openxmlformats.org/drawingml/2006/main">
                  <a:graphicData uri="http://schemas.microsoft.com/office/word/2010/wordprocessingShape">
                    <wps:wsp>
                      <wps:cNvSpPr/>
                      <wps:spPr>
                        <a:xfrm>
                          <a:off x="0" y="0"/>
                          <a:ext cx="2023745" cy="311785"/>
                        </a:xfrm>
                        <a:prstGeom prst="rect">
                          <a:avLst/>
                        </a:prstGeom>
                        <a:solidFill>
                          <a:sysClr val="window" lastClr="FFFFFF"/>
                        </a:solidFill>
                        <a:ln w="12700" cap="flat" cmpd="sng" algn="ctr">
                          <a:solidFill>
                            <a:sysClr val="windowText" lastClr="000000"/>
                          </a:solidFill>
                          <a:prstDash val="solid"/>
                        </a:ln>
                        <a:effectLst/>
                      </wps:spPr>
                      <wps:txbx>
                        <w:txbxContent>
                          <w:p>
                            <w:pPr>
                              <w:adjustRightInd w:val="0"/>
                              <w:snapToGrid w:val="0"/>
                              <w:jc w:val="center"/>
                              <w:rPr>
                                <w:rFonts w:asciiTheme="minorHAnsi" w:hAnsiTheme="minorHAnsi" w:eastAsiaTheme="minorEastAsia" w:cstheme="minorBidi"/>
                                <w:b/>
                                <w:color w:val="000000"/>
                                <w:sz w:val="21"/>
                                <w:szCs w:val="22"/>
                              </w:rPr>
                            </w:pPr>
                            <w:r>
                              <w:rPr>
                                <w:rFonts w:hint="eastAsia" w:asciiTheme="minorHAnsi" w:hAnsiTheme="minorHAnsi" w:eastAsiaTheme="minorEastAsia" w:cstheme="minorBidi"/>
                                <w:b/>
                                <w:color w:val="000000"/>
                                <w:sz w:val="21"/>
                                <w:szCs w:val="22"/>
                              </w:rPr>
                              <w:t>公开报价结果</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6.95pt;margin-top:2.3pt;height:24.55pt;width:159.35pt;z-index:251668480;v-text-anchor:middle;mso-width-relative:page;mso-height-relative:page;" fillcolor="#FFFFFF" filled="t" stroked="t" coordsize="21600,21600" o:gfxdata="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3WJUh1gAAAAgBAAAPAAAAAAAAAAEAIAAA&#10;ACIAAABkcnMvZG93bnJldi54bWxQSwECFAAUAAAACACHTuJANPM6toACAAAcBQAADgAAAAAAAAAB&#10;ACAAAAAlAQAAZHJzL2Uyb0RvYy54bWxQSwUGAAAAAAYABgBZAQAAFwYAAAAA&#10;">
                <v:fill on="t" focussize="0,0"/>
                <v:stroke weight="1pt" color="#000000" joinstyle="round"/>
                <v:imagedata o:title=""/>
                <o:lock v:ext="edit" aspectratio="f"/>
                <v:textbox>
                  <w:txbxContent>
                    <w:p>
                      <w:pPr>
                        <w:adjustRightInd w:val="0"/>
                        <w:snapToGrid w:val="0"/>
                        <w:jc w:val="center"/>
                        <w:rPr>
                          <w:rFonts w:asciiTheme="minorHAnsi" w:hAnsiTheme="minorHAnsi" w:eastAsiaTheme="minorEastAsia" w:cstheme="minorBidi"/>
                          <w:b/>
                          <w:color w:val="000000"/>
                          <w:sz w:val="21"/>
                          <w:szCs w:val="22"/>
                        </w:rPr>
                      </w:pPr>
                      <w:r>
                        <w:rPr>
                          <w:rFonts w:hint="eastAsia" w:asciiTheme="minorHAnsi" w:hAnsiTheme="minorHAnsi" w:eastAsiaTheme="minorEastAsia" w:cstheme="minorBidi"/>
                          <w:b/>
                          <w:color w:val="000000"/>
                          <w:sz w:val="21"/>
                          <w:szCs w:val="22"/>
                        </w:rPr>
                        <w:t>公开报价结果</w:t>
                      </w:r>
                    </w:p>
                  </w:txbxContent>
                </v:textbox>
              </v:rect>
            </w:pict>
          </mc:Fallback>
        </mc:AlternateContent>
      </w:r>
    </w:p>
    <w:p>
      <w:pPr>
        <w:pStyle w:val="3"/>
        <w:spacing w:line="570" w:lineRule="exact"/>
        <w:jc w:val="center"/>
        <w:outlineLvl w:val="9"/>
        <w:rPr>
          <w:rFonts w:hint="eastAsia" w:ascii="宋体" w:hAnsi="宋体" w:eastAsia="宋体" w:cs="宋体"/>
          <w:b w:val="0"/>
          <w:color w:val="auto"/>
          <w:kern w:val="2"/>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74624" behindDoc="0" locked="0" layoutInCell="1" allowOverlap="1">
                <wp:simplePos x="0" y="0"/>
                <wp:positionH relativeFrom="margin">
                  <wp:posOffset>2698750</wp:posOffset>
                </wp:positionH>
                <wp:positionV relativeFrom="paragraph">
                  <wp:posOffset>583565</wp:posOffset>
                </wp:positionV>
                <wp:extent cx="6350" cy="241935"/>
                <wp:effectExtent l="36195" t="0" r="33655" b="1905"/>
                <wp:wrapNone/>
                <wp:docPr id="23" name="直接箭头连接符 23"/>
                <wp:cNvGraphicFramePr/>
                <a:graphic xmlns:a="http://schemas.openxmlformats.org/drawingml/2006/main">
                  <a:graphicData uri="http://schemas.microsoft.com/office/word/2010/wordprocessingShape">
                    <wps:wsp>
                      <wps:cNvCnPr/>
                      <wps:spPr>
                        <a:xfrm flipH="1">
                          <a:off x="0" y="0"/>
                          <a:ext cx="6350" cy="241935"/>
                        </a:xfrm>
                        <a:prstGeom prst="straightConnector1">
                          <a:avLst/>
                        </a:prstGeom>
                        <a:noFill/>
                        <a:ln w="15875" cap="flat" cmpd="sng" algn="ctr">
                          <a:solidFill>
                            <a:sysClr val="windowText" lastClr="000000"/>
                          </a:solidFill>
                          <a:prstDash val="solid"/>
                          <a:tailEnd type="triangle"/>
                        </a:ln>
                        <a:effectLst/>
                      </wps:spPr>
                      <wps:bodyPr/>
                    </wps:wsp>
                  </a:graphicData>
                </a:graphic>
              </wp:anchor>
            </w:drawing>
          </mc:Choice>
          <mc:Fallback>
            <w:pict>
              <v:shape id="_x0000_s1026" o:spid="_x0000_s1026" o:spt="32" type="#_x0000_t32" style="position:absolute;left:0pt;flip:x;margin-left:212.5pt;margin-top:45.95pt;height:19.05pt;width:0.5pt;mso-position-horizontal-relative:margin;z-index:251674624;mso-width-relative:page;mso-height-relative:page;" filled="f" stroked="t" coordsize="21600,21600" o:gfxdata="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PHSviLbAAAACgEA&#10;AA8AAAAAAAAAAQAgAAAAIgAAAGRycy9kb3ducmV2LnhtbFBLAQIUABQAAAAIAIdO4kDMQes2FwIA&#10;APsDAAAOAAAAAAAAAAEAIAAAACoBAABkcnMvZTJvRG9jLnhtbFBLBQYAAAAABgAGAFkBAACzBQAA&#10;AAA=&#10;">
                <v:fill on="f" focussize="0,0"/>
                <v:stroke weight="1.25pt" color="#000000" joinstyle="round" endarrow="block"/>
                <v:imagedata o:title=""/>
                <o:lock v:ext="edit" aspectratio="f"/>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80768" behindDoc="0" locked="0" layoutInCell="1" allowOverlap="1">
                <wp:simplePos x="0" y="0"/>
                <wp:positionH relativeFrom="margin">
                  <wp:posOffset>1618615</wp:posOffset>
                </wp:positionH>
                <wp:positionV relativeFrom="paragraph">
                  <wp:posOffset>266700</wp:posOffset>
                </wp:positionV>
                <wp:extent cx="2052955" cy="298450"/>
                <wp:effectExtent l="6350" t="6350" r="13335" b="15240"/>
                <wp:wrapNone/>
                <wp:docPr id="20" name="矩形 20"/>
                <wp:cNvGraphicFramePr/>
                <a:graphic xmlns:a="http://schemas.openxmlformats.org/drawingml/2006/main">
                  <a:graphicData uri="http://schemas.microsoft.com/office/word/2010/wordprocessingShape">
                    <wps:wsp>
                      <wps:cNvSpPr/>
                      <wps:spPr>
                        <a:xfrm>
                          <a:off x="0" y="0"/>
                          <a:ext cx="2052955" cy="298450"/>
                        </a:xfrm>
                        <a:prstGeom prst="rect">
                          <a:avLst/>
                        </a:prstGeom>
                        <a:solidFill>
                          <a:sysClr val="window" lastClr="FFFFFF"/>
                        </a:solidFill>
                        <a:ln w="12700" cap="flat" cmpd="sng" algn="ctr">
                          <a:solidFill>
                            <a:sysClr val="windowText" lastClr="000000"/>
                          </a:solidFill>
                          <a:prstDash val="solid"/>
                        </a:ln>
                        <a:effectLst/>
                      </wps:spPr>
                      <wps:txbx>
                        <w:txbxContent>
                          <w:p>
                            <w:pPr>
                              <w:adjustRightInd w:val="0"/>
                              <w:snapToGrid w:val="0"/>
                              <w:jc w:val="center"/>
                              <w:rPr>
                                <w:rFonts w:asciiTheme="minorHAnsi" w:hAnsiTheme="minorHAnsi" w:eastAsiaTheme="minorEastAsia" w:cstheme="minorBidi"/>
                                <w:b/>
                                <w:color w:val="000000"/>
                                <w:sz w:val="21"/>
                                <w:szCs w:val="22"/>
                              </w:rPr>
                            </w:pPr>
                            <w:r>
                              <w:rPr>
                                <w:rFonts w:hint="eastAsia" w:eastAsiaTheme="minorEastAsia" w:cstheme="minorBidi"/>
                                <w:b/>
                                <w:color w:val="000000"/>
                                <w:sz w:val="21"/>
                                <w:szCs w:val="22"/>
                                <w:lang w:eastAsia="zh-CN"/>
                              </w:rPr>
                              <w:t>议</w:t>
                            </w:r>
                            <w:r>
                              <w:rPr>
                                <w:rFonts w:hint="eastAsia" w:eastAsiaTheme="minorEastAsia" w:cstheme="minorBidi"/>
                                <w:b/>
                                <w:color w:val="000000"/>
                                <w:sz w:val="21"/>
                                <w:szCs w:val="22"/>
                              </w:rPr>
                              <w:t>价</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7.45pt;margin-top:21pt;height:23.5pt;width:161.65pt;mso-position-horizontal-relative:margin;z-index:251680768;v-text-anchor:middle;mso-width-relative:page;mso-height-relative:page;" fillcolor="#FFFFFF" filled="t" stroked="t" coordsize="21600,21600" o:gfxdata="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9zXB+NcAAAAJAQAADwAAAAAAAAABACAA&#10;AAAiAAAAZHJzL2Rvd25yZXYueG1sUEsBAhQAFAAAAAgAh07iQP1a4t2AAgAAHAUAAA4AAAAAAAAA&#10;AQAgAAAAJgEAAGRycy9lMm9Eb2MueG1sUEsFBgAAAAAGAAYAWQEAABgGAAAAAA==&#10;">
                <v:fill on="t" focussize="0,0"/>
                <v:stroke weight="1pt" color="#000000" joinstyle="round"/>
                <v:imagedata o:title=""/>
                <o:lock v:ext="edit" aspectratio="f"/>
                <v:textbox>
                  <w:txbxContent>
                    <w:p>
                      <w:pPr>
                        <w:adjustRightInd w:val="0"/>
                        <w:snapToGrid w:val="0"/>
                        <w:jc w:val="center"/>
                        <w:rPr>
                          <w:rFonts w:asciiTheme="minorHAnsi" w:hAnsiTheme="minorHAnsi" w:eastAsiaTheme="minorEastAsia" w:cstheme="minorBidi"/>
                          <w:b/>
                          <w:color w:val="000000"/>
                          <w:sz w:val="21"/>
                          <w:szCs w:val="22"/>
                        </w:rPr>
                      </w:pPr>
                      <w:r>
                        <w:rPr>
                          <w:rFonts w:hint="eastAsia" w:eastAsiaTheme="minorEastAsia" w:cstheme="minorBidi"/>
                          <w:b/>
                          <w:color w:val="000000"/>
                          <w:sz w:val="21"/>
                          <w:szCs w:val="22"/>
                          <w:lang w:eastAsia="zh-CN"/>
                        </w:rPr>
                        <w:t>议</w:t>
                      </w:r>
                      <w:r>
                        <w:rPr>
                          <w:rFonts w:hint="eastAsia" w:eastAsiaTheme="minorEastAsia" w:cstheme="minorBidi"/>
                          <w:b/>
                          <w:color w:val="000000"/>
                          <w:sz w:val="21"/>
                          <w:szCs w:val="22"/>
                        </w:rPr>
                        <w:t>价</w:t>
                      </w:r>
                    </w:p>
                  </w:txbxContent>
                </v:textbox>
              </v:rect>
            </w:pict>
          </mc:Fallback>
        </mc:AlternateContent>
      </w:r>
    </w:p>
    <w:p>
      <w:pPr>
        <w:spacing w:line="57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3665" distR="113665" simplePos="0" relativeHeight="251676672" behindDoc="0" locked="0" layoutInCell="1" allowOverlap="1">
                <wp:simplePos x="0" y="0"/>
                <wp:positionH relativeFrom="margin">
                  <wp:posOffset>2705100</wp:posOffset>
                </wp:positionH>
                <wp:positionV relativeFrom="paragraph">
                  <wp:posOffset>358140</wp:posOffset>
                </wp:positionV>
                <wp:extent cx="0" cy="228600"/>
                <wp:effectExtent l="76200" t="0" r="57150" b="57150"/>
                <wp:wrapNone/>
                <wp:docPr id="27" name="直接箭头连接符 37"/>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15875" cap="flat" cmpd="sng" algn="ctr">
                          <a:solidFill>
                            <a:sysClr val="windowText" lastClr="000000"/>
                          </a:solidFill>
                          <a:prstDash val="solid"/>
                          <a:tailEnd type="triangle"/>
                        </a:ln>
                        <a:effectLst/>
                      </wps:spPr>
                      <wps:bodyPr/>
                    </wps:wsp>
                  </a:graphicData>
                </a:graphic>
              </wp:anchor>
            </w:drawing>
          </mc:Choice>
          <mc:Fallback>
            <w:pict>
              <v:shape id="直接箭头连接符 37" o:spid="_x0000_s1026" o:spt="32" type="#_x0000_t32" style="position:absolute;left:0pt;margin-left:213pt;margin-top:28.2pt;height:18pt;width:0pt;mso-position-horizontal-relative:margin;z-index:251676672;mso-width-relative:page;mso-height-relative:page;" filled="f" stroked="t" coordsize="21600,21600" o:gfxdata="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Q09ra9kAAAAJAQAADwAAAAAAAAABACAA&#10;AAAiAAAAZHJzL2Rvd25yZXYueG1sUEsBAhQAFAAAAAgAh07iQASL4JsMAgAA7gMAAA4AAAAAAAAA&#10;AQAgAAAAKAEAAGRycy9lMm9Eb2MueG1sUEsFBgAAAAAGAAYAWQEAAKYFAAAAAA==&#10;">
                <v:fill on="f" focussize="0,0"/>
                <v:stroke weight="1.25pt" color="#000000" joinstyle="round" endarrow="block"/>
                <v:imagedata o:title=""/>
                <o:lock v:ext="edit" aspectratio="f"/>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9504" behindDoc="0" locked="0" layoutInCell="1" allowOverlap="1">
                <wp:simplePos x="0" y="0"/>
                <wp:positionH relativeFrom="margin">
                  <wp:posOffset>1600835</wp:posOffset>
                </wp:positionH>
                <wp:positionV relativeFrom="paragraph">
                  <wp:posOffset>46355</wp:posOffset>
                </wp:positionV>
                <wp:extent cx="2066925" cy="294005"/>
                <wp:effectExtent l="6350" t="6350" r="14605" b="19685"/>
                <wp:wrapNone/>
                <wp:docPr id="21" name="矩形 21"/>
                <wp:cNvGraphicFramePr/>
                <a:graphic xmlns:a="http://schemas.openxmlformats.org/drawingml/2006/main">
                  <a:graphicData uri="http://schemas.microsoft.com/office/word/2010/wordprocessingShape">
                    <wps:wsp>
                      <wps:cNvSpPr/>
                      <wps:spPr>
                        <a:xfrm>
                          <a:off x="0" y="0"/>
                          <a:ext cx="2066925" cy="294005"/>
                        </a:xfrm>
                        <a:prstGeom prst="rect">
                          <a:avLst/>
                        </a:prstGeom>
                        <a:solidFill>
                          <a:sysClr val="window" lastClr="FFFFFF"/>
                        </a:solidFill>
                        <a:ln w="12700" cap="flat" cmpd="sng" algn="ctr">
                          <a:solidFill>
                            <a:sysClr val="windowText" lastClr="000000"/>
                          </a:solidFill>
                          <a:prstDash val="solid"/>
                        </a:ln>
                        <a:effectLst/>
                      </wps:spPr>
                      <wps:txbx>
                        <w:txbxContent>
                          <w:p>
                            <w:pPr>
                              <w:adjustRightInd w:val="0"/>
                              <w:snapToGrid w:val="0"/>
                              <w:jc w:val="center"/>
                              <w:rPr>
                                <w:rFonts w:asciiTheme="minorHAnsi" w:hAnsiTheme="minorHAnsi" w:eastAsiaTheme="minorEastAsia" w:cstheme="minorBidi"/>
                                <w:b/>
                                <w:color w:val="000000"/>
                                <w:sz w:val="21"/>
                                <w:szCs w:val="22"/>
                              </w:rPr>
                            </w:pPr>
                            <w:r>
                              <w:rPr>
                                <w:rFonts w:hint="eastAsia" w:cstheme="minorBidi"/>
                                <w:b/>
                                <w:color w:val="000000"/>
                                <w:sz w:val="21"/>
                                <w:szCs w:val="22"/>
                              </w:rPr>
                              <w:t>公开拟中选结果</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6.05pt;margin-top:3.65pt;height:23.15pt;width:162.75pt;mso-position-horizontal-relative:margin;z-index:251669504;v-text-anchor:middle;mso-width-relative:page;mso-height-relative:page;" fillcolor="#FFFFFF" filled="t" stroked="t" coordsize="21600,21600" o:gfxdata="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3edwedYAAAAIAQAADwAAAAAAAAABACAAAAAi&#10;AAAAZHJzL2Rvd25yZXYueG1sUEsBAhQAFAAAAAgAh07iQCZXqRJ+AgAAHAUAAA4AAAAAAAAAAQAg&#10;AAAAJQEAAGRycy9lMm9Eb2MueG1sUEsFBgAAAAAGAAYAWQEAABUGAAAAAA==&#10;">
                <v:fill on="t" focussize="0,0"/>
                <v:stroke weight="1pt" color="#000000" joinstyle="round"/>
                <v:imagedata o:title=""/>
                <o:lock v:ext="edit" aspectratio="f"/>
                <v:textbox>
                  <w:txbxContent>
                    <w:p>
                      <w:pPr>
                        <w:adjustRightInd w:val="0"/>
                        <w:snapToGrid w:val="0"/>
                        <w:jc w:val="center"/>
                        <w:rPr>
                          <w:rFonts w:asciiTheme="minorHAnsi" w:hAnsiTheme="minorHAnsi" w:eastAsiaTheme="minorEastAsia" w:cstheme="minorBidi"/>
                          <w:b/>
                          <w:color w:val="000000"/>
                          <w:sz w:val="21"/>
                          <w:szCs w:val="22"/>
                        </w:rPr>
                      </w:pPr>
                      <w:r>
                        <w:rPr>
                          <w:rFonts w:hint="eastAsia" w:cstheme="minorBidi"/>
                          <w:b/>
                          <w:color w:val="000000"/>
                          <w:sz w:val="21"/>
                          <w:szCs w:val="22"/>
                        </w:rPr>
                        <w:t>公开拟中选结果</w:t>
                      </w:r>
                    </w:p>
                  </w:txbxContent>
                </v:textbox>
              </v:rect>
            </w:pict>
          </mc:Fallback>
        </mc:AlternateContent>
      </w:r>
    </w:p>
    <w:p>
      <w:pPr>
        <w:pStyle w:val="3"/>
        <w:spacing w:line="570" w:lineRule="exact"/>
        <w:jc w:val="center"/>
        <w:outlineLvl w:val="9"/>
        <w:rPr>
          <w:rFonts w:hint="eastAsia" w:ascii="宋体" w:hAnsi="宋体" w:eastAsia="宋体" w:cs="宋体"/>
          <w:b w:val="0"/>
          <w:color w:val="auto"/>
          <w:kern w:val="2"/>
          <w:sz w:val="28"/>
          <w:szCs w:val="28"/>
          <w:highlight w:val="none"/>
        </w:rPr>
      </w:pPr>
      <w:r>
        <w:rPr>
          <w:rFonts w:hint="eastAsia" w:ascii="宋体" w:hAnsi="宋体" w:eastAsia="宋体" w:cs="宋体"/>
          <w:b/>
          <w:color w:val="auto"/>
          <w:sz w:val="28"/>
          <w:szCs w:val="28"/>
          <w:highlight w:val="none"/>
        </w:rPr>
        <mc:AlternateContent>
          <mc:Choice Requires="wps">
            <w:drawing>
              <wp:anchor distT="0" distB="0" distL="114300" distR="114300" simplePos="0" relativeHeight="251673600" behindDoc="0" locked="0" layoutInCell="1" allowOverlap="1">
                <wp:simplePos x="0" y="0"/>
                <wp:positionH relativeFrom="page">
                  <wp:posOffset>2533650</wp:posOffset>
                </wp:positionH>
                <wp:positionV relativeFrom="paragraph">
                  <wp:posOffset>755015</wp:posOffset>
                </wp:positionV>
                <wp:extent cx="2078355" cy="288925"/>
                <wp:effectExtent l="6350" t="6350" r="18415" b="9525"/>
                <wp:wrapNone/>
                <wp:docPr id="24" name="矩形 24"/>
                <wp:cNvGraphicFramePr/>
                <a:graphic xmlns:a="http://schemas.openxmlformats.org/drawingml/2006/main">
                  <a:graphicData uri="http://schemas.microsoft.com/office/word/2010/wordprocessingShape">
                    <wps:wsp>
                      <wps:cNvSpPr/>
                      <wps:spPr>
                        <a:xfrm>
                          <a:off x="0" y="0"/>
                          <a:ext cx="2078355" cy="288925"/>
                        </a:xfrm>
                        <a:prstGeom prst="rect">
                          <a:avLst/>
                        </a:prstGeom>
                        <a:solidFill>
                          <a:sysClr val="window" lastClr="FFFFFF"/>
                        </a:solidFill>
                        <a:ln w="12700" cap="flat" cmpd="sng" algn="ctr">
                          <a:solidFill>
                            <a:sysClr val="windowText" lastClr="000000"/>
                          </a:solidFill>
                          <a:prstDash val="solid"/>
                        </a:ln>
                        <a:effectLst/>
                      </wps:spPr>
                      <wps:txbx>
                        <w:txbxContent>
                          <w:p>
                            <w:pPr>
                              <w:adjustRightInd w:val="0"/>
                              <w:snapToGrid w:val="0"/>
                              <w:jc w:val="center"/>
                              <w:rPr>
                                <w:rFonts w:eastAsiaTheme="minorEastAsia"/>
                                <w:b/>
                                <w:color w:val="000000"/>
                              </w:rPr>
                            </w:pPr>
                            <w:r>
                              <w:rPr>
                                <w:rFonts w:hint="eastAsia" w:asciiTheme="minorHAnsi" w:hAnsiTheme="minorHAnsi" w:eastAsiaTheme="minorEastAsia" w:cstheme="minorBidi"/>
                                <w:b/>
                                <w:color w:val="000000"/>
                                <w:sz w:val="21"/>
                                <w:szCs w:val="22"/>
                              </w:rPr>
                              <w:t>中选结果执行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99.5pt;margin-top:59.45pt;height:22.75pt;width:163.65pt;mso-position-horizontal-relative:page;z-index:251673600;v-text-anchor:middle;mso-width-relative:page;mso-height-relative:page;" fillcolor="#FFFFFF" filled="t" stroked="t" coordsize="21600,21600" o:gfxdata="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A9CDfvYAAAACwEAAA8AAAAAAAAAAQAg&#10;AAAAIgAAAGRycy9kb3ducmV2LnhtbFBLAQIUABQAAAAIAIdO4kBMlexbgAIAABwFAAAOAAAAAAAA&#10;AAEAIAAAACcBAABkcnMvZTJvRG9jLnhtbFBLBQYAAAAABgAGAFkBAAAZBgAAAAA=&#10;">
                <v:fill on="t" focussize="0,0"/>
                <v:stroke weight="1pt" color="#000000" joinstyle="round"/>
                <v:imagedata o:title=""/>
                <o:lock v:ext="edit" aspectratio="f"/>
                <v:textbox>
                  <w:txbxContent>
                    <w:p>
                      <w:pPr>
                        <w:adjustRightInd w:val="0"/>
                        <w:snapToGrid w:val="0"/>
                        <w:jc w:val="center"/>
                        <w:rPr>
                          <w:rFonts w:eastAsiaTheme="minorEastAsia"/>
                          <w:b/>
                          <w:color w:val="000000"/>
                        </w:rPr>
                      </w:pPr>
                      <w:r>
                        <w:rPr>
                          <w:rFonts w:hint="eastAsia" w:asciiTheme="minorHAnsi" w:hAnsiTheme="minorHAnsi" w:eastAsiaTheme="minorEastAsia" w:cstheme="minorBidi"/>
                          <w:b/>
                          <w:color w:val="000000"/>
                          <w:sz w:val="21"/>
                          <w:szCs w:val="22"/>
                        </w:rPr>
                        <w:t>中选结果执行</w:t>
                      </w:r>
                    </w:p>
                  </w:txbxContent>
                </v:textbox>
              </v:rect>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72576" behindDoc="0" locked="0" layoutInCell="1" allowOverlap="1">
                <wp:simplePos x="0" y="0"/>
                <wp:positionH relativeFrom="margin">
                  <wp:posOffset>1604645</wp:posOffset>
                </wp:positionH>
                <wp:positionV relativeFrom="paragraph">
                  <wp:posOffset>243205</wp:posOffset>
                </wp:positionV>
                <wp:extent cx="2063750" cy="267970"/>
                <wp:effectExtent l="6350" t="6350" r="17780" b="15240"/>
                <wp:wrapNone/>
                <wp:docPr id="22" name="矩形 22"/>
                <wp:cNvGraphicFramePr/>
                <a:graphic xmlns:a="http://schemas.openxmlformats.org/drawingml/2006/main">
                  <a:graphicData uri="http://schemas.microsoft.com/office/word/2010/wordprocessingShape">
                    <wps:wsp>
                      <wps:cNvSpPr/>
                      <wps:spPr>
                        <a:xfrm>
                          <a:off x="0" y="0"/>
                          <a:ext cx="2063750" cy="267970"/>
                        </a:xfrm>
                        <a:prstGeom prst="rect">
                          <a:avLst/>
                        </a:prstGeom>
                        <a:solidFill>
                          <a:sysClr val="window" lastClr="FFFFFF"/>
                        </a:solidFill>
                        <a:ln w="12700" cap="flat" cmpd="sng" algn="ctr">
                          <a:solidFill>
                            <a:sysClr val="windowText" lastClr="000000"/>
                          </a:solidFill>
                          <a:prstDash val="solid"/>
                        </a:ln>
                        <a:effectLst/>
                      </wps:spPr>
                      <wps:txbx>
                        <w:txbxContent>
                          <w:p>
                            <w:pPr>
                              <w:adjustRightInd w:val="0"/>
                              <w:snapToGrid w:val="0"/>
                              <w:jc w:val="center"/>
                              <w:rPr>
                                <w:rFonts w:asciiTheme="minorHAnsi" w:hAnsiTheme="minorHAnsi" w:eastAsiaTheme="minorEastAsia" w:cstheme="minorBidi"/>
                                <w:b/>
                                <w:color w:val="000000"/>
                                <w:sz w:val="21"/>
                                <w:szCs w:val="22"/>
                              </w:rPr>
                            </w:pPr>
                            <w:r>
                              <w:rPr>
                                <w:rFonts w:hint="eastAsia" w:asciiTheme="minorHAnsi" w:hAnsiTheme="minorHAnsi" w:eastAsiaTheme="minorEastAsia" w:cstheme="minorBidi"/>
                                <w:b/>
                                <w:color w:val="000000"/>
                                <w:sz w:val="21"/>
                                <w:szCs w:val="22"/>
                              </w:rPr>
                              <w:t>拟中选结果公示</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6.35pt;margin-top:19.15pt;height:21.1pt;width:162.5pt;mso-position-horizontal-relative:margin;z-index:251672576;v-text-anchor:middle;mso-width-relative:page;mso-height-relative:page;" fillcolor="#FFFFFF" filled="t" stroked="t" coordsize="21600,21600" o:gfxdata="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ilEVF1gAAAAkBAAAPAAAAAAAAAAEAIAAA&#10;ACIAAABkcnMvZG93bnJldi54bWxQSwECFAAUAAAACACHTuJA5GHnqIACAAAcBQAADgAAAAAAAAAB&#10;ACAAAAAlAQAAZHJzL2Uyb0RvYy54bWxQSwUGAAAAAAYABgBZAQAAFwYAAAAA&#10;">
                <v:fill on="t" focussize="0,0"/>
                <v:stroke weight="1pt" color="#000000" joinstyle="round"/>
                <v:imagedata o:title=""/>
                <o:lock v:ext="edit" aspectratio="f"/>
                <v:textbox>
                  <w:txbxContent>
                    <w:p>
                      <w:pPr>
                        <w:adjustRightInd w:val="0"/>
                        <w:snapToGrid w:val="0"/>
                        <w:jc w:val="center"/>
                        <w:rPr>
                          <w:rFonts w:asciiTheme="minorHAnsi" w:hAnsiTheme="minorHAnsi" w:eastAsiaTheme="minorEastAsia" w:cstheme="minorBidi"/>
                          <w:b/>
                          <w:color w:val="000000"/>
                          <w:sz w:val="21"/>
                          <w:szCs w:val="22"/>
                        </w:rPr>
                      </w:pPr>
                      <w:r>
                        <w:rPr>
                          <w:rFonts w:hint="eastAsia" w:asciiTheme="minorHAnsi" w:hAnsiTheme="minorHAnsi" w:eastAsiaTheme="minorEastAsia" w:cstheme="minorBidi"/>
                          <w:b/>
                          <w:color w:val="000000"/>
                          <w:sz w:val="21"/>
                          <w:szCs w:val="22"/>
                        </w:rPr>
                        <w:t>拟中选结果公示</w:t>
                      </w:r>
                    </w:p>
                  </w:txbxContent>
                </v:textbox>
              </v:rect>
            </w:pict>
          </mc:Fallback>
        </mc:AlternateContent>
      </w:r>
      <w:r>
        <w:rPr>
          <w:rFonts w:hint="eastAsia" w:ascii="宋体" w:hAnsi="宋体" w:eastAsia="宋体" w:cs="宋体"/>
          <w:b w:val="0"/>
          <w:color w:val="auto"/>
          <w:sz w:val="28"/>
          <w:szCs w:val="28"/>
          <w:highlight w:val="none"/>
        </w:rPr>
        <mc:AlternateContent>
          <mc:Choice Requires="wps">
            <w:drawing>
              <wp:anchor distT="0" distB="0" distL="113665" distR="113665" simplePos="0" relativeHeight="251684864" behindDoc="0" locked="0" layoutInCell="1" allowOverlap="1">
                <wp:simplePos x="0" y="0"/>
                <wp:positionH relativeFrom="column">
                  <wp:posOffset>2705100</wp:posOffset>
                </wp:positionH>
                <wp:positionV relativeFrom="paragraph">
                  <wp:posOffset>513715</wp:posOffset>
                </wp:positionV>
                <wp:extent cx="635" cy="204470"/>
                <wp:effectExtent l="37465" t="0" r="38100" b="8890"/>
                <wp:wrapNone/>
                <wp:docPr id="5" name="直接箭头连接符 5"/>
                <wp:cNvGraphicFramePr/>
                <a:graphic xmlns:a="http://schemas.openxmlformats.org/drawingml/2006/main">
                  <a:graphicData uri="http://schemas.microsoft.com/office/word/2010/wordprocessingShape">
                    <wps:wsp>
                      <wps:cNvCnPr/>
                      <wps:spPr>
                        <a:xfrm>
                          <a:off x="0" y="0"/>
                          <a:ext cx="635" cy="204470"/>
                        </a:xfrm>
                        <a:prstGeom prst="straightConnector1">
                          <a:avLst/>
                        </a:prstGeom>
                        <a:noFill/>
                        <a:ln w="15875" cap="flat" cmpd="sng" algn="ctr">
                          <a:solidFill>
                            <a:sysClr val="windowText" lastClr="000000"/>
                          </a:solidFill>
                          <a:prstDash val="solid"/>
                          <a:tailEnd type="triangle"/>
                        </a:ln>
                        <a:effectLst/>
                      </wps:spPr>
                      <wps:bodyPr/>
                    </wps:wsp>
                  </a:graphicData>
                </a:graphic>
              </wp:anchor>
            </w:drawing>
          </mc:Choice>
          <mc:Fallback>
            <w:pict>
              <v:shape id="_x0000_s1026" o:spid="_x0000_s1026" o:spt="32" type="#_x0000_t32" style="position:absolute;left:0pt;margin-left:213pt;margin-top:40.45pt;height:16.1pt;width:0.05pt;z-index:251684864;mso-width-relative:page;mso-height-relative:page;" filled="f" stroked="t" coordsize="21600,21600" o:gfxdata="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VufR3ZAAAACgEAAA8AAAAAAAAAAQAg&#10;AAAAIgAAAGRycy9kb3ducmV2LnhtbFBLAQIUABQAAAAIAIdO4kCGKM6PDQIAAO4DAAAOAAAAAAAA&#10;AAEAIAAAACgBAABkcnMvZTJvRG9jLnhtbFBLBQYAAAAABgAGAFkBAACnBQAAAAA=&#10;">
                <v:fill on="f" focussize="0,0"/>
                <v:stroke weight="1.25pt" color="#000000" joinstyle="round" endarrow="block"/>
                <v:imagedata o:title=""/>
                <o:lock v:ext="edit" aspectratio="f"/>
              </v:shape>
            </w:pict>
          </mc:Fallback>
        </mc:AlternateContent>
      </w:r>
    </w:p>
    <w:p>
      <w:pPr>
        <w:adjustRightInd w:val="0"/>
        <w:snapToGrid w:val="0"/>
        <w:spacing w:line="570" w:lineRule="exact"/>
        <w:jc w:val="center"/>
        <w:rPr>
          <w:rFonts w:hint="eastAsia" w:ascii="宋体" w:hAnsi="宋体" w:eastAsia="宋体" w:cs="宋体"/>
          <w:color w:val="auto"/>
          <w:sz w:val="28"/>
          <w:szCs w:val="28"/>
          <w:highlight w:val="none"/>
        </w:rPr>
      </w:pPr>
    </w:p>
    <w:p>
      <w:pPr>
        <w:spacing w:line="570" w:lineRule="exact"/>
        <w:jc w:val="center"/>
        <w:rPr>
          <w:rFonts w:hint="eastAsia" w:ascii="宋体" w:hAnsi="宋体" w:eastAsia="宋体" w:cs="宋体"/>
          <w:color w:val="auto"/>
          <w:sz w:val="28"/>
          <w:szCs w:val="28"/>
          <w:highlight w:val="none"/>
        </w:rPr>
      </w:pPr>
    </w:p>
    <w:p>
      <w:pPr>
        <w:spacing w:line="570" w:lineRule="exact"/>
        <w:jc w:val="center"/>
        <w:rPr>
          <w:rFonts w:hint="eastAsia" w:ascii="宋体" w:hAnsi="宋体" w:eastAsia="宋体" w:cs="宋体"/>
          <w:color w:val="auto"/>
          <w:sz w:val="28"/>
          <w:szCs w:val="28"/>
          <w:highlight w:val="none"/>
        </w:rPr>
      </w:pPr>
    </w:p>
    <w:p>
      <w:pPr>
        <w:spacing w:line="570" w:lineRule="exact"/>
        <w:jc w:val="center"/>
        <w:rPr>
          <w:rFonts w:hint="eastAsia" w:ascii="宋体" w:hAnsi="宋体" w:eastAsia="宋体" w:cs="宋体"/>
          <w:color w:val="auto"/>
          <w:sz w:val="28"/>
          <w:szCs w:val="28"/>
          <w:highlight w:val="none"/>
        </w:rPr>
        <w:sectPr>
          <w:footerReference r:id="rId4" w:type="default"/>
          <w:pgSz w:w="11906" w:h="16838"/>
          <w:pgMar w:top="1440" w:right="1457" w:bottom="1440" w:left="1457" w:header="851" w:footer="992" w:gutter="0"/>
          <w:pgNumType w:fmt="decimal"/>
          <w:cols w:space="720" w:num="1"/>
          <w:docGrid w:type="lines" w:linePitch="435" w:charSpace="0"/>
        </w:sectPr>
      </w:pPr>
    </w:p>
    <w:p>
      <w:pPr>
        <w:pStyle w:val="31"/>
        <w:spacing w:after="0" w:line="480" w:lineRule="exact"/>
        <w:rPr>
          <w:rFonts w:hint="eastAsia" w:ascii="宋体" w:hAnsi="宋体" w:eastAsia="宋体" w:cs="宋体"/>
          <w:color w:val="auto"/>
          <w:sz w:val="28"/>
          <w:szCs w:val="28"/>
          <w:highlight w:val="none"/>
        </w:rPr>
      </w:pPr>
    </w:p>
    <w:sdt>
      <w:sdtPr>
        <w:rPr>
          <w:rFonts w:ascii="宋体" w:hAnsi="宋体" w:eastAsia="宋体" w:cs="Times New Roman"/>
          <w:color w:val="auto"/>
          <w:kern w:val="2"/>
          <w:sz w:val="21"/>
          <w:szCs w:val="32"/>
          <w:lang w:val="en-US" w:eastAsia="zh-CN" w:bidi="ar-SA"/>
        </w:rPr>
        <w:id w:val="147455877"/>
        <w15:color w:val="DBDBDB"/>
        <w:docPartObj>
          <w:docPartGallery w:val="Table of Contents"/>
          <w:docPartUnique/>
        </w:docPartObj>
      </w:sdtPr>
      <w:sdtEndPr>
        <w:rPr>
          <w:rFonts w:ascii="宋体" w:hAnsi="宋体" w:eastAsia="宋体" w:cs="Times New Roman"/>
          <w:b/>
          <w:color w:val="auto"/>
          <w:kern w:val="2"/>
          <w:sz w:val="21"/>
          <w:szCs w:val="32"/>
          <w:lang w:val="en-US" w:eastAsia="zh-CN" w:bidi="ar-SA"/>
        </w:rPr>
      </w:sdtEndPr>
      <w:sdtContent>
        <w:p>
          <w:pPr>
            <w:spacing w:before="0" w:beforeLines="0" w:after="0" w:afterLines="0" w:line="240" w:lineRule="auto"/>
            <w:ind w:left="0" w:leftChars="0" w:right="0" w:rightChars="0" w:firstLine="0" w:firstLineChars="0"/>
            <w:jc w:val="center"/>
            <w:rPr>
              <w:color w:val="auto"/>
            </w:rPr>
          </w:pPr>
          <w:r>
            <w:rPr>
              <w:rFonts w:hint="eastAsia" w:ascii="方正小标宋简体" w:hAnsi="方正小标宋简体" w:eastAsia="方正小标宋简体" w:cs="方正小标宋简体"/>
              <w:color w:val="auto"/>
              <w:sz w:val="40"/>
              <w:szCs w:val="40"/>
            </w:rPr>
            <w:t>目</w:t>
          </w:r>
          <w:r>
            <w:rPr>
              <w:rFonts w:hint="eastAsia" w:ascii="方正小标宋简体" w:hAnsi="方正小标宋简体" w:eastAsia="方正小标宋简体" w:cs="方正小标宋简体"/>
              <w:color w:val="auto"/>
              <w:sz w:val="40"/>
              <w:szCs w:val="40"/>
              <w:lang w:val="en-US" w:eastAsia="zh-CN"/>
            </w:rPr>
            <w:t xml:space="preserve">  </w:t>
          </w:r>
          <w:r>
            <w:rPr>
              <w:rFonts w:hint="eastAsia" w:ascii="方正小标宋简体" w:hAnsi="方正小标宋简体" w:eastAsia="方正小标宋简体" w:cs="方正小标宋简体"/>
              <w:color w:val="auto"/>
              <w:sz w:val="40"/>
              <w:szCs w:val="40"/>
            </w:rPr>
            <w:t>录</w:t>
          </w:r>
        </w:p>
        <w:p>
          <w:pPr>
            <w:pStyle w:val="56"/>
            <w:tabs>
              <w:tab w:val="right" w:leader="dot" w:pos="8992"/>
            </w:tabs>
            <w:rPr>
              <w:b/>
              <w:color w:val="auto"/>
            </w:rPr>
          </w:pPr>
          <w:r>
            <w:rPr>
              <w:color w:val="auto"/>
            </w:rPr>
            <w:fldChar w:fldCharType="begin"/>
          </w:r>
          <w:r>
            <w:rPr>
              <w:color w:val="auto"/>
            </w:rPr>
            <w:instrText xml:space="preserve">TOC \o "1-2" \h \u </w:instrText>
          </w:r>
          <w:r>
            <w:rPr>
              <w:color w:val="auto"/>
            </w:rPr>
            <w:fldChar w:fldCharType="separate"/>
          </w:r>
        </w:p>
        <w:p>
          <w:pPr>
            <w:pStyle w:val="56"/>
            <w:tabs>
              <w:tab w:val="right" w:leader="dot" w:pos="8992"/>
            </w:tabs>
            <w:rPr>
              <w:rFonts w:hint="eastAsia" w:ascii="宋体" w:hAnsi="宋体" w:eastAsia="宋体" w:cs="宋体"/>
              <w:b/>
              <w:color w:val="auto"/>
            </w:rPr>
          </w:pPr>
          <w:r>
            <w:rPr>
              <w:rFonts w:hint="eastAsia" w:ascii="宋体" w:hAnsi="宋体" w:eastAsia="宋体" w:cs="宋体"/>
              <w:b/>
              <w:color w:val="auto"/>
            </w:rPr>
            <w:fldChar w:fldCharType="begin"/>
          </w:r>
          <w:r>
            <w:rPr>
              <w:rFonts w:hint="eastAsia" w:ascii="宋体" w:hAnsi="宋体" w:eastAsia="宋体" w:cs="宋体"/>
              <w:b/>
              <w:color w:val="auto"/>
            </w:rPr>
            <w:instrText xml:space="preserve"> HYPERLINK \l _Toc20155 </w:instrText>
          </w:r>
          <w:r>
            <w:rPr>
              <w:rFonts w:hint="eastAsia" w:ascii="宋体" w:hAnsi="宋体" w:eastAsia="宋体" w:cs="宋体"/>
              <w:b/>
              <w:color w:val="auto"/>
            </w:rPr>
            <w:fldChar w:fldCharType="separate"/>
          </w:r>
          <w:r>
            <w:rPr>
              <w:rFonts w:hint="eastAsia" w:ascii="宋体" w:hAnsi="宋体" w:eastAsia="宋体" w:cs="宋体"/>
              <w:b/>
              <w:bCs/>
              <w:color w:val="auto"/>
              <w:szCs w:val="32"/>
              <w:highlight w:val="none"/>
            </w:rPr>
            <w:t>第一部分  采购邀请</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_Toc20155 \h </w:instrText>
          </w:r>
          <w:r>
            <w:rPr>
              <w:rFonts w:hint="eastAsia" w:ascii="宋体" w:hAnsi="宋体" w:eastAsia="宋体" w:cs="宋体"/>
              <w:b/>
              <w:color w:val="auto"/>
            </w:rPr>
            <w:fldChar w:fldCharType="separate"/>
          </w:r>
          <w:r>
            <w:rPr>
              <w:rFonts w:hint="eastAsia" w:ascii="宋体" w:hAnsi="宋体" w:eastAsia="宋体" w:cs="宋体"/>
              <w:b/>
              <w:color w:val="auto"/>
            </w:rPr>
            <w:t>4</w:t>
          </w:r>
          <w:r>
            <w:rPr>
              <w:rFonts w:hint="eastAsia" w:ascii="宋体" w:hAnsi="宋体" w:eastAsia="宋体" w:cs="宋体"/>
              <w:b/>
              <w:color w:val="auto"/>
            </w:rPr>
            <w:fldChar w:fldCharType="end"/>
          </w:r>
          <w:r>
            <w:rPr>
              <w:rFonts w:hint="eastAsia" w:ascii="宋体" w:hAnsi="宋体" w:eastAsia="宋体" w:cs="宋体"/>
              <w:b/>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_Toc10571 </w:instrText>
          </w:r>
          <w:r>
            <w:rPr>
              <w:color w:val="auto"/>
            </w:rPr>
            <w:fldChar w:fldCharType="separate"/>
          </w:r>
          <w:r>
            <w:rPr>
              <w:rFonts w:hint="eastAsia" w:ascii="宋体" w:hAnsi="宋体" w:eastAsia="宋体" w:cs="宋体"/>
              <w:bCs/>
              <w:color w:val="auto"/>
              <w:kern w:val="32"/>
              <w:szCs w:val="24"/>
              <w:highlight w:val="none"/>
              <w:lang w:val="en-US" w:eastAsia="zh-CN"/>
            </w:rPr>
            <w:t>1</w:t>
          </w:r>
          <w:r>
            <w:rPr>
              <w:rFonts w:hint="eastAsia" w:hAnsi="宋体" w:cs="宋体"/>
              <w:bCs/>
              <w:color w:val="auto"/>
              <w:kern w:val="32"/>
              <w:szCs w:val="24"/>
              <w:highlight w:val="none"/>
              <w:lang w:val="en-US" w:eastAsia="zh-CN"/>
            </w:rPr>
            <w:t>、</w:t>
          </w:r>
          <w:r>
            <w:rPr>
              <w:rFonts w:hint="eastAsia" w:ascii="宋体" w:hAnsi="宋体" w:eastAsia="宋体" w:cs="宋体"/>
              <w:bCs/>
              <w:color w:val="auto"/>
              <w:kern w:val="32"/>
              <w:szCs w:val="24"/>
              <w:highlight w:val="none"/>
            </w:rPr>
            <w:t>采购品种</w:t>
          </w:r>
          <w:r>
            <w:rPr>
              <w:color w:val="auto"/>
            </w:rPr>
            <w:tab/>
          </w:r>
          <w:r>
            <w:rPr>
              <w:color w:val="auto"/>
            </w:rPr>
            <w:fldChar w:fldCharType="begin"/>
          </w:r>
          <w:r>
            <w:rPr>
              <w:color w:val="auto"/>
            </w:rPr>
            <w:instrText xml:space="preserve"> PAGEREF _Toc10571 \h </w:instrText>
          </w:r>
          <w:r>
            <w:rPr>
              <w:color w:val="auto"/>
            </w:rPr>
            <w:fldChar w:fldCharType="separate"/>
          </w:r>
          <w:r>
            <w:rPr>
              <w:color w:val="auto"/>
            </w:rPr>
            <w:t>4</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_Toc353 </w:instrText>
          </w:r>
          <w:r>
            <w:rPr>
              <w:color w:val="auto"/>
            </w:rPr>
            <w:fldChar w:fldCharType="separate"/>
          </w:r>
          <w:r>
            <w:rPr>
              <w:rFonts w:hint="eastAsia" w:ascii="宋体" w:hAnsi="宋体" w:eastAsia="宋体" w:cs="宋体"/>
              <w:bCs/>
              <w:color w:val="auto"/>
              <w:kern w:val="32"/>
              <w:szCs w:val="24"/>
              <w:highlight w:val="none"/>
              <w:lang w:val="en-US" w:eastAsia="zh-CN"/>
            </w:rPr>
            <w:t>2</w:t>
          </w:r>
          <w:r>
            <w:rPr>
              <w:rFonts w:hint="eastAsia" w:ascii="宋体" w:hAnsi="宋体" w:eastAsia="宋体" w:cs="宋体"/>
              <w:bCs/>
              <w:color w:val="auto"/>
              <w:kern w:val="32"/>
              <w:szCs w:val="24"/>
              <w:highlight w:val="none"/>
            </w:rPr>
            <w:t>、采购周期</w:t>
          </w:r>
          <w:r>
            <w:rPr>
              <w:color w:val="auto"/>
            </w:rPr>
            <w:tab/>
          </w:r>
          <w:r>
            <w:rPr>
              <w:color w:val="auto"/>
            </w:rPr>
            <w:fldChar w:fldCharType="begin"/>
          </w:r>
          <w:r>
            <w:rPr>
              <w:color w:val="auto"/>
            </w:rPr>
            <w:instrText xml:space="preserve"> PAGEREF _Toc353 \h </w:instrText>
          </w:r>
          <w:r>
            <w:rPr>
              <w:color w:val="auto"/>
            </w:rPr>
            <w:fldChar w:fldCharType="separate"/>
          </w:r>
          <w:r>
            <w:rPr>
              <w:color w:val="auto"/>
            </w:rPr>
            <w:t>4</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_Toc28991 </w:instrText>
          </w:r>
          <w:r>
            <w:rPr>
              <w:color w:val="auto"/>
            </w:rPr>
            <w:fldChar w:fldCharType="separate"/>
          </w:r>
          <w:r>
            <w:rPr>
              <w:rFonts w:hint="eastAsia" w:ascii="宋体" w:hAnsi="宋体" w:eastAsia="宋体" w:cs="宋体"/>
              <w:bCs/>
              <w:color w:val="auto"/>
              <w:kern w:val="32"/>
              <w:szCs w:val="24"/>
              <w:highlight w:val="none"/>
              <w:lang w:val="en-US" w:eastAsia="zh-CN"/>
            </w:rPr>
            <w:t>3</w:t>
          </w:r>
          <w:r>
            <w:rPr>
              <w:rFonts w:hint="eastAsia" w:ascii="宋体" w:hAnsi="宋体" w:eastAsia="宋体" w:cs="宋体"/>
              <w:bCs/>
              <w:color w:val="auto"/>
              <w:kern w:val="32"/>
              <w:szCs w:val="24"/>
              <w:highlight w:val="none"/>
            </w:rPr>
            <w:t>、申报</w:t>
          </w:r>
          <w:r>
            <w:rPr>
              <w:rFonts w:hint="eastAsia" w:ascii="宋体" w:hAnsi="宋体" w:eastAsia="宋体" w:cs="宋体"/>
              <w:bCs/>
              <w:color w:val="auto"/>
              <w:kern w:val="32"/>
              <w:szCs w:val="24"/>
              <w:highlight w:val="none"/>
              <w:lang w:val="en-US" w:eastAsia="zh-CN"/>
            </w:rPr>
            <w:t>要求</w:t>
          </w:r>
          <w:r>
            <w:rPr>
              <w:color w:val="auto"/>
            </w:rPr>
            <w:tab/>
          </w:r>
          <w:r>
            <w:rPr>
              <w:color w:val="auto"/>
            </w:rPr>
            <w:fldChar w:fldCharType="begin"/>
          </w:r>
          <w:r>
            <w:rPr>
              <w:color w:val="auto"/>
            </w:rPr>
            <w:instrText xml:space="preserve"> PAGEREF _Toc28991 \h </w:instrText>
          </w:r>
          <w:r>
            <w:rPr>
              <w:color w:val="auto"/>
            </w:rPr>
            <w:fldChar w:fldCharType="separate"/>
          </w:r>
          <w:r>
            <w:rPr>
              <w:color w:val="auto"/>
            </w:rPr>
            <w:t>4</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_Toc27380 </w:instrText>
          </w:r>
          <w:r>
            <w:rPr>
              <w:color w:val="auto"/>
            </w:rPr>
            <w:fldChar w:fldCharType="separate"/>
          </w:r>
          <w:r>
            <w:rPr>
              <w:rFonts w:hint="eastAsia" w:ascii="宋体" w:hAnsi="宋体" w:eastAsia="宋体" w:cs="宋体"/>
              <w:bCs/>
              <w:color w:val="auto"/>
              <w:kern w:val="32"/>
              <w:szCs w:val="24"/>
              <w:highlight w:val="none"/>
              <w:lang w:val="en-US" w:eastAsia="zh-CN"/>
            </w:rPr>
            <w:t>4</w:t>
          </w:r>
          <w:r>
            <w:rPr>
              <w:rFonts w:hint="eastAsia" w:ascii="宋体" w:hAnsi="宋体" w:eastAsia="宋体" w:cs="宋体"/>
              <w:bCs/>
              <w:color w:val="auto"/>
              <w:kern w:val="32"/>
              <w:szCs w:val="24"/>
              <w:highlight w:val="none"/>
            </w:rPr>
            <w:t>、采购执行说明</w:t>
          </w:r>
          <w:r>
            <w:rPr>
              <w:color w:val="auto"/>
            </w:rPr>
            <w:tab/>
          </w:r>
          <w:r>
            <w:rPr>
              <w:color w:val="auto"/>
            </w:rPr>
            <w:fldChar w:fldCharType="begin"/>
          </w:r>
          <w:r>
            <w:rPr>
              <w:color w:val="auto"/>
            </w:rPr>
            <w:instrText xml:space="preserve"> PAGEREF _Toc27380 \h </w:instrText>
          </w:r>
          <w:r>
            <w:rPr>
              <w:color w:val="auto"/>
            </w:rPr>
            <w:fldChar w:fldCharType="separate"/>
          </w:r>
          <w:r>
            <w:rPr>
              <w:color w:val="auto"/>
            </w:rPr>
            <w:t>6</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_Toc19675 </w:instrText>
          </w:r>
          <w:r>
            <w:rPr>
              <w:color w:val="auto"/>
            </w:rPr>
            <w:fldChar w:fldCharType="separate"/>
          </w:r>
          <w:r>
            <w:rPr>
              <w:rFonts w:hint="eastAsia" w:ascii="宋体" w:hAnsi="宋体" w:eastAsia="宋体" w:cs="宋体"/>
              <w:bCs/>
              <w:color w:val="auto"/>
              <w:kern w:val="32"/>
              <w:szCs w:val="24"/>
              <w:highlight w:val="none"/>
              <w:lang w:val="en-US" w:eastAsia="zh-CN"/>
            </w:rPr>
            <w:t>5</w:t>
          </w:r>
          <w:r>
            <w:rPr>
              <w:rFonts w:hint="eastAsia" w:ascii="宋体" w:hAnsi="宋体" w:eastAsia="宋体" w:cs="宋体"/>
              <w:bCs/>
              <w:color w:val="auto"/>
              <w:kern w:val="32"/>
              <w:szCs w:val="24"/>
              <w:highlight w:val="none"/>
            </w:rPr>
            <w:t>、信息公告获取方式</w:t>
          </w:r>
          <w:r>
            <w:rPr>
              <w:color w:val="auto"/>
            </w:rPr>
            <w:tab/>
          </w:r>
          <w:r>
            <w:rPr>
              <w:color w:val="auto"/>
            </w:rPr>
            <w:fldChar w:fldCharType="begin"/>
          </w:r>
          <w:r>
            <w:rPr>
              <w:color w:val="auto"/>
            </w:rPr>
            <w:instrText xml:space="preserve"> PAGEREF _Toc19675 \h </w:instrText>
          </w:r>
          <w:r>
            <w:rPr>
              <w:color w:val="auto"/>
            </w:rPr>
            <w:fldChar w:fldCharType="separate"/>
          </w:r>
          <w:r>
            <w:rPr>
              <w:color w:val="auto"/>
            </w:rPr>
            <w:t>6</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_Toc31044 </w:instrText>
          </w:r>
          <w:r>
            <w:rPr>
              <w:color w:val="auto"/>
            </w:rPr>
            <w:fldChar w:fldCharType="separate"/>
          </w:r>
          <w:r>
            <w:rPr>
              <w:rFonts w:hint="eastAsia" w:ascii="宋体" w:hAnsi="宋体" w:eastAsia="宋体" w:cs="宋体"/>
              <w:bCs/>
              <w:color w:val="auto"/>
              <w:kern w:val="2"/>
              <w:szCs w:val="24"/>
              <w:highlight w:val="none"/>
              <w:shd w:val="clear" w:color="auto" w:fill="FFFFFF"/>
              <w:lang w:val="en-US" w:eastAsia="zh-CN" w:bidi="ar-SA"/>
            </w:rPr>
            <w:t>6、申报方式</w:t>
          </w:r>
          <w:r>
            <w:rPr>
              <w:color w:val="auto"/>
            </w:rPr>
            <w:tab/>
          </w:r>
          <w:r>
            <w:rPr>
              <w:color w:val="auto"/>
            </w:rPr>
            <w:fldChar w:fldCharType="begin"/>
          </w:r>
          <w:r>
            <w:rPr>
              <w:color w:val="auto"/>
            </w:rPr>
            <w:instrText xml:space="preserve"> PAGEREF _Toc31044 \h </w:instrText>
          </w:r>
          <w:r>
            <w:rPr>
              <w:color w:val="auto"/>
            </w:rPr>
            <w:fldChar w:fldCharType="separate"/>
          </w:r>
          <w:r>
            <w:rPr>
              <w:color w:val="auto"/>
            </w:rPr>
            <w:t>6</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_Toc30 </w:instrText>
          </w:r>
          <w:r>
            <w:rPr>
              <w:color w:val="auto"/>
            </w:rPr>
            <w:fldChar w:fldCharType="separate"/>
          </w:r>
          <w:r>
            <w:rPr>
              <w:rFonts w:hint="eastAsia" w:ascii="宋体" w:hAnsi="宋体" w:eastAsia="宋体" w:cs="宋体"/>
              <w:bCs/>
              <w:color w:val="auto"/>
              <w:kern w:val="2"/>
              <w:szCs w:val="24"/>
              <w:highlight w:val="none"/>
              <w:shd w:val="clear" w:color="auto" w:fill="FFFFFF"/>
              <w:lang w:val="en-US" w:eastAsia="zh-CN" w:bidi="ar-SA"/>
            </w:rPr>
            <w:t>7、时间、地点安排</w:t>
          </w:r>
          <w:r>
            <w:rPr>
              <w:color w:val="auto"/>
            </w:rPr>
            <w:tab/>
          </w:r>
          <w:r>
            <w:rPr>
              <w:color w:val="auto"/>
            </w:rPr>
            <w:fldChar w:fldCharType="begin"/>
          </w:r>
          <w:r>
            <w:rPr>
              <w:color w:val="auto"/>
            </w:rPr>
            <w:instrText xml:space="preserve"> PAGEREF _Toc30 \h </w:instrText>
          </w:r>
          <w:r>
            <w:rPr>
              <w:color w:val="auto"/>
            </w:rPr>
            <w:fldChar w:fldCharType="separate"/>
          </w:r>
          <w:r>
            <w:rPr>
              <w:color w:val="auto"/>
            </w:rPr>
            <w:t>7</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_Toc32764 </w:instrText>
          </w:r>
          <w:r>
            <w:rPr>
              <w:color w:val="auto"/>
            </w:rPr>
            <w:fldChar w:fldCharType="separate"/>
          </w:r>
          <w:r>
            <w:rPr>
              <w:rFonts w:hint="eastAsia" w:ascii="宋体" w:hAnsi="宋体" w:eastAsia="宋体" w:cs="宋体"/>
              <w:bCs/>
              <w:color w:val="auto"/>
              <w:kern w:val="2"/>
              <w:szCs w:val="24"/>
              <w:highlight w:val="none"/>
              <w:shd w:val="clear" w:color="auto" w:fill="FFFFFF"/>
              <w:lang w:val="en-US" w:eastAsia="zh-CN" w:bidi="ar-SA"/>
            </w:rPr>
            <w:t>8、联系方式</w:t>
          </w:r>
          <w:r>
            <w:rPr>
              <w:color w:val="auto"/>
            </w:rPr>
            <w:tab/>
          </w:r>
          <w:r>
            <w:rPr>
              <w:color w:val="auto"/>
            </w:rPr>
            <w:fldChar w:fldCharType="begin"/>
          </w:r>
          <w:r>
            <w:rPr>
              <w:color w:val="auto"/>
            </w:rPr>
            <w:instrText xml:space="preserve"> PAGEREF _Toc32764 \h </w:instrText>
          </w:r>
          <w:r>
            <w:rPr>
              <w:color w:val="auto"/>
            </w:rPr>
            <w:fldChar w:fldCharType="separate"/>
          </w:r>
          <w:r>
            <w:rPr>
              <w:color w:val="auto"/>
            </w:rPr>
            <w:t>7</w:t>
          </w:r>
          <w:r>
            <w:rPr>
              <w:color w:val="auto"/>
            </w:rPr>
            <w:fldChar w:fldCharType="end"/>
          </w:r>
          <w:r>
            <w:rPr>
              <w:color w:val="auto"/>
            </w:rPr>
            <w:fldChar w:fldCharType="end"/>
          </w:r>
        </w:p>
        <w:p>
          <w:pPr>
            <w:pStyle w:val="56"/>
            <w:tabs>
              <w:tab w:val="right" w:leader="dot" w:pos="8992"/>
            </w:tabs>
            <w:rPr>
              <w:b/>
              <w:color w:val="auto"/>
            </w:rPr>
          </w:pPr>
          <w:r>
            <w:rPr>
              <w:b/>
              <w:color w:val="auto"/>
            </w:rPr>
            <w:fldChar w:fldCharType="begin"/>
          </w:r>
          <w:r>
            <w:rPr>
              <w:b/>
              <w:color w:val="auto"/>
            </w:rPr>
            <w:instrText xml:space="preserve"> HYPERLINK \l _Toc22797 </w:instrText>
          </w:r>
          <w:r>
            <w:rPr>
              <w:b/>
              <w:color w:val="auto"/>
            </w:rPr>
            <w:fldChar w:fldCharType="separate"/>
          </w:r>
          <w:r>
            <w:rPr>
              <w:rFonts w:hint="eastAsia" w:ascii="宋体" w:hAnsi="宋体" w:eastAsia="宋体" w:cs="宋体"/>
              <w:b/>
              <w:bCs/>
              <w:color w:val="auto"/>
              <w:szCs w:val="32"/>
              <w:highlight w:val="none"/>
            </w:rPr>
            <w:t>第二部分  申报企业须知</w:t>
          </w:r>
          <w:r>
            <w:rPr>
              <w:b/>
              <w:color w:val="auto"/>
            </w:rPr>
            <w:tab/>
          </w:r>
          <w:r>
            <w:rPr>
              <w:b/>
              <w:color w:val="auto"/>
            </w:rPr>
            <w:fldChar w:fldCharType="begin"/>
          </w:r>
          <w:r>
            <w:rPr>
              <w:b/>
              <w:color w:val="auto"/>
            </w:rPr>
            <w:instrText xml:space="preserve"> PAGEREF _Toc22797 \h </w:instrText>
          </w:r>
          <w:r>
            <w:rPr>
              <w:b/>
              <w:color w:val="auto"/>
            </w:rPr>
            <w:fldChar w:fldCharType="separate"/>
          </w:r>
          <w:r>
            <w:rPr>
              <w:b/>
              <w:color w:val="auto"/>
            </w:rPr>
            <w:t>9</w:t>
          </w:r>
          <w:r>
            <w:rPr>
              <w:b/>
              <w:color w:val="auto"/>
            </w:rPr>
            <w:fldChar w:fldCharType="end"/>
          </w:r>
          <w:r>
            <w:rPr>
              <w:b/>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_Toc16909 </w:instrText>
          </w:r>
          <w:r>
            <w:rPr>
              <w:color w:val="auto"/>
            </w:rPr>
            <w:fldChar w:fldCharType="separate"/>
          </w:r>
          <w:r>
            <w:rPr>
              <w:rFonts w:hint="eastAsia" w:ascii="宋体" w:hAnsi="宋体" w:eastAsia="宋体" w:cs="宋体"/>
              <w:bCs/>
              <w:color w:val="auto"/>
              <w:szCs w:val="24"/>
              <w:highlight w:val="none"/>
              <w:lang w:val="en-US" w:eastAsia="zh-CN"/>
            </w:rPr>
            <w:t>1.</w:t>
          </w:r>
          <w:r>
            <w:rPr>
              <w:rFonts w:hint="eastAsia" w:ascii="宋体" w:hAnsi="宋体" w:eastAsia="宋体" w:cs="宋体"/>
              <w:bCs/>
              <w:color w:val="auto"/>
              <w:szCs w:val="24"/>
              <w:highlight w:val="none"/>
            </w:rPr>
            <w:t>申报企业</w:t>
          </w:r>
          <w:r>
            <w:rPr>
              <w:rFonts w:hint="eastAsia" w:ascii="宋体" w:hAnsi="宋体" w:eastAsia="宋体" w:cs="宋体"/>
              <w:bCs/>
              <w:color w:val="auto"/>
              <w:szCs w:val="24"/>
              <w:highlight w:val="none"/>
              <w:lang w:val="en-US" w:eastAsia="zh-CN"/>
            </w:rPr>
            <w:t>资格</w:t>
          </w:r>
          <w:r>
            <w:rPr>
              <w:color w:val="auto"/>
            </w:rPr>
            <w:tab/>
          </w:r>
          <w:r>
            <w:rPr>
              <w:color w:val="auto"/>
            </w:rPr>
            <w:fldChar w:fldCharType="begin"/>
          </w:r>
          <w:r>
            <w:rPr>
              <w:color w:val="auto"/>
            </w:rPr>
            <w:instrText xml:space="preserve"> PAGEREF _Toc16909 \h </w:instrText>
          </w:r>
          <w:r>
            <w:rPr>
              <w:color w:val="auto"/>
            </w:rPr>
            <w:fldChar w:fldCharType="separate"/>
          </w:r>
          <w:r>
            <w:rPr>
              <w:color w:val="auto"/>
            </w:rPr>
            <w:t>9</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_Toc28645 </w:instrText>
          </w:r>
          <w:r>
            <w:rPr>
              <w:color w:val="auto"/>
            </w:rPr>
            <w:fldChar w:fldCharType="separate"/>
          </w:r>
          <w:r>
            <w:rPr>
              <w:rFonts w:hint="eastAsia" w:ascii="宋体" w:hAnsi="宋体" w:eastAsia="宋体" w:cs="宋体"/>
              <w:bCs/>
              <w:color w:val="auto"/>
              <w:kern w:val="32"/>
              <w:szCs w:val="24"/>
              <w:highlight w:val="none"/>
              <w:lang w:val="en-US" w:eastAsia="zh-CN"/>
            </w:rPr>
            <w:t>2</w:t>
          </w:r>
          <w:r>
            <w:rPr>
              <w:rFonts w:hint="eastAsia" w:ascii="宋体" w:hAnsi="宋体" w:eastAsia="宋体" w:cs="宋体"/>
              <w:bCs/>
              <w:color w:val="auto"/>
              <w:kern w:val="32"/>
              <w:szCs w:val="24"/>
              <w:highlight w:val="none"/>
            </w:rPr>
            <w:t>、申报材料编制</w:t>
          </w:r>
          <w:r>
            <w:rPr>
              <w:color w:val="auto"/>
            </w:rPr>
            <w:tab/>
          </w:r>
          <w:r>
            <w:rPr>
              <w:color w:val="auto"/>
            </w:rPr>
            <w:fldChar w:fldCharType="begin"/>
          </w:r>
          <w:r>
            <w:rPr>
              <w:color w:val="auto"/>
            </w:rPr>
            <w:instrText xml:space="preserve"> PAGEREF _Toc28645 \h </w:instrText>
          </w:r>
          <w:r>
            <w:rPr>
              <w:color w:val="auto"/>
            </w:rPr>
            <w:fldChar w:fldCharType="separate"/>
          </w:r>
          <w:r>
            <w:rPr>
              <w:color w:val="auto"/>
            </w:rPr>
            <w:t>10</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_Toc7045 </w:instrText>
          </w:r>
          <w:r>
            <w:rPr>
              <w:color w:val="auto"/>
            </w:rPr>
            <w:fldChar w:fldCharType="separate"/>
          </w:r>
          <w:r>
            <w:rPr>
              <w:rFonts w:hint="eastAsia" w:ascii="宋体" w:hAnsi="宋体" w:eastAsia="宋体" w:cs="宋体"/>
              <w:bCs/>
              <w:color w:val="auto"/>
              <w:kern w:val="32"/>
              <w:szCs w:val="24"/>
              <w:highlight w:val="none"/>
              <w:lang w:val="en-US" w:eastAsia="zh-CN"/>
            </w:rPr>
            <w:t>3.</w:t>
          </w:r>
          <w:r>
            <w:rPr>
              <w:rFonts w:hint="eastAsia" w:ascii="宋体" w:hAnsi="宋体" w:eastAsia="宋体" w:cs="宋体"/>
              <w:bCs/>
              <w:color w:val="auto"/>
              <w:kern w:val="32"/>
              <w:szCs w:val="24"/>
              <w:highlight w:val="none"/>
            </w:rPr>
            <w:t>申报信息提交</w:t>
          </w:r>
          <w:r>
            <w:rPr>
              <w:color w:val="auto"/>
            </w:rPr>
            <w:tab/>
          </w:r>
          <w:r>
            <w:rPr>
              <w:color w:val="auto"/>
            </w:rPr>
            <w:fldChar w:fldCharType="begin"/>
          </w:r>
          <w:r>
            <w:rPr>
              <w:color w:val="auto"/>
            </w:rPr>
            <w:instrText xml:space="preserve"> PAGEREF _Toc7045 \h </w:instrText>
          </w:r>
          <w:r>
            <w:rPr>
              <w:color w:val="auto"/>
            </w:rPr>
            <w:fldChar w:fldCharType="separate"/>
          </w:r>
          <w:r>
            <w:rPr>
              <w:color w:val="auto"/>
            </w:rPr>
            <w:t>12</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_Toc27166 </w:instrText>
          </w:r>
          <w:r>
            <w:rPr>
              <w:color w:val="auto"/>
            </w:rPr>
            <w:fldChar w:fldCharType="separate"/>
          </w:r>
          <w:r>
            <w:rPr>
              <w:rFonts w:hint="eastAsia" w:ascii="宋体" w:hAnsi="宋体" w:eastAsia="宋体" w:cs="宋体"/>
              <w:bCs/>
              <w:color w:val="auto"/>
              <w:kern w:val="32"/>
              <w:szCs w:val="24"/>
              <w:highlight w:val="none"/>
              <w:lang w:val="en-US" w:eastAsia="zh-CN"/>
            </w:rPr>
            <w:t>4.</w:t>
          </w:r>
          <w:r>
            <w:rPr>
              <w:rFonts w:hint="eastAsia" w:ascii="宋体" w:hAnsi="宋体" w:eastAsia="宋体" w:cs="宋体"/>
              <w:bCs/>
              <w:color w:val="auto"/>
              <w:kern w:val="32"/>
              <w:szCs w:val="24"/>
              <w:highlight w:val="none"/>
            </w:rPr>
            <w:t>申报产品报价</w:t>
          </w:r>
          <w:r>
            <w:rPr>
              <w:color w:val="auto"/>
            </w:rPr>
            <w:tab/>
          </w:r>
          <w:r>
            <w:rPr>
              <w:color w:val="auto"/>
            </w:rPr>
            <w:fldChar w:fldCharType="begin"/>
          </w:r>
          <w:r>
            <w:rPr>
              <w:color w:val="auto"/>
            </w:rPr>
            <w:instrText xml:space="preserve"> PAGEREF _Toc27166 \h </w:instrText>
          </w:r>
          <w:r>
            <w:rPr>
              <w:color w:val="auto"/>
            </w:rPr>
            <w:fldChar w:fldCharType="separate"/>
          </w:r>
          <w:r>
            <w:rPr>
              <w:color w:val="auto"/>
            </w:rPr>
            <w:t>12</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_Toc30486 </w:instrText>
          </w:r>
          <w:r>
            <w:rPr>
              <w:color w:val="auto"/>
            </w:rPr>
            <w:fldChar w:fldCharType="separate"/>
          </w:r>
          <w:r>
            <w:rPr>
              <w:rFonts w:hint="eastAsia" w:ascii="宋体" w:hAnsi="宋体" w:eastAsia="宋体" w:cs="宋体"/>
              <w:bCs/>
              <w:color w:val="auto"/>
              <w:kern w:val="32"/>
              <w:szCs w:val="24"/>
              <w:highlight w:val="none"/>
              <w:lang w:val="en-US" w:eastAsia="zh-CN" w:bidi="ar-SA"/>
            </w:rPr>
            <w:t>5.开标与评标</w:t>
          </w:r>
          <w:r>
            <w:rPr>
              <w:color w:val="auto"/>
            </w:rPr>
            <w:tab/>
          </w:r>
          <w:r>
            <w:rPr>
              <w:color w:val="auto"/>
            </w:rPr>
            <w:fldChar w:fldCharType="begin"/>
          </w:r>
          <w:r>
            <w:rPr>
              <w:color w:val="auto"/>
            </w:rPr>
            <w:instrText xml:space="preserve"> PAGEREF _Toc30486 \h </w:instrText>
          </w:r>
          <w:r>
            <w:rPr>
              <w:color w:val="auto"/>
            </w:rPr>
            <w:fldChar w:fldCharType="separate"/>
          </w:r>
          <w:r>
            <w:rPr>
              <w:color w:val="auto"/>
            </w:rPr>
            <w:t>12</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_Toc24149 </w:instrText>
          </w:r>
          <w:r>
            <w:rPr>
              <w:color w:val="auto"/>
            </w:rPr>
            <w:fldChar w:fldCharType="separate"/>
          </w:r>
          <w:r>
            <w:rPr>
              <w:rFonts w:hint="eastAsia" w:ascii="宋体" w:hAnsi="宋体" w:eastAsia="宋体" w:cs="宋体"/>
              <w:bCs/>
              <w:color w:val="auto"/>
              <w:szCs w:val="24"/>
              <w:highlight w:val="none"/>
              <w:shd w:val="clear" w:color="auto" w:fill="auto"/>
              <w:lang w:val="en-US" w:eastAsia="zh-CN" w:bidi="zh-TW"/>
            </w:rPr>
            <w:t>6、拟中选</w:t>
          </w:r>
          <w:r>
            <w:rPr>
              <w:rFonts w:hint="eastAsia" w:ascii="宋体" w:hAnsi="宋体" w:eastAsia="宋体" w:cs="宋体"/>
              <w:bCs/>
              <w:color w:val="auto"/>
              <w:szCs w:val="24"/>
              <w:highlight w:val="none"/>
              <w:shd w:val="clear" w:color="auto" w:fill="auto"/>
              <w:lang w:val="zh-TW" w:eastAsia="zh-TW" w:bidi="zh-TW"/>
            </w:rPr>
            <w:t>结果公示</w:t>
          </w:r>
          <w:r>
            <w:rPr>
              <w:rFonts w:hint="eastAsia" w:ascii="宋体" w:hAnsi="宋体" w:eastAsia="宋体" w:cs="宋体"/>
              <w:bCs/>
              <w:color w:val="auto"/>
              <w:szCs w:val="24"/>
              <w:highlight w:val="none"/>
              <w:shd w:val="clear" w:color="auto" w:fill="auto"/>
              <w:lang w:val="en-US" w:eastAsia="zh-CN" w:bidi="zh-TW"/>
            </w:rPr>
            <w:t>及执行</w:t>
          </w:r>
          <w:r>
            <w:rPr>
              <w:color w:val="auto"/>
            </w:rPr>
            <w:tab/>
          </w:r>
          <w:r>
            <w:rPr>
              <w:color w:val="auto"/>
            </w:rPr>
            <w:fldChar w:fldCharType="begin"/>
          </w:r>
          <w:r>
            <w:rPr>
              <w:color w:val="auto"/>
            </w:rPr>
            <w:instrText xml:space="preserve"> PAGEREF _Toc24149 \h </w:instrText>
          </w:r>
          <w:r>
            <w:rPr>
              <w:color w:val="auto"/>
            </w:rPr>
            <w:fldChar w:fldCharType="separate"/>
          </w:r>
          <w:r>
            <w:rPr>
              <w:color w:val="auto"/>
            </w:rPr>
            <w:t>15</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_Toc21718 </w:instrText>
          </w:r>
          <w:r>
            <w:rPr>
              <w:color w:val="auto"/>
            </w:rPr>
            <w:fldChar w:fldCharType="separate"/>
          </w:r>
          <w:r>
            <w:rPr>
              <w:rFonts w:hint="eastAsia" w:ascii="宋体" w:hAnsi="宋体" w:eastAsia="宋体" w:cs="宋体"/>
              <w:color w:val="auto"/>
              <w:kern w:val="2"/>
              <w:szCs w:val="24"/>
              <w:highlight w:val="none"/>
              <w:shd w:val="clear" w:color="auto" w:fill="auto"/>
              <w:lang w:val="en-US" w:eastAsia="zh-CN" w:bidi="zh-TW"/>
            </w:rPr>
            <w:t>7、质疑的提出及处理</w:t>
          </w:r>
          <w:r>
            <w:rPr>
              <w:color w:val="auto"/>
            </w:rPr>
            <w:tab/>
          </w:r>
          <w:r>
            <w:rPr>
              <w:color w:val="auto"/>
            </w:rPr>
            <w:fldChar w:fldCharType="begin"/>
          </w:r>
          <w:r>
            <w:rPr>
              <w:color w:val="auto"/>
            </w:rPr>
            <w:instrText xml:space="preserve"> PAGEREF _Toc21718 \h </w:instrText>
          </w:r>
          <w:r>
            <w:rPr>
              <w:color w:val="auto"/>
            </w:rPr>
            <w:fldChar w:fldCharType="separate"/>
          </w:r>
          <w:r>
            <w:rPr>
              <w:color w:val="auto"/>
            </w:rPr>
            <w:t>16</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_Toc10377 </w:instrText>
          </w:r>
          <w:r>
            <w:rPr>
              <w:color w:val="auto"/>
            </w:rPr>
            <w:fldChar w:fldCharType="separate"/>
          </w:r>
          <w:r>
            <w:rPr>
              <w:rFonts w:hint="eastAsia" w:ascii="宋体" w:hAnsi="宋体" w:eastAsia="宋体" w:cs="宋体"/>
              <w:bCs w:val="0"/>
              <w:color w:val="auto"/>
              <w:kern w:val="2"/>
              <w:szCs w:val="24"/>
              <w:highlight w:val="none"/>
              <w:shd w:val="clear" w:color="auto" w:fill="auto"/>
              <w:lang w:val="en-US" w:eastAsia="zh-CN" w:bidi="zh-TW"/>
            </w:rPr>
            <w:t>8、违规处罚措施</w:t>
          </w:r>
          <w:r>
            <w:rPr>
              <w:color w:val="auto"/>
            </w:rPr>
            <w:tab/>
          </w:r>
          <w:r>
            <w:rPr>
              <w:color w:val="auto"/>
            </w:rPr>
            <w:fldChar w:fldCharType="begin"/>
          </w:r>
          <w:r>
            <w:rPr>
              <w:color w:val="auto"/>
            </w:rPr>
            <w:instrText xml:space="preserve"> PAGEREF _Toc10377 \h </w:instrText>
          </w:r>
          <w:r>
            <w:rPr>
              <w:color w:val="auto"/>
            </w:rPr>
            <w:fldChar w:fldCharType="separate"/>
          </w:r>
          <w:r>
            <w:rPr>
              <w:color w:val="auto"/>
            </w:rPr>
            <w:t>18</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_Toc5120 </w:instrText>
          </w:r>
          <w:r>
            <w:rPr>
              <w:color w:val="auto"/>
            </w:rPr>
            <w:fldChar w:fldCharType="separate"/>
          </w:r>
          <w:r>
            <w:rPr>
              <w:rFonts w:hint="eastAsia" w:ascii="宋体" w:hAnsi="宋体" w:eastAsia="宋体" w:cs="宋体"/>
              <w:bCs/>
              <w:color w:val="auto"/>
              <w:kern w:val="2"/>
              <w:szCs w:val="24"/>
              <w:highlight w:val="none"/>
              <w:shd w:val="clear" w:color="auto" w:fill="FFFFFF"/>
              <w:lang w:val="en-US" w:eastAsia="zh-CN" w:bidi="ar-SA"/>
            </w:rPr>
            <w:t>9、按时回款、资金保障</w:t>
          </w:r>
          <w:r>
            <w:rPr>
              <w:color w:val="auto"/>
            </w:rPr>
            <w:tab/>
          </w:r>
          <w:r>
            <w:rPr>
              <w:color w:val="auto"/>
            </w:rPr>
            <w:fldChar w:fldCharType="begin"/>
          </w:r>
          <w:r>
            <w:rPr>
              <w:color w:val="auto"/>
            </w:rPr>
            <w:instrText xml:space="preserve"> PAGEREF _Toc5120 \h </w:instrText>
          </w:r>
          <w:r>
            <w:rPr>
              <w:color w:val="auto"/>
            </w:rPr>
            <w:fldChar w:fldCharType="separate"/>
          </w:r>
          <w:r>
            <w:rPr>
              <w:color w:val="auto"/>
            </w:rPr>
            <w:t>19</w:t>
          </w:r>
          <w:r>
            <w:rPr>
              <w:color w:val="auto"/>
            </w:rPr>
            <w:fldChar w:fldCharType="end"/>
          </w:r>
          <w:r>
            <w:rPr>
              <w:color w:val="auto"/>
            </w:rPr>
            <w:fldChar w:fldCharType="end"/>
          </w:r>
        </w:p>
        <w:p>
          <w:pPr>
            <w:pStyle w:val="57"/>
            <w:tabs>
              <w:tab w:val="right" w:leader="dot" w:pos="8992"/>
            </w:tabs>
            <w:rPr>
              <w:color w:val="auto"/>
            </w:rPr>
          </w:pPr>
          <w:r>
            <w:rPr>
              <w:color w:val="auto"/>
            </w:rPr>
            <w:fldChar w:fldCharType="begin"/>
          </w:r>
          <w:r>
            <w:rPr>
              <w:color w:val="auto"/>
            </w:rPr>
            <w:instrText xml:space="preserve"> HYPERLINK \l _Toc14681 </w:instrText>
          </w:r>
          <w:r>
            <w:rPr>
              <w:color w:val="auto"/>
            </w:rPr>
            <w:fldChar w:fldCharType="separate"/>
          </w:r>
          <w:r>
            <w:rPr>
              <w:rFonts w:hint="eastAsia" w:ascii="宋体" w:hAnsi="宋体" w:eastAsia="宋体" w:cs="宋体"/>
              <w:bCs/>
              <w:color w:val="auto"/>
              <w:kern w:val="2"/>
              <w:szCs w:val="24"/>
              <w:highlight w:val="none"/>
              <w:shd w:val="clear" w:color="auto" w:fill="FFFFFF"/>
              <w:lang w:val="en-US" w:eastAsia="zh-CN" w:bidi="ar-SA"/>
            </w:rPr>
            <w:t>10、采购文件的解释</w:t>
          </w:r>
          <w:r>
            <w:rPr>
              <w:color w:val="auto"/>
            </w:rPr>
            <w:tab/>
          </w:r>
          <w:r>
            <w:rPr>
              <w:color w:val="auto"/>
            </w:rPr>
            <w:fldChar w:fldCharType="begin"/>
          </w:r>
          <w:r>
            <w:rPr>
              <w:color w:val="auto"/>
            </w:rPr>
            <w:instrText xml:space="preserve"> PAGEREF _Toc14681 \h </w:instrText>
          </w:r>
          <w:r>
            <w:rPr>
              <w:color w:val="auto"/>
            </w:rPr>
            <w:fldChar w:fldCharType="separate"/>
          </w:r>
          <w:r>
            <w:rPr>
              <w:color w:val="auto"/>
            </w:rPr>
            <w:t>19</w:t>
          </w:r>
          <w:r>
            <w:rPr>
              <w:color w:val="auto"/>
            </w:rPr>
            <w:fldChar w:fldCharType="end"/>
          </w:r>
          <w:r>
            <w:rPr>
              <w:color w:val="auto"/>
            </w:rPr>
            <w:fldChar w:fldCharType="end"/>
          </w:r>
        </w:p>
        <w:p>
          <w:pPr>
            <w:pStyle w:val="56"/>
            <w:tabs>
              <w:tab w:val="right" w:leader="dot" w:pos="8992"/>
            </w:tabs>
            <w:rPr>
              <w:b/>
              <w:color w:val="auto"/>
            </w:rPr>
          </w:pPr>
          <w:r>
            <w:rPr>
              <w:b/>
              <w:color w:val="auto"/>
            </w:rPr>
            <w:fldChar w:fldCharType="begin"/>
          </w:r>
          <w:r>
            <w:rPr>
              <w:b/>
              <w:color w:val="auto"/>
            </w:rPr>
            <w:instrText xml:space="preserve"> HYPERLINK \l _Toc32704 </w:instrText>
          </w:r>
          <w:r>
            <w:rPr>
              <w:b/>
              <w:color w:val="auto"/>
            </w:rPr>
            <w:fldChar w:fldCharType="separate"/>
          </w:r>
          <w:r>
            <w:rPr>
              <w:rFonts w:hint="eastAsia" w:ascii="宋体" w:hAnsi="宋体" w:eastAsia="宋体" w:cs="宋体"/>
              <w:b/>
              <w:bCs/>
              <w:color w:val="auto"/>
              <w:szCs w:val="24"/>
            </w:rPr>
            <w:t xml:space="preserve">第三部分 </w:t>
          </w:r>
          <w:r>
            <w:rPr>
              <w:rFonts w:hint="eastAsia" w:ascii="宋体" w:hAnsi="宋体" w:eastAsia="宋体" w:cs="宋体"/>
              <w:b/>
              <w:bCs/>
              <w:color w:val="auto"/>
              <w:szCs w:val="24"/>
              <w:highlight w:val="none"/>
            </w:rPr>
            <w:t>附 件</w:t>
          </w:r>
          <w:r>
            <w:rPr>
              <w:b/>
              <w:color w:val="auto"/>
            </w:rPr>
            <w:tab/>
          </w:r>
          <w:r>
            <w:rPr>
              <w:b/>
              <w:color w:val="auto"/>
            </w:rPr>
            <w:fldChar w:fldCharType="begin"/>
          </w:r>
          <w:r>
            <w:rPr>
              <w:b/>
              <w:color w:val="auto"/>
            </w:rPr>
            <w:instrText xml:space="preserve"> PAGEREF _Toc32704 \h </w:instrText>
          </w:r>
          <w:r>
            <w:rPr>
              <w:b/>
              <w:color w:val="auto"/>
            </w:rPr>
            <w:fldChar w:fldCharType="separate"/>
          </w:r>
          <w:r>
            <w:rPr>
              <w:b/>
              <w:color w:val="auto"/>
            </w:rPr>
            <w:t>20</w:t>
          </w:r>
          <w:r>
            <w:rPr>
              <w:b/>
              <w:color w:val="auto"/>
            </w:rPr>
            <w:fldChar w:fldCharType="end"/>
          </w:r>
          <w:r>
            <w:rPr>
              <w:b/>
              <w:color w:val="auto"/>
            </w:rPr>
            <w:fldChar w:fldCharType="end"/>
          </w:r>
        </w:p>
        <w:p>
          <w:pPr>
            <w:pStyle w:val="56"/>
            <w:tabs>
              <w:tab w:val="right" w:leader="dot" w:pos="8992"/>
            </w:tabs>
            <w:rPr>
              <w:b/>
              <w:color w:val="auto"/>
            </w:rPr>
          </w:pPr>
        </w:p>
        <w:p>
          <w:pPr>
            <w:rPr>
              <w:b/>
              <w:color w:val="auto"/>
            </w:rPr>
          </w:pPr>
          <w:r>
            <w:rPr>
              <w:b/>
              <w:color w:val="auto"/>
            </w:rPr>
            <w:fldChar w:fldCharType="end"/>
          </w:r>
        </w:p>
        <w:p>
          <w:pPr>
            <w:rPr>
              <w:b/>
              <w:color w:val="auto"/>
            </w:rPr>
          </w:pPr>
          <w:r>
            <w:rPr>
              <w:b/>
              <w:color w:val="auto"/>
            </w:rPr>
            <w:br w:type="page"/>
          </w:r>
        </w:p>
        <w:p>
          <w:pPr>
            <w:rPr>
              <w:color w:val="auto"/>
            </w:rPr>
          </w:pPr>
        </w:p>
      </w:sdtContent>
    </w:sdt>
    <w:p>
      <w:pPr>
        <w:pStyle w:val="9"/>
        <w:spacing w:line="570" w:lineRule="exact"/>
        <w:jc w:val="center"/>
        <w:outlineLvl w:val="0"/>
        <w:rPr>
          <w:rFonts w:hint="eastAsia" w:ascii="仿宋" w:hAnsi="仿宋" w:eastAsia="仿宋" w:cs="仿宋"/>
          <w:b/>
          <w:bCs/>
          <w:color w:val="auto"/>
          <w:sz w:val="32"/>
          <w:szCs w:val="32"/>
          <w:highlight w:val="none"/>
        </w:rPr>
      </w:pPr>
      <w:bookmarkStart w:id="10" w:name="_Toc20155"/>
    </w:p>
    <w:p>
      <w:pPr>
        <w:pStyle w:val="9"/>
        <w:spacing w:line="570" w:lineRule="exact"/>
        <w:jc w:val="center"/>
        <w:outlineLvl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第一部分  采购邀请</w:t>
      </w:r>
      <w:bookmarkEnd w:id="10"/>
    </w:p>
    <w:p>
      <w:pPr>
        <w:pStyle w:val="9"/>
        <w:pageBreakBefore w:val="0"/>
        <w:kinsoku/>
        <w:wordWrap/>
        <w:overflowPunct/>
        <w:topLinePunct w:val="0"/>
        <w:bidi w:val="0"/>
        <w:snapToGrid/>
        <w:spacing w:line="460" w:lineRule="exact"/>
        <w:ind w:right="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各相关企业：</w:t>
      </w:r>
    </w:p>
    <w:p>
      <w:pPr>
        <w:pageBreakBefore w:val="0"/>
        <w:kinsoku/>
        <w:wordWrap/>
        <w:overflowPunct/>
        <w:topLinePunct w:val="0"/>
        <w:bidi w:val="0"/>
        <w:snapToGrid/>
        <w:spacing w:line="460" w:lineRule="exact"/>
        <w:ind w:left="0" w:leftChars="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kern w:val="2"/>
          <w:sz w:val="24"/>
          <w:szCs w:val="24"/>
          <w:highlight w:val="none"/>
          <w:lang w:val="en-US" w:eastAsia="zh-CN" w:bidi="ar-SA"/>
        </w:rPr>
        <w:t>为有效降低群众医疗费用负担，引导药品和医用耗材价格回归合理水平，促进医药市场环境进一步优化。根据《关于组建“南北中区域联盟”开展医药集中采购工作的通知》（新医保函〔2022〕18号）文件精神，由阿克苏地区、喀什地区、和田地区、克州、巴州、第一师阿拉尔市、第二师铁门关市、第三师图木舒克市、第</w:t>
      </w:r>
      <w:r>
        <w:rPr>
          <w:rFonts w:hint="eastAsia" w:ascii="宋体" w:hAnsi="宋体" w:eastAsia="宋体" w:cs="宋体"/>
          <w:color w:val="auto"/>
          <w:sz w:val="24"/>
          <w:szCs w:val="24"/>
          <w:highlight w:val="none"/>
          <w:lang w:val="en-US" w:eastAsia="zh-CN"/>
        </w:rPr>
        <w:t>十四师昆玉市组成</w:t>
      </w:r>
      <w:r>
        <w:rPr>
          <w:rFonts w:hint="eastAsia" w:ascii="宋体" w:hAnsi="宋体" w:eastAsia="宋体" w:cs="宋体"/>
          <w:color w:val="auto"/>
          <w:kern w:val="2"/>
          <w:sz w:val="24"/>
          <w:szCs w:val="24"/>
          <w:highlight w:val="none"/>
          <w:lang w:val="en-US" w:eastAsia="zh-CN" w:bidi="ar-SA"/>
        </w:rPr>
        <w:t>南部联盟医药集采领导小组办公室，</w:t>
      </w:r>
      <w:r>
        <w:rPr>
          <w:rFonts w:hint="eastAsia" w:ascii="宋体" w:hAnsi="宋体" w:eastAsia="宋体" w:cs="宋体"/>
          <w:color w:val="auto"/>
          <w:sz w:val="24"/>
          <w:szCs w:val="24"/>
          <w:highlight w:val="none"/>
          <w:shd w:val="clear" w:color="auto" w:fill="FFFFFF"/>
        </w:rPr>
        <w:t>依法依规开展药品</w:t>
      </w:r>
      <w:r>
        <w:rPr>
          <w:rFonts w:hint="eastAsia" w:ascii="宋体" w:hAnsi="宋体" w:eastAsia="宋体" w:cs="宋体"/>
          <w:color w:val="auto"/>
          <w:sz w:val="24"/>
          <w:szCs w:val="24"/>
          <w:highlight w:val="none"/>
          <w:shd w:val="clear" w:color="auto" w:fill="FFFFFF"/>
          <w:lang w:val="en-US" w:eastAsia="zh-CN"/>
        </w:rPr>
        <w:t>联合议价</w:t>
      </w:r>
      <w:r>
        <w:rPr>
          <w:rFonts w:hint="eastAsia" w:ascii="宋体" w:hAnsi="宋体" w:eastAsia="宋体" w:cs="宋体"/>
          <w:color w:val="auto"/>
          <w:sz w:val="24"/>
          <w:szCs w:val="24"/>
          <w:highlight w:val="none"/>
          <w:shd w:val="clear" w:color="auto" w:fill="FFFFFF"/>
        </w:rPr>
        <w:t>工作，具体负责本次</w:t>
      </w:r>
      <w:r>
        <w:rPr>
          <w:rFonts w:hint="eastAsia" w:ascii="宋体" w:hAnsi="宋体" w:eastAsia="宋体" w:cs="宋体"/>
          <w:color w:val="auto"/>
          <w:sz w:val="24"/>
          <w:szCs w:val="24"/>
          <w:highlight w:val="none"/>
          <w:shd w:val="clear" w:color="auto" w:fill="FFFFFF"/>
          <w:lang w:val="en-US" w:eastAsia="zh-CN"/>
        </w:rPr>
        <w:t>药品</w:t>
      </w:r>
      <w:r>
        <w:rPr>
          <w:rFonts w:hint="eastAsia" w:ascii="宋体" w:hAnsi="宋体" w:eastAsia="宋体" w:cs="宋体"/>
          <w:color w:val="auto"/>
          <w:sz w:val="24"/>
          <w:szCs w:val="24"/>
          <w:highlight w:val="none"/>
          <w:shd w:val="clear" w:color="auto" w:fill="FFFFFF"/>
        </w:rPr>
        <w:t>采购日常工作和组织实施。现邀请符合要求的企业前来申报。</w:t>
      </w:r>
    </w:p>
    <w:p>
      <w:pPr>
        <w:pStyle w:val="9"/>
        <w:pageBreakBefore w:val="0"/>
        <w:tabs>
          <w:tab w:val="left" w:pos="1725"/>
        </w:tabs>
        <w:kinsoku/>
        <w:wordWrap/>
        <w:overflowPunct/>
        <w:topLinePunct w:val="0"/>
        <w:bidi w:val="0"/>
        <w:snapToGrid/>
        <w:spacing w:line="460" w:lineRule="exact"/>
        <w:ind w:left="0" w:leftChars="0" w:right="0" w:firstLine="482" w:firstLineChars="200"/>
        <w:jc w:val="both"/>
        <w:textAlignment w:val="auto"/>
        <w:outlineLvl w:val="1"/>
        <w:rPr>
          <w:rFonts w:hint="eastAsia" w:ascii="宋体" w:hAnsi="宋体" w:eastAsia="宋体" w:cs="宋体"/>
          <w:b/>
          <w:bCs/>
          <w:color w:val="auto"/>
          <w:kern w:val="32"/>
          <w:sz w:val="24"/>
          <w:szCs w:val="24"/>
          <w:highlight w:val="none"/>
        </w:rPr>
      </w:pPr>
      <w:bookmarkStart w:id="11" w:name="_Toc10571"/>
      <w:bookmarkStart w:id="12" w:name="_Toc53152573"/>
      <w:bookmarkStart w:id="13" w:name="_Toc26950"/>
      <w:r>
        <w:rPr>
          <w:rFonts w:hint="eastAsia" w:ascii="宋体" w:hAnsi="宋体" w:eastAsia="宋体" w:cs="宋体"/>
          <w:b/>
          <w:bCs/>
          <w:color w:val="auto"/>
          <w:kern w:val="32"/>
          <w:sz w:val="24"/>
          <w:szCs w:val="24"/>
          <w:highlight w:val="none"/>
          <w:lang w:val="en-US" w:eastAsia="zh-CN"/>
        </w:rPr>
        <w:t>1</w:t>
      </w:r>
      <w:r>
        <w:rPr>
          <w:rFonts w:hint="eastAsia" w:hAnsi="宋体" w:cs="宋体"/>
          <w:b/>
          <w:bCs/>
          <w:color w:val="auto"/>
          <w:kern w:val="32"/>
          <w:sz w:val="24"/>
          <w:szCs w:val="24"/>
          <w:highlight w:val="none"/>
          <w:lang w:val="en-US" w:eastAsia="zh-CN"/>
        </w:rPr>
        <w:t>、</w:t>
      </w:r>
      <w:r>
        <w:rPr>
          <w:rFonts w:hint="eastAsia" w:ascii="宋体" w:hAnsi="宋体" w:eastAsia="宋体" w:cs="宋体"/>
          <w:b/>
          <w:bCs/>
          <w:color w:val="auto"/>
          <w:kern w:val="32"/>
          <w:sz w:val="24"/>
          <w:szCs w:val="24"/>
          <w:highlight w:val="none"/>
        </w:rPr>
        <w:t>采购品种</w:t>
      </w:r>
      <w:bookmarkEnd w:id="11"/>
      <w:bookmarkEnd w:id="12"/>
      <w:bookmarkEnd w:id="13"/>
    </w:p>
    <w:p>
      <w:pPr>
        <w:pageBreakBefore w:val="0"/>
        <w:numPr>
          <w:ilvl w:val="0"/>
          <w:numId w:val="0"/>
        </w:numPr>
        <w:kinsoku/>
        <w:wordWrap/>
        <w:overflowPunct/>
        <w:topLinePunct w:val="0"/>
        <w:bidi w:val="0"/>
        <w:snapToGrid/>
        <w:spacing w:line="460" w:lineRule="exact"/>
        <w:ind w:left="0" w:leftChars="0" w:right="0" w:rightChars="0" w:firstLine="480" w:firstLineChars="20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采购品种目录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详见附件）</w:t>
      </w:r>
    </w:p>
    <w:p>
      <w:pPr>
        <w:pageBreakBefore w:val="0"/>
        <w:kinsoku/>
        <w:wordWrap/>
        <w:overflowPunct/>
        <w:topLinePunct w:val="0"/>
        <w:bidi w:val="0"/>
        <w:snapToGrid/>
        <w:spacing w:line="460" w:lineRule="exact"/>
        <w:ind w:left="0" w:leftChars="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1.1.1申报药品</w:t>
      </w:r>
      <w:r>
        <w:rPr>
          <w:rFonts w:hint="eastAsia" w:ascii="宋体" w:hAnsi="宋体" w:cs="宋体"/>
          <w:color w:val="auto"/>
          <w:sz w:val="24"/>
          <w:szCs w:val="24"/>
          <w:highlight w:val="none"/>
          <w:shd w:val="clear" w:color="auto" w:fill="FFFFFF"/>
          <w:lang w:val="en-US" w:eastAsia="zh-CN"/>
        </w:rPr>
        <w:t>不限规格</w:t>
      </w:r>
      <w:r>
        <w:rPr>
          <w:rFonts w:hint="eastAsia" w:ascii="宋体" w:hAnsi="宋体" w:eastAsia="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rPr>
        <w:t>申报企业可以投报</w:t>
      </w:r>
      <w:r>
        <w:rPr>
          <w:rFonts w:hint="eastAsia" w:ascii="宋体" w:hAnsi="宋体" w:eastAsia="宋体" w:cs="宋体"/>
          <w:color w:val="auto"/>
          <w:sz w:val="24"/>
          <w:szCs w:val="24"/>
          <w:highlight w:val="none"/>
          <w:shd w:val="clear" w:color="auto" w:fill="FFFFFF"/>
          <w:lang w:val="en-US" w:eastAsia="zh-CN"/>
        </w:rPr>
        <w:t>药品目录内，</w:t>
      </w:r>
      <w:r>
        <w:rPr>
          <w:rFonts w:hint="eastAsia" w:ascii="宋体" w:hAnsi="宋体" w:eastAsia="宋体" w:cs="宋体"/>
          <w:color w:val="auto"/>
          <w:sz w:val="24"/>
          <w:szCs w:val="24"/>
          <w:highlight w:val="none"/>
          <w:shd w:val="clear" w:color="auto" w:fill="FFFFFF"/>
        </w:rPr>
        <w:t>药品名称和剂型相符</w:t>
      </w:r>
      <w:r>
        <w:rPr>
          <w:rFonts w:hint="eastAsia" w:ascii="宋体" w:hAnsi="宋体" w:eastAsia="宋体" w:cs="宋体"/>
          <w:color w:val="auto"/>
          <w:sz w:val="24"/>
          <w:szCs w:val="24"/>
          <w:highlight w:val="none"/>
          <w:shd w:val="clear" w:color="auto" w:fill="FFFFFF"/>
          <w:lang w:val="en-US" w:eastAsia="zh-CN"/>
        </w:rPr>
        <w:t>的各种</w:t>
      </w:r>
      <w:r>
        <w:rPr>
          <w:rFonts w:hint="eastAsia" w:ascii="宋体" w:hAnsi="宋体" w:eastAsia="宋体" w:cs="宋体"/>
          <w:color w:val="auto"/>
          <w:sz w:val="24"/>
          <w:szCs w:val="24"/>
          <w:highlight w:val="none"/>
          <w:shd w:val="clear" w:color="auto" w:fill="FFFFFF"/>
        </w:rPr>
        <w:t>规格</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lang w:val="en-US" w:eastAsia="zh-CN"/>
        </w:rPr>
        <w:t>各</w:t>
      </w:r>
      <w:r>
        <w:rPr>
          <w:rFonts w:hint="eastAsia" w:ascii="宋体" w:hAnsi="宋体" w:eastAsia="宋体" w:cs="宋体"/>
          <w:color w:val="auto"/>
          <w:sz w:val="24"/>
          <w:szCs w:val="24"/>
          <w:highlight w:val="none"/>
          <w:shd w:val="clear" w:color="auto" w:fill="FFFFFF"/>
        </w:rPr>
        <w:t>包装系数、各容量装量和各包材的药品。</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1.1.2</w:t>
      </w:r>
      <w:r>
        <w:rPr>
          <w:rFonts w:hint="eastAsia" w:ascii="宋体" w:hAnsi="宋体" w:eastAsia="宋体" w:cs="宋体"/>
          <w:color w:val="auto"/>
          <w:sz w:val="24"/>
          <w:szCs w:val="24"/>
          <w:highlight w:val="none"/>
          <w:shd w:val="clear" w:color="auto" w:fill="FFFFFF"/>
        </w:rPr>
        <w:t>申报企业应在《供应品种清单》中填报企业能保障供应的所有规格。</w:t>
      </w:r>
    </w:p>
    <w:p>
      <w:pPr>
        <w:pageBreakBefore w:val="0"/>
        <w:kinsoku/>
        <w:wordWrap/>
        <w:overflowPunct/>
        <w:topLinePunct w:val="0"/>
        <w:bidi w:val="0"/>
        <w:snapToGrid/>
        <w:spacing w:line="460" w:lineRule="exact"/>
        <w:ind w:left="0" w:leftChars="0" w:right="0" w:firstLine="480" w:firstLineChars="20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采购药品分组</w:t>
      </w:r>
    </w:p>
    <w:p>
      <w:pPr>
        <w:pStyle w:val="19"/>
        <w:keepNext w:val="0"/>
        <w:keepLines w:val="0"/>
        <w:pageBreakBefore w:val="0"/>
        <w:widowControl w:val="0"/>
        <w:numPr>
          <w:ilvl w:val="0"/>
          <w:numId w:val="0"/>
        </w:numPr>
        <w:kinsoku/>
        <w:wordWrap/>
        <w:overflowPunct/>
        <w:topLinePunct w:val="0"/>
        <w:autoSpaceDE/>
        <w:autoSpaceDN/>
        <w:bidi w:val="0"/>
        <w:adjustRightInd/>
        <w:snapToGrid/>
        <w:spacing w:after="0" w:afterLines="0" w:line="460" w:lineRule="exact"/>
        <w:ind w:left="0" w:leftChars="0" w:right="0" w:firstLine="480" w:firstLineChars="200"/>
        <w:jc w:val="both"/>
        <w:textAlignment w:val="auto"/>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cs="宋体"/>
          <w:color w:val="auto"/>
          <w:kern w:val="2"/>
          <w:sz w:val="24"/>
          <w:szCs w:val="24"/>
          <w:highlight w:val="none"/>
          <w:shd w:val="clear" w:color="auto" w:fill="FFFFFF"/>
          <w:lang w:val="en-US" w:eastAsia="zh-CN" w:bidi="ar-SA"/>
        </w:rPr>
        <w:t>1.2.1西药</w:t>
      </w:r>
      <w:r>
        <w:rPr>
          <w:rFonts w:hint="eastAsia" w:ascii="宋体" w:hAnsi="宋体" w:eastAsia="宋体" w:cs="宋体"/>
          <w:color w:val="auto"/>
          <w:kern w:val="2"/>
          <w:sz w:val="24"/>
          <w:szCs w:val="24"/>
          <w:highlight w:val="none"/>
          <w:shd w:val="clear" w:color="auto" w:fill="FFFFFF"/>
          <w:lang w:val="en-US" w:eastAsia="zh-CN" w:bidi="ar-SA"/>
        </w:rPr>
        <w:t>产品同通用名、规格、合并剂型</w:t>
      </w:r>
      <w:r>
        <w:rPr>
          <w:rFonts w:hint="eastAsia" w:ascii="宋体" w:hAnsi="宋体" w:cs="宋体"/>
          <w:color w:val="auto"/>
          <w:kern w:val="2"/>
          <w:sz w:val="24"/>
          <w:szCs w:val="24"/>
          <w:highlight w:val="none"/>
          <w:shd w:val="clear" w:color="auto" w:fill="FFFFFF"/>
          <w:lang w:val="en-US" w:eastAsia="zh-CN" w:bidi="ar-SA"/>
        </w:rPr>
        <w:t>（</w:t>
      </w:r>
      <w:r>
        <w:rPr>
          <w:rFonts w:hint="eastAsia" w:ascii="宋体" w:hAnsi="宋体" w:eastAsia="宋体" w:cs="宋体"/>
          <w:color w:val="auto"/>
          <w:kern w:val="2"/>
          <w:sz w:val="24"/>
          <w:szCs w:val="24"/>
          <w:highlight w:val="none"/>
          <w:shd w:val="clear" w:color="auto" w:fill="FFFFFF"/>
          <w:lang w:val="en-US" w:eastAsia="zh-CN" w:bidi="ar-SA"/>
        </w:rPr>
        <w:t>2022版药品目录合并剂型规则</w:t>
      </w:r>
      <w:r>
        <w:rPr>
          <w:rFonts w:hint="eastAsia" w:ascii="宋体" w:hAnsi="宋体" w:cs="宋体"/>
          <w:color w:val="auto"/>
          <w:kern w:val="2"/>
          <w:sz w:val="24"/>
          <w:szCs w:val="24"/>
          <w:highlight w:val="none"/>
          <w:shd w:val="clear" w:color="auto" w:fill="FFFFFF"/>
          <w:lang w:val="en-US" w:eastAsia="zh-CN" w:bidi="ar-SA"/>
        </w:rPr>
        <w:t>）</w:t>
      </w:r>
      <w:r>
        <w:rPr>
          <w:rFonts w:hint="eastAsia" w:ascii="宋体" w:hAnsi="宋体" w:eastAsia="宋体" w:cs="宋体"/>
          <w:color w:val="auto"/>
          <w:kern w:val="2"/>
          <w:sz w:val="24"/>
          <w:szCs w:val="24"/>
          <w:highlight w:val="none"/>
          <w:shd w:val="clear" w:color="auto" w:fill="FFFFFF"/>
          <w:lang w:val="en-US" w:eastAsia="zh-CN" w:bidi="ar-SA"/>
        </w:rPr>
        <w:t>进行分组。</w:t>
      </w:r>
    </w:p>
    <w:p>
      <w:pPr>
        <w:pStyle w:val="19"/>
        <w:keepNext w:val="0"/>
        <w:keepLines w:val="0"/>
        <w:pageBreakBefore w:val="0"/>
        <w:widowControl w:val="0"/>
        <w:numPr>
          <w:ilvl w:val="0"/>
          <w:numId w:val="0"/>
        </w:numPr>
        <w:kinsoku/>
        <w:wordWrap/>
        <w:overflowPunct/>
        <w:topLinePunct w:val="0"/>
        <w:autoSpaceDE/>
        <w:autoSpaceDN/>
        <w:bidi w:val="0"/>
        <w:adjustRightInd/>
        <w:snapToGrid/>
        <w:spacing w:after="0" w:afterLines="0" w:line="460" w:lineRule="exact"/>
        <w:ind w:left="0" w:leftChars="0" w:right="0" w:firstLine="480" w:firstLineChars="200"/>
        <w:jc w:val="both"/>
        <w:textAlignment w:val="auto"/>
        <w:rPr>
          <w:rFonts w:hint="default" w:ascii="宋体" w:hAnsi="宋体" w:eastAsia="宋体" w:cs="宋体"/>
          <w:color w:val="auto"/>
          <w:kern w:val="2"/>
          <w:sz w:val="24"/>
          <w:szCs w:val="24"/>
          <w:highlight w:val="none"/>
          <w:shd w:val="clear" w:color="auto" w:fill="FFFFFF"/>
          <w:lang w:val="en-US" w:eastAsia="zh-CN" w:bidi="ar-SA"/>
        </w:rPr>
      </w:pPr>
      <w:r>
        <w:rPr>
          <w:rFonts w:hint="eastAsia" w:ascii="宋体" w:hAnsi="宋体" w:cs="宋体"/>
          <w:color w:val="auto"/>
          <w:kern w:val="2"/>
          <w:sz w:val="24"/>
          <w:szCs w:val="24"/>
          <w:highlight w:val="none"/>
          <w:shd w:val="clear" w:color="auto" w:fill="FFFFFF"/>
          <w:lang w:val="en-US" w:eastAsia="zh-CN" w:bidi="ar-SA"/>
        </w:rPr>
        <w:t>1.2.2同通用名中成药按口服类和非口服类（包含外用制剂和注射剂）进行分组。</w:t>
      </w:r>
    </w:p>
    <w:p>
      <w:pPr>
        <w:pStyle w:val="20"/>
        <w:pageBreakBefore w:val="0"/>
        <w:widowControl w:val="0"/>
        <w:shd w:val="clear" w:color="auto"/>
        <w:kinsoku/>
        <w:wordWrap/>
        <w:overflowPunct/>
        <w:topLinePunct w:val="0"/>
        <w:bidi w:val="0"/>
        <w:snapToGrid/>
        <w:spacing w:before="0" w:beforeAutospacing="0" w:after="0" w:afterAutospacing="0" w:line="460" w:lineRule="exact"/>
        <w:ind w:left="0" w:leftChars="0" w:right="0" w:firstLine="482" w:firstLineChars="200"/>
        <w:jc w:val="both"/>
        <w:textAlignment w:val="auto"/>
        <w:outlineLvl w:val="1"/>
        <w:rPr>
          <w:rFonts w:hint="eastAsia" w:ascii="宋体" w:hAnsi="宋体" w:eastAsia="宋体" w:cs="宋体"/>
          <w:b/>
          <w:bCs/>
          <w:color w:val="auto"/>
          <w:kern w:val="32"/>
          <w:sz w:val="24"/>
          <w:szCs w:val="24"/>
          <w:highlight w:val="none"/>
        </w:rPr>
      </w:pPr>
      <w:bookmarkStart w:id="14" w:name="_Toc353"/>
      <w:bookmarkStart w:id="15" w:name="_Toc53152574"/>
      <w:r>
        <w:rPr>
          <w:rFonts w:hint="eastAsia" w:ascii="宋体" w:hAnsi="宋体" w:eastAsia="宋体" w:cs="宋体"/>
          <w:b/>
          <w:bCs/>
          <w:color w:val="auto"/>
          <w:kern w:val="32"/>
          <w:sz w:val="24"/>
          <w:szCs w:val="24"/>
          <w:highlight w:val="none"/>
          <w:lang w:val="en-US" w:eastAsia="zh-CN"/>
        </w:rPr>
        <w:t>2</w:t>
      </w:r>
      <w:r>
        <w:rPr>
          <w:rFonts w:hint="eastAsia" w:ascii="宋体" w:hAnsi="宋体" w:eastAsia="宋体" w:cs="宋体"/>
          <w:b/>
          <w:bCs/>
          <w:color w:val="auto"/>
          <w:kern w:val="32"/>
          <w:sz w:val="24"/>
          <w:szCs w:val="24"/>
          <w:highlight w:val="none"/>
        </w:rPr>
        <w:t>、采购周期</w:t>
      </w:r>
      <w:bookmarkEnd w:id="14"/>
      <w:bookmarkEnd w:id="15"/>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中选药品采购周期原则上为</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采购周期内，如遇国家、省级组织药品集中带量采购品种目录相同，则按照国家</w:t>
      </w:r>
      <w:r>
        <w:rPr>
          <w:rFonts w:hint="eastAsia" w:ascii="宋体" w:hAnsi="宋体" w:cs="宋体"/>
          <w:color w:val="auto"/>
          <w:sz w:val="24"/>
          <w:szCs w:val="24"/>
          <w:highlight w:val="none"/>
          <w:lang w:val="en-US" w:eastAsia="zh-CN"/>
        </w:rPr>
        <w:t>、省级集采</w:t>
      </w:r>
      <w:r>
        <w:rPr>
          <w:rFonts w:hint="eastAsia" w:ascii="宋体" w:hAnsi="宋体" w:eastAsia="宋体" w:cs="宋体"/>
          <w:color w:val="auto"/>
          <w:sz w:val="24"/>
          <w:szCs w:val="24"/>
          <w:highlight w:val="none"/>
          <w:lang w:val="en-US" w:eastAsia="zh-CN"/>
        </w:rPr>
        <w:t>政策进行调整。</w:t>
      </w:r>
    </w:p>
    <w:p>
      <w:pPr>
        <w:pageBreakBefore w:val="0"/>
        <w:kinsoku/>
        <w:wordWrap/>
        <w:overflowPunct/>
        <w:topLinePunct w:val="0"/>
        <w:bidi w:val="0"/>
        <w:snapToGrid/>
        <w:spacing w:line="460" w:lineRule="exact"/>
        <w:ind w:left="0" w:leftChars="0" w:right="0" w:firstLine="482" w:firstLineChars="200"/>
        <w:jc w:val="both"/>
        <w:textAlignment w:val="auto"/>
        <w:outlineLvl w:val="1"/>
        <w:rPr>
          <w:rFonts w:hint="eastAsia" w:ascii="宋体" w:hAnsi="宋体" w:eastAsia="宋体" w:cs="宋体"/>
          <w:b/>
          <w:bCs/>
          <w:color w:val="auto"/>
          <w:kern w:val="32"/>
          <w:sz w:val="24"/>
          <w:szCs w:val="24"/>
          <w:highlight w:val="none"/>
          <w:lang w:val="en-US" w:eastAsia="zh-CN"/>
        </w:rPr>
      </w:pPr>
      <w:bookmarkStart w:id="16" w:name="_Toc53152575"/>
      <w:bookmarkStart w:id="17" w:name="_Toc28991"/>
      <w:r>
        <w:rPr>
          <w:rFonts w:hint="eastAsia" w:ascii="宋体" w:hAnsi="宋体" w:eastAsia="宋体" w:cs="宋体"/>
          <w:b/>
          <w:bCs/>
          <w:color w:val="auto"/>
          <w:kern w:val="32"/>
          <w:sz w:val="24"/>
          <w:szCs w:val="24"/>
          <w:highlight w:val="none"/>
          <w:lang w:val="en-US" w:eastAsia="zh-CN"/>
        </w:rPr>
        <w:t>3</w:t>
      </w:r>
      <w:r>
        <w:rPr>
          <w:rFonts w:hint="eastAsia" w:ascii="宋体" w:hAnsi="宋体" w:eastAsia="宋体" w:cs="宋体"/>
          <w:b/>
          <w:bCs/>
          <w:color w:val="auto"/>
          <w:kern w:val="32"/>
          <w:sz w:val="24"/>
          <w:szCs w:val="24"/>
          <w:highlight w:val="none"/>
        </w:rPr>
        <w:t>、申报</w:t>
      </w:r>
      <w:bookmarkEnd w:id="16"/>
      <w:r>
        <w:rPr>
          <w:rFonts w:hint="eastAsia" w:ascii="宋体" w:hAnsi="宋体" w:eastAsia="宋体" w:cs="宋体"/>
          <w:b/>
          <w:bCs/>
          <w:color w:val="auto"/>
          <w:kern w:val="32"/>
          <w:sz w:val="24"/>
          <w:szCs w:val="24"/>
          <w:highlight w:val="none"/>
          <w:lang w:val="en-US" w:eastAsia="zh-CN"/>
        </w:rPr>
        <w:t>要求</w:t>
      </w:r>
      <w:bookmarkEnd w:id="17"/>
    </w:p>
    <w:p>
      <w:pPr>
        <w:pStyle w:val="9"/>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outlineLvl w:val="2"/>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3.1申报企业资格要求 </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3.1.1经国家药品监督管理部门批准、在中国大陆地区上市的药品生产企业（国外及港澳台地区生产企业国内总代理、药品生产企业设立的仅销售本公司药品的商业公司、药品上市许可持有人视同生产企业）及相关配送企业均可申报参加。</w:t>
      </w:r>
    </w:p>
    <w:p>
      <w:pPr>
        <w:pStyle w:val="9"/>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3.1.2申报企业在采购文件挂网公布之日起前两年内，无严重违法记录，企业不存在因申报药品质量等问题被省级及以上药品监督管理部门处罚并公告的情况。未被列入当前《全国医药价格和招采失信企业风险警示名单》，未被国家或联盟地区依据医药价格和招采信用评价制度评定为“严重”或“特别严重”失信等级。</w:t>
      </w:r>
    </w:p>
    <w:p>
      <w:pPr>
        <w:pStyle w:val="9"/>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outlineLvl w:val="2"/>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3.2申报药品资格要求</w:t>
      </w:r>
    </w:p>
    <w:p>
      <w:pPr>
        <w:pStyle w:val="9"/>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3.2.1申报药品属于联合议价采购目录范围，并获得有效中华人民共和国药品批准文号批件。</w:t>
      </w:r>
    </w:p>
    <w:p>
      <w:pPr>
        <w:pStyle w:val="9"/>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3.2.2申报药品应当符合国家有关部门的质量标准要求，并按国家有关部门要求组织生产。采购周期内必须承诺保证药品质量和按时足</w:t>
      </w:r>
      <w:r>
        <w:rPr>
          <w:rFonts w:hint="eastAsia" w:hAnsi="宋体" w:cs="宋体"/>
          <w:color w:val="auto"/>
          <w:kern w:val="2"/>
          <w:sz w:val="24"/>
          <w:szCs w:val="24"/>
          <w:highlight w:val="none"/>
          <w:lang w:val="en-US" w:eastAsia="zh-CN" w:bidi="ar-SA"/>
        </w:rPr>
        <w:t>量</w:t>
      </w:r>
      <w:r>
        <w:rPr>
          <w:rFonts w:hint="eastAsia" w:ascii="宋体" w:hAnsi="宋体" w:eastAsia="宋体" w:cs="宋体"/>
          <w:color w:val="auto"/>
          <w:kern w:val="2"/>
          <w:sz w:val="24"/>
          <w:szCs w:val="24"/>
          <w:highlight w:val="none"/>
          <w:lang w:val="en-US" w:eastAsia="zh-CN" w:bidi="ar-SA"/>
        </w:rPr>
        <w:t>供应。</w:t>
      </w:r>
    </w:p>
    <w:p>
      <w:pPr>
        <w:pStyle w:val="20"/>
        <w:pageBreakBefore w:val="0"/>
        <w:shd w:val="clear" w:color="auto"/>
        <w:kinsoku/>
        <w:wordWrap/>
        <w:overflowPunct/>
        <w:topLinePunct w:val="0"/>
        <w:bidi w:val="0"/>
        <w:snapToGrid/>
        <w:spacing w:before="0" w:beforeAutospacing="0" w:after="0" w:afterAutospacing="0" w:line="460" w:lineRule="exact"/>
        <w:ind w:left="0" w:leftChars="0" w:right="0" w:firstLine="480" w:firstLineChars="200"/>
        <w:jc w:val="both"/>
        <w:textAlignment w:val="auto"/>
        <w:outlineLvl w:val="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价格申报要求</w:t>
      </w:r>
    </w:p>
    <w:p>
      <w:pPr>
        <w:pStyle w:val="20"/>
        <w:pageBreakBefore w:val="0"/>
        <w:shd w:val="clear" w:color="auto"/>
        <w:kinsoku/>
        <w:wordWrap/>
        <w:overflowPunct/>
        <w:topLinePunct w:val="0"/>
        <w:bidi w:val="0"/>
        <w:snapToGrid/>
        <w:spacing w:before="0" w:beforeAutospacing="0" w:after="0" w:afterAutospacing="0" w:line="460" w:lineRule="exact"/>
        <w:ind w:left="0" w:leftChars="0" w:right="0"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3.3.1申报企业</w:t>
      </w:r>
      <w:r>
        <w:rPr>
          <w:rFonts w:hint="eastAsia" w:cs="宋体"/>
          <w:color w:val="auto"/>
          <w:kern w:val="2"/>
          <w:sz w:val="24"/>
          <w:szCs w:val="24"/>
          <w:highlight w:val="none"/>
          <w:lang w:val="en-US" w:eastAsia="zh-CN" w:bidi="ar-SA"/>
        </w:rPr>
        <w:t>报价</w:t>
      </w:r>
      <w:r>
        <w:rPr>
          <w:rFonts w:hint="eastAsia" w:ascii="宋体" w:hAnsi="宋体" w:eastAsia="宋体" w:cs="宋体"/>
          <w:color w:val="auto"/>
          <w:kern w:val="2"/>
          <w:sz w:val="24"/>
          <w:szCs w:val="24"/>
          <w:highlight w:val="none"/>
          <w:lang w:val="en-US" w:eastAsia="zh-CN" w:bidi="ar-SA"/>
        </w:rPr>
        <w:t>时，将药品名称、剂型相符的申报药品，按照联合议价药品目录中</w:t>
      </w:r>
      <w:r>
        <w:rPr>
          <w:rFonts w:hint="eastAsia" w:cs="宋体"/>
          <w:color w:val="auto"/>
          <w:kern w:val="2"/>
          <w:sz w:val="24"/>
          <w:szCs w:val="24"/>
          <w:highlight w:val="none"/>
          <w:lang w:val="en-US" w:eastAsia="zh-CN" w:bidi="ar-SA"/>
        </w:rPr>
        <w:t>代表</w:t>
      </w:r>
      <w:r>
        <w:rPr>
          <w:rFonts w:hint="eastAsia" w:ascii="宋体" w:hAnsi="宋体" w:eastAsia="宋体" w:cs="宋体"/>
          <w:color w:val="auto"/>
          <w:kern w:val="2"/>
          <w:sz w:val="24"/>
          <w:szCs w:val="24"/>
          <w:highlight w:val="none"/>
          <w:lang w:val="en-US" w:eastAsia="zh-CN" w:bidi="ar-SA"/>
        </w:rPr>
        <w:t>规格</w:t>
      </w:r>
      <w:r>
        <w:rPr>
          <w:rFonts w:hint="eastAsia" w:cs="宋体"/>
          <w:color w:val="auto"/>
          <w:kern w:val="2"/>
          <w:sz w:val="24"/>
          <w:szCs w:val="24"/>
          <w:highlight w:val="none"/>
          <w:lang w:val="en-US" w:eastAsia="zh-CN" w:bidi="ar-SA"/>
        </w:rPr>
        <w:t>进行价格转换</w:t>
      </w:r>
      <w:r>
        <w:rPr>
          <w:rFonts w:hint="eastAsia" w:ascii="宋体" w:hAnsi="宋体" w:eastAsia="宋体" w:cs="宋体"/>
          <w:color w:val="auto"/>
          <w:kern w:val="2"/>
          <w:sz w:val="24"/>
          <w:szCs w:val="24"/>
          <w:highlight w:val="none"/>
          <w:lang w:val="en-US" w:eastAsia="zh-CN" w:bidi="ar-SA"/>
        </w:rPr>
        <w:t>。如，某企业申报A药品规格为2mg/片，目录中A药品规格为1mg/片，</w:t>
      </w:r>
      <w:r>
        <w:rPr>
          <w:rFonts w:hint="eastAsia" w:cs="宋体"/>
          <w:color w:val="auto"/>
          <w:kern w:val="2"/>
          <w:sz w:val="24"/>
          <w:szCs w:val="24"/>
          <w:highlight w:val="none"/>
          <w:lang w:val="en-US" w:eastAsia="zh-CN" w:bidi="ar-SA"/>
        </w:rPr>
        <w:t>申报</w:t>
      </w:r>
      <w:r>
        <w:rPr>
          <w:rFonts w:hint="eastAsia" w:ascii="宋体" w:hAnsi="宋体" w:eastAsia="宋体" w:cs="宋体"/>
          <w:color w:val="auto"/>
          <w:kern w:val="2"/>
          <w:sz w:val="24"/>
          <w:szCs w:val="24"/>
          <w:highlight w:val="none"/>
          <w:lang w:val="en-US" w:eastAsia="zh-CN" w:bidi="ar-SA"/>
        </w:rPr>
        <w:t>时需转换为1mg的价格。</w:t>
      </w:r>
    </w:p>
    <w:p>
      <w:pPr>
        <w:pStyle w:val="9"/>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3.3.2企业申报的价格应包含税费、配送费等在内的所有费用。企业报价时要综合考虑配送成本等客观因素，保障医药产品的供应。</w:t>
      </w:r>
    </w:p>
    <w:p>
      <w:pPr>
        <w:ind w:firstLine="480"/>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3.3.3已在自治区（兵团）医保平台招采子系统挂网的企业，</w:t>
      </w:r>
      <w:r>
        <w:rPr>
          <w:rFonts w:hint="eastAsia" w:hAnsi="宋体" w:cs="宋体"/>
          <w:color w:val="auto"/>
          <w:kern w:val="2"/>
          <w:sz w:val="24"/>
          <w:szCs w:val="24"/>
          <w:highlight w:val="none"/>
          <w:lang w:val="en-US" w:eastAsia="zh-CN" w:bidi="ar-SA"/>
        </w:rPr>
        <w:t>投标报价</w:t>
      </w:r>
      <w:r>
        <w:rPr>
          <w:rFonts w:hint="eastAsia" w:ascii="宋体" w:hAnsi="宋体" w:eastAsia="宋体" w:cs="宋体"/>
          <w:color w:val="auto"/>
          <w:kern w:val="2"/>
          <w:sz w:val="24"/>
          <w:szCs w:val="24"/>
          <w:highlight w:val="none"/>
          <w:lang w:val="en-US" w:eastAsia="zh-CN" w:bidi="ar-SA"/>
        </w:rPr>
        <w:t>不得高于</w:t>
      </w:r>
      <w:r>
        <w:rPr>
          <w:rFonts w:hint="eastAsia" w:hAnsi="宋体" w:cs="宋体"/>
          <w:color w:val="auto"/>
          <w:kern w:val="2"/>
          <w:sz w:val="24"/>
          <w:szCs w:val="24"/>
          <w:highlight w:val="none"/>
          <w:lang w:val="en-US" w:eastAsia="zh-CN" w:bidi="ar-SA"/>
        </w:rPr>
        <w:t>自治区（兵团）</w:t>
      </w:r>
      <w:r>
        <w:rPr>
          <w:rFonts w:hint="eastAsia" w:ascii="宋体" w:hAnsi="宋体" w:eastAsia="宋体" w:cs="宋体"/>
          <w:color w:val="auto"/>
          <w:kern w:val="2"/>
          <w:sz w:val="24"/>
          <w:szCs w:val="24"/>
          <w:highlight w:val="none"/>
          <w:lang w:val="en-US" w:eastAsia="zh-CN" w:bidi="ar-SA"/>
        </w:rPr>
        <w:t>正在执行的</w:t>
      </w:r>
      <w:r>
        <w:rPr>
          <w:rFonts w:hint="eastAsia" w:hAnsi="宋体" w:cs="宋体"/>
          <w:color w:val="auto"/>
          <w:kern w:val="2"/>
          <w:sz w:val="24"/>
          <w:szCs w:val="24"/>
          <w:highlight w:val="none"/>
          <w:lang w:val="en-US" w:eastAsia="zh-CN" w:bidi="ar-SA"/>
        </w:rPr>
        <w:t>最低</w:t>
      </w:r>
      <w:r>
        <w:rPr>
          <w:rFonts w:hint="eastAsia" w:ascii="宋体" w:hAnsi="宋体" w:eastAsia="宋体" w:cs="宋体"/>
          <w:color w:val="auto"/>
          <w:kern w:val="2"/>
          <w:sz w:val="24"/>
          <w:szCs w:val="24"/>
          <w:highlight w:val="none"/>
          <w:lang w:val="en-US" w:eastAsia="zh-CN" w:bidi="ar-SA"/>
        </w:rPr>
        <w:t>挂网价</w:t>
      </w:r>
      <w:r>
        <w:rPr>
          <w:rFonts w:hint="eastAsia" w:ascii="宋体" w:hAnsi="宋体" w:cs="宋体"/>
          <w:color w:val="auto"/>
          <w:kern w:val="2"/>
          <w:sz w:val="24"/>
          <w:szCs w:val="24"/>
          <w:highlight w:val="none"/>
          <w:lang w:val="en-US" w:eastAsia="zh-CN" w:bidi="ar-SA"/>
        </w:rPr>
        <w:t>（需按照3.3.1进行规格转换）</w:t>
      </w:r>
      <w:r>
        <w:rPr>
          <w:rFonts w:hint="eastAsia"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在填写投标报价时必须在报价系统内提供真实的挂网价供评标小组参考。</w:t>
      </w:r>
    </w:p>
    <w:p>
      <w:pPr>
        <w:ind w:firstLine="48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3.3.4未在自治区（兵团）医保平台招采子系统挂网的企业，在提供报名资料时应提供各网站挂网价格截图。后续进行第一轮报价时，应提供全国医保平台最低挂网价（需按照3.3.1进行规格转换），一旦中选，两个月之内需完成中选产品的挂网工作。反之，如影响后期采购，需承担法律责任。</w:t>
      </w:r>
    </w:p>
    <w:p>
      <w:pPr>
        <w:pStyle w:val="20"/>
        <w:pageBreakBefore w:val="0"/>
        <w:shd w:val="clear" w:color="auto"/>
        <w:kinsoku/>
        <w:wordWrap/>
        <w:overflowPunct/>
        <w:topLinePunct w:val="0"/>
        <w:bidi w:val="0"/>
        <w:snapToGrid/>
        <w:spacing w:before="0" w:beforeAutospacing="0" w:after="0" w:afterAutospacing="0" w:line="460" w:lineRule="exact"/>
        <w:ind w:left="0" w:leftChars="0" w:right="0" w:firstLine="480" w:firstLineChars="200"/>
        <w:jc w:val="both"/>
        <w:textAlignment w:val="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3.4</w:t>
      </w:r>
      <w:r>
        <w:rPr>
          <w:rFonts w:hint="eastAsia" w:ascii="宋体" w:hAnsi="宋体" w:eastAsia="宋体" w:cs="宋体"/>
          <w:b w:val="0"/>
          <w:bCs w:val="0"/>
          <w:color w:val="auto"/>
          <w:sz w:val="24"/>
          <w:szCs w:val="24"/>
          <w:highlight w:val="none"/>
        </w:rPr>
        <w:t>其他申报要求</w:t>
      </w:r>
    </w:p>
    <w:p>
      <w:pPr>
        <w:pageBreakBefore w:val="0"/>
        <w:shd w:val="clear"/>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3.4.1</w:t>
      </w:r>
      <w:r>
        <w:rPr>
          <w:rFonts w:hint="eastAsia" w:ascii="宋体" w:hAnsi="宋体" w:eastAsia="宋体" w:cs="宋体"/>
          <w:color w:val="auto"/>
          <w:sz w:val="24"/>
          <w:szCs w:val="24"/>
          <w:highlight w:val="none"/>
        </w:rPr>
        <w:t>申报生产企业、经营企业、药品上市许可持有人及委托生产企业必须依法取得相应证照。</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2申报企业必须确保在采购周期内满足</w:t>
      </w:r>
      <w:r>
        <w:rPr>
          <w:rFonts w:hint="eastAsia" w:ascii="宋体" w:hAnsi="宋体" w:eastAsia="宋体" w:cs="宋体"/>
          <w:color w:val="auto"/>
          <w:sz w:val="24"/>
          <w:szCs w:val="24"/>
          <w:highlight w:val="none"/>
          <w:lang w:val="en-US" w:eastAsia="zh-CN"/>
        </w:rPr>
        <w:t>南部</w:t>
      </w:r>
      <w:r>
        <w:rPr>
          <w:rFonts w:hint="eastAsia" w:ascii="宋体" w:hAnsi="宋体" w:eastAsia="宋体" w:cs="宋体"/>
          <w:color w:val="auto"/>
          <w:sz w:val="24"/>
          <w:szCs w:val="24"/>
          <w:highlight w:val="none"/>
        </w:rPr>
        <w:t>联盟中选药品</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采购量需求，必须承诺保证产品质量和按时足</w:t>
      </w:r>
      <w:r>
        <w:rPr>
          <w:rFonts w:hint="eastAsia" w:ascii="宋体" w:hAnsi="宋体" w:cs="宋体"/>
          <w:color w:val="auto"/>
          <w:sz w:val="24"/>
          <w:szCs w:val="24"/>
          <w:highlight w:val="none"/>
          <w:lang w:eastAsia="zh-CN"/>
        </w:rPr>
        <w:t>量</w:t>
      </w:r>
      <w:r>
        <w:rPr>
          <w:rFonts w:hint="eastAsia" w:ascii="宋体" w:hAnsi="宋体" w:eastAsia="宋体" w:cs="宋体"/>
          <w:color w:val="auto"/>
          <w:sz w:val="24"/>
          <w:szCs w:val="24"/>
          <w:highlight w:val="none"/>
        </w:rPr>
        <w:t>供应</w:t>
      </w:r>
      <w:r>
        <w:rPr>
          <w:rFonts w:hint="eastAsia" w:ascii="宋体" w:hAnsi="宋体" w:eastAsia="宋体" w:cs="宋体"/>
          <w:color w:val="auto"/>
          <w:sz w:val="24"/>
          <w:szCs w:val="24"/>
          <w:highlight w:val="none"/>
          <w:lang w:eastAsia="zh-CN"/>
        </w:rPr>
        <w:t>。</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3申报企业应遵守《专利法》《反不正当竞争法》等相关法律法规，并承担相关法律责任。</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4申报药品应当符合国家药品标准和经国家药品监督管理部门核准的药品质量标准，并按照国家药监局药审中心关于发布《化学药物中亚硝胺类杂质研究技术指导原则（试行）》的通告（2020年1号）组织生产。</w:t>
      </w:r>
    </w:p>
    <w:p>
      <w:pPr>
        <w:pageBreakBefore w:val="0"/>
        <w:kinsoku/>
        <w:wordWrap/>
        <w:overflowPunct/>
        <w:topLinePunct w:val="0"/>
        <w:bidi w:val="0"/>
        <w:snapToGrid/>
        <w:spacing w:line="460" w:lineRule="exact"/>
        <w:ind w:left="0" w:leftChars="0" w:right="0" w:firstLine="482" w:firstLineChars="200"/>
        <w:jc w:val="both"/>
        <w:textAlignment w:val="auto"/>
        <w:outlineLvl w:val="1"/>
        <w:rPr>
          <w:rFonts w:hint="eastAsia" w:ascii="宋体" w:hAnsi="宋体" w:eastAsia="宋体" w:cs="宋体"/>
          <w:b/>
          <w:bCs/>
          <w:color w:val="auto"/>
          <w:kern w:val="32"/>
          <w:sz w:val="24"/>
          <w:szCs w:val="24"/>
          <w:highlight w:val="none"/>
        </w:rPr>
      </w:pPr>
      <w:bookmarkStart w:id="18" w:name="_Toc12796"/>
      <w:bookmarkStart w:id="19" w:name="_Toc27380"/>
      <w:bookmarkStart w:id="20" w:name="_Toc27115"/>
      <w:bookmarkStart w:id="21" w:name="_Toc53152576"/>
      <w:r>
        <w:rPr>
          <w:rFonts w:hint="eastAsia" w:ascii="宋体" w:hAnsi="宋体" w:eastAsia="宋体" w:cs="宋体"/>
          <w:b/>
          <w:bCs/>
          <w:color w:val="auto"/>
          <w:kern w:val="32"/>
          <w:sz w:val="24"/>
          <w:szCs w:val="24"/>
          <w:highlight w:val="none"/>
          <w:lang w:val="en-US" w:eastAsia="zh-CN"/>
        </w:rPr>
        <w:t>4</w:t>
      </w:r>
      <w:r>
        <w:rPr>
          <w:rFonts w:hint="eastAsia" w:ascii="宋体" w:hAnsi="宋体" w:eastAsia="宋体" w:cs="宋体"/>
          <w:b/>
          <w:bCs/>
          <w:color w:val="auto"/>
          <w:kern w:val="32"/>
          <w:sz w:val="24"/>
          <w:szCs w:val="24"/>
          <w:highlight w:val="none"/>
        </w:rPr>
        <w:t>、采购执行说明</w:t>
      </w:r>
      <w:bookmarkEnd w:id="18"/>
      <w:bookmarkEnd w:id="19"/>
      <w:bookmarkEnd w:id="20"/>
      <w:bookmarkEnd w:id="21"/>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val="en-US" w:eastAsia="zh-CN"/>
        </w:rPr>
        <w:t>4.1</w:t>
      </w:r>
      <w:r>
        <w:rPr>
          <w:rFonts w:hint="eastAsia" w:ascii="宋体" w:hAnsi="宋体" w:eastAsia="宋体" w:cs="宋体"/>
          <w:color w:val="auto"/>
          <w:sz w:val="24"/>
          <w:szCs w:val="24"/>
          <w:highlight w:val="none"/>
          <w:shd w:val="clear" w:color="auto" w:fill="FFFFFF"/>
        </w:rPr>
        <w:t>采购主体为</w:t>
      </w:r>
      <w:r>
        <w:rPr>
          <w:rFonts w:hint="eastAsia" w:ascii="宋体" w:hAnsi="宋体" w:eastAsia="宋体" w:cs="宋体"/>
          <w:color w:val="auto"/>
          <w:sz w:val="24"/>
          <w:szCs w:val="24"/>
          <w:highlight w:val="none"/>
          <w:lang w:val="en-US" w:eastAsia="zh-CN"/>
        </w:rPr>
        <w:t>南部联盟地区所有公立医疗机构，鼓励医保定点社会办医疗机构、其他医保定点零售药店积极参与。</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以医药及临床需求为主，医药机构应优先使用议价成功药品。应将议价成功药品纳入医疗机构用药目录，不得以药事委员会审核、费用控制、药占比、医疗机构用药品种规格数量要求（“一品两规”）等为由，影响中选药品的合理使用和供应保障。医疗机构要加强中选药品使用监测，严格处方审核和处方点评。</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4.1.3</w:t>
      </w:r>
      <w:r>
        <w:rPr>
          <w:rFonts w:hint="eastAsia" w:ascii="宋体" w:hAnsi="宋体" w:eastAsia="宋体" w:cs="宋体"/>
          <w:color w:val="auto"/>
          <w:sz w:val="24"/>
          <w:szCs w:val="24"/>
          <w:highlight w:val="none"/>
          <w:lang w:val="en-US" w:eastAsia="zh-CN"/>
        </w:rPr>
        <w:t>如医疗机构在</w:t>
      </w:r>
      <w:r>
        <w:rPr>
          <w:rFonts w:hint="eastAsia" w:ascii="宋体" w:hAnsi="宋体" w:cs="宋体"/>
          <w:color w:val="auto"/>
          <w:sz w:val="24"/>
          <w:szCs w:val="24"/>
          <w:highlight w:val="none"/>
          <w:lang w:val="en-US" w:eastAsia="zh-CN"/>
        </w:rPr>
        <w:t>自治区（兵团）医保平台招采子系统</w:t>
      </w:r>
      <w:r>
        <w:rPr>
          <w:rFonts w:hint="eastAsia" w:ascii="宋体" w:hAnsi="宋体" w:eastAsia="宋体" w:cs="宋体"/>
          <w:color w:val="auto"/>
          <w:sz w:val="24"/>
          <w:szCs w:val="24"/>
          <w:highlight w:val="none"/>
          <w:lang w:val="en-US" w:eastAsia="zh-CN"/>
        </w:rPr>
        <w:t>挂网目录内采购南部联盟模块议价成功可替代产品的，需向地州（师市）医保局进行备案采购。</w:t>
      </w:r>
    </w:p>
    <w:p>
      <w:pPr>
        <w:pStyle w:val="4"/>
        <w:pageBreakBefore w:val="0"/>
        <w:kinsoku/>
        <w:wordWrap/>
        <w:overflowPunct/>
        <w:topLinePunct w:val="0"/>
        <w:bidi w:val="0"/>
        <w:snapToGrid/>
        <w:spacing w:before="0" w:after="0" w:line="460" w:lineRule="exact"/>
        <w:ind w:left="0" w:leftChars="0" w:right="0" w:firstLine="482" w:firstLineChars="200"/>
        <w:jc w:val="both"/>
        <w:textAlignment w:val="auto"/>
        <w:rPr>
          <w:rFonts w:hint="eastAsia" w:ascii="宋体" w:hAnsi="宋体" w:eastAsia="宋体" w:cs="宋体"/>
          <w:b/>
          <w:bCs/>
          <w:color w:val="auto"/>
          <w:kern w:val="32"/>
          <w:sz w:val="24"/>
          <w:szCs w:val="24"/>
          <w:highlight w:val="none"/>
        </w:rPr>
      </w:pPr>
      <w:bookmarkStart w:id="22" w:name="_Toc15364"/>
      <w:bookmarkStart w:id="23" w:name="_Toc19675"/>
      <w:bookmarkStart w:id="24" w:name="_Toc32521"/>
      <w:bookmarkStart w:id="25" w:name="_Toc53152577"/>
      <w:r>
        <w:rPr>
          <w:rFonts w:hint="eastAsia" w:ascii="宋体" w:hAnsi="宋体" w:eastAsia="宋体" w:cs="宋体"/>
          <w:b/>
          <w:bCs/>
          <w:color w:val="auto"/>
          <w:kern w:val="32"/>
          <w:sz w:val="24"/>
          <w:szCs w:val="24"/>
          <w:highlight w:val="none"/>
          <w:lang w:val="en-US" w:eastAsia="zh-CN"/>
        </w:rPr>
        <w:t>5</w:t>
      </w:r>
      <w:r>
        <w:rPr>
          <w:rFonts w:hint="eastAsia" w:ascii="宋体" w:hAnsi="宋体" w:eastAsia="宋体" w:cs="宋体"/>
          <w:b/>
          <w:bCs/>
          <w:color w:val="auto"/>
          <w:kern w:val="32"/>
          <w:sz w:val="24"/>
          <w:szCs w:val="24"/>
          <w:highlight w:val="none"/>
        </w:rPr>
        <w:t>、</w:t>
      </w:r>
      <w:bookmarkEnd w:id="22"/>
      <w:r>
        <w:rPr>
          <w:rFonts w:hint="eastAsia" w:ascii="宋体" w:hAnsi="宋体" w:eastAsia="宋体" w:cs="宋体"/>
          <w:b/>
          <w:bCs/>
          <w:color w:val="auto"/>
          <w:kern w:val="32"/>
          <w:sz w:val="24"/>
          <w:szCs w:val="24"/>
          <w:highlight w:val="none"/>
        </w:rPr>
        <w:t>信息公告获取方式</w:t>
      </w:r>
      <w:bookmarkEnd w:id="23"/>
      <w:bookmarkEnd w:id="24"/>
      <w:bookmarkEnd w:id="25"/>
    </w:p>
    <w:p>
      <w:pPr>
        <w:keepNext w:val="0"/>
        <w:keepLines w:val="0"/>
        <w:pageBreakBefore w:val="0"/>
        <w:widowControl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本次</w:t>
      </w:r>
      <w:r>
        <w:rPr>
          <w:rFonts w:hint="eastAsia" w:ascii="宋体" w:hAnsi="宋体" w:eastAsia="宋体" w:cs="宋体"/>
          <w:color w:val="auto"/>
          <w:sz w:val="24"/>
          <w:szCs w:val="24"/>
          <w:highlight w:val="none"/>
          <w:shd w:val="clear" w:color="auto" w:fill="FFFFFF"/>
          <w:lang w:val="en-US" w:eastAsia="zh-CN"/>
        </w:rPr>
        <w:t>联合议价</w:t>
      </w:r>
      <w:r>
        <w:rPr>
          <w:rFonts w:hint="eastAsia" w:ascii="宋体" w:hAnsi="宋体" w:eastAsia="宋体" w:cs="宋体"/>
          <w:color w:val="auto"/>
          <w:sz w:val="24"/>
          <w:szCs w:val="24"/>
          <w:highlight w:val="none"/>
          <w:shd w:val="clear" w:color="auto" w:fill="FFFFFF"/>
        </w:rPr>
        <w:t>药品采购工作所有公告、通知等信息通过以下平台发布：</w:t>
      </w:r>
    </w:p>
    <w:p>
      <w:pPr>
        <w:keepNext w:val="0"/>
        <w:keepLines w:val="0"/>
        <w:pageBreakBefore w:val="0"/>
        <w:widowControl w:val="0"/>
        <w:kinsoku/>
        <w:wordWrap/>
        <w:overflowPunct/>
        <w:topLinePunct w:val="0"/>
        <w:bidi w:val="0"/>
        <w:snapToGrid/>
        <w:spacing w:line="460" w:lineRule="exact"/>
        <w:ind w:left="0" w:leftChars="0" w:right="0" w:firstLine="480" w:firstLineChars="200"/>
        <w:jc w:val="both"/>
        <w:textAlignment w:val="auto"/>
        <w:outlineLvl w:val="2"/>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5.1</w:t>
      </w:r>
      <w:r>
        <w:rPr>
          <w:rFonts w:hint="eastAsia" w:ascii="宋体" w:hAnsi="宋体" w:eastAsia="宋体" w:cs="宋体"/>
          <w:color w:val="auto"/>
          <w:sz w:val="24"/>
          <w:szCs w:val="24"/>
          <w:highlight w:val="none"/>
          <w:shd w:val="clear" w:color="auto" w:fill="FFFFFF"/>
        </w:rPr>
        <w:t>新疆维吾尔自治区医疗保障局网站</w:t>
      </w:r>
    </w:p>
    <w:p>
      <w:pPr>
        <w:keepNext w:val="0"/>
        <w:keepLines w:val="0"/>
        <w:pageBreakBefore w:val="0"/>
        <w:widowControl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none"/>
          <w:shd w:val="clear" w:color="auto" w:fill="FFFFFF"/>
        </w:rPr>
        <w:fldChar w:fldCharType="begin"/>
      </w:r>
      <w:r>
        <w:rPr>
          <w:rFonts w:hint="eastAsia" w:ascii="宋体" w:hAnsi="宋体" w:eastAsia="宋体" w:cs="宋体"/>
          <w:color w:val="auto"/>
          <w:sz w:val="24"/>
          <w:szCs w:val="24"/>
          <w:highlight w:val="none"/>
          <w:u w:val="none"/>
          <w:shd w:val="clear" w:color="auto" w:fill="FFFFFF"/>
        </w:rPr>
        <w:instrText xml:space="preserve"> HYPERLINK "http://ylbzj.xinjiang.gov.cn/" </w:instrText>
      </w:r>
      <w:r>
        <w:rPr>
          <w:rFonts w:hint="eastAsia" w:ascii="宋体" w:hAnsi="宋体" w:eastAsia="宋体" w:cs="宋体"/>
          <w:color w:val="auto"/>
          <w:sz w:val="24"/>
          <w:szCs w:val="24"/>
          <w:highlight w:val="none"/>
          <w:u w:val="none"/>
          <w:shd w:val="clear" w:color="auto" w:fill="FFFFFF"/>
        </w:rPr>
        <w:fldChar w:fldCharType="separate"/>
      </w:r>
      <w:r>
        <w:rPr>
          <w:rStyle w:val="27"/>
          <w:rFonts w:hint="eastAsia" w:ascii="宋体" w:hAnsi="宋体" w:eastAsia="宋体" w:cs="宋体"/>
          <w:color w:val="auto"/>
          <w:sz w:val="24"/>
          <w:szCs w:val="24"/>
          <w:highlight w:val="none"/>
          <w:shd w:val="clear" w:color="auto" w:fill="FFFFFF"/>
        </w:rPr>
        <w:t>http://ylbzj.xinjiang.gov.cn/）</w:t>
      </w:r>
      <w:r>
        <w:rPr>
          <w:rFonts w:hint="eastAsia" w:ascii="宋体" w:hAnsi="宋体" w:eastAsia="宋体" w:cs="宋体"/>
          <w:color w:val="auto"/>
          <w:sz w:val="24"/>
          <w:szCs w:val="24"/>
          <w:highlight w:val="none"/>
          <w:u w:val="none"/>
          <w:shd w:val="clear" w:color="auto" w:fill="FFFFFF"/>
        </w:rPr>
        <w:fldChar w:fldCharType="end"/>
      </w:r>
    </w:p>
    <w:p>
      <w:pPr>
        <w:keepNext w:val="0"/>
        <w:keepLines w:val="0"/>
        <w:pageBreakBefore w:val="0"/>
        <w:widowControl w:val="0"/>
        <w:kinsoku/>
        <w:wordWrap/>
        <w:overflowPunct/>
        <w:topLinePunct w:val="0"/>
        <w:bidi w:val="0"/>
        <w:snapToGrid/>
        <w:spacing w:line="460" w:lineRule="exact"/>
        <w:ind w:left="0" w:leftChars="0" w:right="0" w:firstLine="480" w:firstLineChars="200"/>
        <w:jc w:val="both"/>
        <w:textAlignment w:val="auto"/>
        <w:outlineLvl w:val="2"/>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5.2</w:t>
      </w:r>
      <w:r>
        <w:rPr>
          <w:rFonts w:hint="eastAsia" w:ascii="宋体" w:hAnsi="宋体" w:eastAsia="宋体" w:cs="宋体"/>
          <w:color w:val="auto"/>
          <w:sz w:val="24"/>
          <w:szCs w:val="24"/>
          <w:highlight w:val="none"/>
          <w:shd w:val="clear" w:color="auto" w:fill="FFFFFF"/>
        </w:rPr>
        <w:t>新疆生产建设兵团医疗保障局网站</w:t>
      </w:r>
    </w:p>
    <w:p>
      <w:pPr>
        <w:keepNext w:val="0"/>
        <w:keepLines w:val="0"/>
        <w:widowControl/>
        <w:suppressLineNumbers w:val="0"/>
        <w:ind w:right="-170"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u w:val="none"/>
          <w:lang w:val="en-US" w:eastAsia="zh-CN" w:bidi="ar"/>
        </w:rPr>
        <w:fldChar w:fldCharType="begin"/>
      </w:r>
      <w:r>
        <w:rPr>
          <w:rFonts w:hint="eastAsia" w:ascii="宋体" w:hAnsi="宋体" w:eastAsia="宋体" w:cs="宋体"/>
          <w:color w:val="auto"/>
          <w:kern w:val="0"/>
          <w:sz w:val="24"/>
          <w:szCs w:val="24"/>
          <w:highlight w:val="none"/>
          <w:u w:val="none"/>
          <w:lang w:val="en-US" w:eastAsia="zh-CN" w:bidi="ar"/>
        </w:rPr>
        <w:instrText xml:space="preserve"> HYPERLINK "http://btybj.xjbt.gov.cn/" </w:instrText>
      </w:r>
      <w:r>
        <w:rPr>
          <w:rFonts w:hint="eastAsia" w:ascii="宋体" w:hAnsi="宋体" w:eastAsia="宋体" w:cs="宋体"/>
          <w:color w:val="auto"/>
          <w:kern w:val="0"/>
          <w:sz w:val="24"/>
          <w:szCs w:val="24"/>
          <w:highlight w:val="none"/>
          <w:u w:val="none"/>
          <w:lang w:val="en-US" w:eastAsia="zh-CN" w:bidi="ar"/>
        </w:rPr>
        <w:fldChar w:fldCharType="separate"/>
      </w:r>
      <w:r>
        <w:rPr>
          <w:rStyle w:val="27"/>
          <w:rFonts w:hint="eastAsia" w:ascii="宋体" w:hAnsi="宋体" w:eastAsia="宋体" w:cs="宋体"/>
          <w:color w:val="auto"/>
          <w:kern w:val="0"/>
          <w:sz w:val="24"/>
          <w:szCs w:val="24"/>
          <w:highlight w:val="none"/>
          <w:lang w:val="en-US" w:eastAsia="zh-CN" w:bidi="ar"/>
        </w:rPr>
        <w:t>http://btybj.xjbt.gov.cn/）</w:t>
      </w:r>
      <w:r>
        <w:rPr>
          <w:rFonts w:hint="eastAsia" w:ascii="宋体" w:hAnsi="宋体" w:eastAsia="宋体" w:cs="宋体"/>
          <w:color w:val="auto"/>
          <w:kern w:val="0"/>
          <w:sz w:val="24"/>
          <w:szCs w:val="24"/>
          <w:highlight w:val="none"/>
          <w:u w:val="none"/>
          <w:lang w:val="en-US" w:eastAsia="zh-CN" w:bidi="ar"/>
        </w:rPr>
        <w:fldChar w:fldCharType="end"/>
      </w:r>
    </w:p>
    <w:p>
      <w:pPr>
        <w:keepNext w:val="0"/>
        <w:keepLines w:val="0"/>
        <w:widowControl/>
        <w:suppressLineNumbers w:val="0"/>
        <w:ind w:right="-170" w:firstLine="480" w:firstLineChars="20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5.3新疆医保服务平台</w:t>
      </w:r>
    </w:p>
    <w:p>
      <w:pPr>
        <w:keepNext w:val="0"/>
        <w:keepLines w:val="0"/>
        <w:widowControl/>
        <w:suppressLineNumbers w:val="0"/>
        <w:ind w:right="-170"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none"/>
          <w:shd w:val="clear" w:color="auto" w:fill="FFFFFF"/>
        </w:rPr>
        <w:fldChar w:fldCharType="begin"/>
      </w:r>
      <w:r>
        <w:rPr>
          <w:rFonts w:hint="eastAsia" w:ascii="宋体" w:hAnsi="宋体" w:eastAsia="宋体" w:cs="宋体"/>
          <w:color w:val="auto"/>
          <w:sz w:val="24"/>
          <w:szCs w:val="24"/>
          <w:highlight w:val="none"/>
          <w:u w:val="none"/>
          <w:shd w:val="clear" w:color="auto" w:fill="FFFFFF"/>
        </w:rPr>
        <w:instrText xml:space="preserve"> HYPERLINK "https://fuwu.xjylbz.cn/" </w:instrText>
      </w:r>
      <w:r>
        <w:rPr>
          <w:rFonts w:hint="eastAsia" w:ascii="宋体" w:hAnsi="宋体" w:eastAsia="宋体" w:cs="宋体"/>
          <w:color w:val="auto"/>
          <w:sz w:val="24"/>
          <w:szCs w:val="24"/>
          <w:highlight w:val="none"/>
          <w:u w:val="none"/>
          <w:shd w:val="clear" w:color="auto" w:fill="FFFFFF"/>
        </w:rPr>
        <w:fldChar w:fldCharType="separate"/>
      </w:r>
      <w:r>
        <w:rPr>
          <w:rStyle w:val="29"/>
          <w:rFonts w:hint="eastAsia" w:ascii="宋体" w:hAnsi="宋体" w:eastAsia="宋体" w:cs="宋体"/>
          <w:color w:val="auto"/>
          <w:sz w:val="24"/>
          <w:szCs w:val="24"/>
          <w:highlight w:val="none"/>
          <w:shd w:val="clear" w:color="auto" w:fill="FFFFFF"/>
        </w:rPr>
        <w:t>http</w:t>
      </w:r>
      <w:r>
        <w:rPr>
          <w:rStyle w:val="29"/>
          <w:rFonts w:hint="eastAsia" w:ascii="宋体" w:hAnsi="宋体" w:cs="宋体"/>
          <w:color w:val="auto"/>
          <w:sz w:val="24"/>
          <w:szCs w:val="24"/>
          <w:highlight w:val="none"/>
          <w:shd w:val="clear" w:color="auto" w:fill="FFFFFF"/>
          <w:lang w:val="en-US" w:eastAsia="zh-CN"/>
        </w:rPr>
        <w:t>s</w:t>
      </w:r>
      <w:r>
        <w:rPr>
          <w:rStyle w:val="29"/>
          <w:rFonts w:hint="eastAsia" w:ascii="宋体" w:hAnsi="宋体" w:eastAsia="宋体" w:cs="宋体"/>
          <w:color w:val="auto"/>
          <w:sz w:val="24"/>
          <w:szCs w:val="24"/>
          <w:highlight w:val="none"/>
          <w:shd w:val="clear" w:color="auto" w:fill="FFFFFF"/>
        </w:rPr>
        <w:t>://</w:t>
      </w:r>
      <w:r>
        <w:rPr>
          <w:rStyle w:val="29"/>
          <w:rFonts w:hint="eastAsia" w:ascii="宋体" w:hAnsi="宋体" w:cs="宋体"/>
          <w:color w:val="auto"/>
          <w:sz w:val="24"/>
          <w:szCs w:val="24"/>
          <w:highlight w:val="none"/>
          <w:shd w:val="clear" w:color="auto" w:fill="FFFFFF"/>
          <w:lang w:val="en-US" w:eastAsia="zh-CN"/>
        </w:rPr>
        <w:t>fuwu.xjylbz.cn/</w:t>
      </w:r>
      <w:r>
        <w:rPr>
          <w:rStyle w:val="29"/>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none"/>
          <w:shd w:val="clear" w:color="auto" w:fill="FFFFFF"/>
        </w:rPr>
        <w:fldChar w:fldCharType="end"/>
      </w:r>
    </w:p>
    <w:p>
      <w:pPr>
        <w:keepNext w:val="0"/>
        <w:keepLines w:val="0"/>
        <w:widowControl/>
        <w:suppressLineNumbers w:val="0"/>
        <w:ind w:right="-170"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w:t>
      </w:r>
      <w:r>
        <w:rPr>
          <w:rFonts w:hint="eastAsia" w:ascii="宋体" w:hAnsi="宋体" w:cs="宋体"/>
          <w:color w:val="auto"/>
          <w:kern w:val="0"/>
          <w:sz w:val="24"/>
          <w:szCs w:val="24"/>
          <w:highlight w:val="none"/>
          <w:lang w:val="en-US" w:eastAsia="zh-CN" w:bidi="ar"/>
        </w:rPr>
        <w:t>4</w:t>
      </w:r>
      <w:bookmarkStart w:id="26" w:name="_Toc53152578"/>
      <w:bookmarkStart w:id="27" w:name="_Toc28990"/>
      <w:r>
        <w:rPr>
          <w:rFonts w:ascii="宋体" w:hAnsi="宋体" w:eastAsia="宋体" w:cs="宋体"/>
          <w:color w:val="auto"/>
          <w:kern w:val="0"/>
          <w:sz w:val="24"/>
          <w:szCs w:val="24"/>
          <w:highlight w:val="none"/>
          <w:lang w:val="en-US" w:eastAsia="zh-CN" w:bidi="ar"/>
        </w:rPr>
        <w:t>新疆生产建设兵团医疗保障局</w:t>
      </w:r>
      <w:r>
        <w:rPr>
          <w:rFonts w:hint="eastAsia" w:ascii="宋体" w:hAnsi="宋体" w:eastAsia="宋体" w:cs="宋体"/>
          <w:color w:val="auto"/>
          <w:kern w:val="0"/>
          <w:sz w:val="24"/>
          <w:szCs w:val="24"/>
          <w:highlight w:val="none"/>
          <w:lang w:val="en-US" w:eastAsia="zh-CN" w:bidi="ar"/>
        </w:rPr>
        <w:t>网上服务大厅</w:t>
      </w:r>
    </w:p>
    <w:p>
      <w:pPr>
        <w:keepNext w:val="0"/>
        <w:keepLines w:val="0"/>
        <w:widowControl/>
        <w:suppressLineNumbers w:val="0"/>
        <w:ind w:right="-170" w:firstLine="480" w:firstLineChars="200"/>
        <w:jc w:val="left"/>
        <w:rPr>
          <w:rFonts w:hint="eastAsia" w:ascii="宋体" w:hAnsi="宋体" w:eastAsia="宋体" w:cs="宋体"/>
          <w:color w:val="auto"/>
          <w:sz w:val="24"/>
          <w:szCs w:val="24"/>
          <w:highlight w:val="none"/>
          <w:shd w:val="clear" w:color="auto" w:fill="FFFFFF"/>
        </w:rPr>
      </w:pP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fldChar w:fldCharType="begin"/>
      </w:r>
      <w:r>
        <w:rPr>
          <w:rFonts w:hint="eastAsia" w:ascii="宋体" w:hAnsi="宋体" w:eastAsia="宋体" w:cs="宋体"/>
          <w:color w:val="auto"/>
          <w:kern w:val="0"/>
          <w:sz w:val="24"/>
          <w:szCs w:val="24"/>
          <w:highlight w:val="none"/>
          <w:lang w:val="en-US" w:eastAsia="zh-CN" w:bidi="ar"/>
        </w:rPr>
        <w:instrText xml:space="preserve"> HYPERLINK "https://gwt.xjbtylbz.cn/hallEnter" </w:instrText>
      </w:r>
      <w:r>
        <w:rPr>
          <w:rFonts w:hint="eastAsia" w:ascii="宋体" w:hAnsi="宋体" w:eastAsia="宋体" w:cs="宋体"/>
          <w:color w:val="auto"/>
          <w:kern w:val="0"/>
          <w:sz w:val="24"/>
          <w:szCs w:val="24"/>
          <w:highlight w:val="none"/>
          <w:lang w:val="en-US" w:eastAsia="zh-CN" w:bidi="ar"/>
        </w:rPr>
        <w:fldChar w:fldCharType="separate"/>
      </w:r>
      <w:r>
        <w:rPr>
          <w:rStyle w:val="27"/>
          <w:rFonts w:hint="eastAsia" w:ascii="宋体" w:hAnsi="宋体" w:eastAsia="宋体" w:cs="宋体"/>
          <w:color w:val="auto"/>
          <w:kern w:val="0"/>
          <w:sz w:val="24"/>
          <w:szCs w:val="24"/>
          <w:highlight w:val="none"/>
          <w:lang w:val="en-US" w:eastAsia="zh-CN" w:bidi="ar"/>
        </w:rPr>
        <w:t>https://gwt.xjbtylbz.cn/hallEnter</w:t>
      </w:r>
      <w:r>
        <w:rPr>
          <w:rFonts w:hint="eastAsia" w:ascii="宋体" w:hAnsi="宋体" w:eastAsia="宋体" w:cs="宋体"/>
          <w:color w:val="auto"/>
          <w:kern w:val="0"/>
          <w:sz w:val="24"/>
          <w:szCs w:val="24"/>
          <w:highlight w:val="none"/>
          <w:lang w:val="en-US" w:eastAsia="zh-CN" w:bidi="ar"/>
        </w:rPr>
        <w:fldChar w:fldCharType="end"/>
      </w:r>
      <w:r>
        <w:rPr>
          <w:rFonts w:hint="eastAsia" w:ascii="宋体" w:hAnsi="宋体" w:cs="宋体"/>
          <w:color w:val="auto"/>
          <w:kern w:val="0"/>
          <w:sz w:val="24"/>
          <w:szCs w:val="24"/>
          <w:highlight w:val="none"/>
          <w:lang w:val="en-US" w:eastAsia="zh-CN" w:bidi="ar"/>
        </w:rPr>
        <w:t>）</w:t>
      </w:r>
    </w:p>
    <w:p>
      <w:pPr>
        <w:keepNext w:val="0"/>
        <w:keepLines w:val="0"/>
        <w:pageBreakBefore w:val="0"/>
        <w:widowControl w:val="0"/>
        <w:kinsoku/>
        <w:wordWrap/>
        <w:overflowPunct/>
        <w:topLinePunct w:val="0"/>
        <w:bidi w:val="0"/>
        <w:snapToGrid/>
        <w:spacing w:line="460" w:lineRule="exact"/>
        <w:ind w:left="0" w:leftChars="0" w:right="0" w:firstLine="480" w:firstLineChars="200"/>
        <w:jc w:val="both"/>
        <w:textAlignment w:val="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5.</w:t>
      </w:r>
      <w:r>
        <w:rPr>
          <w:rFonts w:hint="eastAsia" w:ascii="宋体" w:hAnsi="宋体" w:cs="宋体"/>
          <w:color w:val="auto"/>
          <w:sz w:val="24"/>
          <w:szCs w:val="24"/>
          <w:highlight w:val="none"/>
          <w:shd w:val="clear" w:color="auto" w:fill="FFFFFF"/>
          <w:lang w:val="en-US" w:eastAsia="zh-CN"/>
        </w:rPr>
        <w:t>5中国政府采购网</w:t>
      </w:r>
    </w:p>
    <w:p>
      <w:pPr>
        <w:pStyle w:val="2"/>
        <w:keepNext w:val="0"/>
        <w:keepLines w:val="0"/>
        <w:pageBreakBefore w:val="0"/>
        <w:widowControl w:val="0"/>
        <w:numPr>
          <w:ilvl w:val="0"/>
          <w:numId w:val="0"/>
        </w:numPr>
        <w:kinsoku/>
        <w:wordWrap/>
        <w:overflowPunct/>
        <w:topLinePunct w:val="0"/>
        <w:bidi w:val="0"/>
        <w:snapToGrid/>
        <w:spacing w:line="460" w:lineRule="exact"/>
        <w:ind w:right="0" w:firstLine="480" w:firstLineChars="200"/>
        <w:jc w:val="both"/>
        <w:textAlignment w:val="auto"/>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w:t>
      </w:r>
      <w:r>
        <w:rPr>
          <w:rFonts w:hint="eastAsia" w:ascii="宋体" w:hAnsi="宋体" w:eastAsia="宋体" w:cs="宋体"/>
          <w:color w:val="auto"/>
          <w:kern w:val="2"/>
          <w:sz w:val="24"/>
          <w:szCs w:val="24"/>
          <w:highlight w:val="none"/>
          <w:shd w:val="clear" w:color="auto" w:fill="FFFFFF"/>
          <w:lang w:val="en-US" w:eastAsia="zh-CN" w:bidi="ar-SA"/>
        </w:rPr>
        <w:fldChar w:fldCharType="begin"/>
      </w:r>
      <w:r>
        <w:rPr>
          <w:rFonts w:hint="eastAsia" w:ascii="宋体" w:hAnsi="宋体" w:eastAsia="宋体" w:cs="宋体"/>
          <w:color w:val="auto"/>
          <w:kern w:val="2"/>
          <w:sz w:val="24"/>
          <w:szCs w:val="24"/>
          <w:highlight w:val="none"/>
          <w:shd w:val="clear" w:color="auto" w:fill="FFFFFF"/>
          <w:lang w:val="en-US" w:eastAsia="zh-CN" w:bidi="ar-SA"/>
        </w:rPr>
        <w:instrText xml:space="preserve"> HYPERLINK "https://www.ccgp.gov.cn" </w:instrText>
      </w:r>
      <w:r>
        <w:rPr>
          <w:rFonts w:hint="eastAsia" w:ascii="宋体" w:hAnsi="宋体" w:eastAsia="宋体" w:cs="宋体"/>
          <w:color w:val="auto"/>
          <w:kern w:val="2"/>
          <w:sz w:val="24"/>
          <w:szCs w:val="24"/>
          <w:highlight w:val="none"/>
          <w:shd w:val="clear" w:color="auto" w:fill="FFFFFF"/>
          <w:lang w:val="en-US" w:eastAsia="zh-CN" w:bidi="ar-SA"/>
        </w:rPr>
        <w:fldChar w:fldCharType="separate"/>
      </w:r>
      <w:r>
        <w:rPr>
          <w:rStyle w:val="29"/>
          <w:rFonts w:hint="eastAsia" w:ascii="宋体" w:hAnsi="宋体" w:eastAsia="宋体" w:cs="宋体"/>
          <w:color w:val="auto"/>
          <w:kern w:val="2"/>
          <w:sz w:val="24"/>
          <w:szCs w:val="24"/>
          <w:highlight w:val="none"/>
          <w:shd w:val="clear" w:color="auto" w:fill="FFFFFF"/>
          <w:lang w:val="en-US" w:eastAsia="zh-CN" w:bidi="ar-SA"/>
        </w:rPr>
        <w:t>https://www.ccgp.gov.cn</w:t>
      </w:r>
      <w:r>
        <w:rPr>
          <w:rFonts w:hint="eastAsia" w:ascii="宋体" w:hAnsi="宋体" w:eastAsia="宋体" w:cs="宋体"/>
          <w:color w:val="auto"/>
          <w:kern w:val="2"/>
          <w:sz w:val="24"/>
          <w:szCs w:val="24"/>
          <w:highlight w:val="none"/>
          <w:shd w:val="clear" w:color="auto" w:fill="FFFFFF"/>
          <w:lang w:val="en-US" w:eastAsia="zh-CN" w:bidi="ar-SA"/>
        </w:rPr>
        <w:fldChar w:fldCharType="end"/>
      </w:r>
      <w:r>
        <w:rPr>
          <w:rFonts w:hint="eastAsia" w:ascii="宋体" w:hAnsi="宋体" w:eastAsia="宋体" w:cs="宋体"/>
          <w:color w:val="auto"/>
          <w:kern w:val="2"/>
          <w:sz w:val="24"/>
          <w:szCs w:val="24"/>
          <w:highlight w:val="none"/>
          <w:shd w:val="clear" w:color="auto" w:fill="FFFFFF"/>
          <w:lang w:val="en-US" w:eastAsia="zh-CN" w:bidi="ar-SA"/>
        </w:rPr>
        <w:t>）</w:t>
      </w:r>
    </w:p>
    <w:p>
      <w:pPr>
        <w:pStyle w:val="2"/>
        <w:keepNext w:val="0"/>
        <w:keepLines w:val="0"/>
        <w:pageBreakBefore w:val="0"/>
        <w:widowControl w:val="0"/>
        <w:numPr>
          <w:ilvl w:val="0"/>
          <w:numId w:val="0"/>
        </w:numPr>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5.6新点电子交易平台</w:t>
      </w:r>
    </w:p>
    <w:p>
      <w:pPr>
        <w:pStyle w:val="2"/>
        <w:keepNext w:val="0"/>
        <w:keepLines w:val="0"/>
        <w:pageBreakBefore w:val="0"/>
        <w:widowControl w:val="0"/>
        <w:numPr>
          <w:ilvl w:val="0"/>
          <w:numId w:val="0"/>
        </w:numPr>
        <w:kinsoku/>
        <w:wordWrap/>
        <w:overflowPunct/>
        <w:topLinePunct w:val="0"/>
        <w:bidi w:val="0"/>
        <w:snapToGrid/>
        <w:spacing w:line="460" w:lineRule="exact"/>
        <w:ind w:left="0" w:leftChars="0" w:right="0" w:firstLine="480" w:firstLineChars="200"/>
        <w:jc w:val="both"/>
        <w:textAlignment w:val="auto"/>
        <w:rPr>
          <w:rFonts w:hint="default"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w:t>
      </w:r>
      <w:r>
        <w:rPr>
          <w:rFonts w:hint="eastAsia" w:ascii="宋体" w:hAnsi="宋体" w:eastAsia="宋体" w:cs="宋体"/>
          <w:color w:val="auto"/>
          <w:kern w:val="2"/>
          <w:sz w:val="24"/>
          <w:szCs w:val="24"/>
          <w:highlight w:val="none"/>
          <w:shd w:val="clear" w:color="auto" w:fill="FFFFFF"/>
          <w:lang w:val="en-US" w:eastAsia="zh-CN" w:bidi="ar-SA"/>
        </w:rPr>
        <w:fldChar w:fldCharType="begin"/>
      </w:r>
      <w:r>
        <w:rPr>
          <w:rFonts w:hint="eastAsia" w:ascii="宋体" w:hAnsi="宋体" w:eastAsia="宋体" w:cs="宋体"/>
          <w:color w:val="auto"/>
          <w:kern w:val="2"/>
          <w:sz w:val="24"/>
          <w:szCs w:val="24"/>
          <w:highlight w:val="none"/>
          <w:shd w:val="clear" w:color="auto" w:fill="FFFFFF"/>
          <w:lang w:val="en-US" w:eastAsia="zh-CN" w:bidi="ar-SA"/>
        </w:rPr>
        <w:instrText xml:space="preserve"> HYPERLINK "https://xinjiang.etrading.cn" </w:instrText>
      </w:r>
      <w:r>
        <w:rPr>
          <w:rFonts w:hint="eastAsia" w:ascii="宋体" w:hAnsi="宋体" w:eastAsia="宋体" w:cs="宋体"/>
          <w:color w:val="auto"/>
          <w:kern w:val="2"/>
          <w:sz w:val="24"/>
          <w:szCs w:val="24"/>
          <w:highlight w:val="none"/>
          <w:shd w:val="clear" w:color="auto" w:fill="FFFFFF"/>
          <w:lang w:val="en-US" w:eastAsia="zh-CN" w:bidi="ar-SA"/>
        </w:rPr>
        <w:fldChar w:fldCharType="separate"/>
      </w:r>
      <w:r>
        <w:rPr>
          <w:rStyle w:val="29"/>
          <w:rFonts w:hint="eastAsia" w:ascii="宋体" w:hAnsi="宋体" w:eastAsia="宋体" w:cs="宋体"/>
          <w:color w:val="auto"/>
          <w:kern w:val="2"/>
          <w:sz w:val="24"/>
          <w:szCs w:val="24"/>
          <w:highlight w:val="none"/>
          <w:shd w:val="clear" w:color="auto" w:fill="FFFFFF"/>
          <w:lang w:val="en-US" w:eastAsia="zh-CN" w:bidi="ar-SA"/>
        </w:rPr>
        <w:t>https://xinjiang.etrading.cn</w:t>
      </w:r>
      <w:r>
        <w:rPr>
          <w:rFonts w:hint="eastAsia" w:ascii="宋体" w:hAnsi="宋体" w:eastAsia="宋体" w:cs="宋体"/>
          <w:color w:val="auto"/>
          <w:kern w:val="2"/>
          <w:sz w:val="24"/>
          <w:szCs w:val="24"/>
          <w:highlight w:val="none"/>
          <w:shd w:val="clear" w:color="auto" w:fill="FFFFFF"/>
          <w:lang w:val="en-US" w:eastAsia="zh-CN" w:bidi="ar-SA"/>
        </w:rPr>
        <w:fldChar w:fldCharType="end"/>
      </w:r>
      <w:r>
        <w:rPr>
          <w:rFonts w:hint="eastAsia" w:ascii="宋体" w:hAnsi="宋体" w:eastAsia="宋体" w:cs="宋体"/>
          <w:color w:val="auto"/>
          <w:kern w:val="2"/>
          <w:sz w:val="24"/>
          <w:szCs w:val="24"/>
          <w:highlight w:val="none"/>
          <w:shd w:val="clear" w:color="auto" w:fill="FFFFFF"/>
          <w:lang w:val="en-US" w:eastAsia="zh-CN" w:bidi="ar-SA"/>
        </w:rPr>
        <w:t>）</w:t>
      </w:r>
    </w:p>
    <w:p>
      <w:pPr>
        <w:pStyle w:val="9"/>
        <w:keepNext w:val="0"/>
        <w:keepLines w:val="0"/>
        <w:pageBreakBefore w:val="0"/>
        <w:widowControl w:val="0"/>
        <w:kinsoku/>
        <w:wordWrap/>
        <w:overflowPunct/>
        <w:topLinePunct w:val="0"/>
        <w:autoSpaceDE w:val="0"/>
        <w:autoSpaceDN w:val="0"/>
        <w:bidi w:val="0"/>
        <w:adjustRightInd/>
        <w:snapToGrid/>
        <w:spacing w:line="460" w:lineRule="exact"/>
        <w:ind w:left="0" w:leftChars="0" w:right="0" w:firstLine="482" w:firstLineChars="200"/>
        <w:jc w:val="both"/>
        <w:textAlignment w:val="auto"/>
        <w:outlineLvl w:val="1"/>
        <w:rPr>
          <w:rFonts w:hint="eastAsia" w:ascii="宋体" w:hAnsi="宋体" w:eastAsia="宋体" w:cs="宋体"/>
          <w:b/>
          <w:bCs/>
          <w:color w:val="auto"/>
          <w:kern w:val="2"/>
          <w:sz w:val="24"/>
          <w:szCs w:val="24"/>
          <w:highlight w:val="none"/>
          <w:shd w:val="clear" w:color="auto" w:fill="FFFFFF"/>
          <w:lang w:val="en-US" w:eastAsia="zh-CN" w:bidi="ar-SA"/>
        </w:rPr>
      </w:pPr>
      <w:bookmarkStart w:id="28" w:name="_Toc31044"/>
      <w:r>
        <w:rPr>
          <w:rFonts w:hint="eastAsia" w:ascii="宋体" w:hAnsi="宋体" w:eastAsia="宋体" w:cs="宋体"/>
          <w:b/>
          <w:bCs/>
          <w:color w:val="auto"/>
          <w:kern w:val="2"/>
          <w:sz w:val="24"/>
          <w:szCs w:val="24"/>
          <w:highlight w:val="none"/>
          <w:shd w:val="clear" w:color="auto" w:fill="FFFFFF"/>
          <w:lang w:val="en-US" w:eastAsia="zh-CN" w:bidi="ar-SA"/>
        </w:rPr>
        <w:t>6、</w:t>
      </w:r>
      <w:bookmarkStart w:id="29" w:name="六申报方式"/>
      <w:bookmarkEnd w:id="29"/>
      <w:r>
        <w:rPr>
          <w:rFonts w:hint="eastAsia" w:ascii="宋体" w:hAnsi="宋体" w:eastAsia="宋体" w:cs="宋体"/>
          <w:b/>
          <w:bCs/>
          <w:color w:val="auto"/>
          <w:kern w:val="2"/>
          <w:sz w:val="24"/>
          <w:szCs w:val="24"/>
          <w:highlight w:val="none"/>
          <w:shd w:val="clear" w:color="auto" w:fill="FFFFFF"/>
          <w:lang w:val="en-US" w:eastAsia="zh-CN" w:bidi="ar-SA"/>
        </w:rPr>
        <w:t>申报方式</w:t>
      </w:r>
      <w:bookmarkEnd w:id="28"/>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cs="宋体"/>
          <w:color w:val="auto"/>
          <w:kern w:val="2"/>
          <w:sz w:val="24"/>
          <w:szCs w:val="24"/>
          <w:highlight w:val="none"/>
          <w:shd w:val="clear" w:color="auto" w:fill="FFFFFF"/>
          <w:lang w:val="en-US" w:eastAsia="zh-CN" w:bidi="ar-SA"/>
        </w:rPr>
        <w:t>6.1</w:t>
      </w:r>
      <w:r>
        <w:rPr>
          <w:rFonts w:hint="eastAsia" w:ascii="宋体" w:hAnsi="宋体" w:eastAsia="宋体" w:cs="宋体"/>
          <w:color w:val="auto"/>
          <w:kern w:val="2"/>
          <w:sz w:val="24"/>
          <w:szCs w:val="24"/>
          <w:highlight w:val="none"/>
          <w:shd w:val="clear" w:color="auto" w:fill="FFFFFF"/>
          <w:lang w:val="en-US" w:eastAsia="zh-CN" w:bidi="ar-SA"/>
        </w:rPr>
        <w:t>本次南部联盟药品联合议价采购工作通过新点电子交易平台（</w:t>
      </w:r>
      <w:r>
        <w:rPr>
          <w:rFonts w:hint="eastAsia" w:ascii="宋体" w:hAnsi="宋体" w:eastAsia="宋体" w:cs="宋体"/>
          <w:color w:val="auto"/>
          <w:kern w:val="2"/>
          <w:sz w:val="24"/>
          <w:szCs w:val="24"/>
          <w:highlight w:val="none"/>
          <w:shd w:val="clear" w:color="auto" w:fill="FFFFFF"/>
          <w:lang w:val="en-US" w:eastAsia="zh-CN" w:bidi="ar-SA"/>
        </w:rPr>
        <w:fldChar w:fldCharType="begin"/>
      </w:r>
      <w:r>
        <w:rPr>
          <w:rFonts w:hint="eastAsia" w:ascii="宋体" w:hAnsi="宋体" w:eastAsia="宋体" w:cs="宋体"/>
          <w:color w:val="auto"/>
          <w:kern w:val="2"/>
          <w:sz w:val="24"/>
          <w:szCs w:val="24"/>
          <w:highlight w:val="none"/>
          <w:shd w:val="clear" w:color="auto" w:fill="FFFFFF"/>
          <w:lang w:val="en-US" w:eastAsia="zh-CN" w:bidi="ar-SA"/>
        </w:rPr>
        <w:instrText xml:space="preserve"> HYPERLINK "https://xinjiang.etrading.cn" </w:instrText>
      </w:r>
      <w:r>
        <w:rPr>
          <w:rFonts w:hint="eastAsia" w:ascii="宋体" w:hAnsi="宋体" w:eastAsia="宋体" w:cs="宋体"/>
          <w:color w:val="auto"/>
          <w:kern w:val="2"/>
          <w:sz w:val="24"/>
          <w:szCs w:val="24"/>
          <w:highlight w:val="none"/>
          <w:shd w:val="clear" w:color="auto" w:fill="FFFFFF"/>
          <w:lang w:val="en-US" w:eastAsia="zh-CN" w:bidi="ar-SA"/>
        </w:rPr>
        <w:fldChar w:fldCharType="separate"/>
      </w:r>
      <w:r>
        <w:rPr>
          <w:rStyle w:val="29"/>
          <w:rFonts w:hint="eastAsia" w:ascii="宋体" w:hAnsi="宋体" w:eastAsia="宋体" w:cs="宋体"/>
          <w:color w:val="auto"/>
          <w:kern w:val="2"/>
          <w:sz w:val="24"/>
          <w:szCs w:val="24"/>
          <w:highlight w:val="none"/>
          <w:shd w:val="clear" w:color="auto" w:fill="FFFFFF"/>
          <w:lang w:val="en-US" w:eastAsia="zh-CN" w:bidi="ar-SA"/>
        </w:rPr>
        <w:t>https://xinjiang.etrading.cn</w:t>
      </w:r>
      <w:r>
        <w:rPr>
          <w:rFonts w:hint="eastAsia" w:ascii="宋体" w:hAnsi="宋体" w:eastAsia="宋体" w:cs="宋体"/>
          <w:color w:val="auto"/>
          <w:kern w:val="2"/>
          <w:sz w:val="24"/>
          <w:szCs w:val="24"/>
          <w:highlight w:val="none"/>
          <w:shd w:val="clear" w:color="auto" w:fill="FFFFFF"/>
          <w:lang w:val="en-US" w:eastAsia="zh-CN" w:bidi="ar-SA"/>
        </w:rPr>
        <w:fldChar w:fldCharType="end"/>
      </w:r>
      <w:r>
        <w:rPr>
          <w:rFonts w:hint="eastAsia" w:ascii="宋体" w:hAnsi="宋体" w:eastAsia="宋体" w:cs="宋体"/>
          <w:color w:val="auto"/>
          <w:kern w:val="2"/>
          <w:sz w:val="24"/>
          <w:szCs w:val="24"/>
          <w:highlight w:val="none"/>
          <w:shd w:val="clear" w:color="auto" w:fill="FFFFFF"/>
          <w:lang w:val="en-US" w:eastAsia="zh-CN" w:bidi="ar-SA"/>
        </w:rPr>
        <w:t>）实施。网上报名、下载电子</w:t>
      </w:r>
      <w:r>
        <w:rPr>
          <w:rFonts w:hint="eastAsia" w:ascii="宋体" w:hAnsi="宋体" w:cs="宋体"/>
          <w:color w:val="auto"/>
          <w:kern w:val="2"/>
          <w:sz w:val="24"/>
          <w:szCs w:val="24"/>
          <w:highlight w:val="none"/>
          <w:shd w:val="clear" w:color="auto" w:fill="FFFFFF"/>
          <w:lang w:val="en-US" w:eastAsia="zh-CN" w:bidi="ar-SA"/>
        </w:rPr>
        <w:t>采购</w:t>
      </w:r>
      <w:r>
        <w:rPr>
          <w:rFonts w:hint="eastAsia" w:ascii="宋体" w:hAnsi="宋体" w:eastAsia="宋体" w:cs="宋体"/>
          <w:color w:val="auto"/>
          <w:kern w:val="2"/>
          <w:sz w:val="24"/>
          <w:szCs w:val="24"/>
          <w:highlight w:val="none"/>
          <w:shd w:val="clear" w:color="auto" w:fill="FFFFFF"/>
          <w:lang w:val="en-US" w:eastAsia="zh-CN" w:bidi="ar-SA"/>
        </w:rPr>
        <w:t>文件、申报药品、网上报价、远程开标、远程议价等一系列工作均在该平台上完成。</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cs="宋体"/>
          <w:color w:val="auto"/>
          <w:kern w:val="2"/>
          <w:sz w:val="24"/>
          <w:szCs w:val="24"/>
          <w:highlight w:val="none"/>
          <w:shd w:val="clear" w:color="auto" w:fill="FFFFFF"/>
          <w:lang w:val="en-US" w:eastAsia="zh-CN" w:bidi="ar-SA"/>
        </w:rPr>
        <w:t>6.2</w:t>
      </w:r>
      <w:r>
        <w:rPr>
          <w:rFonts w:hint="eastAsia" w:ascii="宋体" w:hAnsi="宋体" w:eastAsia="宋体" w:cs="宋体"/>
          <w:color w:val="auto"/>
          <w:kern w:val="2"/>
          <w:sz w:val="24"/>
          <w:szCs w:val="24"/>
          <w:highlight w:val="none"/>
          <w:shd w:val="clear" w:color="auto" w:fill="FFFFFF"/>
          <w:lang w:val="en-US" w:eastAsia="zh-CN" w:bidi="ar-SA"/>
        </w:rPr>
        <w:t>申报企业必须在规定时间内真实、准确、完整地提交申报材料。如资料填报有误被退回后，未再次在规定时间内修改并提交审核，视为自动放弃，后果由生产企业自负。</w:t>
      </w:r>
    </w:p>
    <w:p>
      <w:pPr>
        <w:pStyle w:val="2"/>
        <w:ind w:firstLine="480" w:firstLineChars="200"/>
        <w:rPr>
          <w:rFonts w:hint="eastAsia"/>
          <w:color w:val="auto"/>
          <w:highlight w:val="none"/>
          <w:lang w:val="en-US" w:eastAsia="zh-CN"/>
        </w:rPr>
      </w:pPr>
      <w:r>
        <w:rPr>
          <w:rFonts w:hint="eastAsia" w:ascii="宋体" w:hAnsi="宋体" w:eastAsia="宋体" w:cs="宋体"/>
          <w:color w:val="auto"/>
          <w:kern w:val="2"/>
          <w:sz w:val="24"/>
          <w:szCs w:val="24"/>
          <w:highlight w:val="none"/>
          <w:shd w:val="clear" w:color="auto" w:fill="FFFFFF"/>
          <w:lang w:val="en-US" w:eastAsia="zh-CN" w:bidi="ar-SA"/>
        </w:rPr>
        <w:t>6.3</w:t>
      </w:r>
      <w:r>
        <w:rPr>
          <w:rFonts w:hint="default" w:ascii="宋体" w:hAnsi="宋体" w:eastAsia="宋体" w:cs="宋体"/>
          <w:color w:val="auto"/>
          <w:kern w:val="2"/>
          <w:sz w:val="24"/>
          <w:szCs w:val="24"/>
          <w:highlight w:val="none"/>
          <w:shd w:val="clear" w:color="auto" w:fill="FFFFFF"/>
          <w:lang w:val="en-US" w:eastAsia="zh-CN" w:bidi="ar-SA"/>
        </w:rPr>
        <w:t>申报企业</w:t>
      </w:r>
      <w:r>
        <w:rPr>
          <w:rFonts w:hint="eastAsia" w:ascii="宋体" w:hAnsi="宋体" w:eastAsia="宋体" w:cs="宋体"/>
          <w:color w:val="auto"/>
          <w:kern w:val="2"/>
          <w:sz w:val="24"/>
          <w:szCs w:val="24"/>
          <w:highlight w:val="none"/>
          <w:shd w:val="clear" w:color="auto" w:fill="FFFFFF"/>
          <w:lang w:val="en-US" w:eastAsia="zh-CN" w:bidi="ar-SA"/>
        </w:rPr>
        <w:t>应随时关注采购文件的</w:t>
      </w:r>
      <w:r>
        <w:rPr>
          <w:rFonts w:hint="default" w:ascii="宋体" w:hAnsi="宋体" w:eastAsia="宋体" w:cs="宋体"/>
          <w:color w:val="auto"/>
          <w:kern w:val="2"/>
          <w:sz w:val="24"/>
          <w:szCs w:val="24"/>
          <w:highlight w:val="none"/>
          <w:shd w:val="clear" w:color="auto" w:fill="FFFFFF"/>
          <w:lang w:val="en-US" w:eastAsia="zh-CN" w:bidi="ar-SA"/>
        </w:rPr>
        <w:t>后续补充文件，</w:t>
      </w:r>
      <w:r>
        <w:rPr>
          <w:rFonts w:hint="eastAsia" w:ascii="宋体" w:hAnsi="宋体" w:eastAsia="宋体" w:cs="宋体"/>
          <w:color w:val="auto"/>
          <w:kern w:val="2"/>
          <w:sz w:val="24"/>
          <w:szCs w:val="24"/>
          <w:highlight w:val="none"/>
          <w:shd w:val="clear" w:color="auto" w:fill="FFFFFF"/>
          <w:lang w:val="en-US" w:eastAsia="zh-CN" w:bidi="ar-SA"/>
        </w:rPr>
        <w:t>并根据公布的报价时间、开标时间及时参与议价，后续补充文件同采购文件具有同等法律效应</w:t>
      </w:r>
      <w:r>
        <w:rPr>
          <w:rFonts w:hint="default" w:ascii="宋体" w:hAnsi="宋体" w:eastAsia="宋体" w:cs="宋体"/>
          <w:color w:val="auto"/>
          <w:kern w:val="2"/>
          <w:sz w:val="24"/>
          <w:szCs w:val="24"/>
          <w:highlight w:val="none"/>
          <w:shd w:val="clear" w:color="auto" w:fill="FFFFFF"/>
          <w:lang w:val="en-US" w:eastAsia="zh-CN" w:bidi="ar-SA"/>
        </w:rPr>
        <w:t>。</w:t>
      </w:r>
    </w:p>
    <w:p>
      <w:pPr>
        <w:pStyle w:val="9"/>
        <w:keepNext w:val="0"/>
        <w:keepLines w:val="0"/>
        <w:pageBreakBefore w:val="0"/>
        <w:widowControl w:val="0"/>
        <w:kinsoku/>
        <w:wordWrap/>
        <w:overflowPunct/>
        <w:topLinePunct w:val="0"/>
        <w:autoSpaceDE/>
        <w:autoSpaceDN/>
        <w:bidi w:val="0"/>
        <w:adjustRightInd/>
        <w:snapToGrid/>
        <w:spacing w:line="440" w:lineRule="exact"/>
        <w:ind w:left="0" w:leftChars="0" w:right="0" w:firstLine="482" w:firstLineChars="200"/>
        <w:jc w:val="both"/>
        <w:textAlignment w:val="auto"/>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b/>
          <w:bCs/>
          <w:color w:val="auto"/>
          <w:kern w:val="2"/>
          <w:sz w:val="24"/>
          <w:szCs w:val="24"/>
          <w:highlight w:val="none"/>
          <w:shd w:val="clear" w:color="auto" w:fill="FFFFFF"/>
          <w:lang w:val="en-US" w:eastAsia="zh-CN" w:bidi="ar-SA"/>
        </w:rPr>
        <w:t>特别提示</w:t>
      </w:r>
      <w:r>
        <w:rPr>
          <w:rFonts w:hint="eastAsia" w:ascii="宋体" w:hAnsi="宋体" w:eastAsia="宋体" w:cs="宋体"/>
          <w:color w:val="auto"/>
          <w:kern w:val="2"/>
          <w:sz w:val="24"/>
          <w:szCs w:val="24"/>
          <w:highlight w:val="none"/>
          <w:shd w:val="clear" w:color="auto" w:fill="FFFFFF"/>
          <w:lang w:val="en-US" w:eastAsia="zh-CN" w:bidi="ar-SA"/>
        </w:rPr>
        <w:t>：</w:t>
      </w:r>
    </w:p>
    <w:p>
      <w:pPr>
        <w:pStyle w:val="9"/>
        <w:keepNext w:val="0"/>
        <w:keepLines w:val="0"/>
        <w:pageBreakBefore w:val="0"/>
        <w:widowControl w:val="0"/>
        <w:kinsoku/>
        <w:wordWrap/>
        <w:overflowPunct/>
        <w:topLinePunct w:val="0"/>
        <w:autoSpaceDE/>
        <w:autoSpaceDN/>
        <w:bidi w:val="0"/>
        <w:adjustRightInd/>
        <w:snapToGrid/>
        <w:spacing w:line="440" w:lineRule="exact"/>
        <w:ind w:left="0" w:leftChars="0" w:right="0" w:firstLine="480" w:firstLineChars="200"/>
        <w:jc w:val="both"/>
        <w:textAlignment w:val="auto"/>
        <w:rPr>
          <w:rFonts w:hint="eastAsia" w:ascii="宋体" w:hAnsi="宋体" w:eastAsia="宋体" w:cs="宋体"/>
          <w:color w:val="auto"/>
          <w:sz w:val="24"/>
          <w:szCs w:val="24"/>
          <w:highlight w:val="none"/>
          <w:lang w:bidi="zh-CN"/>
        </w:rPr>
      </w:pPr>
      <w:r>
        <w:rPr>
          <w:rFonts w:hint="eastAsia" w:hAnsi="宋体" w:cs="宋体"/>
          <w:color w:val="auto"/>
          <w:sz w:val="24"/>
          <w:szCs w:val="24"/>
          <w:highlight w:val="none"/>
          <w:lang w:val="en-US" w:bidi="zh-CN"/>
        </w:rPr>
        <w:t>1.</w:t>
      </w:r>
      <w:r>
        <w:rPr>
          <w:rFonts w:hint="eastAsia" w:ascii="宋体" w:hAnsi="宋体" w:eastAsia="宋体" w:cs="宋体"/>
          <w:color w:val="auto"/>
          <w:sz w:val="24"/>
          <w:szCs w:val="24"/>
          <w:highlight w:val="none"/>
          <w:lang w:bidi="zh-CN"/>
        </w:rPr>
        <w:t>首次登录的潜在投标人登录前请前往“新点电子交易平台”新疆专区（</w:t>
      </w:r>
      <w:r>
        <w:rPr>
          <w:rFonts w:hint="eastAsia" w:ascii="宋体" w:hAnsi="宋体" w:eastAsia="宋体" w:cs="宋体"/>
          <w:color w:val="auto"/>
          <w:kern w:val="2"/>
          <w:sz w:val="24"/>
          <w:szCs w:val="24"/>
          <w:highlight w:val="none"/>
          <w:shd w:val="clear" w:color="auto" w:fill="FFFFFF"/>
          <w:lang w:val="en-US" w:eastAsia="zh-CN" w:bidi="ar-SA"/>
        </w:rPr>
        <w:fldChar w:fldCharType="begin"/>
      </w:r>
      <w:r>
        <w:rPr>
          <w:rFonts w:hint="eastAsia" w:ascii="宋体" w:hAnsi="宋体" w:eastAsia="宋体" w:cs="宋体"/>
          <w:color w:val="auto"/>
          <w:kern w:val="2"/>
          <w:sz w:val="24"/>
          <w:szCs w:val="24"/>
          <w:highlight w:val="none"/>
          <w:shd w:val="clear" w:color="auto" w:fill="FFFFFF"/>
          <w:lang w:val="en-US" w:eastAsia="zh-CN" w:bidi="ar-SA"/>
        </w:rPr>
        <w:instrText xml:space="preserve"> HYPERLINK "https://xinjiang.etrading.cn" </w:instrText>
      </w:r>
      <w:r>
        <w:rPr>
          <w:rFonts w:hint="eastAsia" w:ascii="宋体" w:hAnsi="宋体" w:eastAsia="宋体" w:cs="宋体"/>
          <w:color w:val="auto"/>
          <w:kern w:val="2"/>
          <w:sz w:val="24"/>
          <w:szCs w:val="24"/>
          <w:highlight w:val="none"/>
          <w:shd w:val="clear" w:color="auto" w:fill="FFFFFF"/>
          <w:lang w:val="en-US" w:eastAsia="zh-CN" w:bidi="ar-SA"/>
        </w:rPr>
        <w:fldChar w:fldCharType="separate"/>
      </w:r>
      <w:r>
        <w:rPr>
          <w:rStyle w:val="29"/>
          <w:rFonts w:hint="eastAsia" w:ascii="宋体" w:hAnsi="宋体" w:eastAsia="宋体" w:cs="宋体"/>
          <w:color w:val="auto"/>
          <w:kern w:val="2"/>
          <w:sz w:val="24"/>
          <w:szCs w:val="24"/>
          <w:highlight w:val="none"/>
          <w:shd w:val="clear" w:color="auto" w:fill="FFFFFF"/>
          <w:lang w:val="en-US" w:eastAsia="zh-CN" w:bidi="ar-SA"/>
        </w:rPr>
        <w:t>https://xinjiang.etrading.cn</w:t>
      </w:r>
      <w:r>
        <w:rPr>
          <w:rFonts w:hint="eastAsia" w:ascii="宋体" w:hAnsi="宋体" w:eastAsia="宋体" w:cs="宋体"/>
          <w:color w:val="auto"/>
          <w:kern w:val="2"/>
          <w:sz w:val="24"/>
          <w:szCs w:val="24"/>
          <w:highlight w:val="none"/>
          <w:shd w:val="clear" w:color="auto" w:fill="FFFFFF"/>
          <w:lang w:val="en-US" w:eastAsia="zh-CN" w:bidi="ar-SA"/>
        </w:rPr>
        <w:fldChar w:fldCharType="end"/>
      </w:r>
      <w:r>
        <w:rPr>
          <w:rFonts w:hint="eastAsia" w:ascii="宋体" w:hAnsi="宋体" w:eastAsia="宋体" w:cs="宋体"/>
          <w:color w:val="auto"/>
          <w:sz w:val="24"/>
          <w:szCs w:val="24"/>
          <w:highlight w:val="none"/>
          <w:lang w:bidi="zh-CN"/>
        </w:rPr>
        <w:t>），点击“注册”按钮进行投标人免费注册（若注册有问题可参考注册下方的注册操作指南进行注册）；注册为一次性工作，以后若有需要只需变更及完善相关信息；注册成功后，可以及时参与平台上所有发布的项目。平台注册成功后，</w:t>
      </w:r>
      <w:r>
        <w:rPr>
          <w:rFonts w:hint="eastAsia" w:hAnsi="宋体" w:cs="宋体"/>
          <w:color w:val="auto"/>
          <w:sz w:val="24"/>
          <w:szCs w:val="24"/>
          <w:highlight w:val="none"/>
          <w:lang w:bidi="zh-CN"/>
        </w:rPr>
        <w:t>登录</w:t>
      </w:r>
      <w:r>
        <w:rPr>
          <w:rFonts w:hint="eastAsia" w:ascii="宋体" w:hAnsi="宋体" w:eastAsia="宋体" w:cs="宋体"/>
          <w:color w:val="auto"/>
          <w:sz w:val="24"/>
          <w:szCs w:val="24"/>
          <w:highlight w:val="none"/>
          <w:lang w:bidi="zh-CN"/>
        </w:rPr>
        <w:t>平台真实准确完善用户信息。</w:t>
      </w:r>
    </w:p>
    <w:p>
      <w:pPr>
        <w:pStyle w:val="9"/>
        <w:keepNext w:val="0"/>
        <w:keepLines w:val="0"/>
        <w:pageBreakBefore w:val="0"/>
        <w:widowControl w:val="0"/>
        <w:kinsoku/>
        <w:wordWrap/>
        <w:overflowPunct/>
        <w:topLinePunct w:val="0"/>
        <w:autoSpaceDE/>
        <w:autoSpaceDN/>
        <w:bidi w:val="0"/>
        <w:adjustRightInd/>
        <w:snapToGrid/>
        <w:spacing w:line="440" w:lineRule="exact"/>
        <w:ind w:left="0" w:leftChars="0" w:right="0" w:firstLine="480" w:firstLineChars="200"/>
        <w:jc w:val="both"/>
        <w:textAlignment w:val="auto"/>
        <w:rPr>
          <w:rFonts w:hint="eastAsia" w:ascii="宋体" w:hAnsi="宋体" w:eastAsia="宋体" w:cs="宋体"/>
          <w:color w:val="auto"/>
          <w:sz w:val="24"/>
          <w:szCs w:val="24"/>
          <w:highlight w:val="none"/>
          <w:lang w:bidi="zh-CN"/>
        </w:rPr>
      </w:pPr>
      <w:r>
        <w:rPr>
          <w:rFonts w:hint="eastAsia" w:hAnsi="宋体" w:cs="宋体"/>
          <w:color w:val="auto"/>
          <w:sz w:val="24"/>
          <w:szCs w:val="24"/>
          <w:highlight w:val="none"/>
          <w:lang w:val="en-US" w:bidi="zh-CN"/>
        </w:rPr>
        <w:t>2.</w:t>
      </w:r>
      <w:r>
        <w:rPr>
          <w:rFonts w:hint="eastAsia" w:ascii="宋体" w:hAnsi="宋体" w:eastAsia="宋体" w:cs="宋体"/>
          <w:color w:val="auto"/>
          <w:sz w:val="24"/>
          <w:szCs w:val="24"/>
          <w:highlight w:val="none"/>
          <w:lang w:bidi="zh-CN"/>
        </w:rPr>
        <w:t>已注册过的潜在投标人，登录后点击“主平台”，选择对应的专区，进入对应的专区后可以检索查询找到对应项目的招标公告，找到对应项目后点击“我要投标”，进入后完善相应投标信息并确认登记</w:t>
      </w:r>
      <w:r>
        <w:rPr>
          <w:rFonts w:hint="eastAsia" w:hAnsi="宋体" w:cs="宋体"/>
          <w:color w:val="auto"/>
          <w:sz w:val="24"/>
          <w:szCs w:val="24"/>
          <w:highlight w:val="none"/>
          <w:lang w:val="en-US" w:bidi="zh-CN"/>
        </w:rPr>
        <w:t>并下载招标文件</w:t>
      </w:r>
      <w:r>
        <w:rPr>
          <w:rFonts w:hint="eastAsia" w:ascii="宋体" w:hAnsi="宋体" w:eastAsia="宋体" w:cs="宋体"/>
          <w:color w:val="auto"/>
          <w:sz w:val="24"/>
          <w:szCs w:val="24"/>
          <w:highlight w:val="none"/>
          <w:lang w:bidi="zh-CN"/>
        </w:rPr>
        <w:t>。</w:t>
      </w:r>
    </w:p>
    <w:p>
      <w:pPr>
        <w:pStyle w:val="9"/>
        <w:keepNext w:val="0"/>
        <w:keepLines w:val="0"/>
        <w:pageBreakBefore w:val="0"/>
        <w:widowControl w:val="0"/>
        <w:kinsoku/>
        <w:wordWrap/>
        <w:overflowPunct/>
        <w:topLinePunct w:val="0"/>
        <w:autoSpaceDE/>
        <w:autoSpaceDN/>
        <w:bidi w:val="0"/>
        <w:adjustRightInd/>
        <w:snapToGrid/>
        <w:spacing w:line="440" w:lineRule="exact"/>
        <w:ind w:left="0" w:leftChars="0" w:right="0" w:firstLine="480" w:firstLineChars="200"/>
        <w:jc w:val="both"/>
        <w:textAlignment w:val="auto"/>
        <w:rPr>
          <w:rFonts w:hint="eastAsia" w:ascii="宋体" w:hAnsi="宋体" w:eastAsia="宋体" w:cs="宋体"/>
          <w:color w:val="auto"/>
          <w:sz w:val="24"/>
          <w:szCs w:val="24"/>
          <w:highlight w:val="none"/>
          <w:lang w:bidi="zh-CN"/>
        </w:rPr>
      </w:pPr>
      <w:r>
        <w:rPr>
          <w:rFonts w:hint="eastAsia" w:hAnsi="宋体" w:cs="宋体"/>
          <w:color w:val="auto"/>
          <w:sz w:val="24"/>
          <w:szCs w:val="24"/>
          <w:highlight w:val="none"/>
          <w:lang w:val="en-US" w:bidi="zh-CN"/>
        </w:rPr>
        <w:t>3.</w:t>
      </w:r>
      <w:r>
        <w:rPr>
          <w:rFonts w:hint="eastAsia" w:ascii="宋体" w:hAnsi="宋体" w:eastAsia="宋体" w:cs="宋体"/>
          <w:color w:val="auto"/>
          <w:sz w:val="24"/>
          <w:szCs w:val="24"/>
          <w:highlight w:val="none"/>
          <w:lang w:bidi="zh-CN"/>
        </w:rPr>
        <w:t>本项目采用全流程电子招投标，有意参与投标的潜在投标人应在招标文件</w:t>
      </w:r>
      <w:r>
        <w:rPr>
          <w:rFonts w:hint="eastAsia" w:ascii="宋体" w:hAnsi="宋体" w:eastAsia="宋体" w:cs="宋体"/>
          <w:color w:val="auto"/>
          <w:sz w:val="24"/>
          <w:szCs w:val="24"/>
          <w:highlight w:val="none"/>
          <w:lang w:val="en-US" w:bidi="zh-CN"/>
        </w:rPr>
        <w:t>下载后</w:t>
      </w:r>
      <w:r>
        <w:rPr>
          <w:rFonts w:hint="eastAsia" w:ascii="宋体" w:hAnsi="宋体" w:eastAsia="宋体" w:cs="宋体"/>
          <w:color w:val="auto"/>
          <w:sz w:val="24"/>
          <w:szCs w:val="24"/>
          <w:highlight w:val="none"/>
          <w:lang w:bidi="zh-CN"/>
        </w:rPr>
        <w:t>尽快与“新点电子交易平台”联系申请办理CA证书的购买事宜，以免延误投标。已办理CA公司数字证书在有效期内的单位不需重复办理。</w:t>
      </w:r>
    </w:p>
    <w:p>
      <w:pPr>
        <w:pStyle w:val="9"/>
        <w:keepNext w:val="0"/>
        <w:keepLines w:val="0"/>
        <w:pageBreakBefore w:val="0"/>
        <w:widowControl w:val="0"/>
        <w:kinsoku/>
        <w:wordWrap/>
        <w:overflowPunct/>
        <w:topLinePunct w:val="0"/>
        <w:autoSpaceDE/>
        <w:autoSpaceDN/>
        <w:bidi w:val="0"/>
        <w:adjustRightInd/>
        <w:snapToGrid/>
        <w:spacing w:line="440" w:lineRule="exact"/>
        <w:ind w:left="0" w:leftChars="0" w:right="0" w:firstLine="482" w:firstLineChars="200"/>
        <w:jc w:val="both"/>
        <w:textAlignment w:val="auto"/>
        <w:rPr>
          <w:rFonts w:hint="eastAsia" w:ascii="宋体" w:hAnsi="宋体" w:eastAsia="宋体" w:cs="宋体"/>
          <w:color w:val="auto"/>
          <w:sz w:val="24"/>
          <w:szCs w:val="24"/>
          <w:highlight w:val="none"/>
          <w:lang w:bidi="zh-CN"/>
        </w:rPr>
      </w:pPr>
      <w:r>
        <w:rPr>
          <w:rFonts w:hint="eastAsia" w:hAnsi="宋体" w:cs="宋体"/>
          <w:b/>
          <w:bCs/>
          <w:color w:val="auto"/>
          <w:sz w:val="24"/>
          <w:szCs w:val="24"/>
          <w:highlight w:val="none"/>
          <w:lang w:bidi="zh-CN"/>
        </w:rPr>
        <w:t>注：</w:t>
      </w:r>
      <w:r>
        <w:rPr>
          <w:rFonts w:hint="eastAsia" w:ascii="宋体" w:hAnsi="宋体" w:eastAsia="宋体" w:cs="宋体"/>
          <w:color w:val="auto"/>
          <w:sz w:val="24"/>
          <w:szCs w:val="24"/>
          <w:highlight w:val="none"/>
          <w:lang w:bidi="zh-CN"/>
        </w:rPr>
        <w:t>注册或CA办理咨询请按以下方式与网站技术支持联系，客服电话：400-928-0095转5号键（客服工作时间：周一至周日上午9时00分-11时30分，下午13时30分</w:t>
      </w:r>
      <w:r>
        <w:rPr>
          <w:rFonts w:hint="eastAsia" w:hAnsi="宋体" w:cs="宋体"/>
          <w:color w:val="auto"/>
          <w:sz w:val="24"/>
          <w:szCs w:val="24"/>
          <w:highlight w:val="none"/>
          <w:lang w:bidi="zh-CN"/>
        </w:rPr>
        <w:t>—</w:t>
      </w:r>
      <w:r>
        <w:rPr>
          <w:rFonts w:hint="eastAsia" w:ascii="宋体" w:hAnsi="宋体" w:eastAsia="宋体" w:cs="宋体"/>
          <w:color w:val="auto"/>
          <w:sz w:val="24"/>
          <w:szCs w:val="24"/>
          <w:highlight w:val="none"/>
          <w:lang w:bidi="zh-CN"/>
        </w:rPr>
        <w:t>17时00分）。网站将确保下载者信息在开标前对网站公司有关工作人员保密；如下载者主动与网站公司工作人员联系咨询事宜，则视为下载者主动放弃信息保密的权利，网站公司将不承担任何责任。</w:t>
      </w:r>
    </w:p>
    <w:p>
      <w:pPr>
        <w:pStyle w:val="9"/>
        <w:keepNext w:val="0"/>
        <w:keepLines w:val="0"/>
        <w:pageBreakBefore w:val="0"/>
        <w:widowControl w:val="0"/>
        <w:kinsoku/>
        <w:wordWrap/>
        <w:overflowPunct/>
        <w:topLinePunct w:val="0"/>
        <w:bidi w:val="0"/>
        <w:adjustRightInd/>
        <w:snapToGrid/>
        <w:spacing w:line="460" w:lineRule="exact"/>
        <w:ind w:left="0" w:leftChars="0" w:right="0" w:firstLine="482" w:firstLineChars="200"/>
        <w:jc w:val="both"/>
        <w:textAlignment w:val="auto"/>
        <w:outlineLvl w:val="1"/>
        <w:rPr>
          <w:rFonts w:hint="eastAsia" w:ascii="宋体" w:hAnsi="宋体" w:eastAsia="宋体" w:cs="宋体"/>
          <w:b/>
          <w:bCs/>
          <w:color w:val="auto"/>
          <w:kern w:val="2"/>
          <w:sz w:val="24"/>
          <w:szCs w:val="24"/>
          <w:highlight w:val="none"/>
          <w:shd w:val="clear" w:color="auto" w:fill="FFFFFF"/>
          <w:lang w:val="en-US" w:eastAsia="zh-CN" w:bidi="ar-SA"/>
        </w:rPr>
      </w:pPr>
      <w:bookmarkStart w:id="30" w:name="_Toc30"/>
      <w:r>
        <w:rPr>
          <w:rFonts w:hint="eastAsia" w:ascii="宋体" w:hAnsi="宋体" w:eastAsia="宋体" w:cs="宋体"/>
          <w:b/>
          <w:bCs/>
          <w:color w:val="auto"/>
          <w:kern w:val="2"/>
          <w:sz w:val="24"/>
          <w:szCs w:val="24"/>
          <w:highlight w:val="none"/>
          <w:shd w:val="clear" w:color="auto" w:fill="FFFFFF"/>
          <w:lang w:val="en-US" w:eastAsia="zh-CN" w:bidi="ar-SA"/>
        </w:rPr>
        <w:t>7、</w:t>
      </w:r>
      <w:bookmarkStart w:id="31" w:name="七时间地点安排"/>
      <w:bookmarkEnd w:id="31"/>
      <w:r>
        <w:rPr>
          <w:rFonts w:hint="eastAsia" w:ascii="宋体" w:hAnsi="宋体" w:eastAsia="宋体" w:cs="宋体"/>
          <w:b/>
          <w:bCs/>
          <w:color w:val="auto"/>
          <w:kern w:val="2"/>
          <w:sz w:val="24"/>
          <w:szCs w:val="24"/>
          <w:highlight w:val="none"/>
          <w:shd w:val="clear" w:color="auto" w:fill="FFFFFF"/>
          <w:lang w:val="en-US" w:eastAsia="zh-CN" w:bidi="ar-SA"/>
        </w:rPr>
        <w:t>时间、地点安排</w:t>
      </w:r>
      <w:bookmarkEnd w:id="30"/>
    </w:p>
    <w:p>
      <w:pPr>
        <w:pStyle w:val="19"/>
        <w:keepNext w:val="0"/>
        <w:keepLines w:val="0"/>
        <w:pageBreakBefore w:val="0"/>
        <w:widowControl w:val="0"/>
        <w:kinsoku/>
        <w:wordWrap/>
        <w:overflowPunct/>
        <w:topLinePunct w:val="0"/>
        <w:autoSpaceDE/>
        <w:autoSpaceDN/>
        <w:bidi w:val="0"/>
        <w:adjustRightInd/>
        <w:snapToGrid/>
        <w:spacing w:after="0" w:afterLines="0" w:line="460" w:lineRule="exact"/>
        <w:ind w:left="0" w:leftChars="0" w:right="0" w:firstLine="480" w:firstLineChars="200"/>
        <w:jc w:val="both"/>
        <w:textAlignment w:val="auto"/>
        <w:rPr>
          <w:rFonts w:hint="eastAsia" w:ascii="宋体" w:hAnsi="宋体" w:eastAsia="宋体" w:cs="宋体"/>
          <w:color w:val="auto"/>
          <w:kern w:val="2"/>
          <w:sz w:val="24"/>
          <w:szCs w:val="24"/>
          <w:highlight w:val="none"/>
          <w:shd w:val="clear" w:color="auto" w:fill="FFFFFF"/>
          <w:lang w:val="en-US" w:eastAsia="zh-CN" w:bidi="ar-SA"/>
        </w:rPr>
      </w:pPr>
      <w:bookmarkStart w:id="32" w:name="八联系方式"/>
      <w:bookmarkEnd w:id="32"/>
      <w:r>
        <w:rPr>
          <w:rFonts w:hint="eastAsia" w:ascii="宋体" w:hAnsi="宋体" w:eastAsia="宋体" w:cs="宋体"/>
          <w:color w:val="auto"/>
          <w:kern w:val="2"/>
          <w:sz w:val="24"/>
          <w:szCs w:val="24"/>
          <w:highlight w:val="none"/>
          <w:shd w:val="clear" w:color="auto" w:fill="FFFFFF"/>
          <w:lang w:val="en-US" w:eastAsia="zh-CN" w:bidi="ar-SA"/>
        </w:rPr>
        <w:t>7.1报名时间：2023年5月</w:t>
      </w:r>
      <w:r>
        <w:rPr>
          <w:rFonts w:hint="eastAsia" w:ascii="宋体" w:hAnsi="宋体" w:cs="宋体"/>
          <w:color w:val="auto"/>
          <w:kern w:val="2"/>
          <w:sz w:val="24"/>
          <w:szCs w:val="24"/>
          <w:highlight w:val="none"/>
          <w:shd w:val="clear" w:color="auto" w:fill="FFFFFF"/>
          <w:lang w:val="en-US" w:eastAsia="zh-CN" w:bidi="ar-SA"/>
        </w:rPr>
        <w:t>6</w:t>
      </w:r>
      <w:r>
        <w:rPr>
          <w:rFonts w:hint="eastAsia" w:ascii="宋体" w:hAnsi="宋体" w:eastAsia="宋体" w:cs="宋体"/>
          <w:color w:val="auto"/>
          <w:kern w:val="2"/>
          <w:sz w:val="24"/>
          <w:szCs w:val="24"/>
          <w:highlight w:val="none"/>
          <w:shd w:val="clear" w:color="auto" w:fill="FFFFFF"/>
          <w:lang w:val="en-US" w:eastAsia="zh-CN" w:bidi="ar-SA"/>
        </w:rPr>
        <w:t>日-5月</w:t>
      </w:r>
      <w:r>
        <w:rPr>
          <w:rFonts w:hint="eastAsia" w:ascii="宋体" w:hAnsi="宋体" w:cs="宋体"/>
          <w:color w:val="auto"/>
          <w:kern w:val="2"/>
          <w:sz w:val="24"/>
          <w:szCs w:val="24"/>
          <w:highlight w:val="none"/>
          <w:shd w:val="clear" w:color="auto" w:fill="FFFFFF"/>
          <w:lang w:val="en-US" w:eastAsia="zh-CN" w:bidi="ar-SA"/>
        </w:rPr>
        <w:t>18</w:t>
      </w:r>
      <w:r>
        <w:rPr>
          <w:rFonts w:hint="eastAsia" w:ascii="宋体" w:hAnsi="宋体" w:eastAsia="宋体" w:cs="宋体"/>
          <w:color w:val="auto"/>
          <w:kern w:val="2"/>
          <w:sz w:val="24"/>
          <w:szCs w:val="24"/>
          <w:highlight w:val="none"/>
          <w:shd w:val="clear" w:color="auto" w:fill="FFFFFF"/>
          <w:lang w:val="en-US" w:eastAsia="zh-CN" w:bidi="ar-SA"/>
        </w:rPr>
        <w:t>日（上午10：00—14：00，下午16：00-20：00）；</w:t>
      </w:r>
    </w:p>
    <w:p>
      <w:pPr>
        <w:pStyle w:val="19"/>
        <w:keepNext w:val="0"/>
        <w:keepLines w:val="0"/>
        <w:pageBreakBefore w:val="0"/>
        <w:widowControl w:val="0"/>
        <w:kinsoku/>
        <w:wordWrap/>
        <w:overflowPunct/>
        <w:topLinePunct w:val="0"/>
        <w:autoSpaceDE/>
        <w:autoSpaceDN/>
        <w:bidi w:val="0"/>
        <w:adjustRightInd/>
        <w:snapToGrid/>
        <w:spacing w:after="0" w:afterLines="0" w:line="460" w:lineRule="exact"/>
        <w:ind w:left="0" w:leftChars="0" w:right="0" w:firstLine="480" w:firstLineChars="200"/>
        <w:jc w:val="both"/>
        <w:textAlignment w:val="auto"/>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7.2报价时间：</w:t>
      </w:r>
      <w:r>
        <w:rPr>
          <w:rFonts w:hint="eastAsia" w:ascii="宋体" w:hAnsi="宋体" w:cs="宋体"/>
          <w:color w:val="auto"/>
          <w:kern w:val="2"/>
          <w:sz w:val="24"/>
          <w:szCs w:val="24"/>
          <w:highlight w:val="none"/>
          <w:shd w:val="clear" w:color="auto" w:fill="FFFFFF"/>
          <w:lang w:val="en-US" w:eastAsia="zh-CN" w:bidi="ar-SA"/>
        </w:rPr>
        <w:t>详见补充文件</w:t>
      </w:r>
      <w:r>
        <w:rPr>
          <w:rFonts w:hint="eastAsia" w:ascii="宋体" w:hAnsi="宋体" w:eastAsia="宋体" w:cs="宋体"/>
          <w:color w:val="auto"/>
          <w:kern w:val="2"/>
          <w:sz w:val="24"/>
          <w:szCs w:val="24"/>
          <w:highlight w:val="none"/>
          <w:shd w:val="clear" w:color="auto" w:fill="FFFFFF"/>
          <w:lang w:val="en-US" w:eastAsia="zh-CN" w:bidi="ar-SA"/>
        </w:rPr>
        <w:t>；</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shd w:val="clear" w:color="auto" w:fill="FFFFFF"/>
          <w:lang w:val="en-US" w:eastAsia="zh-CN" w:bidi="ar-SA"/>
        </w:rPr>
        <w:t>7.3开标时间：</w:t>
      </w: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val="en-US" w:eastAsia="zh-CN"/>
        </w:rPr>
        <w:t>补充文件</w:t>
      </w:r>
      <w:r>
        <w:rPr>
          <w:rFonts w:hint="eastAsia" w:ascii="宋体" w:hAnsi="宋体" w:eastAsia="宋体" w:cs="宋体"/>
          <w:color w:val="auto"/>
          <w:sz w:val="24"/>
          <w:szCs w:val="24"/>
          <w:highlight w:val="none"/>
        </w:rPr>
        <w:t>。</w:t>
      </w:r>
    </w:p>
    <w:p>
      <w:pPr>
        <w:pStyle w:val="2"/>
        <w:ind w:firstLine="480"/>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sz w:val="24"/>
          <w:szCs w:val="24"/>
          <w:highlight w:val="none"/>
          <w:lang w:val="en-US" w:eastAsia="zh-CN"/>
        </w:rPr>
        <w:t>7.4开标地点：</w:t>
      </w:r>
      <w:r>
        <w:rPr>
          <w:rFonts w:hint="eastAsia" w:ascii="宋体" w:hAnsi="宋体" w:eastAsia="宋体" w:cs="宋体"/>
          <w:color w:val="auto"/>
          <w:kern w:val="2"/>
          <w:sz w:val="24"/>
          <w:szCs w:val="24"/>
          <w:highlight w:val="none"/>
          <w:shd w:val="clear" w:color="auto" w:fill="FFFFFF"/>
          <w:lang w:val="en-US" w:eastAsia="zh-CN" w:bidi="ar-SA"/>
        </w:rPr>
        <w:t>网上不见面开标系统（</w:t>
      </w:r>
      <w:r>
        <w:rPr>
          <w:rFonts w:hint="eastAsia" w:ascii="宋体" w:hAnsi="宋体" w:eastAsia="宋体" w:cs="宋体"/>
          <w:color w:val="auto"/>
          <w:kern w:val="2"/>
          <w:sz w:val="24"/>
          <w:szCs w:val="24"/>
          <w:highlight w:val="none"/>
          <w:shd w:val="clear" w:color="auto" w:fill="FFFFFF"/>
          <w:lang w:val="en-US" w:eastAsia="zh-CN" w:bidi="ar-SA"/>
        </w:rPr>
        <w:fldChar w:fldCharType="begin"/>
      </w:r>
      <w:r>
        <w:rPr>
          <w:rFonts w:hint="eastAsia" w:ascii="宋体" w:hAnsi="宋体" w:eastAsia="宋体" w:cs="宋体"/>
          <w:color w:val="auto"/>
          <w:kern w:val="2"/>
          <w:sz w:val="24"/>
          <w:szCs w:val="24"/>
          <w:highlight w:val="none"/>
          <w:shd w:val="clear" w:color="auto" w:fill="FFFFFF"/>
          <w:lang w:val="en-US" w:eastAsia="zh-CN" w:bidi="ar-SA"/>
        </w:rPr>
        <w:instrText xml:space="preserve"> HYPERLINK "https://xinjiang.etrading.cn" </w:instrText>
      </w:r>
      <w:r>
        <w:rPr>
          <w:rFonts w:hint="eastAsia" w:ascii="宋体" w:hAnsi="宋体" w:eastAsia="宋体" w:cs="宋体"/>
          <w:color w:val="auto"/>
          <w:kern w:val="2"/>
          <w:sz w:val="24"/>
          <w:szCs w:val="24"/>
          <w:highlight w:val="none"/>
          <w:shd w:val="clear" w:color="auto" w:fill="FFFFFF"/>
          <w:lang w:val="en-US" w:eastAsia="zh-CN" w:bidi="ar-SA"/>
        </w:rPr>
        <w:fldChar w:fldCharType="separate"/>
      </w:r>
      <w:r>
        <w:rPr>
          <w:rStyle w:val="29"/>
          <w:rFonts w:hint="eastAsia" w:ascii="宋体" w:hAnsi="宋体" w:eastAsia="宋体" w:cs="宋体"/>
          <w:color w:val="auto"/>
          <w:kern w:val="2"/>
          <w:sz w:val="24"/>
          <w:szCs w:val="24"/>
          <w:highlight w:val="none"/>
          <w:shd w:val="clear" w:color="auto" w:fill="FFFFFF"/>
          <w:lang w:val="en-US" w:eastAsia="zh-CN" w:bidi="ar-SA"/>
        </w:rPr>
        <w:t>https://xinjiang.etrading.cn</w:t>
      </w:r>
      <w:r>
        <w:rPr>
          <w:rFonts w:hint="eastAsia" w:ascii="宋体" w:hAnsi="宋体" w:eastAsia="宋体" w:cs="宋体"/>
          <w:color w:val="auto"/>
          <w:kern w:val="2"/>
          <w:sz w:val="24"/>
          <w:szCs w:val="24"/>
          <w:highlight w:val="none"/>
          <w:shd w:val="clear" w:color="auto" w:fill="FFFFFF"/>
          <w:lang w:val="en-US" w:eastAsia="zh-CN" w:bidi="ar-SA"/>
        </w:rPr>
        <w:fldChar w:fldCharType="end"/>
      </w:r>
      <w:r>
        <w:rPr>
          <w:rFonts w:hint="eastAsia" w:ascii="宋体" w:hAnsi="宋体" w:eastAsia="宋体" w:cs="宋体"/>
          <w:color w:val="auto"/>
          <w:kern w:val="2"/>
          <w:sz w:val="24"/>
          <w:szCs w:val="24"/>
          <w:highlight w:val="none"/>
          <w:shd w:val="clear" w:color="auto" w:fill="FFFFFF"/>
          <w:lang w:val="en-US" w:eastAsia="zh-CN" w:bidi="ar-SA"/>
        </w:rPr>
        <w:t>）</w:t>
      </w:r>
    </w:p>
    <w:p>
      <w:pPr>
        <w:pStyle w:val="9"/>
        <w:keepNext w:val="0"/>
        <w:keepLines w:val="0"/>
        <w:pageBreakBefore w:val="0"/>
        <w:widowControl w:val="0"/>
        <w:kinsoku/>
        <w:wordWrap/>
        <w:overflowPunct/>
        <w:topLinePunct w:val="0"/>
        <w:autoSpaceDE/>
        <w:autoSpaceDN/>
        <w:bidi w:val="0"/>
        <w:adjustRightInd/>
        <w:snapToGrid/>
        <w:spacing w:line="460" w:lineRule="exact"/>
        <w:ind w:left="0" w:leftChars="0" w:right="0" w:firstLine="482" w:firstLineChars="200"/>
        <w:jc w:val="both"/>
        <w:textAlignment w:val="auto"/>
        <w:outlineLvl w:val="1"/>
        <w:rPr>
          <w:rFonts w:hint="eastAsia" w:ascii="宋体" w:hAnsi="宋体" w:eastAsia="宋体" w:cs="宋体"/>
          <w:b/>
          <w:bCs/>
          <w:color w:val="auto"/>
          <w:kern w:val="2"/>
          <w:sz w:val="24"/>
          <w:szCs w:val="24"/>
          <w:highlight w:val="none"/>
          <w:shd w:val="clear" w:color="auto" w:fill="FFFFFF"/>
          <w:lang w:val="en-US" w:eastAsia="zh-CN" w:bidi="ar-SA"/>
        </w:rPr>
      </w:pPr>
      <w:bookmarkStart w:id="33" w:name="_Toc32764"/>
      <w:r>
        <w:rPr>
          <w:rFonts w:hint="eastAsia" w:ascii="宋体" w:hAnsi="宋体" w:eastAsia="宋体" w:cs="宋体"/>
          <w:b/>
          <w:bCs/>
          <w:color w:val="auto"/>
          <w:kern w:val="2"/>
          <w:sz w:val="24"/>
          <w:szCs w:val="24"/>
          <w:highlight w:val="none"/>
          <w:shd w:val="clear" w:color="auto" w:fill="FFFFFF"/>
          <w:lang w:val="en-US" w:eastAsia="zh-CN" w:bidi="ar-SA"/>
        </w:rPr>
        <w:t>8、联系方式</w:t>
      </w:r>
      <w:bookmarkEnd w:id="33"/>
    </w:p>
    <w:p>
      <w:pPr>
        <w:pStyle w:val="9"/>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2"/>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8.1招  标  人：</w:t>
      </w:r>
      <w:r>
        <w:rPr>
          <w:rFonts w:hint="eastAsia" w:ascii="宋体" w:hAnsi="宋体" w:eastAsia="宋体" w:cs="宋体"/>
          <w:color w:val="auto"/>
          <w:sz w:val="24"/>
          <w:szCs w:val="24"/>
          <w:highlight w:val="none"/>
          <w:lang w:val="en-US" w:eastAsia="zh-CN"/>
        </w:rPr>
        <w:t>南部联盟医药集采领导小组办公室</w:t>
      </w:r>
    </w:p>
    <w:p>
      <w:pPr>
        <w:pStyle w:val="19"/>
        <w:keepNext w:val="0"/>
        <w:keepLines w:val="0"/>
        <w:pageBreakBefore w:val="0"/>
        <w:widowControl w:val="0"/>
        <w:kinsoku/>
        <w:wordWrap/>
        <w:overflowPunct/>
        <w:topLinePunct w:val="0"/>
        <w:autoSpaceDE/>
        <w:autoSpaceDN/>
        <w:bidi w:val="0"/>
        <w:adjustRightInd/>
        <w:snapToGrid/>
        <w:spacing w:after="0" w:afterLines="0" w:line="460" w:lineRule="exact"/>
        <w:ind w:left="0" w:leftChars="0" w:right="0" w:firstLine="840" w:firstLineChars="350"/>
        <w:jc w:val="left"/>
        <w:textAlignment w:val="auto"/>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招标人地址：</w:t>
      </w:r>
      <w:r>
        <w:rPr>
          <w:rFonts w:hint="eastAsia" w:ascii="宋体" w:hAnsi="宋体" w:eastAsia="宋体" w:cs="宋体"/>
          <w:color w:val="auto"/>
          <w:kern w:val="2"/>
          <w:sz w:val="24"/>
          <w:szCs w:val="24"/>
          <w:highlight w:val="none"/>
          <w:lang w:val="en-US" w:eastAsia="zh-CN" w:bidi="ar-SA"/>
        </w:rPr>
        <w:t>阿克苏市</w:t>
      </w:r>
      <w:r>
        <w:rPr>
          <w:rFonts w:hint="default" w:ascii="宋体" w:hAnsi="宋体" w:eastAsia="宋体" w:cs="宋体"/>
          <w:color w:val="auto"/>
          <w:kern w:val="2"/>
          <w:sz w:val="24"/>
          <w:szCs w:val="24"/>
          <w:highlight w:val="none"/>
          <w:lang w:val="en-US" w:eastAsia="zh-CN" w:bidi="ar-SA"/>
        </w:rPr>
        <w:t>文化路28号2号楼6楼</w:t>
      </w:r>
    </w:p>
    <w:p>
      <w:pPr>
        <w:pStyle w:val="19"/>
        <w:keepNext w:val="0"/>
        <w:keepLines w:val="0"/>
        <w:pageBreakBefore w:val="0"/>
        <w:widowControl w:val="0"/>
        <w:kinsoku/>
        <w:wordWrap/>
        <w:overflowPunct/>
        <w:topLinePunct w:val="0"/>
        <w:autoSpaceDE/>
        <w:autoSpaceDN/>
        <w:bidi w:val="0"/>
        <w:adjustRightInd/>
        <w:snapToGrid/>
        <w:spacing w:after="0" w:afterLines="0" w:line="460" w:lineRule="exact"/>
        <w:ind w:left="0" w:leftChars="0" w:right="0" w:firstLine="840" w:firstLineChars="350"/>
        <w:jc w:val="left"/>
        <w:textAlignment w:val="auto"/>
        <w:rPr>
          <w:rFonts w:hint="default"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招标联系人：袁宇         联系电话：15026380161</w:t>
      </w:r>
    </w:p>
    <w:p>
      <w:pPr>
        <w:pStyle w:val="19"/>
        <w:keepNext w:val="0"/>
        <w:keepLines w:val="0"/>
        <w:pageBreakBefore w:val="0"/>
        <w:widowControl w:val="0"/>
        <w:kinsoku/>
        <w:wordWrap/>
        <w:overflowPunct/>
        <w:topLinePunct w:val="0"/>
        <w:autoSpaceDE/>
        <w:autoSpaceDN/>
        <w:bidi w:val="0"/>
        <w:adjustRightInd/>
        <w:snapToGrid/>
        <w:spacing w:after="0" w:afterLines="0" w:line="460" w:lineRule="exact"/>
        <w:ind w:left="0" w:leftChars="0" w:right="0" w:firstLine="480" w:firstLineChars="200"/>
        <w:jc w:val="both"/>
        <w:textAlignment w:val="auto"/>
        <w:outlineLvl w:val="2"/>
        <w:rPr>
          <w:rFonts w:hint="eastAsia" w:ascii="宋体" w:hAnsi="宋体" w:eastAsia="宋体" w:cs="宋体"/>
          <w:color w:val="auto"/>
          <w:kern w:val="2"/>
          <w:sz w:val="24"/>
          <w:szCs w:val="24"/>
          <w:highlight w:val="none"/>
          <w:shd w:val="clear" w:color="auto" w:fill="FFFFFF"/>
          <w:lang w:val="zh-CN" w:eastAsia="zh-CN" w:bidi="ar-SA"/>
        </w:rPr>
      </w:pPr>
      <w:r>
        <w:rPr>
          <w:rFonts w:hint="eastAsia" w:ascii="宋体" w:hAnsi="宋体" w:eastAsia="宋体" w:cs="宋体"/>
          <w:color w:val="auto"/>
          <w:kern w:val="2"/>
          <w:sz w:val="24"/>
          <w:szCs w:val="24"/>
          <w:highlight w:val="none"/>
          <w:shd w:val="clear" w:color="auto" w:fill="FFFFFF"/>
          <w:lang w:val="en-US" w:eastAsia="zh-CN" w:bidi="ar-SA"/>
        </w:rPr>
        <w:t>8.2</w:t>
      </w:r>
      <w:r>
        <w:rPr>
          <w:rFonts w:hint="eastAsia" w:ascii="宋体" w:hAnsi="宋体" w:eastAsia="宋体" w:cs="宋体"/>
          <w:color w:val="auto"/>
          <w:kern w:val="2"/>
          <w:sz w:val="24"/>
          <w:szCs w:val="24"/>
          <w:highlight w:val="none"/>
          <w:shd w:val="clear" w:color="auto" w:fill="FFFFFF"/>
          <w:lang w:val="zh-CN" w:eastAsia="zh-CN" w:bidi="ar-SA"/>
        </w:rPr>
        <w:t>招标代理机构：</w:t>
      </w:r>
      <w:r>
        <w:rPr>
          <w:rFonts w:hint="eastAsia" w:ascii="宋体" w:hAnsi="宋体" w:eastAsia="宋体" w:cs="宋体"/>
          <w:color w:val="auto"/>
          <w:kern w:val="2"/>
          <w:sz w:val="24"/>
          <w:szCs w:val="24"/>
          <w:highlight w:val="none"/>
          <w:shd w:val="clear" w:color="auto" w:fill="FFFFFF"/>
          <w:lang w:val="en-US" w:eastAsia="zh-CN" w:bidi="ar-SA"/>
        </w:rPr>
        <w:t>新疆通辰建设项目管理股份有限公司</w:t>
      </w:r>
    </w:p>
    <w:p>
      <w:pPr>
        <w:pStyle w:val="19"/>
        <w:keepNext w:val="0"/>
        <w:keepLines w:val="0"/>
        <w:pageBreakBefore w:val="0"/>
        <w:widowControl w:val="0"/>
        <w:kinsoku/>
        <w:wordWrap/>
        <w:overflowPunct/>
        <w:topLinePunct w:val="0"/>
        <w:autoSpaceDE/>
        <w:autoSpaceDN/>
        <w:bidi w:val="0"/>
        <w:adjustRightInd/>
        <w:snapToGrid/>
        <w:spacing w:after="0" w:afterLines="0" w:line="460" w:lineRule="exact"/>
        <w:ind w:left="0" w:leftChars="0" w:right="0" w:firstLine="840" w:firstLineChars="350"/>
        <w:jc w:val="both"/>
        <w:textAlignment w:val="auto"/>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招标代理机构</w:t>
      </w:r>
      <w:r>
        <w:rPr>
          <w:rFonts w:hint="eastAsia" w:ascii="宋体" w:hAnsi="宋体" w:eastAsia="宋体" w:cs="宋体"/>
          <w:color w:val="auto"/>
          <w:kern w:val="2"/>
          <w:sz w:val="24"/>
          <w:szCs w:val="24"/>
          <w:highlight w:val="none"/>
          <w:shd w:val="clear" w:color="auto" w:fill="FFFFFF"/>
          <w:lang w:val="zh-CN" w:eastAsia="zh-CN" w:bidi="ar-SA"/>
        </w:rPr>
        <w:t>地址：</w:t>
      </w:r>
      <w:r>
        <w:rPr>
          <w:rFonts w:hint="eastAsia" w:ascii="宋体" w:hAnsi="宋体" w:eastAsia="宋体" w:cs="宋体"/>
          <w:color w:val="auto"/>
          <w:kern w:val="2"/>
          <w:sz w:val="24"/>
          <w:szCs w:val="24"/>
          <w:highlight w:val="none"/>
          <w:shd w:val="clear" w:color="auto" w:fill="FFFFFF"/>
          <w:lang w:val="en-US" w:eastAsia="zh-CN" w:bidi="ar-SA"/>
        </w:rPr>
        <w:t>新疆阿克苏市英阿瓦提路辉煌大酒店9层</w:t>
      </w:r>
    </w:p>
    <w:p>
      <w:pPr>
        <w:pStyle w:val="19"/>
        <w:keepNext w:val="0"/>
        <w:keepLines w:val="0"/>
        <w:pageBreakBefore w:val="0"/>
        <w:widowControl w:val="0"/>
        <w:kinsoku/>
        <w:wordWrap/>
        <w:overflowPunct/>
        <w:topLinePunct w:val="0"/>
        <w:autoSpaceDE/>
        <w:autoSpaceDN/>
        <w:bidi w:val="0"/>
        <w:adjustRightInd/>
        <w:snapToGrid/>
        <w:spacing w:after="0" w:afterLines="0" w:line="460" w:lineRule="exact"/>
        <w:ind w:left="0" w:leftChars="0" w:right="0" w:firstLine="840" w:firstLineChars="350"/>
        <w:jc w:val="both"/>
        <w:textAlignment w:val="auto"/>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联系人</w:t>
      </w:r>
      <w:r>
        <w:rPr>
          <w:rFonts w:hint="eastAsia" w:ascii="宋体" w:hAnsi="宋体" w:cs="宋体"/>
          <w:color w:val="auto"/>
          <w:kern w:val="2"/>
          <w:sz w:val="24"/>
          <w:szCs w:val="24"/>
          <w:highlight w:val="none"/>
          <w:shd w:val="clear" w:color="auto" w:fill="FFFFFF"/>
          <w:lang w:val="en-US" w:eastAsia="zh-CN" w:bidi="ar-SA"/>
        </w:rPr>
        <w:t>：凌林林</w:t>
      </w:r>
      <w:r>
        <w:rPr>
          <w:rFonts w:hint="eastAsia" w:ascii="宋体" w:hAnsi="宋体" w:eastAsia="宋体" w:cs="宋体"/>
          <w:color w:val="auto"/>
          <w:kern w:val="2"/>
          <w:sz w:val="24"/>
          <w:szCs w:val="24"/>
          <w:highlight w:val="none"/>
          <w:shd w:val="clear" w:color="auto" w:fill="FFFFFF"/>
          <w:lang w:val="zh-CN" w:eastAsia="zh-CN" w:bidi="ar-SA"/>
        </w:rPr>
        <w:t xml:space="preserve"> </w:t>
      </w:r>
      <w:r>
        <w:rPr>
          <w:rFonts w:hint="eastAsia" w:ascii="宋体" w:hAnsi="宋体" w:eastAsia="宋体" w:cs="宋体"/>
          <w:color w:val="auto"/>
          <w:kern w:val="2"/>
          <w:sz w:val="24"/>
          <w:szCs w:val="24"/>
          <w:highlight w:val="none"/>
          <w:shd w:val="clear" w:color="auto" w:fill="FFFFFF"/>
          <w:lang w:val="en-US" w:eastAsia="zh-CN" w:bidi="ar-SA"/>
        </w:rPr>
        <w:t xml:space="preserve">          联系</w:t>
      </w:r>
      <w:r>
        <w:rPr>
          <w:rFonts w:hint="eastAsia" w:ascii="宋体" w:hAnsi="宋体" w:eastAsia="宋体" w:cs="宋体"/>
          <w:color w:val="auto"/>
          <w:kern w:val="2"/>
          <w:sz w:val="24"/>
          <w:szCs w:val="24"/>
          <w:highlight w:val="none"/>
          <w:shd w:val="clear" w:color="auto" w:fill="FFFFFF"/>
          <w:lang w:val="zh-CN" w:eastAsia="zh-CN" w:bidi="ar-SA"/>
        </w:rPr>
        <w:t>电话：</w:t>
      </w:r>
      <w:r>
        <w:rPr>
          <w:rFonts w:hint="eastAsia" w:ascii="宋体" w:hAnsi="宋体" w:eastAsia="宋体" w:cs="宋体"/>
          <w:color w:val="auto"/>
          <w:kern w:val="2"/>
          <w:sz w:val="24"/>
          <w:szCs w:val="24"/>
          <w:highlight w:val="none"/>
          <w:shd w:val="clear" w:color="auto" w:fill="FFFFFF"/>
          <w:lang w:val="en-US" w:eastAsia="zh-CN" w:bidi="ar-SA"/>
        </w:rPr>
        <w:t>19809970931</w:t>
      </w:r>
    </w:p>
    <w:bookmarkEnd w:id="26"/>
    <w:bookmarkEnd w:id="27"/>
    <w:p>
      <w:pPr>
        <w:rPr>
          <w:rFonts w:hint="eastAsia" w:ascii="宋体" w:hAnsi="宋体" w:eastAsia="宋体" w:cs="宋体"/>
          <w:b/>
          <w:bCs/>
          <w:color w:val="auto"/>
          <w:sz w:val="32"/>
          <w:szCs w:val="32"/>
          <w:highlight w:val="none"/>
        </w:rPr>
      </w:pPr>
      <w:bookmarkStart w:id="34" w:name="_Toc53152582"/>
      <w:bookmarkStart w:id="35" w:name="_Toc22797"/>
      <w:r>
        <w:rPr>
          <w:rFonts w:hint="eastAsia" w:ascii="宋体" w:hAnsi="宋体" w:eastAsia="宋体" w:cs="宋体"/>
          <w:b/>
          <w:bCs/>
          <w:color w:val="auto"/>
          <w:sz w:val="32"/>
          <w:szCs w:val="32"/>
          <w:highlight w:val="none"/>
        </w:rPr>
        <w:br w:type="page"/>
      </w:r>
    </w:p>
    <w:p>
      <w:pPr>
        <w:pStyle w:val="9"/>
        <w:pageBreakBefore w:val="0"/>
        <w:kinsoku/>
        <w:wordWrap/>
        <w:overflowPunct/>
        <w:topLinePunct w:val="0"/>
        <w:bidi w:val="0"/>
        <w:snapToGrid/>
        <w:spacing w:line="460" w:lineRule="exact"/>
        <w:ind w:left="0" w:leftChars="0" w:right="0" w:firstLine="643" w:firstLineChars="200"/>
        <w:jc w:val="center"/>
        <w:textAlignment w:val="auto"/>
        <w:outlineLvl w:val="0"/>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第二部分  申报企业须知</w:t>
      </w:r>
      <w:bookmarkEnd w:id="34"/>
      <w:bookmarkEnd w:id="35"/>
    </w:p>
    <w:p>
      <w:pPr>
        <w:pageBreakBefore w:val="0"/>
        <w:numPr>
          <w:ilvl w:val="0"/>
          <w:numId w:val="0"/>
        </w:numPr>
        <w:kinsoku/>
        <w:wordWrap/>
        <w:overflowPunct/>
        <w:topLinePunct w:val="0"/>
        <w:bidi w:val="0"/>
        <w:snapToGrid/>
        <w:spacing w:line="460" w:lineRule="exact"/>
        <w:ind w:left="0" w:leftChars="0" w:right="0" w:rightChars="0" w:firstLine="482" w:firstLineChars="200"/>
        <w:jc w:val="both"/>
        <w:textAlignment w:val="auto"/>
        <w:outlineLvl w:val="1"/>
        <w:rPr>
          <w:rFonts w:hint="eastAsia" w:ascii="宋体" w:hAnsi="宋体" w:eastAsia="宋体" w:cs="宋体"/>
          <w:b/>
          <w:bCs/>
          <w:color w:val="auto"/>
          <w:sz w:val="24"/>
          <w:szCs w:val="24"/>
          <w:highlight w:val="none"/>
          <w:lang w:val="en-US" w:eastAsia="zh-CN"/>
        </w:rPr>
      </w:pPr>
      <w:bookmarkStart w:id="36" w:name="_Toc5548"/>
      <w:bookmarkStart w:id="37" w:name="_Toc16909"/>
    </w:p>
    <w:p>
      <w:pPr>
        <w:pageBreakBefore w:val="0"/>
        <w:numPr>
          <w:ilvl w:val="0"/>
          <w:numId w:val="0"/>
        </w:numPr>
        <w:kinsoku/>
        <w:wordWrap/>
        <w:overflowPunct/>
        <w:topLinePunct w:val="0"/>
        <w:bidi w:val="0"/>
        <w:snapToGrid/>
        <w:spacing w:line="460" w:lineRule="exact"/>
        <w:ind w:left="0" w:leftChars="0" w:right="0" w:rightChars="0" w:firstLine="482" w:firstLineChars="200"/>
        <w:jc w:val="both"/>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申报企业</w:t>
      </w:r>
      <w:bookmarkEnd w:id="36"/>
      <w:r>
        <w:rPr>
          <w:rFonts w:hint="eastAsia" w:ascii="宋体" w:hAnsi="宋体" w:eastAsia="宋体" w:cs="宋体"/>
          <w:b/>
          <w:bCs/>
          <w:color w:val="auto"/>
          <w:sz w:val="24"/>
          <w:szCs w:val="24"/>
          <w:highlight w:val="none"/>
          <w:lang w:val="en-US" w:eastAsia="zh-CN"/>
        </w:rPr>
        <w:t>资格</w:t>
      </w:r>
      <w:bookmarkEnd w:id="37"/>
    </w:p>
    <w:p>
      <w:pPr>
        <w:pStyle w:val="8"/>
        <w:pageBreakBefore w:val="0"/>
        <w:numPr>
          <w:ilvl w:val="0"/>
          <w:numId w:val="0"/>
        </w:numPr>
        <w:kinsoku/>
        <w:wordWrap/>
        <w:overflowPunct/>
        <w:topLinePunct w:val="0"/>
        <w:bidi w:val="0"/>
        <w:snapToGrid/>
        <w:spacing w:line="460" w:lineRule="exact"/>
        <w:ind w:left="0" w:leftChars="0" w:right="0" w:firstLine="480" w:firstLineChars="200"/>
        <w:jc w:val="both"/>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1.1资格要求：</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1.1.1申报企业</w:t>
      </w:r>
      <w:r>
        <w:rPr>
          <w:rFonts w:hint="eastAsia" w:ascii="宋体" w:hAnsi="宋体" w:eastAsia="宋体" w:cs="宋体"/>
          <w:color w:val="auto"/>
          <w:sz w:val="24"/>
          <w:szCs w:val="24"/>
          <w:highlight w:val="none"/>
        </w:rPr>
        <w:t>需具备独立法人资格，提供营业执照</w:t>
      </w:r>
      <w:r>
        <w:rPr>
          <w:rFonts w:hint="eastAsia" w:ascii="宋体" w:hAnsi="宋体" w:eastAsia="宋体" w:cs="宋体"/>
          <w:color w:val="auto"/>
          <w:sz w:val="24"/>
          <w:szCs w:val="24"/>
          <w:highlight w:val="none"/>
          <w:lang w:val="en-US" w:eastAsia="zh-CN"/>
        </w:rPr>
        <w:t>正本或副本</w:t>
      </w:r>
      <w:r>
        <w:rPr>
          <w:rFonts w:hint="eastAsia" w:ascii="宋体" w:hAnsi="宋体" w:cs="宋体"/>
          <w:color w:val="auto"/>
          <w:sz w:val="24"/>
          <w:szCs w:val="24"/>
          <w:highlight w:val="none"/>
          <w:lang w:val="en-US" w:eastAsia="zh-CN"/>
        </w:rPr>
        <w:t>原件</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1.1.2</w:t>
      </w:r>
      <w:r>
        <w:rPr>
          <w:rFonts w:hint="eastAsia" w:ascii="宋体" w:hAnsi="宋体" w:eastAsia="宋体" w:cs="宋体"/>
          <w:color w:val="auto"/>
          <w:sz w:val="24"/>
          <w:szCs w:val="24"/>
          <w:highlight w:val="none"/>
        </w:rPr>
        <w:t>生产商须具备《药品生产许可证》；经销商须具备《药品经营许可证》</w:t>
      </w:r>
      <w:r>
        <w:rPr>
          <w:rFonts w:hint="eastAsia" w:ascii="宋体" w:hAnsi="宋体" w:cs="宋体"/>
          <w:color w:val="auto"/>
          <w:sz w:val="24"/>
          <w:szCs w:val="24"/>
          <w:highlight w:val="none"/>
          <w:lang w:val="en-US" w:eastAsia="zh-CN"/>
        </w:rPr>
        <w:t>及厂家产品授权证书扫描件或公证书原件扫描件</w:t>
      </w:r>
      <w:r>
        <w:rPr>
          <w:rFonts w:hint="eastAsia" w:ascii="宋体" w:hAnsi="宋体" w:eastAsia="宋体" w:cs="宋体"/>
          <w:color w:val="auto"/>
          <w:sz w:val="24"/>
          <w:szCs w:val="24"/>
          <w:highlight w:val="none"/>
        </w:rPr>
        <w:t>；</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lang w:val="en-US" w:eastAsia="zh-CN"/>
        </w:rPr>
        <w:t>1.1.3</w:t>
      </w:r>
      <w:r>
        <w:rPr>
          <w:rFonts w:hint="eastAsia" w:ascii="宋体" w:hAnsi="宋体" w:eastAsia="宋体" w:cs="宋体"/>
          <w:color w:val="auto"/>
          <w:sz w:val="24"/>
          <w:szCs w:val="24"/>
          <w:highlight w:val="none"/>
          <w:shd w:val="clear" w:color="auto" w:fill="FFFFFF"/>
        </w:rPr>
        <w:t>采购文件公布之日起前两年内，申报企业不存在因申报品种质量等问题被省级及以上药品监督管理部门处罚过的情况以及不存在其他在经营活动中因严重违法被行政处罚或刑事处罚的情况；申报品种不存在省级及以上药品监督管理部门质量检验不合格情况</w:t>
      </w:r>
      <w:r>
        <w:rPr>
          <w:rFonts w:hint="eastAsia" w:ascii="宋体" w:hAnsi="宋体" w:cs="宋体"/>
          <w:color w:val="auto"/>
          <w:sz w:val="24"/>
          <w:szCs w:val="24"/>
          <w:highlight w:val="none"/>
          <w:shd w:val="clear" w:color="auto" w:fill="FFFFFF"/>
          <w:lang w:eastAsia="zh-CN"/>
        </w:rPr>
        <w:t>的书面承诺。（自拟）</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1.1.4申报企业在</w:t>
      </w:r>
      <w:r>
        <w:rPr>
          <w:rFonts w:hint="eastAsia" w:ascii="宋体" w:hAnsi="宋体" w:eastAsia="宋体" w:cs="宋体"/>
          <w:color w:val="auto"/>
          <w:sz w:val="24"/>
          <w:szCs w:val="24"/>
          <w:highlight w:val="none"/>
        </w:rPr>
        <w:t>“信用中国”网站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HYPERLINK "https://www.creditchina.gov.cn/" </w:instrText>
      </w:r>
      <w:r>
        <w:rPr>
          <w:rFonts w:hint="eastAsia" w:ascii="宋体" w:hAnsi="宋体" w:cs="宋体"/>
          <w:color w:val="auto"/>
          <w:sz w:val="24"/>
          <w:szCs w:val="24"/>
          <w:highlight w:val="none"/>
          <w:lang w:val="en-US" w:eastAsia="zh-CN"/>
        </w:rPr>
        <w:fldChar w:fldCharType="separate"/>
      </w:r>
      <w:r>
        <w:rPr>
          <w:rStyle w:val="27"/>
          <w:rFonts w:hint="eastAsia" w:ascii="宋体" w:hAnsi="宋体" w:cs="宋体"/>
          <w:color w:val="auto"/>
          <w:sz w:val="24"/>
          <w:szCs w:val="24"/>
          <w:highlight w:val="none"/>
          <w:lang w:val="en-US" w:eastAsia="zh-CN"/>
        </w:rPr>
        <w:t>https://www.creditchina.gov.cn/</w:t>
      </w:r>
      <w:r>
        <w:rPr>
          <w:rFonts w:hint="eastAsia" w:ascii="宋体" w:hAnsi="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rPr>
        <w:t>)、中国政府</w:t>
      </w:r>
      <w:r>
        <w:rPr>
          <w:rFonts w:hint="eastAsia" w:ascii="宋体" w:hAnsi="宋体" w:cs="宋体"/>
          <w:color w:val="auto"/>
          <w:sz w:val="24"/>
          <w:szCs w:val="24"/>
          <w:highlight w:val="none"/>
          <w:lang w:eastAsia="zh-CN"/>
        </w:rPr>
        <w:t>采购网</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"https://www.ccgp.gov.cn/" </w:instrText>
      </w:r>
      <w:r>
        <w:rPr>
          <w:rFonts w:hint="eastAsia" w:ascii="宋体" w:hAnsi="宋体" w:eastAsia="宋体" w:cs="宋体"/>
          <w:color w:val="auto"/>
          <w:sz w:val="24"/>
          <w:szCs w:val="24"/>
          <w:highlight w:val="none"/>
        </w:rPr>
        <w:fldChar w:fldCharType="separate"/>
      </w:r>
      <w:r>
        <w:rPr>
          <w:rStyle w:val="29"/>
          <w:rFonts w:hint="eastAsia" w:ascii="宋体" w:hAnsi="宋体" w:eastAsia="宋体" w:cs="宋体"/>
          <w:color w:val="auto"/>
          <w:sz w:val="24"/>
          <w:szCs w:val="24"/>
          <w:highlight w:val="none"/>
        </w:rPr>
        <w:t>https://www.ccgp.gov.cn/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)、中国裁判文书网（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"https://wenshu.court.gov.cn/" </w:instrText>
      </w:r>
      <w:r>
        <w:rPr>
          <w:rFonts w:hint="eastAsia" w:ascii="宋体" w:hAnsi="宋体" w:eastAsia="宋体" w:cs="宋体"/>
          <w:color w:val="auto"/>
          <w:sz w:val="24"/>
          <w:szCs w:val="24"/>
          <w:highlight w:val="none"/>
        </w:rPr>
        <w:fldChar w:fldCharType="separate"/>
      </w:r>
      <w:r>
        <w:rPr>
          <w:rStyle w:val="29"/>
          <w:rFonts w:hint="eastAsia" w:ascii="宋体" w:hAnsi="宋体" w:eastAsia="宋体" w:cs="宋体"/>
          <w:color w:val="auto"/>
          <w:sz w:val="24"/>
          <w:szCs w:val="24"/>
          <w:highlight w:val="none"/>
        </w:rPr>
        <w:t>https://wenshu.court.gov.cn/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）三年内被列入失信被执行人、重大税收违法案件当事人名单、政府采购严重违法失信行为记录名单的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尚在处罚期内的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、经营异常名录的，将拒绝其参与本次</w:t>
      </w:r>
      <w:r>
        <w:rPr>
          <w:rFonts w:hint="eastAsia" w:ascii="宋体" w:hAnsi="宋体" w:cs="宋体"/>
          <w:color w:val="auto"/>
          <w:sz w:val="24"/>
          <w:szCs w:val="24"/>
          <w:highlight w:val="none"/>
          <w:lang w:eastAsia="zh-CN"/>
        </w:rPr>
        <w:t>采购</w:t>
      </w:r>
      <w:r>
        <w:rPr>
          <w:rFonts w:hint="eastAsia" w:ascii="宋体" w:hAnsi="宋体" w:eastAsia="宋体" w:cs="宋体"/>
          <w:color w:val="auto"/>
          <w:sz w:val="24"/>
          <w:szCs w:val="24"/>
          <w:highlight w:val="none"/>
        </w:rPr>
        <w:t>活动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需提供</w:t>
      </w:r>
      <w:r>
        <w:rPr>
          <w:rFonts w:hint="eastAsia" w:ascii="宋体" w:hAnsi="宋体" w:cs="宋体"/>
          <w:color w:val="auto"/>
          <w:sz w:val="24"/>
          <w:szCs w:val="24"/>
          <w:highlight w:val="none"/>
          <w:lang w:val="en-US" w:eastAsia="zh-CN"/>
        </w:rPr>
        <w:t>公告期间</w:t>
      </w:r>
      <w:r>
        <w:rPr>
          <w:rFonts w:hint="eastAsia" w:ascii="宋体" w:hAnsi="宋体" w:eastAsia="宋体" w:cs="宋体"/>
          <w:color w:val="auto"/>
          <w:sz w:val="24"/>
          <w:szCs w:val="24"/>
          <w:highlight w:val="none"/>
          <w:lang w:val="en-US" w:eastAsia="zh-CN"/>
        </w:rPr>
        <w:t>查询截图）</w:t>
      </w:r>
      <w:r>
        <w:rPr>
          <w:rFonts w:hint="eastAsia" w:ascii="宋体" w:hAnsi="宋体" w:eastAsia="宋体" w:cs="宋体"/>
          <w:color w:val="auto"/>
          <w:sz w:val="24"/>
          <w:szCs w:val="24"/>
          <w:highlight w:val="none"/>
        </w:rPr>
        <w:t>；</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lang w:val="en-US" w:eastAsia="zh-CN"/>
        </w:rPr>
        <w:t>1.1.5</w:t>
      </w:r>
      <w:r>
        <w:rPr>
          <w:rFonts w:hint="eastAsia" w:ascii="宋体" w:hAnsi="宋体" w:eastAsia="宋体" w:cs="宋体"/>
          <w:color w:val="auto"/>
          <w:sz w:val="24"/>
          <w:szCs w:val="24"/>
          <w:highlight w:val="none"/>
          <w:shd w:val="clear" w:color="auto" w:fill="FFFFFF"/>
        </w:rPr>
        <w:t>同品种申报企业中，企业负责人为同一人或存在直接控股、管理关系的不同企业，不得同时参与同品种的申报。</w:t>
      </w:r>
    </w:p>
    <w:p>
      <w:pPr>
        <w:pageBreakBefore w:val="0"/>
        <w:kinsoku/>
        <w:wordWrap/>
        <w:overflowPunct/>
        <w:topLinePunct w:val="0"/>
        <w:bidi w:val="0"/>
        <w:snapToGrid/>
        <w:spacing w:line="460" w:lineRule="exact"/>
        <w:ind w:left="0" w:leftChars="0" w:right="0" w:firstLine="480" w:firstLineChars="200"/>
        <w:jc w:val="both"/>
        <w:textAlignment w:val="auto"/>
        <w:outlineLvl w:val="2"/>
        <w:rPr>
          <w:rFonts w:hint="eastAsia" w:ascii="宋体" w:hAnsi="宋体" w:eastAsia="宋体" w:cs="宋体"/>
          <w:color w:val="auto"/>
          <w:sz w:val="24"/>
          <w:szCs w:val="24"/>
          <w:highlight w:val="none"/>
        </w:rPr>
      </w:pPr>
      <w:bookmarkStart w:id="38" w:name="_Toc10134"/>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其他要求</w:t>
      </w:r>
      <w:bookmarkEnd w:id="38"/>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w:t>
      </w:r>
      <w:r>
        <w:rPr>
          <w:rFonts w:hint="eastAsia" w:ascii="宋体" w:hAnsi="宋体" w:eastAsia="宋体" w:cs="宋体"/>
          <w:color w:val="auto"/>
          <w:sz w:val="24"/>
          <w:szCs w:val="24"/>
          <w:highlight w:val="none"/>
          <w:shd w:val="clear" w:color="auto" w:fill="FFFFFF"/>
          <w:lang w:val="en-US" w:eastAsia="zh-CN"/>
        </w:rPr>
        <w:t>.2.1</w:t>
      </w:r>
      <w:r>
        <w:rPr>
          <w:rFonts w:hint="eastAsia" w:ascii="宋体" w:hAnsi="宋体" w:eastAsia="宋体" w:cs="宋体"/>
          <w:color w:val="auto"/>
          <w:sz w:val="24"/>
          <w:szCs w:val="24"/>
          <w:highlight w:val="none"/>
          <w:shd w:val="clear" w:color="auto" w:fill="FFFFFF"/>
        </w:rPr>
        <w:t>申报企业提供的各项</w:t>
      </w:r>
      <w:r>
        <w:rPr>
          <w:rFonts w:hint="eastAsia" w:ascii="宋体" w:hAnsi="宋体" w:cs="宋体"/>
          <w:color w:val="auto"/>
          <w:sz w:val="24"/>
          <w:szCs w:val="24"/>
          <w:highlight w:val="none"/>
          <w:shd w:val="clear" w:color="auto" w:fill="FFFFFF"/>
          <w:lang w:val="en-US" w:eastAsia="zh-CN"/>
        </w:rPr>
        <w:t>资格证明</w:t>
      </w:r>
      <w:r>
        <w:rPr>
          <w:rFonts w:hint="eastAsia" w:ascii="宋体" w:hAnsi="宋体" w:eastAsia="宋体" w:cs="宋体"/>
          <w:color w:val="auto"/>
          <w:sz w:val="24"/>
          <w:szCs w:val="24"/>
          <w:highlight w:val="none"/>
          <w:shd w:val="clear" w:color="auto" w:fill="FFFFFF"/>
        </w:rPr>
        <w:t>材料</w:t>
      </w:r>
      <w:r>
        <w:rPr>
          <w:rFonts w:hint="eastAsia" w:ascii="宋体" w:hAnsi="宋体" w:cs="宋体"/>
          <w:color w:val="auto"/>
          <w:sz w:val="24"/>
          <w:szCs w:val="24"/>
          <w:highlight w:val="none"/>
          <w:shd w:val="clear" w:color="auto" w:fill="FFFFFF"/>
          <w:lang w:val="en-US" w:eastAsia="zh-CN"/>
        </w:rPr>
        <w:t>及在网上报价时填写的挂网价</w:t>
      </w:r>
      <w:r>
        <w:rPr>
          <w:rFonts w:hint="eastAsia" w:ascii="宋体" w:hAnsi="宋体" w:eastAsia="宋体" w:cs="宋体"/>
          <w:color w:val="auto"/>
          <w:sz w:val="24"/>
          <w:szCs w:val="24"/>
          <w:highlight w:val="none"/>
          <w:shd w:val="clear" w:color="auto" w:fill="FFFFFF"/>
        </w:rPr>
        <w:t>均须保证真实、完整、准确。涉嫌不如实提供相关材料</w:t>
      </w:r>
      <w:r>
        <w:rPr>
          <w:rFonts w:hint="eastAsia" w:ascii="宋体" w:hAnsi="宋体" w:cs="宋体"/>
          <w:color w:val="auto"/>
          <w:sz w:val="24"/>
          <w:szCs w:val="24"/>
          <w:highlight w:val="none"/>
          <w:shd w:val="clear" w:color="auto" w:fill="FFFFFF"/>
          <w:lang w:val="en-US" w:eastAsia="zh-CN"/>
        </w:rPr>
        <w:t>及数据</w:t>
      </w:r>
      <w:r>
        <w:rPr>
          <w:rFonts w:hint="eastAsia" w:ascii="宋体" w:hAnsi="宋体" w:eastAsia="宋体" w:cs="宋体"/>
          <w:color w:val="auto"/>
          <w:sz w:val="24"/>
          <w:szCs w:val="24"/>
          <w:highlight w:val="none"/>
          <w:shd w:val="clear" w:color="auto" w:fill="FFFFFF"/>
        </w:rPr>
        <w:t>的，一经确认，</w:t>
      </w:r>
      <w:r>
        <w:rPr>
          <w:rFonts w:hint="eastAsia" w:ascii="宋体" w:hAnsi="宋体" w:cs="宋体"/>
          <w:color w:val="auto"/>
          <w:sz w:val="24"/>
          <w:szCs w:val="24"/>
          <w:highlight w:val="none"/>
          <w:shd w:val="clear" w:color="auto" w:fill="FFFFFF"/>
          <w:lang w:eastAsia="zh-CN"/>
        </w:rPr>
        <w:t>南部联盟医药集采领导小组办公室</w:t>
      </w:r>
      <w:r>
        <w:rPr>
          <w:rFonts w:hint="eastAsia" w:ascii="宋体" w:hAnsi="宋体" w:eastAsia="宋体" w:cs="宋体"/>
          <w:color w:val="auto"/>
          <w:sz w:val="24"/>
          <w:szCs w:val="24"/>
          <w:highlight w:val="none"/>
          <w:shd w:val="clear" w:color="auto" w:fill="FFFFFF"/>
        </w:rPr>
        <w:t>将取消其申报资格；</w:t>
      </w:r>
      <w:r>
        <w:rPr>
          <w:rFonts w:hint="eastAsia" w:ascii="宋体" w:hAnsi="宋体" w:eastAsia="宋体" w:cs="宋体"/>
          <w:color w:val="auto"/>
          <w:sz w:val="24"/>
          <w:szCs w:val="24"/>
          <w:highlight w:val="none"/>
        </w:rPr>
        <w:t>情节严重的，取消该企业生产的所有药品自处理决定公布之日起两年内联合采购地区采购活动的参与资格，并按有</w:t>
      </w:r>
      <w:r>
        <w:rPr>
          <w:rFonts w:hint="eastAsia" w:ascii="宋体" w:hAnsi="宋体" w:eastAsia="宋体" w:cs="宋体"/>
          <w:color w:val="auto"/>
          <w:sz w:val="24"/>
          <w:szCs w:val="24"/>
          <w:highlight w:val="none"/>
          <w:shd w:val="clear" w:color="auto" w:fill="FFFFFF"/>
        </w:rPr>
        <w:t>关规定处理。</w:t>
      </w:r>
    </w:p>
    <w:p>
      <w:pPr>
        <w:pStyle w:val="2"/>
        <w:pageBreakBefore w:val="0"/>
        <w:kinsoku/>
        <w:wordWrap/>
        <w:overflowPunct/>
        <w:topLinePunct w:val="0"/>
        <w:bidi w:val="0"/>
        <w:snapToGrid/>
        <w:spacing w:line="460" w:lineRule="exact"/>
        <w:ind w:left="0" w:leftChars="0" w:firstLine="480" w:firstLineChars="200"/>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1.2.2申报企业应</w:t>
      </w:r>
      <w:r>
        <w:rPr>
          <w:rFonts w:hint="eastAsia" w:ascii="宋体" w:hAnsi="宋体" w:eastAsia="宋体" w:cs="宋体"/>
          <w:color w:val="auto"/>
          <w:sz w:val="24"/>
          <w:szCs w:val="24"/>
          <w:highlight w:val="none"/>
          <w:shd w:val="clear" w:color="auto" w:fill="FFFFFF"/>
        </w:rPr>
        <w:t xml:space="preserve">对药品的质量负责，一旦中选，作为供应保障的第一责任人，及时、足量按要求组织生产，并向配送企业发送药品，满足医疗机构临床使用需求。 </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1.2.3</w:t>
      </w:r>
      <w:r>
        <w:rPr>
          <w:rFonts w:hint="eastAsia" w:ascii="宋体" w:hAnsi="宋体" w:eastAsia="宋体" w:cs="宋体"/>
          <w:color w:val="auto"/>
          <w:sz w:val="24"/>
          <w:szCs w:val="24"/>
          <w:highlight w:val="none"/>
          <w:shd w:val="clear" w:color="auto" w:fill="FFFFFF"/>
        </w:rPr>
        <w:t>企业投诉应依法依规在公示期内提供合法有效证据材料，恶意质疑投诉的企业纳入不良记录管理。</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1.2.4已在自治区</w:t>
      </w:r>
      <w:r>
        <w:rPr>
          <w:rFonts w:hint="eastAsia" w:ascii="宋体" w:hAnsi="宋体" w:cs="宋体"/>
          <w:color w:val="auto"/>
          <w:sz w:val="24"/>
          <w:szCs w:val="24"/>
          <w:highlight w:val="none"/>
          <w:shd w:val="clear" w:color="auto" w:fill="FFFFFF"/>
          <w:lang w:val="en-US" w:eastAsia="zh-CN"/>
        </w:rPr>
        <w:t>（兵团）</w:t>
      </w:r>
      <w:r>
        <w:rPr>
          <w:rFonts w:hint="eastAsia" w:ascii="宋体" w:hAnsi="宋体" w:eastAsia="宋体" w:cs="宋体"/>
          <w:color w:val="auto"/>
          <w:sz w:val="24"/>
          <w:szCs w:val="24"/>
          <w:highlight w:val="none"/>
          <w:shd w:val="clear" w:color="auto" w:fill="FFFFFF"/>
          <w:lang w:val="en-US" w:eastAsia="zh-CN"/>
        </w:rPr>
        <w:t>医保平台招采子系统挂网的</w:t>
      </w:r>
      <w:r>
        <w:rPr>
          <w:rFonts w:hint="eastAsia" w:ascii="宋体" w:hAnsi="宋体" w:eastAsia="宋体" w:cs="宋体"/>
          <w:color w:val="auto"/>
          <w:sz w:val="24"/>
          <w:szCs w:val="24"/>
          <w:highlight w:val="none"/>
          <w:shd w:val="clear" w:color="auto" w:fill="FFFFFF"/>
        </w:rPr>
        <w:t>符合申报条件的企业</w:t>
      </w:r>
      <w:r>
        <w:rPr>
          <w:rFonts w:hint="eastAsia" w:ascii="宋体" w:hAnsi="宋体" w:eastAsia="宋体" w:cs="宋体"/>
          <w:color w:val="auto"/>
          <w:kern w:val="0"/>
          <w:sz w:val="24"/>
          <w:szCs w:val="24"/>
          <w:highlight w:val="none"/>
          <w:shd w:val="clear" w:color="auto" w:fill="FFFFFF"/>
          <w:lang w:bidi="ar"/>
        </w:rPr>
        <w:t>均应积极响应，</w:t>
      </w:r>
      <w:r>
        <w:rPr>
          <w:rFonts w:hint="eastAsia" w:ascii="宋体" w:hAnsi="宋体" w:eastAsia="宋体" w:cs="宋体"/>
          <w:color w:val="auto"/>
          <w:sz w:val="24"/>
          <w:szCs w:val="24"/>
          <w:highlight w:val="none"/>
          <w:shd w:val="clear" w:color="auto" w:fill="FFFFFF"/>
        </w:rPr>
        <w:t>未参加、未申报有效价格及其他</w:t>
      </w:r>
      <w:r>
        <w:rPr>
          <w:rFonts w:hint="eastAsia" w:ascii="宋体" w:hAnsi="宋体" w:eastAsia="宋体" w:cs="宋体"/>
          <w:color w:val="auto"/>
          <w:sz w:val="24"/>
          <w:szCs w:val="24"/>
          <w:highlight w:val="none"/>
          <w:shd w:val="clear" w:color="auto" w:fill="FFFFFF"/>
          <w:lang w:val="en-US" w:eastAsia="zh-CN"/>
        </w:rPr>
        <w:t>非正常</w:t>
      </w:r>
      <w:r>
        <w:rPr>
          <w:rFonts w:hint="eastAsia" w:ascii="宋体" w:hAnsi="宋体" w:eastAsia="宋体" w:cs="宋体"/>
          <w:color w:val="auto"/>
          <w:sz w:val="24"/>
          <w:szCs w:val="24"/>
          <w:highlight w:val="none"/>
          <w:shd w:val="clear" w:color="auto" w:fill="FFFFFF"/>
        </w:rPr>
        <w:t>原因导致非中选的产品均实行重点监控，</w:t>
      </w:r>
      <w:r>
        <w:rPr>
          <w:rFonts w:hint="eastAsia" w:ascii="宋体" w:hAnsi="宋体" w:eastAsia="宋体" w:cs="宋体"/>
          <w:color w:val="auto"/>
          <w:sz w:val="24"/>
          <w:szCs w:val="24"/>
          <w:highlight w:val="none"/>
          <w:shd w:val="clear" w:color="auto" w:fill="FFFFFF"/>
          <w:lang w:val="en-US" w:eastAsia="zh-CN"/>
        </w:rPr>
        <w:t>其</w:t>
      </w:r>
      <w:r>
        <w:rPr>
          <w:rFonts w:hint="eastAsia" w:ascii="宋体" w:hAnsi="宋体" w:eastAsia="宋体" w:cs="宋体"/>
          <w:color w:val="auto"/>
          <w:sz w:val="24"/>
          <w:szCs w:val="24"/>
          <w:highlight w:val="none"/>
          <w:shd w:val="clear" w:color="auto" w:fill="FFFFFF"/>
        </w:rPr>
        <w:t>采购量不得超过上年度历史采购量，不得超过中选产品的采购量。</w:t>
      </w:r>
      <w:r>
        <w:rPr>
          <w:rFonts w:hint="eastAsia" w:ascii="宋体" w:hAnsi="宋体" w:eastAsia="宋体" w:cs="宋体"/>
          <w:color w:val="auto"/>
          <w:kern w:val="0"/>
          <w:sz w:val="24"/>
          <w:szCs w:val="24"/>
          <w:highlight w:val="none"/>
          <w:shd w:val="clear" w:color="auto" w:fill="FFFFFF"/>
          <w:lang w:bidi="ar"/>
        </w:rPr>
        <w:t>若其治疗效果可被其他药品替代，在保证供应的前提下，暂停其挂网资格。</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1.2.5</w:t>
      </w:r>
      <w:r>
        <w:rPr>
          <w:rFonts w:hint="eastAsia" w:ascii="宋体" w:hAnsi="宋体" w:cs="宋体"/>
          <w:color w:val="auto"/>
          <w:sz w:val="24"/>
          <w:szCs w:val="24"/>
          <w:highlight w:val="none"/>
          <w:shd w:val="clear" w:color="auto" w:fill="FFFFFF"/>
          <w:lang w:val="en-US" w:eastAsia="zh-CN"/>
        </w:rPr>
        <w:t>南部联盟医药集采领导小组办公室</w:t>
      </w:r>
      <w:r>
        <w:rPr>
          <w:rFonts w:hint="eastAsia" w:ascii="宋体" w:hAnsi="宋体" w:eastAsia="宋体" w:cs="宋体"/>
          <w:color w:val="auto"/>
          <w:sz w:val="24"/>
          <w:szCs w:val="24"/>
          <w:highlight w:val="none"/>
          <w:shd w:val="clear" w:color="auto" w:fill="FFFFFF"/>
        </w:rPr>
        <w:t>根据工作需要可对拟中选企业的药品生产及拟中选药品质量进行调查（调查形式根据实际情况确定），拟中选企业应予以积极配合。</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1.2.6</w:t>
      </w:r>
      <w:r>
        <w:rPr>
          <w:rFonts w:hint="eastAsia" w:ascii="宋体" w:hAnsi="宋体" w:eastAsia="宋体" w:cs="宋体"/>
          <w:color w:val="auto"/>
          <w:sz w:val="24"/>
          <w:szCs w:val="24"/>
          <w:highlight w:val="none"/>
          <w:shd w:val="clear" w:color="auto" w:fill="FFFFFF"/>
        </w:rPr>
        <w:t>中选药品在履行合同中如遇国家政策调整或不可抗力因素，致使直接影响合同履行的，由签订购销合同中的各方协商解决。</w:t>
      </w:r>
      <w:bookmarkStart w:id="39" w:name="_Toc53152584"/>
      <w:bookmarkStart w:id="40" w:name="_Toc2853"/>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1.2.7投标人不得虚高报价，不得以低于产品生产成本价报价，不得进行串通报价、恶意竞争，不得在采购期内擅自涨价，否则一律取消投标资格。</w:t>
      </w:r>
    </w:p>
    <w:p>
      <w:pPr>
        <w:pStyle w:val="2"/>
        <w:ind w:firstLine="480" w:firstLineChars="200"/>
        <w:rPr>
          <w:rFonts w:hint="default"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 xml:space="preserve">1.2.8 </w:t>
      </w:r>
      <w:r>
        <w:rPr>
          <w:rFonts w:hint="default" w:ascii="宋体" w:hAnsi="宋体" w:eastAsia="宋体" w:cs="宋体"/>
          <w:color w:val="auto"/>
          <w:kern w:val="2"/>
          <w:sz w:val="24"/>
          <w:szCs w:val="24"/>
          <w:highlight w:val="none"/>
          <w:shd w:val="clear" w:color="auto" w:fill="FFFFFF"/>
          <w:lang w:val="en-US" w:eastAsia="zh-CN" w:bidi="ar-SA"/>
        </w:rPr>
        <w:t>申报企业</w:t>
      </w:r>
      <w:r>
        <w:rPr>
          <w:rFonts w:hint="eastAsia" w:ascii="宋体" w:hAnsi="宋体" w:eastAsia="宋体" w:cs="宋体"/>
          <w:color w:val="auto"/>
          <w:kern w:val="2"/>
          <w:sz w:val="24"/>
          <w:szCs w:val="24"/>
          <w:highlight w:val="none"/>
          <w:shd w:val="clear" w:color="auto" w:fill="FFFFFF"/>
          <w:lang w:val="en-US" w:eastAsia="zh-CN" w:bidi="ar-SA"/>
        </w:rPr>
        <w:t>应随时关注采购文件的</w:t>
      </w:r>
      <w:r>
        <w:rPr>
          <w:rFonts w:hint="default" w:ascii="宋体" w:hAnsi="宋体" w:eastAsia="宋体" w:cs="宋体"/>
          <w:color w:val="auto"/>
          <w:kern w:val="2"/>
          <w:sz w:val="24"/>
          <w:szCs w:val="24"/>
          <w:highlight w:val="none"/>
          <w:shd w:val="clear" w:color="auto" w:fill="FFFFFF"/>
          <w:lang w:val="en-US" w:eastAsia="zh-CN" w:bidi="ar-SA"/>
        </w:rPr>
        <w:t>后续补充文件，</w:t>
      </w:r>
      <w:r>
        <w:rPr>
          <w:rFonts w:hint="eastAsia" w:ascii="宋体" w:hAnsi="宋体" w:eastAsia="宋体" w:cs="宋体"/>
          <w:color w:val="auto"/>
          <w:kern w:val="2"/>
          <w:sz w:val="24"/>
          <w:szCs w:val="24"/>
          <w:highlight w:val="none"/>
          <w:shd w:val="clear" w:color="auto" w:fill="FFFFFF"/>
          <w:lang w:val="en-US" w:eastAsia="zh-CN" w:bidi="ar-SA"/>
        </w:rPr>
        <w:t>并根据公布的报价时间、开标时间及时参与议价，</w:t>
      </w:r>
      <w:r>
        <w:rPr>
          <w:rFonts w:hint="default" w:ascii="宋体" w:hAnsi="宋体" w:eastAsia="宋体" w:cs="宋体"/>
          <w:color w:val="auto"/>
          <w:kern w:val="2"/>
          <w:sz w:val="24"/>
          <w:szCs w:val="24"/>
          <w:highlight w:val="none"/>
          <w:shd w:val="clear" w:color="auto" w:fill="FFFFFF"/>
          <w:lang w:val="en-US" w:eastAsia="zh-CN" w:bidi="ar-SA"/>
        </w:rPr>
        <w:t>如</w:t>
      </w:r>
      <w:r>
        <w:rPr>
          <w:rFonts w:hint="eastAsia" w:ascii="宋体" w:hAnsi="宋体" w:eastAsia="宋体" w:cs="宋体"/>
          <w:color w:val="auto"/>
          <w:kern w:val="2"/>
          <w:sz w:val="24"/>
          <w:szCs w:val="24"/>
          <w:highlight w:val="none"/>
          <w:shd w:val="clear" w:color="auto" w:fill="FFFFFF"/>
          <w:lang w:val="en-US" w:eastAsia="zh-CN" w:bidi="ar-SA"/>
        </w:rPr>
        <w:t>在第二轮</w:t>
      </w:r>
      <w:r>
        <w:rPr>
          <w:rFonts w:hint="default" w:ascii="宋体" w:hAnsi="宋体" w:eastAsia="宋体" w:cs="宋体"/>
          <w:color w:val="auto"/>
          <w:kern w:val="2"/>
          <w:sz w:val="24"/>
          <w:szCs w:val="24"/>
          <w:highlight w:val="none"/>
          <w:shd w:val="clear" w:color="auto" w:fill="FFFFFF"/>
          <w:lang w:val="en-US" w:eastAsia="zh-CN" w:bidi="ar-SA"/>
        </w:rPr>
        <w:t>议价</w:t>
      </w:r>
      <w:r>
        <w:rPr>
          <w:rFonts w:hint="eastAsia" w:ascii="宋体" w:hAnsi="宋体" w:eastAsia="宋体" w:cs="宋体"/>
          <w:color w:val="auto"/>
          <w:kern w:val="2"/>
          <w:sz w:val="24"/>
          <w:szCs w:val="24"/>
          <w:highlight w:val="none"/>
          <w:shd w:val="clear" w:color="auto" w:fill="FFFFFF"/>
          <w:lang w:val="en-US" w:eastAsia="zh-CN" w:bidi="ar-SA"/>
        </w:rPr>
        <w:t>环节，</w:t>
      </w:r>
      <w:r>
        <w:rPr>
          <w:rFonts w:hint="default" w:ascii="宋体" w:hAnsi="宋体" w:eastAsia="宋体" w:cs="宋体"/>
          <w:color w:val="auto"/>
          <w:kern w:val="2"/>
          <w:sz w:val="24"/>
          <w:szCs w:val="24"/>
          <w:highlight w:val="none"/>
          <w:shd w:val="clear" w:color="auto" w:fill="FFFFFF"/>
          <w:lang w:val="en-US" w:eastAsia="zh-CN" w:bidi="ar-SA"/>
        </w:rPr>
        <w:t>申报企业未在规定时间内</w:t>
      </w:r>
      <w:r>
        <w:rPr>
          <w:rFonts w:hint="eastAsia" w:ascii="宋体" w:hAnsi="宋体" w:eastAsia="宋体" w:cs="宋体"/>
          <w:color w:val="auto"/>
          <w:kern w:val="2"/>
          <w:sz w:val="24"/>
          <w:szCs w:val="24"/>
          <w:highlight w:val="none"/>
          <w:shd w:val="clear" w:color="auto" w:fill="FFFFFF"/>
          <w:lang w:val="en-US" w:eastAsia="zh-CN" w:bidi="ar-SA"/>
        </w:rPr>
        <w:t>作出响应</w:t>
      </w:r>
      <w:r>
        <w:rPr>
          <w:rFonts w:hint="default" w:ascii="宋体" w:hAnsi="宋体" w:eastAsia="宋体" w:cs="宋体"/>
          <w:color w:val="auto"/>
          <w:kern w:val="2"/>
          <w:sz w:val="24"/>
          <w:szCs w:val="24"/>
          <w:highlight w:val="none"/>
          <w:shd w:val="clear" w:color="auto" w:fill="FFFFFF"/>
          <w:lang w:val="en-US" w:eastAsia="zh-CN" w:bidi="ar-SA"/>
        </w:rPr>
        <w:t>，视为放弃处理。</w:t>
      </w:r>
    </w:p>
    <w:p>
      <w:pPr>
        <w:pageBreakBefore w:val="0"/>
        <w:kinsoku/>
        <w:wordWrap/>
        <w:overflowPunct/>
        <w:topLinePunct w:val="0"/>
        <w:bidi w:val="0"/>
        <w:snapToGrid/>
        <w:spacing w:line="460" w:lineRule="exact"/>
        <w:ind w:left="0" w:leftChars="0" w:right="0" w:firstLine="482" w:firstLineChars="200"/>
        <w:jc w:val="both"/>
        <w:textAlignment w:val="auto"/>
        <w:outlineLvl w:val="1"/>
        <w:rPr>
          <w:rFonts w:hint="eastAsia" w:ascii="宋体" w:hAnsi="宋体" w:eastAsia="宋体" w:cs="宋体"/>
          <w:b/>
          <w:bCs/>
          <w:color w:val="auto"/>
          <w:kern w:val="32"/>
          <w:sz w:val="24"/>
          <w:szCs w:val="24"/>
          <w:highlight w:val="none"/>
        </w:rPr>
      </w:pPr>
      <w:bookmarkStart w:id="41" w:name="_Toc28645"/>
      <w:r>
        <w:rPr>
          <w:rFonts w:hint="eastAsia" w:ascii="宋体" w:hAnsi="宋体" w:eastAsia="宋体" w:cs="宋体"/>
          <w:b/>
          <w:bCs/>
          <w:color w:val="auto"/>
          <w:kern w:val="32"/>
          <w:sz w:val="24"/>
          <w:szCs w:val="24"/>
          <w:highlight w:val="none"/>
          <w:lang w:val="en-US" w:eastAsia="zh-CN"/>
        </w:rPr>
        <w:t>2</w:t>
      </w:r>
      <w:r>
        <w:rPr>
          <w:rFonts w:hint="eastAsia" w:ascii="宋体" w:hAnsi="宋体" w:eastAsia="宋体" w:cs="宋体"/>
          <w:b/>
          <w:bCs/>
          <w:color w:val="auto"/>
          <w:kern w:val="32"/>
          <w:sz w:val="24"/>
          <w:szCs w:val="24"/>
          <w:highlight w:val="none"/>
        </w:rPr>
        <w:t>、申报材料编制</w:t>
      </w:r>
      <w:bookmarkEnd w:id="39"/>
      <w:bookmarkEnd w:id="40"/>
      <w:bookmarkEnd w:id="41"/>
    </w:p>
    <w:p>
      <w:pPr>
        <w:pageBreakBefore w:val="0"/>
        <w:kinsoku/>
        <w:wordWrap/>
        <w:overflowPunct/>
        <w:topLinePunct w:val="0"/>
        <w:bidi w:val="0"/>
        <w:snapToGrid/>
        <w:spacing w:line="460" w:lineRule="exact"/>
        <w:ind w:left="0" w:leftChars="0" w:right="0" w:firstLine="480" w:firstLineChars="200"/>
        <w:jc w:val="both"/>
        <w:textAlignment w:val="auto"/>
        <w:outlineLvl w:val="2"/>
        <w:rPr>
          <w:rFonts w:hint="eastAsia" w:ascii="宋体" w:hAnsi="宋体" w:eastAsia="宋体" w:cs="宋体"/>
          <w:color w:val="auto"/>
          <w:sz w:val="24"/>
          <w:szCs w:val="24"/>
          <w:highlight w:val="none"/>
        </w:rPr>
      </w:pPr>
      <w:bookmarkStart w:id="42" w:name="_Toc20023"/>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编制要求</w:t>
      </w:r>
      <w:bookmarkEnd w:id="42"/>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lang w:val="en-US" w:eastAsia="zh-CN"/>
        </w:rPr>
        <w:t>2.1.1</w:t>
      </w:r>
      <w:r>
        <w:rPr>
          <w:rFonts w:hint="eastAsia" w:ascii="宋体" w:hAnsi="宋体" w:eastAsia="宋体" w:cs="宋体"/>
          <w:b w:val="0"/>
          <w:bCs/>
          <w:color w:val="auto"/>
          <w:sz w:val="24"/>
          <w:szCs w:val="24"/>
          <w:highlight w:val="none"/>
          <w:shd w:val="clear" w:color="auto" w:fill="FFFFFF"/>
        </w:rPr>
        <w:t>申报企业应仔细阅读采购文件全部内容，按采购文件的要求提供申报材料，并保证所提供的全部材料真实有效。申报材料涉及有效期限的，须在申报信息截止时间前仍在有效期内。如果申报企业没有按照采购文件的要求提交完整材料，或者申报材料没有对采购文件做出响应、申报材料内容不实等原因，影响中选结果的，由申报企业自行负责。</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lang w:val="en-US" w:eastAsia="zh-CN"/>
        </w:rPr>
        <w:t>2.1.2</w:t>
      </w:r>
      <w:r>
        <w:rPr>
          <w:rFonts w:hint="eastAsia" w:ascii="宋体" w:hAnsi="宋体" w:eastAsia="宋体" w:cs="宋体"/>
          <w:b w:val="0"/>
          <w:bCs/>
          <w:color w:val="auto"/>
          <w:sz w:val="24"/>
          <w:szCs w:val="24"/>
          <w:highlight w:val="none"/>
          <w:shd w:val="clear" w:color="auto" w:fill="FFFFFF"/>
        </w:rPr>
        <w:t>申报企业所有申报文件均须扫描成PDF格式在网上进行申报，</w:t>
      </w:r>
      <w:r>
        <w:rPr>
          <w:rFonts w:hint="eastAsia" w:ascii="宋体" w:hAnsi="宋体" w:eastAsia="宋体" w:cs="宋体"/>
          <w:b w:val="0"/>
          <w:bCs/>
          <w:color w:val="auto"/>
          <w:sz w:val="24"/>
          <w:szCs w:val="24"/>
          <w:highlight w:val="none"/>
          <w:shd w:val="clear" w:color="auto" w:fill="FFFFFF"/>
          <w:lang w:val="en-US" w:eastAsia="zh-CN"/>
        </w:rPr>
        <w:t>并加盖公章</w:t>
      </w:r>
      <w:r>
        <w:rPr>
          <w:rFonts w:hint="eastAsia" w:ascii="宋体" w:hAnsi="宋体" w:eastAsia="宋体" w:cs="宋体"/>
          <w:b w:val="0"/>
          <w:bCs/>
          <w:color w:val="auto"/>
          <w:sz w:val="24"/>
          <w:szCs w:val="24"/>
          <w:highlight w:val="none"/>
          <w:shd w:val="clear" w:color="auto" w:fill="FFFFFF"/>
        </w:rPr>
        <w:t>。</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b w:val="0"/>
          <w:bCs/>
          <w:color w:val="auto"/>
          <w:sz w:val="24"/>
          <w:szCs w:val="24"/>
          <w:highlight w:val="none"/>
          <w:shd w:val="clear" w:color="auto" w:fill="FFFFFF"/>
        </w:rPr>
      </w:pPr>
      <w:bookmarkStart w:id="43" w:name="_Toc12385"/>
      <w:r>
        <w:rPr>
          <w:rFonts w:hint="eastAsia" w:ascii="宋体" w:hAnsi="宋体" w:eastAsia="宋体" w:cs="宋体"/>
          <w:b w:val="0"/>
          <w:bCs/>
          <w:color w:val="auto"/>
          <w:sz w:val="24"/>
          <w:szCs w:val="24"/>
          <w:highlight w:val="none"/>
          <w:shd w:val="clear" w:color="auto" w:fill="FFFFFF"/>
          <w:lang w:val="en-US" w:eastAsia="zh-CN"/>
        </w:rPr>
        <w:t>2.2</w:t>
      </w:r>
      <w:r>
        <w:rPr>
          <w:rFonts w:hint="eastAsia" w:ascii="宋体" w:hAnsi="宋体" w:eastAsia="宋体" w:cs="宋体"/>
          <w:b w:val="0"/>
          <w:bCs/>
          <w:color w:val="auto"/>
          <w:sz w:val="24"/>
          <w:szCs w:val="24"/>
          <w:highlight w:val="none"/>
          <w:shd w:val="clear" w:color="auto" w:fill="FFFFFF"/>
        </w:rPr>
        <w:t>申报语言、药品名称、计量单位</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2.2.1</w:t>
      </w:r>
      <w:r>
        <w:rPr>
          <w:rFonts w:hint="eastAsia" w:ascii="宋体" w:hAnsi="宋体" w:eastAsia="宋体" w:cs="宋体"/>
          <w:color w:val="auto"/>
          <w:sz w:val="24"/>
          <w:szCs w:val="24"/>
          <w:highlight w:val="none"/>
          <w:shd w:val="clear" w:color="auto" w:fill="FFFFFF"/>
        </w:rPr>
        <w:t>申报企业递交的材料、交换的文件和来往信件，一律以中文书写。</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rPr>
        <w:t>2.2.2</w:t>
      </w:r>
      <w:r>
        <w:rPr>
          <w:rFonts w:hint="eastAsia" w:ascii="宋体" w:hAnsi="宋体" w:eastAsia="宋体" w:cs="宋体"/>
          <w:color w:val="auto"/>
          <w:sz w:val="24"/>
          <w:szCs w:val="24"/>
          <w:highlight w:val="none"/>
          <w:shd w:val="clear" w:color="auto" w:fill="FFFFFF"/>
        </w:rPr>
        <w:t>除申报材料中对技术规格另有规定外，应使用中华人民共和国法定计量单位和有关部门规定的药品名称和表示方法。</w:t>
      </w:r>
    </w:p>
    <w:bookmarkEnd w:id="43"/>
    <w:p>
      <w:pPr>
        <w:pageBreakBefore w:val="0"/>
        <w:kinsoku/>
        <w:wordWrap/>
        <w:overflowPunct/>
        <w:topLinePunct w:val="0"/>
        <w:bidi w:val="0"/>
        <w:snapToGrid/>
        <w:spacing w:line="460" w:lineRule="exact"/>
        <w:ind w:left="0" w:leftChars="0" w:right="0" w:firstLine="480" w:firstLineChars="200"/>
        <w:jc w:val="both"/>
        <w:textAlignment w:val="auto"/>
        <w:outlineLvl w:val="2"/>
        <w:rPr>
          <w:rFonts w:hint="eastAsia" w:ascii="宋体" w:hAnsi="宋体" w:eastAsia="宋体" w:cs="宋体"/>
          <w:color w:val="auto"/>
          <w:sz w:val="24"/>
          <w:szCs w:val="24"/>
          <w:highlight w:val="none"/>
          <w:shd w:val="clear" w:color="auto" w:fill="FFFFFF"/>
        </w:rPr>
      </w:pPr>
      <w:bookmarkStart w:id="44" w:name="_Toc1581"/>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申报材料构成</w:t>
      </w:r>
      <w:bookmarkEnd w:id="44"/>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申报企业</w:t>
      </w:r>
      <w:r>
        <w:rPr>
          <w:rFonts w:hint="eastAsia" w:ascii="宋体" w:hAnsi="宋体" w:eastAsia="宋体" w:cs="宋体"/>
          <w:color w:val="auto"/>
          <w:sz w:val="24"/>
          <w:szCs w:val="24"/>
          <w:highlight w:val="none"/>
          <w:shd w:val="clear" w:color="auto" w:fill="FFFFFF"/>
          <w:lang w:val="en-US" w:eastAsia="zh-CN"/>
        </w:rPr>
        <w:t>应</w:t>
      </w:r>
      <w:r>
        <w:rPr>
          <w:rFonts w:hint="eastAsia" w:ascii="宋体" w:hAnsi="宋体" w:eastAsia="宋体" w:cs="宋体"/>
          <w:color w:val="auto"/>
          <w:sz w:val="24"/>
          <w:szCs w:val="24"/>
          <w:highlight w:val="none"/>
          <w:shd w:val="clear" w:color="auto" w:fill="FFFFFF"/>
        </w:rPr>
        <w:t>按采购文件规定的申报材料格式要求，提交申报材料。用A4纸依顺序准备申报材料，扫描成PDF格式文件后上传，申报材料构成如下（每页均需加盖企业公章）：</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2.3.1投标文件封面（见附件1）</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2.3.2投标承诺函</w:t>
      </w:r>
      <w:r>
        <w:rPr>
          <w:rFonts w:hint="eastAsia" w:ascii="宋体" w:hAnsi="宋体" w:eastAsia="宋体" w:cs="宋体"/>
          <w:color w:val="auto"/>
          <w:sz w:val="24"/>
          <w:szCs w:val="24"/>
          <w:highlight w:val="none"/>
          <w:shd w:val="clear" w:color="auto" w:fill="FFFFFF"/>
        </w:rPr>
        <w:t>（见附件</w:t>
      </w:r>
      <w:r>
        <w:rPr>
          <w:rFonts w:hint="eastAsia" w:ascii="宋体" w:hAnsi="宋体" w:eastAsia="宋体" w:cs="宋体"/>
          <w:color w:val="auto"/>
          <w:sz w:val="24"/>
          <w:szCs w:val="24"/>
          <w:highlight w:val="none"/>
          <w:shd w:val="clear" w:color="auto" w:fill="FFFFFF"/>
          <w:lang w:val="en-US" w:eastAsia="zh-CN"/>
        </w:rPr>
        <w:t>2</w:t>
      </w:r>
      <w:r>
        <w:rPr>
          <w:rFonts w:hint="eastAsia" w:ascii="宋体" w:hAnsi="宋体" w:eastAsia="宋体" w:cs="宋体"/>
          <w:color w:val="auto"/>
          <w:sz w:val="24"/>
          <w:szCs w:val="24"/>
          <w:highlight w:val="none"/>
          <w:shd w:val="clear" w:color="auto" w:fill="FFFFFF"/>
        </w:rPr>
        <w:t>）。</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2.3.3</w:t>
      </w:r>
      <w:r>
        <w:rPr>
          <w:rFonts w:hint="eastAsia" w:ascii="宋体" w:hAnsi="宋体" w:eastAsia="宋体" w:cs="宋体"/>
          <w:color w:val="auto"/>
          <w:sz w:val="24"/>
          <w:szCs w:val="24"/>
          <w:highlight w:val="none"/>
          <w:shd w:val="clear" w:color="auto" w:fill="FFFFFF"/>
        </w:rPr>
        <w:t>法定代表人授权书（见附件</w:t>
      </w:r>
      <w:r>
        <w:rPr>
          <w:rFonts w:hint="eastAsia" w:ascii="宋体" w:hAnsi="宋体" w:eastAsia="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rPr>
        <w:t>）。</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val="en-US" w:eastAsia="zh-CN"/>
        </w:rPr>
        <w:t>2.3.4供应商资格证明文件</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2.3.5</w:t>
      </w:r>
      <w:r>
        <w:rPr>
          <w:rFonts w:hint="eastAsia" w:ascii="宋体" w:hAnsi="宋体" w:eastAsia="宋体" w:cs="宋体"/>
          <w:color w:val="auto"/>
          <w:sz w:val="24"/>
          <w:szCs w:val="24"/>
          <w:highlight w:val="none"/>
          <w:shd w:val="clear" w:color="auto" w:fill="FFFFFF"/>
        </w:rPr>
        <w:t>《供应品种清单》</w:t>
      </w:r>
      <w:r>
        <w:rPr>
          <w:rFonts w:hint="eastAsia" w:ascii="宋体" w:hAnsi="宋体" w:eastAsia="宋体" w:cs="宋体"/>
          <w:color w:val="auto"/>
          <w:sz w:val="24"/>
          <w:szCs w:val="24"/>
          <w:highlight w:val="none"/>
          <w:shd w:val="clear" w:color="auto" w:fill="FFFFFF"/>
          <w:lang w:eastAsia="zh-CN"/>
        </w:rPr>
        <w:t>（</w:t>
      </w:r>
      <w:r>
        <w:rPr>
          <w:rFonts w:hint="eastAsia" w:ascii="宋体" w:hAnsi="宋体" w:cs="宋体"/>
          <w:color w:val="auto"/>
          <w:sz w:val="24"/>
          <w:szCs w:val="24"/>
          <w:highlight w:val="none"/>
          <w:shd w:val="clear" w:color="auto" w:fill="FFFFFF"/>
          <w:lang w:val="en-US" w:eastAsia="zh-CN"/>
        </w:rPr>
        <w:t>见</w:t>
      </w:r>
      <w:r>
        <w:rPr>
          <w:rFonts w:hint="eastAsia" w:ascii="宋体" w:hAnsi="宋体" w:eastAsia="宋体" w:cs="宋体"/>
          <w:color w:val="auto"/>
          <w:sz w:val="24"/>
          <w:szCs w:val="24"/>
          <w:highlight w:val="none"/>
          <w:shd w:val="clear" w:color="auto" w:fill="FFFFFF"/>
          <w:lang w:val="en-US" w:eastAsia="zh-CN"/>
        </w:rPr>
        <w:t>附件4）</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2.3.6申报药品资格证明文件</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2.3.7质疑函模板</w:t>
      </w:r>
      <w:r>
        <w:rPr>
          <w:rFonts w:hint="eastAsia" w:ascii="宋体" w:hAnsi="宋体" w:cs="宋体"/>
          <w:color w:val="auto"/>
          <w:sz w:val="24"/>
          <w:szCs w:val="24"/>
          <w:highlight w:val="none"/>
          <w:shd w:val="clear" w:color="auto" w:fill="FFFFFF"/>
          <w:lang w:val="en-US" w:eastAsia="zh-CN"/>
        </w:rPr>
        <w:t>（见附件5）</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2.3.</w:t>
      </w:r>
      <w:r>
        <w:rPr>
          <w:rFonts w:hint="eastAsia" w:ascii="宋体" w:hAnsi="宋体" w:cs="宋体"/>
          <w:color w:val="auto"/>
          <w:sz w:val="24"/>
          <w:szCs w:val="24"/>
          <w:highlight w:val="none"/>
          <w:shd w:val="clear" w:color="auto" w:fill="FFFFFF"/>
          <w:lang w:val="en-US" w:eastAsia="zh-CN"/>
        </w:rPr>
        <w:t>8</w:t>
      </w:r>
      <w:r>
        <w:rPr>
          <w:rFonts w:hint="eastAsia" w:ascii="宋体" w:hAnsi="宋体" w:eastAsia="宋体" w:cs="宋体"/>
          <w:color w:val="auto"/>
          <w:sz w:val="24"/>
          <w:szCs w:val="24"/>
          <w:highlight w:val="none"/>
          <w:shd w:val="clear" w:color="auto" w:fill="FFFFFF"/>
          <w:lang w:val="en-US" w:eastAsia="zh-CN"/>
        </w:rPr>
        <w:t>采购文件要求的其他内容</w:t>
      </w:r>
      <w:r>
        <w:rPr>
          <w:rFonts w:hint="eastAsia" w:ascii="宋体" w:hAnsi="宋体" w:eastAsia="宋体" w:cs="宋体"/>
          <w:color w:val="auto"/>
          <w:sz w:val="24"/>
          <w:szCs w:val="24"/>
          <w:highlight w:val="none"/>
          <w:shd w:val="clear" w:color="auto" w:fill="FFFFFF"/>
        </w:rPr>
        <w:t>。</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拟在联合采购地区供应的符合申报品种资格的所有临床常用产品（不限于目录中的含量规格，大容量注射液包括所有包材）均须申报在《供应品种清单》中，并上传有效的药品批件、说明书、药检报告、质量标准、外包装图片等相关药品资质证明材料。</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申报企业须保证所填报的信息真实、完整、准确，在公示及采购执行过程中发现申报企业存在虚报、瞒报药品价格的行为，则取消该品种中选资格，并将该企业列入“违规名单”。</w:t>
      </w:r>
    </w:p>
    <w:p>
      <w:pPr>
        <w:pageBreakBefore w:val="0"/>
        <w:kinsoku/>
        <w:wordWrap/>
        <w:overflowPunct/>
        <w:topLinePunct w:val="0"/>
        <w:bidi w:val="0"/>
        <w:snapToGrid/>
        <w:spacing w:line="460" w:lineRule="exact"/>
        <w:ind w:left="0" w:leftChars="0" w:right="0" w:firstLine="480" w:firstLineChars="20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申报价格</w:t>
      </w:r>
    </w:p>
    <w:p>
      <w:pPr>
        <w:pageBreakBefore w:val="0"/>
        <w:shd w:val="clear"/>
        <w:kinsoku/>
        <w:wordWrap/>
        <w:overflowPunct/>
        <w:topLinePunct w:val="0"/>
        <w:bidi w:val="0"/>
        <w:snapToGrid/>
        <w:spacing w:line="460" w:lineRule="exact"/>
        <w:ind w:left="0" w:leftChars="0" w:right="0" w:firstLine="480" w:firstLineChars="200"/>
        <w:jc w:val="both"/>
        <w:textAlignment w:val="auto"/>
        <w:rPr>
          <w:rFonts w:hint="default"/>
          <w:lang w:val="en-US"/>
        </w:rPr>
      </w:pPr>
      <w:r>
        <w:rPr>
          <w:rFonts w:hint="eastAsia" w:ascii="宋体" w:hAnsi="宋体" w:eastAsia="宋体" w:cs="宋体"/>
          <w:color w:val="auto"/>
          <w:sz w:val="24"/>
          <w:szCs w:val="24"/>
          <w:highlight w:val="none"/>
          <w:lang w:val="en-US" w:eastAsia="zh-CN"/>
        </w:rPr>
        <w:t>2.4.1</w:t>
      </w:r>
      <w:r>
        <w:rPr>
          <w:rFonts w:hint="eastAsia" w:ascii="宋体" w:hAnsi="宋体" w:eastAsia="宋体" w:cs="宋体"/>
          <w:color w:val="auto"/>
          <w:sz w:val="24"/>
          <w:szCs w:val="24"/>
          <w:highlight w:val="none"/>
        </w:rPr>
        <w:t>申报产品报价以人民币填报，单位为“元”，</w:t>
      </w:r>
      <w:r>
        <w:rPr>
          <w:rFonts w:hint="eastAsia" w:ascii="宋体" w:hAnsi="宋体" w:cs="宋体"/>
          <w:color w:val="auto"/>
          <w:sz w:val="24"/>
          <w:szCs w:val="24"/>
          <w:highlight w:val="none"/>
          <w:lang w:val="en-US" w:eastAsia="zh-CN"/>
        </w:rPr>
        <w:t>四舍五入</w:t>
      </w:r>
      <w:r>
        <w:rPr>
          <w:rFonts w:hint="eastAsia" w:ascii="宋体" w:hAnsi="宋体" w:eastAsia="宋体" w:cs="宋体"/>
          <w:color w:val="auto"/>
          <w:sz w:val="24"/>
          <w:szCs w:val="24"/>
          <w:highlight w:val="none"/>
        </w:rPr>
        <w:t>保留到小数点后</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位。</w:t>
      </w:r>
      <w:r>
        <w:rPr>
          <w:rFonts w:hint="eastAsia" w:ascii="宋体" w:hAnsi="宋体" w:cs="宋体"/>
          <w:color w:val="auto"/>
          <w:sz w:val="24"/>
          <w:szCs w:val="24"/>
          <w:highlight w:val="none"/>
          <w:lang w:val="en-US" w:eastAsia="zh-CN"/>
        </w:rPr>
        <w:t>申报企业报价时，将药品名称、剂型相符的申报药品，按照联合议价药品目录中代表规格进行价格转换。如，某企业申报A药品规格为2mg/片，目录中A药品规格为1mg/片，申报时需转换为1mg的价格。</w:t>
      </w:r>
    </w:p>
    <w:p>
      <w:pPr>
        <w:ind w:firstLine="480"/>
        <w:rPr>
          <w:rFonts w:hint="eastAsia" w:ascii="宋体" w:hAnsi="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2.4.2</w:t>
      </w:r>
      <w:r>
        <w:rPr>
          <w:rFonts w:hint="eastAsia" w:ascii="宋体" w:hAnsi="宋体" w:cs="宋体"/>
          <w:color w:val="auto"/>
          <w:kern w:val="2"/>
          <w:sz w:val="24"/>
          <w:szCs w:val="24"/>
          <w:highlight w:val="none"/>
          <w:lang w:val="en-US" w:eastAsia="zh-CN" w:bidi="ar-SA"/>
        </w:rPr>
        <w:t>已在自治区（兵团）医保平台招采子系统挂网的企业，</w:t>
      </w:r>
      <w:r>
        <w:rPr>
          <w:rFonts w:hint="eastAsia" w:hAnsi="宋体" w:cs="宋体"/>
          <w:color w:val="auto"/>
          <w:kern w:val="2"/>
          <w:sz w:val="24"/>
          <w:szCs w:val="24"/>
          <w:highlight w:val="none"/>
          <w:lang w:val="en-US" w:eastAsia="zh-CN" w:bidi="ar-SA"/>
        </w:rPr>
        <w:t>投标报价</w:t>
      </w:r>
      <w:r>
        <w:rPr>
          <w:rFonts w:hint="eastAsia" w:ascii="宋体" w:hAnsi="宋体" w:eastAsia="宋体" w:cs="宋体"/>
          <w:color w:val="auto"/>
          <w:kern w:val="2"/>
          <w:sz w:val="24"/>
          <w:szCs w:val="24"/>
          <w:highlight w:val="none"/>
          <w:lang w:val="en-US" w:eastAsia="zh-CN" w:bidi="ar-SA"/>
        </w:rPr>
        <w:t>不得高于</w:t>
      </w:r>
      <w:r>
        <w:rPr>
          <w:rFonts w:hint="eastAsia" w:hAnsi="宋体" w:cs="宋体"/>
          <w:color w:val="auto"/>
          <w:kern w:val="2"/>
          <w:sz w:val="24"/>
          <w:szCs w:val="24"/>
          <w:highlight w:val="none"/>
          <w:lang w:val="en-US" w:eastAsia="zh-CN" w:bidi="ar-SA"/>
        </w:rPr>
        <w:t>自治区（兵团）</w:t>
      </w:r>
      <w:r>
        <w:rPr>
          <w:rFonts w:hint="eastAsia" w:ascii="宋体" w:hAnsi="宋体" w:eastAsia="宋体" w:cs="宋体"/>
          <w:color w:val="auto"/>
          <w:kern w:val="2"/>
          <w:sz w:val="24"/>
          <w:szCs w:val="24"/>
          <w:highlight w:val="none"/>
          <w:lang w:val="en-US" w:eastAsia="zh-CN" w:bidi="ar-SA"/>
        </w:rPr>
        <w:t>正在执行的</w:t>
      </w:r>
      <w:r>
        <w:rPr>
          <w:rFonts w:hint="eastAsia" w:hAnsi="宋体" w:cs="宋体"/>
          <w:color w:val="auto"/>
          <w:kern w:val="2"/>
          <w:sz w:val="24"/>
          <w:szCs w:val="24"/>
          <w:highlight w:val="none"/>
          <w:lang w:val="en-US" w:eastAsia="zh-CN" w:bidi="ar-SA"/>
        </w:rPr>
        <w:t>最低</w:t>
      </w:r>
      <w:r>
        <w:rPr>
          <w:rFonts w:hint="eastAsia" w:ascii="宋体" w:hAnsi="宋体" w:eastAsia="宋体" w:cs="宋体"/>
          <w:color w:val="auto"/>
          <w:kern w:val="2"/>
          <w:sz w:val="24"/>
          <w:szCs w:val="24"/>
          <w:highlight w:val="none"/>
          <w:lang w:val="en-US" w:eastAsia="zh-CN" w:bidi="ar-SA"/>
        </w:rPr>
        <w:t>挂网价。</w:t>
      </w:r>
      <w:r>
        <w:rPr>
          <w:rFonts w:hint="eastAsia" w:ascii="宋体" w:hAnsi="宋体" w:cs="宋体"/>
          <w:color w:val="auto"/>
          <w:kern w:val="2"/>
          <w:sz w:val="24"/>
          <w:szCs w:val="24"/>
          <w:highlight w:val="none"/>
          <w:lang w:val="en-US" w:eastAsia="zh-CN" w:bidi="ar-SA"/>
        </w:rPr>
        <w:t>在填写投标报价时必须在报价系统内提供真实的挂网价供评标小组参考（需按照</w:t>
      </w:r>
      <w:r>
        <w:rPr>
          <w:rFonts w:hint="eastAsia" w:ascii="宋体" w:hAnsi="宋体" w:eastAsia="宋体" w:cs="宋体"/>
          <w:color w:val="auto"/>
          <w:sz w:val="24"/>
          <w:szCs w:val="24"/>
          <w:highlight w:val="none"/>
          <w:lang w:val="en-US" w:eastAsia="zh-CN"/>
        </w:rPr>
        <w:t>2.4.1</w:t>
      </w:r>
      <w:r>
        <w:rPr>
          <w:rFonts w:hint="eastAsia" w:ascii="宋体" w:hAnsi="宋体" w:cs="宋体"/>
          <w:color w:val="auto"/>
          <w:kern w:val="2"/>
          <w:sz w:val="24"/>
          <w:szCs w:val="24"/>
          <w:highlight w:val="none"/>
          <w:lang w:val="en-US" w:eastAsia="zh-CN" w:bidi="ar-SA"/>
        </w:rPr>
        <w:t>进行规格转换）。</w:t>
      </w:r>
    </w:p>
    <w:p>
      <w:pPr>
        <w:ind w:firstLine="480"/>
        <w:rPr>
          <w:rFonts w:hint="eastAsia" w:ascii="宋体" w:hAnsi="宋体" w:eastAsia="宋体" w:cs="宋体"/>
          <w:color w:val="auto"/>
          <w:sz w:val="24"/>
          <w:szCs w:val="24"/>
          <w:highlight w:val="none"/>
        </w:rPr>
      </w:pPr>
      <w:r>
        <w:rPr>
          <w:rFonts w:hint="eastAsia" w:ascii="宋体" w:hAnsi="宋体" w:cs="宋体"/>
          <w:color w:val="auto"/>
          <w:kern w:val="2"/>
          <w:sz w:val="24"/>
          <w:szCs w:val="24"/>
          <w:highlight w:val="none"/>
          <w:lang w:val="en-US" w:eastAsia="zh-CN" w:bidi="ar-SA"/>
        </w:rPr>
        <w:t>2.4.3未在自治区（兵团）医保平台招采子系统挂网的企业，</w:t>
      </w:r>
      <w:r>
        <w:rPr>
          <w:rFonts w:hint="eastAsia" w:hAnsi="宋体" w:cs="宋体"/>
          <w:color w:val="auto"/>
          <w:kern w:val="2"/>
          <w:sz w:val="24"/>
          <w:szCs w:val="24"/>
          <w:highlight w:val="none"/>
          <w:lang w:val="en-US" w:eastAsia="zh-CN" w:bidi="ar-SA"/>
        </w:rPr>
        <w:t>投标报价</w:t>
      </w:r>
      <w:r>
        <w:rPr>
          <w:rFonts w:hint="eastAsia" w:ascii="宋体" w:hAnsi="宋体" w:eastAsia="宋体" w:cs="宋体"/>
          <w:color w:val="auto"/>
          <w:kern w:val="2"/>
          <w:sz w:val="24"/>
          <w:szCs w:val="24"/>
          <w:highlight w:val="none"/>
          <w:lang w:val="en-US" w:eastAsia="zh-CN" w:bidi="ar-SA"/>
        </w:rPr>
        <w:t>不得高于</w:t>
      </w:r>
      <w:r>
        <w:rPr>
          <w:rFonts w:hint="eastAsia" w:ascii="宋体" w:hAnsi="宋体" w:cs="宋体"/>
          <w:color w:val="auto"/>
          <w:kern w:val="2"/>
          <w:sz w:val="24"/>
          <w:szCs w:val="24"/>
          <w:highlight w:val="none"/>
          <w:lang w:val="en-US" w:eastAsia="zh-CN" w:bidi="ar-SA"/>
        </w:rPr>
        <w:t>全国医保平台最低挂网价（需按照</w:t>
      </w:r>
      <w:r>
        <w:rPr>
          <w:rFonts w:hint="eastAsia" w:ascii="宋体" w:hAnsi="宋体" w:eastAsia="宋体" w:cs="宋体"/>
          <w:color w:val="auto"/>
          <w:sz w:val="24"/>
          <w:szCs w:val="24"/>
          <w:highlight w:val="none"/>
          <w:lang w:val="en-US" w:eastAsia="zh-CN"/>
        </w:rPr>
        <w:t>2.4.1</w:t>
      </w:r>
      <w:r>
        <w:rPr>
          <w:rFonts w:hint="eastAsia" w:ascii="宋体" w:hAnsi="宋体" w:cs="宋体"/>
          <w:color w:val="auto"/>
          <w:kern w:val="2"/>
          <w:sz w:val="24"/>
          <w:szCs w:val="24"/>
          <w:highlight w:val="none"/>
          <w:lang w:val="en-US" w:eastAsia="zh-CN" w:bidi="ar-SA"/>
        </w:rPr>
        <w:t>进行规格转换），一旦中选，两个月之内需完成中选产品的挂网工作。反之，如影响后期采购，需承担法律责任。</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2.4.</w:t>
      </w:r>
      <w:r>
        <w:rPr>
          <w:rFonts w:hint="eastAsia" w:ascii="宋体" w:hAnsi="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lang w:val="en-US" w:eastAsia="zh-CN"/>
        </w:rPr>
        <w:t>带附加装置（如加药器、冲洗器、附带溶媒、预灌封或预充式注射器等）的药品不区分招标单元，不区分报价。</w:t>
      </w:r>
    </w:p>
    <w:p>
      <w:pPr>
        <w:pageBreakBefore w:val="0"/>
        <w:kinsoku/>
        <w:wordWrap/>
        <w:overflowPunct/>
        <w:topLinePunct w:val="0"/>
        <w:bidi w:val="0"/>
        <w:snapToGrid/>
        <w:spacing w:line="460" w:lineRule="exact"/>
        <w:ind w:left="0" w:leftChars="0" w:right="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腹膜透析液的报价须包含特殊配送费用（指送货上门等原配送方式），以保证患者使用。</w:t>
      </w:r>
      <w:r>
        <w:rPr>
          <w:rFonts w:hint="eastAsia" w:ascii="宋体" w:hAnsi="宋体" w:cs="宋体"/>
          <w:color w:val="auto"/>
          <w:sz w:val="24"/>
          <w:szCs w:val="24"/>
          <w:highlight w:val="none"/>
          <w:lang w:val="en-US" w:eastAsia="zh-CN"/>
        </w:rPr>
        <w:t xml:space="preserve"> </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申报价为申报企业的实际供应价，应包含税费、配送费、伴随服务价格等所有费用。</w:t>
      </w:r>
    </w:p>
    <w:p>
      <w:pPr>
        <w:pageBreakBefore w:val="0"/>
        <w:kinsoku/>
        <w:wordWrap/>
        <w:overflowPunct/>
        <w:topLinePunct w:val="0"/>
        <w:bidi w:val="0"/>
        <w:snapToGrid/>
        <w:spacing w:line="460" w:lineRule="exact"/>
        <w:ind w:left="0" w:leftChars="0" w:right="0" w:firstLine="480" w:firstLineChars="20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申报材料的式样和签署</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2.5.1</w:t>
      </w:r>
      <w:r>
        <w:rPr>
          <w:rFonts w:hint="eastAsia" w:ascii="宋体" w:hAnsi="宋体" w:eastAsia="宋体" w:cs="宋体"/>
          <w:color w:val="auto"/>
          <w:sz w:val="24"/>
          <w:szCs w:val="24"/>
          <w:highlight w:val="none"/>
        </w:rPr>
        <w:t>若申报材料涉及纸质资料的，须打印或用不褪色书写工具书写，并由申报企业加盖</w:t>
      </w:r>
      <w:r>
        <w:rPr>
          <w:rFonts w:hint="eastAsia" w:ascii="宋体" w:hAnsi="宋体" w:eastAsia="宋体" w:cs="宋体"/>
          <w:color w:val="auto"/>
          <w:sz w:val="24"/>
          <w:szCs w:val="24"/>
          <w:highlight w:val="none"/>
          <w:lang w:val="en-US" w:eastAsia="zh-CN"/>
        </w:rPr>
        <w:t>公司公</w:t>
      </w:r>
      <w:r>
        <w:rPr>
          <w:rFonts w:hint="eastAsia" w:ascii="宋体" w:hAnsi="宋体" w:eastAsia="宋体" w:cs="宋体"/>
          <w:color w:val="auto"/>
          <w:sz w:val="24"/>
          <w:szCs w:val="24"/>
          <w:highlight w:val="none"/>
        </w:rPr>
        <w:t>章。</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2.5.2</w:t>
      </w:r>
      <w:r>
        <w:rPr>
          <w:rFonts w:hint="eastAsia" w:ascii="宋体" w:hAnsi="宋体" w:eastAsia="宋体" w:cs="宋体"/>
          <w:color w:val="auto"/>
          <w:sz w:val="24"/>
          <w:szCs w:val="24"/>
          <w:highlight w:val="none"/>
        </w:rPr>
        <w:t>申报企业除对笔误等作勘误外，不得行间插字、涂改或增删。如有修改处，必须由企业法定代表人或其授权代理人签字或加盖公司公章。</w:t>
      </w:r>
    </w:p>
    <w:p>
      <w:pPr>
        <w:pStyle w:val="4"/>
        <w:pageBreakBefore w:val="0"/>
        <w:kinsoku/>
        <w:wordWrap/>
        <w:overflowPunct/>
        <w:topLinePunct w:val="0"/>
        <w:bidi w:val="0"/>
        <w:snapToGrid/>
        <w:spacing w:before="0" w:after="0" w:line="460" w:lineRule="exact"/>
        <w:ind w:left="0" w:leftChars="0" w:right="0" w:firstLine="482" w:firstLineChars="200"/>
        <w:jc w:val="both"/>
        <w:textAlignment w:val="auto"/>
        <w:rPr>
          <w:rFonts w:hint="eastAsia" w:ascii="宋体" w:hAnsi="宋体" w:eastAsia="宋体" w:cs="宋体"/>
          <w:b/>
          <w:bCs/>
          <w:color w:val="auto"/>
          <w:kern w:val="32"/>
          <w:sz w:val="24"/>
          <w:szCs w:val="24"/>
          <w:highlight w:val="none"/>
        </w:rPr>
      </w:pPr>
      <w:bookmarkStart w:id="45" w:name="_Toc17072"/>
      <w:bookmarkStart w:id="46" w:name="_Toc53152585"/>
      <w:bookmarkStart w:id="47" w:name="_Toc7045"/>
      <w:r>
        <w:rPr>
          <w:rFonts w:hint="eastAsia" w:ascii="宋体" w:hAnsi="宋体" w:eastAsia="宋体" w:cs="宋体"/>
          <w:b/>
          <w:bCs/>
          <w:color w:val="auto"/>
          <w:kern w:val="32"/>
          <w:sz w:val="24"/>
          <w:szCs w:val="24"/>
          <w:highlight w:val="none"/>
          <w:lang w:val="en-US" w:eastAsia="zh-CN"/>
        </w:rPr>
        <w:t>3</w:t>
      </w:r>
      <w:r>
        <w:rPr>
          <w:rFonts w:hint="eastAsia" w:ascii="宋体" w:hAnsi="宋体" w:cs="宋体"/>
          <w:b/>
          <w:bCs/>
          <w:color w:val="auto"/>
          <w:kern w:val="32"/>
          <w:sz w:val="24"/>
          <w:szCs w:val="24"/>
          <w:highlight w:val="none"/>
          <w:lang w:val="en-US" w:eastAsia="zh-CN"/>
        </w:rPr>
        <w:t>、</w:t>
      </w:r>
      <w:r>
        <w:rPr>
          <w:rFonts w:hint="eastAsia" w:ascii="宋体" w:hAnsi="宋体" w:eastAsia="宋体" w:cs="宋体"/>
          <w:b/>
          <w:bCs/>
          <w:color w:val="auto"/>
          <w:kern w:val="32"/>
          <w:sz w:val="24"/>
          <w:szCs w:val="24"/>
          <w:highlight w:val="none"/>
        </w:rPr>
        <w:t>申报</w:t>
      </w:r>
      <w:bookmarkEnd w:id="45"/>
      <w:bookmarkEnd w:id="46"/>
      <w:r>
        <w:rPr>
          <w:rFonts w:hint="eastAsia" w:ascii="宋体" w:hAnsi="宋体" w:eastAsia="宋体" w:cs="宋体"/>
          <w:b/>
          <w:bCs/>
          <w:color w:val="auto"/>
          <w:kern w:val="32"/>
          <w:sz w:val="24"/>
          <w:szCs w:val="24"/>
          <w:highlight w:val="none"/>
        </w:rPr>
        <w:t>信息提交</w:t>
      </w:r>
      <w:bookmarkEnd w:id="47"/>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申报企业须在规定时间内登录</w:t>
      </w:r>
      <w:r>
        <w:rPr>
          <w:rFonts w:hint="eastAsia" w:ascii="宋体" w:hAnsi="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lang w:bidi="zh-CN"/>
        </w:rPr>
        <w:fldChar w:fldCharType="begin"/>
      </w:r>
      <w:r>
        <w:rPr>
          <w:rFonts w:hint="eastAsia" w:ascii="宋体" w:hAnsi="宋体" w:eastAsia="宋体" w:cs="宋体"/>
          <w:color w:val="auto"/>
          <w:sz w:val="24"/>
          <w:szCs w:val="24"/>
          <w:highlight w:val="none"/>
          <w:lang w:bidi="zh-CN"/>
        </w:rPr>
        <w:instrText xml:space="preserve"> HYPERLINK "https://xinjiang.etrading.cn/" </w:instrText>
      </w:r>
      <w:r>
        <w:rPr>
          <w:rFonts w:hint="eastAsia" w:ascii="宋体" w:hAnsi="宋体" w:eastAsia="宋体" w:cs="宋体"/>
          <w:color w:val="auto"/>
          <w:sz w:val="24"/>
          <w:szCs w:val="24"/>
          <w:highlight w:val="none"/>
          <w:lang w:bidi="zh-CN"/>
        </w:rPr>
        <w:fldChar w:fldCharType="separate"/>
      </w:r>
      <w:r>
        <w:rPr>
          <w:rStyle w:val="29"/>
          <w:rFonts w:hint="eastAsia" w:ascii="宋体" w:hAnsi="宋体" w:eastAsia="宋体" w:cs="宋体"/>
          <w:color w:val="auto"/>
          <w:sz w:val="24"/>
          <w:szCs w:val="24"/>
          <w:highlight w:val="none"/>
          <w:lang w:bidi="zh-CN"/>
        </w:rPr>
        <w:t>https://xinjiang.etrading.cn/</w:t>
      </w:r>
      <w:r>
        <w:rPr>
          <w:rFonts w:hint="eastAsia" w:ascii="宋体" w:hAnsi="宋体" w:eastAsia="宋体" w:cs="宋体"/>
          <w:color w:val="auto"/>
          <w:sz w:val="24"/>
          <w:szCs w:val="24"/>
          <w:highlight w:val="none"/>
          <w:lang w:bidi="zh-CN"/>
        </w:rPr>
        <w:fldChar w:fldCharType="end"/>
      </w:r>
      <w:r>
        <w:rPr>
          <w:rFonts w:hint="eastAsia" w:ascii="宋体" w:hAnsi="宋体" w:cs="宋体"/>
          <w:color w:val="auto"/>
          <w:sz w:val="24"/>
          <w:szCs w:val="24"/>
          <w:highlight w:val="none"/>
          <w:lang w:val="en-US" w:bidi="zh-CN"/>
        </w:rPr>
        <w:t>)</w:t>
      </w:r>
      <w:r>
        <w:rPr>
          <w:rFonts w:hint="eastAsia" w:ascii="宋体" w:hAnsi="宋体" w:eastAsia="宋体" w:cs="宋体"/>
          <w:color w:val="auto"/>
          <w:sz w:val="24"/>
          <w:szCs w:val="24"/>
          <w:highlight w:val="none"/>
          <w:shd w:val="clear" w:color="auto" w:fill="FFFFFF"/>
        </w:rPr>
        <w:t>完成</w:t>
      </w:r>
      <w:r>
        <w:rPr>
          <w:rFonts w:hint="eastAsia" w:ascii="宋体" w:hAnsi="宋体" w:eastAsia="宋体" w:cs="宋体"/>
          <w:color w:val="auto"/>
          <w:sz w:val="24"/>
          <w:szCs w:val="24"/>
          <w:highlight w:val="none"/>
          <w:shd w:val="clear" w:color="auto" w:fill="FFFFFF"/>
          <w:lang w:val="en-US" w:eastAsia="zh-CN"/>
        </w:rPr>
        <w:t>企业报名及产品资料的申报工作，</w:t>
      </w:r>
      <w:r>
        <w:rPr>
          <w:rFonts w:hint="eastAsia" w:ascii="宋体" w:hAnsi="宋体" w:eastAsia="宋体" w:cs="宋体"/>
          <w:color w:val="auto"/>
          <w:sz w:val="24"/>
          <w:szCs w:val="24"/>
          <w:highlight w:val="none"/>
          <w:shd w:val="clear" w:color="auto" w:fill="FFFFFF"/>
        </w:rPr>
        <w:t>否则无法进行后续的产品网上报价。</w:t>
      </w:r>
      <w:r>
        <w:rPr>
          <w:rFonts w:hint="eastAsia" w:ascii="宋体" w:hAnsi="宋体" w:eastAsia="宋体" w:cs="宋体"/>
          <w:color w:val="auto"/>
          <w:sz w:val="24"/>
          <w:szCs w:val="24"/>
          <w:highlight w:val="none"/>
          <w:shd w:val="clear" w:color="auto" w:fill="FFFFFF"/>
          <w:lang w:val="en-US" w:eastAsia="zh-CN"/>
        </w:rPr>
        <w:t>如</w:t>
      </w:r>
      <w:r>
        <w:rPr>
          <w:rFonts w:hint="eastAsia" w:ascii="宋体" w:hAnsi="宋体" w:eastAsia="宋体" w:cs="宋体"/>
          <w:color w:val="auto"/>
          <w:sz w:val="24"/>
          <w:szCs w:val="24"/>
          <w:highlight w:val="none"/>
          <w:shd w:val="clear" w:color="auto" w:fill="FFFFFF"/>
        </w:rPr>
        <w:t>未按时提交、信息错误、材料缺失的均视为放弃，后果由生产企业自行承担。</w:t>
      </w:r>
    </w:p>
    <w:p>
      <w:pPr>
        <w:pStyle w:val="4"/>
        <w:pageBreakBefore w:val="0"/>
        <w:kinsoku/>
        <w:wordWrap/>
        <w:overflowPunct/>
        <w:topLinePunct w:val="0"/>
        <w:bidi w:val="0"/>
        <w:snapToGrid/>
        <w:spacing w:before="0" w:after="0" w:line="460" w:lineRule="exact"/>
        <w:ind w:left="0" w:leftChars="0" w:right="0" w:firstLine="482" w:firstLineChars="200"/>
        <w:jc w:val="both"/>
        <w:textAlignment w:val="auto"/>
        <w:rPr>
          <w:rFonts w:hint="eastAsia" w:ascii="宋体" w:hAnsi="宋体" w:eastAsia="宋体" w:cs="宋体"/>
          <w:b/>
          <w:bCs/>
          <w:color w:val="auto"/>
          <w:kern w:val="32"/>
          <w:sz w:val="24"/>
          <w:szCs w:val="24"/>
          <w:highlight w:val="none"/>
        </w:rPr>
      </w:pPr>
      <w:bookmarkStart w:id="48" w:name="_Toc30870"/>
      <w:bookmarkStart w:id="49" w:name="_Toc53152586"/>
      <w:bookmarkStart w:id="50" w:name="_Toc27166"/>
      <w:r>
        <w:rPr>
          <w:rFonts w:hint="eastAsia" w:ascii="宋体" w:hAnsi="宋体" w:eastAsia="宋体" w:cs="宋体"/>
          <w:b/>
          <w:bCs/>
          <w:color w:val="auto"/>
          <w:kern w:val="32"/>
          <w:sz w:val="24"/>
          <w:szCs w:val="24"/>
          <w:highlight w:val="none"/>
          <w:lang w:val="en-US" w:eastAsia="zh-CN"/>
        </w:rPr>
        <w:t>4</w:t>
      </w:r>
      <w:bookmarkEnd w:id="48"/>
      <w:bookmarkEnd w:id="49"/>
      <w:r>
        <w:rPr>
          <w:rFonts w:hint="eastAsia" w:ascii="宋体" w:hAnsi="宋体" w:cs="宋体"/>
          <w:b/>
          <w:bCs/>
          <w:color w:val="auto"/>
          <w:kern w:val="32"/>
          <w:sz w:val="24"/>
          <w:szCs w:val="24"/>
          <w:highlight w:val="none"/>
          <w:lang w:val="en-US" w:eastAsia="zh-CN"/>
        </w:rPr>
        <w:t>、</w:t>
      </w:r>
      <w:r>
        <w:rPr>
          <w:rFonts w:hint="eastAsia" w:ascii="宋体" w:hAnsi="宋体" w:eastAsia="宋体" w:cs="宋体"/>
          <w:b/>
          <w:bCs/>
          <w:color w:val="auto"/>
          <w:kern w:val="32"/>
          <w:sz w:val="24"/>
          <w:szCs w:val="24"/>
          <w:highlight w:val="none"/>
        </w:rPr>
        <w:t>申报产品报价</w:t>
      </w:r>
      <w:bookmarkEnd w:id="50"/>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申报企业须在</w:t>
      </w:r>
      <w:r>
        <w:rPr>
          <w:rFonts w:hint="eastAsia" w:ascii="宋体" w:hAnsi="宋体" w:cs="宋体"/>
          <w:color w:val="auto"/>
          <w:sz w:val="24"/>
          <w:szCs w:val="24"/>
          <w:highlight w:val="none"/>
          <w:shd w:val="clear" w:color="auto" w:fill="FFFFFF"/>
          <w:lang w:val="en-US" w:eastAsia="zh-CN"/>
        </w:rPr>
        <w:t>采购文件</w:t>
      </w:r>
      <w:r>
        <w:rPr>
          <w:rFonts w:hint="eastAsia" w:ascii="宋体" w:hAnsi="宋体" w:eastAsia="宋体" w:cs="宋体"/>
          <w:color w:val="auto"/>
          <w:sz w:val="24"/>
          <w:szCs w:val="24"/>
          <w:highlight w:val="none"/>
          <w:shd w:val="clear" w:color="auto" w:fill="FFFFFF"/>
        </w:rPr>
        <w:t>规定时间内登录</w:t>
      </w:r>
      <w:r>
        <w:rPr>
          <w:rFonts w:hint="eastAsia" w:ascii="宋体" w:hAnsi="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lang w:bidi="zh-CN"/>
        </w:rPr>
        <w:fldChar w:fldCharType="begin"/>
      </w:r>
      <w:r>
        <w:rPr>
          <w:rFonts w:hint="eastAsia" w:ascii="宋体" w:hAnsi="宋体" w:eastAsia="宋体" w:cs="宋体"/>
          <w:color w:val="auto"/>
          <w:sz w:val="24"/>
          <w:szCs w:val="24"/>
          <w:highlight w:val="none"/>
          <w:lang w:bidi="zh-CN"/>
        </w:rPr>
        <w:instrText xml:space="preserve"> HYPERLINK "https://xinjiang.etrading.cn/" </w:instrText>
      </w:r>
      <w:r>
        <w:rPr>
          <w:rFonts w:hint="eastAsia" w:ascii="宋体" w:hAnsi="宋体" w:eastAsia="宋体" w:cs="宋体"/>
          <w:color w:val="auto"/>
          <w:sz w:val="24"/>
          <w:szCs w:val="24"/>
          <w:highlight w:val="none"/>
          <w:lang w:bidi="zh-CN"/>
        </w:rPr>
        <w:fldChar w:fldCharType="separate"/>
      </w:r>
      <w:r>
        <w:rPr>
          <w:rStyle w:val="29"/>
          <w:rFonts w:hint="eastAsia" w:ascii="宋体" w:hAnsi="宋体" w:eastAsia="宋体" w:cs="宋体"/>
          <w:color w:val="auto"/>
          <w:sz w:val="24"/>
          <w:szCs w:val="24"/>
          <w:highlight w:val="none"/>
          <w:lang w:bidi="zh-CN"/>
        </w:rPr>
        <w:t>https://xinjiang.etrading.cn/</w:t>
      </w:r>
      <w:r>
        <w:rPr>
          <w:rFonts w:hint="eastAsia" w:ascii="宋体" w:hAnsi="宋体" w:eastAsia="宋体" w:cs="宋体"/>
          <w:color w:val="auto"/>
          <w:sz w:val="24"/>
          <w:szCs w:val="24"/>
          <w:highlight w:val="none"/>
          <w:lang w:bidi="zh-CN"/>
        </w:rPr>
        <w:fldChar w:fldCharType="end"/>
      </w:r>
      <w:r>
        <w:rPr>
          <w:rFonts w:hint="eastAsia" w:ascii="宋体" w:hAnsi="宋体" w:cs="宋体"/>
          <w:color w:val="auto"/>
          <w:sz w:val="24"/>
          <w:szCs w:val="24"/>
          <w:highlight w:val="none"/>
          <w:lang w:val="en-US" w:bidi="zh-CN"/>
        </w:rPr>
        <w:t>)</w:t>
      </w:r>
      <w:r>
        <w:rPr>
          <w:rFonts w:hint="eastAsia" w:ascii="宋体" w:hAnsi="宋体" w:eastAsia="宋体" w:cs="宋体"/>
          <w:color w:val="auto"/>
          <w:sz w:val="24"/>
          <w:szCs w:val="24"/>
          <w:highlight w:val="none"/>
          <w:shd w:val="clear" w:color="auto" w:fill="FFFFFF"/>
        </w:rPr>
        <w:t>进行</w:t>
      </w:r>
      <w:r>
        <w:rPr>
          <w:rFonts w:hint="eastAsia" w:ascii="宋体" w:hAnsi="宋体" w:eastAsia="宋体" w:cs="宋体"/>
          <w:color w:val="auto"/>
          <w:sz w:val="24"/>
          <w:szCs w:val="24"/>
          <w:highlight w:val="none"/>
          <w:shd w:val="clear" w:color="auto" w:fill="FFFFFF"/>
          <w:lang w:val="en-US" w:eastAsia="zh-CN"/>
        </w:rPr>
        <w:t>网上</w:t>
      </w:r>
      <w:r>
        <w:rPr>
          <w:rFonts w:hint="eastAsia" w:ascii="宋体" w:hAnsi="宋体" w:eastAsia="宋体" w:cs="宋体"/>
          <w:color w:val="auto"/>
          <w:sz w:val="24"/>
          <w:szCs w:val="24"/>
          <w:highlight w:val="none"/>
          <w:shd w:val="clear" w:color="auto" w:fill="FFFFFF"/>
        </w:rPr>
        <w:t>报价。</w:t>
      </w:r>
      <w:r>
        <w:rPr>
          <w:rFonts w:hint="eastAsia" w:ascii="宋体" w:hAnsi="宋体" w:cs="宋体"/>
          <w:color w:val="auto"/>
          <w:sz w:val="24"/>
          <w:szCs w:val="24"/>
          <w:highlight w:val="none"/>
          <w:shd w:val="clear" w:color="auto" w:fill="FFFFFF"/>
          <w:lang w:val="en-US" w:eastAsia="zh-CN"/>
        </w:rPr>
        <w:t>并按要求</w:t>
      </w:r>
      <w:r>
        <w:rPr>
          <w:rFonts w:hint="eastAsia" w:ascii="宋体" w:hAnsi="宋体" w:cs="宋体"/>
          <w:color w:val="auto"/>
          <w:sz w:val="24"/>
          <w:szCs w:val="24"/>
          <w:highlight w:val="none"/>
          <w:lang w:val="en-US" w:eastAsia="zh-CN"/>
        </w:rPr>
        <w:t>填报本公司在自治区（兵团）医保平台招采子系统的挂网价格。产品报价和挂网价均应折算成同组产品的最小规格进行填报。</w:t>
      </w:r>
    </w:p>
    <w:p>
      <w:pPr>
        <w:keepNext w:val="0"/>
        <w:keepLines w:val="0"/>
        <w:pageBreakBefore w:val="0"/>
        <w:kinsoku/>
        <w:wordWrap/>
        <w:overflowPunct/>
        <w:topLinePunct w:val="0"/>
        <w:bidi w:val="0"/>
        <w:snapToGrid/>
        <w:spacing w:line="460" w:lineRule="exact"/>
        <w:ind w:left="0" w:leftChars="0" w:firstLine="482" w:firstLineChars="200"/>
        <w:jc w:val="left"/>
        <w:textAlignment w:val="auto"/>
        <w:outlineLvl w:val="1"/>
        <w:rPr>
          <w:rFonts w:hint="eastAsia" w:ascii="宋体" w:hAnsi="宋体" w:eastAsia="宋体" w:cs="宋体"/>
          <w:b/>
          <w:bCs/>
          <w:color w:val="auto"/>
          <w:kern w:val="32"/>
          <w:sz w:val="24"/>
          <w:szCs w:val="24"/>
          <w:highlight w:val="none"/>
          <w:lang w:val="en-US" w:eastAsia="zh-CN" w:bidi="ar-SA"/>
        </w:rPr>
      </w:pPr>
      <w:bookmarkStart w:id="51" w:name="_Toc30486"/>
      <w:r>
        <w:rPr>
          <w:rFonts w:hint="eastAsia" w:ascii="宋体" w:hAnsi="宋体" w:eastAsia="宋体" w:cs="宋体"/>
          <w:b/>
          <w:bCs/>
          <w:color w:val="auto"/>
          <w:kern w:val="32"/>
          <w:sz w:val="24"/>
          <w:szCs w:val="24"/>
          <w:highlight w:val="none"/>
          <w:lang w:val="en-US" w:eastAsia="zh-CN" w:bidi="ar-SA"/>
        </w:rPr>
        <w:t>5</w:t>
      </w:r>
      <w:r>
        <w:rPr>
          <w:rFonts w:hint="eastAsia" w:ascii="宋体" w:hAnsi="宋体" w:cs="宋体"/>
          <w:b/>
          <w:bCs/>
          <w:color w:val="auto"/>
          <w:kern w:val="32"/>
          <w:sz w:val="24"/>
          <w:szCs w:val="24"/>
          <w:highlight w:val="none"/>
          <w:lang w:val="en-US" w:eastAsia="zh-CN" w:bidi="ar-SA"/>
        </w:rPr>
        <w:t>、</w:t>
      </w:r>
      <w:r>
        <w:rPr>
          <w:rFonts w:hint="eastAsia" w:ascii="宋体" w:hAnsi="宋体" w:eastAsia="宋体" w:cs="宋体"/>
          <w:b/>
          <w:bCs/>
          <w:color w:val="auto"/>
          <w:kern w:val="32"/>
          <w:sz w:val="24"/>
          <w:szCs w:val="24"/>
          <w:highlight w:val="none"/>
          <w:lang w:val="en-US" w:eastAsia="zh-CN" w:bidi="ar-SA"/>
        </w:rPr>
        <w:t>开标与评标</w:t>
      </w:r>
      <w:bookmarkEnd w:id="51"/>
    </w:p>
    <w:p>
      <w:pPr>
        <w:pageBreakBefore w:val="0"/>
        <w:kinsoku/>
        <w:wordWrap/>
        <w:overflowPunct/>
        <w:topLinePunct w:val="0"/>
        <w:bidi w:val="0"/>
        <w:snapToGrid/>
        <w:spacing w:line="460" w:lineRule="exact"/>
        <w:ind w:left="0" w:leftChars="0" w:right="0" w:firstLine="480" w:firstLineChars="200"/>
        <w:jc w:val="both"/>
        <w:textAlignment w:val="auto"/>
        <w:outlineLvl w:val="2"/>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5.1开标</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5.1.1</w:t>
      </w:r>
      <w:r>
        <w:rPr>
          <w:rFonts w:hint="eastAsia" w:ascii="宋体" w:hAnsi="宋体" w:eastAsia="宋体" w:cs="宋体"/>
          <w:color w:val="auto"/>
          <w:sz w:val="24"/>
          <w:szCs w:val="24"/>
          <w:highlight w:val="none"/>
          <w:shd w:val="clear" w:color="auto" w:fill="FFFFFF"/>
        </w:rPr>
        <w:t>本次</w:t>
      </w:r>
      <w:r>
        <w:rPr>
          <w:rFonts w:hint="eastAsia" w:ascii="宋体" w:hAnsi="宋体" w:eastAsia="宋体" w:cs="宋体"/>
          <w:color w:val="auto"/>
          <w:sz w:val="24"/>
          <w:szCs w:val="24"/>
          <w:highlight w:val="none"/>
          <w:shd w:val="clear" w:color="auto" w:fill="FFFFFF"/>
          <w:lang w:val="en-US" w:eastAsia="zh-CN"/>
        </w:rPr>
        <w:t>开标</w:t>
      </w:r>
      <w:r>
        <w:rPr>
          <w:rFonts w:hint="eastAsia" w:ascii="宋体" w:hAnsi="宋体" w:eastAsia="宋体" w:cs="宋体"/>
          <w:color w:val="auto"/>
          <w:sz w:val="24"/>
          <w:szCs w:val="24"/>
          <w:highlight w:val="none"/>
          <w:shd w:val="clear" w:color="auto" w:fill="FFFFFF"/>
        </w:rPr>
        <w:t>将按</w:t>
      </w:r>
      <w:r>
        <w:rPr>
          <w:rFonts w:hint="eastAsia" w:ascii="宋体" w:hAnsi="宋体" w:eastAsia="宋体" w:cs="宋体"/>
          <w:color w:val="auto"/>
          <w:sz w:val="24"/>
          <w:szCs w:val="24"/>
          <w:highlight w:val="none"/>
          <w:shd w:val="clear" w:color="auto" w:fill="FFFFFF"/>
          <w:lang w:val="en-US" w:eastAsia="zh-CN"/>
        </w:rPr>
        <w:t>采购文件</w:t>
      </w:r>
      <w:r>
        <w:rPr>
          <w:rFonts w:hint="eastAsia" w:ascii="宋体" w:hAnsi="宋体" w:eastAsia="宋体" w:cs="宋体"/>
          <w:color w:val="auto"/>
          <w:sz w:val="24"/>
          <w:szCs w:val="24"/>
          <w:highlight w:val="none"/>
          <w:shd w:val="clear" w:color="auto" w:fill="FFFFFF"/>
        </w:rPr>
        <w:t>中规定的时间地点进行，将邀请所有投标人的法定代表人或其授权代理人参加开标会。</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5.1.2</w:t>
      </w:r>
      <w:r>
        <w:rPr>
          <w:rFonts w:hint="eastAsia" w:ascii="宋体" w:hAnsi="宋体" w:eastAsia="宋体" w:cs="宋体"/>
          <w:color w:val="auto"/>
          <w:sz w:val="24"/>
          <w:szCs w:val="24"/>
          <w:highlight w:val="none"/>
          <w:shd w:val="clear" w:color="auto" w:fill="FFFFFF"/>
        </w:rPr>
        <w:t>开标</w:t>
      </w:r>
      <w:r>
        <w:rPr>
          <w:rFonts w:hint="eastAsia" w:ascii="宋体" w:hAnsi="宋体" w:eastAsia="宋体" w:cs="宋体"/>
          <w:color w:val="auto"/>
          <w:sz w:val="24"/>
          <w:szCs w:val="24"/>
          <w:highlight w:val="none"/>
          <w:shd w:val="clear" w:color="auto" w:fill="FFFFFF"/>
          <w:lang w:val="en-US" w:eastAsia="zh-CN"/>
        </w:rPr>
        <w:t>大会</w:t>
      </w:r>
      <w:r>
        <w:rPr>
          <w:rFonts w:hint="eastAsia" w:ascii="宋体" w:hAnsi="宋体" w:eastAsia="宋体" w:cs="宋体"/>
          <w:color w:val="auto"/>
          <w:sz w:val="24"/>
          <w:szCs w:val="24"/>
          <w:highlight w:val="none"/>
          <w:shd w:val="clear" w:color="auto" w:fill="FFFFFF"/>
        </w:rPr>
        <w:t>由</w:t>
      </w:r>
      <w:r>
        <w:rPr>
          <w:rFonts w:hint="eastAsia" w:ascii="宋体" w:hAnsi="宋体" w:cs="宋体"/>
          <w:color w:val="auto"/>
          <w:sz w:val="24"/>
          <w:szCs w:val="24"/>
          <w:highlight w:val="none"/>
          <w:shd w:val="clear" w:color="auto" w:fill="FFFFFF"/>
          <w:lang w:eastAsia="zh-CN"/>
        </w:rPr>
        <w:t>招标</w:t>
      </w:r>
      <w:r>
        <w:rPr>
          <w:rFonts w:hint="eastAsia" w:ascii="宋体" w:hAnsi="宋体" w:eastAsia="宋体" w:cs="宋体"/>
          <w:color w:val="auto"/>
          <w:sz w:val="24"/>
          <w:szCs w:val="24"/>
          <w:highlight w:val="none"/>
          <w:shd w:val="clear" w:color="auto" w:fill="FFFFFF"/>
        </w:rPr>
        <w:t>代理机构主持，邀请</w:t>
      </w:r>
      <w:r>
        <w:rPr>
          <w:rFonts w:hint="eastAsia" w:ascii="宋体" w:hAnsi="宋体" w:cs="宋体"/>
          <w:color w:val="auto"/>
          <w:sz w:val="24"/>
          <w:szCs w:val="24"/>
          <w:highlight w:val="none"/>
          <w:shd w:val="clear" w:color="auto" w:fill="FFFFFF"/>
          <w:lang w:val="en-US" w:eastAsia="zh-CN"/>
        </w:rPr>
        <w:t>联盟</w:t>
      </w:r>
      <w:r>
        <w:rPr>
          <w:rFonts w:hint="eastAsia" w:ascii="宋体" w:hAnsi="宋体" w:eastAsia="宋体" w:cs="宋体"/>
          <w:color w:val="auto"/>
          <w:sz w:val="24"/>
          <w:szCs w:val="24"/>
          <w:highlight w:val="none"/>
          <w:shd w:val="clear" w:color="auto" w:fill="FFFFFF"/>
          <w:lang w:val="en-US" w:eastAsia="zh-CN"/>
        </w:rPr>
        <w:t>地州（师市）医保局、阿克苏地区采购办、阿克苏地区市场监督管理局（药品集散中心）</w:t>
      </w:r>
      <w:r>
        <w:rPr>
          <w:rFonts w:hint="eastAsia" w:ascii="宋体" w:hAnsi="宋体" w:eastAsia="宋体" w:cs="宋体"/>
          <w:color w:val="auto"/>
          <w:sz w:val="24"/>
          <w:szCs w:val="24"/>
          <w:highlight w:val="none"/>
          <w:shd w:val="clear" w:color="auto" w:fill="FFFFFF"/>
        </w:rPr>
        <w:t>参</w:t>
      </w:r>
      <w:r>
        <w:rPr>
          <w:rFonts w:hint="eastAsia" w:ascii="宋体" w:hAnsi="宋体" w:eastAsia="宋体" w:cs="宋体"/>
          <w:color w:val="auto"/>
          <w:sz w:val="24"/>
          <w:szCs w:val="24"/>
          <w:highlight w:val="none"/>
          <w:shd w:val="clear" w:color="auto" w:fill="FFFFFF"/>
          <w:lang w:val="en-US" w:eastAsia="zh-CN"/>
        </w:rPr>
        <w:t>与全程监督</w:t>
      </w:r>
      <w:r>
        <w:rPr>
          <w:rFonts w:hint="eastAsia" w:ascii="宋体" w:hAnsi="宋体" w:eastAsia="宋体" w:cs="宋体"/>
          <w:color w:val="auto"/>
          <w:sz w:val="24"/>
          <w:szCs w:val="24"/>
          <w:highlight w:val="none"/>
          <w:shd w:val="clear" w:color="auto" w:fill="FFFFFF"/>
        </w:rPr>
        <w:t>，并做好录音、录像工作；录音录像应当清晰可辨，音像资料作为采购文件一并存档。</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5.1.3</w:t>
      </w:r>
      <w:r>
        <w:rPr>
          <w:rFonts w:hint="eastAsia" w:ascii="宋体" w:hAnsi="宋体" w:eastAsia="宋体" w:cs="宋体"/>
          <w:color w:val="auto"/>
          <w:sz w:val="24"/>
          <w:szCs w:val="24"/>
          <w:highlight w:val="none"/>
          <w:shd w:val="clear" w:color="auto" w:fill="FFFFFF"/>
        </w:rPr>
        <w:t>开标过程由</w:t>
      </w:r>
      <w:r>
        <w:rPr>
          <w:rFonts w:hint="eastAsia" w:ascii="宋体" w:hAnsi="宋体" w:eastAsia="宋体" w:cs="宋体"/>
          <w:color w:val="auto"/>
          <w:sz w:val="24"/>
          <w:szCs w:val="24"/>
          <w:highlight w:val="none"/>
          <w:shd w:val="clear" w:color="auto" w:fill="FFFFFF"/>
          <w:lang w:val="en-US" w:eastAsia="zh-CN"/>
        </w:rPr>
        <w:t>阿克苏地区采购办、阿克苏地区市场监督管理局（药品集散中心）</w:t>
      </w:r>
      <w:r>
        <w:rPr>
          <w:rFonts w:hint="eastAsia" w:ascii="宋体" w:hAnsi="宋体" w:eastAsia="宋体" w:cs="宋体"/>
          <w:color w:val="auto"/>
          <w:sz w:val="24"/>
          <w:szCs w:val="24"/>
          <w:highlight w:val="none"/>
          <w:shd w:val="clear" w:color="auto" w:fill="FFFFFF"/>
        </w:rPr>
        <w:t>记录，</w:t>
      </w:r>
      <w:r>
        <w:rPr>
          <w:rFonts w:hint="eastAsia" w:ascii="宋体" w:hAnsi="宋体" w:cs="宋体"/>
          <w:color w:val="auto"/>
          <w:sz w:val="24"/>
          <w:szCs w:val="24"/>
          <w:highlight w:val="none"/>
          <w:shd w:val="clear" w:color="auto" w:fill="FFFFFF"/>
          <w:lang w:eastAsia="zh-CN"/>
        </w:rPr>
        <w:t>招标代理机构对开标过程表格进行整理归档，</w:t>
      </w:r>
      <w:r>
        <w:rPr>
          <w:rFonts w:hint="eastAsia" w:ascii="宋体" w:hAnsi="宋体" w:eastAsia="宋体" w:cs="宋体"/>
          <w:color w:val="auto"/>
          <w:sz w:val="24"/>
          <w:szCs w:val="24"/>
          <w:highlight w:val="none"/>
          <w:shd w:val="clear" w:color="auto" w:fill="FFFFFF"/>
        </w:rPr>
        <w:t>投标人代表对开标过程和开标记录有疑义，以及认为采购人、</w:t>
      </w:r>
      <w:r>
        <w:rPr>
          <w:rFonts w:hint="eastAsia" w:ascii="宋体" w:hAnsi="宋体" w:cs="宋体"/>
          <w:color w:val="auto"/>
          <w:sz w:val="24"/>
          <w:szCs w:val="24"/>
          <w:highlight w:val="none"/>
          <w:shd w:val="clear" w:color="auto" w:fill="FFFFFF"/>
          <w:lang w:eastAsia="zh-CN"/>
        </w:rPr>
        <w:t>招标</w:t>
      </w:r>
      <w:r>
        <w:rPr>
          <w:rFonts w:hint="eastAsia" w:ascii="宋体" w:hAnsi="宋体" w:eastAsia="宋体" w:cs="宋体"/>
          <w:color w:val="auto"/>
          <w:sz w:val="24"/>
          <w:szCs w:val="24"/>
          <w:highlight w:val="none"/>
          <w:shd w:val="clear" w:color="auto" w:fill="FFFFFF"/>
        </w:rPr>
        <w:t>代理机构相关工作人员有需要回避的情形的，应当场提出询问或者回避申请。采购人、</w:t>
      </w:r>
      <w:r>
        <w:rPr>
          <w:rFonts w:hint="eastAsia" w:ascii="宋体" w:hAnsi="宋体" w:cs="宋体"/>
          <w:color w:val="auto"/>
          <w:sz w:val="24"/>
          <w:szCs w:val="24"/>
          <w:highlight w:val="none"/>
          <w:shd w:val="clear" w:color="auto" w:fill="FFFFFF"/>
          <w:lang w:eastAsia="zh-CN"/>
        </w:rPr>
        <w:t>招标</w:t>
      </w:r>
      <w:r>
        <w:rPr>
          <w:rFonts w:hint="eastAsia" w:ascii="宋体" w:hAnsi="宋体" w:eastAsia="宋体" w:cs="宋体"/>
          <w:color w:val="auto"/>
          <w:sz w:val="24"/>
          <w:szCs w:val="24"/>
          <w:highlight w:val="none"/>
          <w:shd w:val="clear" w:color="auto" w:fill="FFFFFF"/>
        </w:rPr>
        <w:t>代理机构对投标人代表提出的询问或者回避申请应当及时处理。投标人未参加开标的，视同认可开标结果。</w:t>
      </w:r>
    </w:p>
    <w:p>
      <w:pPr>
        <w:pStyle w:val="2"/>
        <w:ind w:firstLine="480" w:firstLineChars="200"/>
        <w:rPr>
          <w:rFonts w:hint="default" w:eastAsia="宋体"/>
          <w:color w:val="auto"/>
          <w:highlight w:val="none"/>
          <w:lang w:val="en-US" w:eastAsia="zh-CN"/>
        </w:rPr>
      </w:pPr>
      <w:r>
        <w:rPr>
          <w:rFonts w:hint="eastAsia" w:ascii="宋体" w:hAnsi="宋体" w:eastAsia="宋体" w:cs="宋体"/>
          <w:color w:val="auto"/>
          <w:sz w:val="24"/>
          <w:szCs w:val="24"/>
          <w:highlight w:val="none"/>
          <w:shd w:val="clear" w:color="auto" w:fill="FFFFFF"/>
          <w:lang w:val="en-US" w:eastAsia="zh-CN"/>
        </w:rPr>
        <w:t>5.1.4开标结束后，由招标代理机构在网上公示拟中选结果。</w:t>
      </w:r>
    </w:p>
    <w:p>
      <w:pPr>
        <w:pageBreakBefore w:val="0"/>
        <w:kinsoku/>
        <w:wordWrap/>
        <w:overflowPunct/>
        <w:topLinePunct w:val="0"/>
        <w:bidi w:val="0"/>
        <w:snapToGrid/>
        <w:spacing w:line="460" w:lineRule="exact"/>
        <w:ind w:left="0" w:leftChars="0" w:right="0" w:firstLine="480" w:firstLineChars="200"/>
        <w:jc w:val="both"/>
        <w:textAlignment w:val="auto"/>
        <w:outlineLvl w:val="2"/>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5.2评标</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5.2.1评标委员会的建立</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5.2.1.1</w:t>
      </w:r>
      <w:r>
        <w:rPr>
          <w:rFonts w:hint="eastAsia" w:ascii="宋体" w:hAnsi="宋体" w:eastAsia="宋体" w:cs="宋体"/>
          <w:color w:val="auto"/>
          <w:sz w:val="24"/>
          <w:szCs w:val="24"/>
          <w:highlight w:val="none"/>
          <w:shd w:val="clear" w:color="auto" w:fill="FFFFFF"/>
        </w:rPr>
        <w:t>评标</w:t>
      </w:r>
      <w:r>
        <w:rPr>
          <w:rFonts w:hint="eastAsia" w:ascii="宋体" w:hAnsi="宋体" w:eastAsia="宋体" w:cs="宋体"/>
          <w:color w:val="auto"/>
          <w:sz w:val="24"/>
          <w:szCs w:val="24"/>
          <w:highlight w:val="none"/>
          <w:shd w:val="clear" w:color="auto" w:fill="FFFFFF"/>
          <w:lang w:val="en-US" w:eastAsia="zh-CN"/>
        </w:rPr>
        <w:t>工作</w:t>
      </w:r>
      <w:r>
        <w:rPr>
          <w:rFonts w:hint="eastAsia" w:ascii="宋体" w:hAnsi="宋体" w:eastAsia="宋体" w:cs="宋体"/>
          <w:color w:val="auto"/>
          <w:sz w:val="24"/>
          <w:szCs w:val="24"/>
          <w:highlight w:val="none"/>
          <w:shd w:val="clear" w:color="auto" w:fill="FFFFFF"/>
        </w:rPr>
        <w:t>由依法组建的评标委员会负责。</w:t>
      </w:r>
      <w:r>
        <w:rPr>
          <w:rFonts w:hint="eastAsia" w:ascii="宋体" w:hAnsi="宋体" w:eastAsia="宋体" w:cs="宋体"/>
          <w:color w:val="auto"/>
          <w:sz w:val="24"/>
          <w:szCs w:val="24"/>
          <w:highlight w:val="none"/>
          <w:shd w:val="clear" w:color="auto" w:fill="FFFFFF"/>
          <w:lang w:val="en-US" w:eastAsia="zh-CN"/>
        </w:rPr>
        <w:t>评委从</w:t>
      </w:r>
      <w:r>
        <w:rPr>
          <w:rFonts w:hint="eastAsia" w:ascii="宋体" w:hAnsi="宋体" w:cs="宋体"/>
          <w:color w:val="auto"/>
          <w:sz w:val="24"/>
          <w:szCs w:val="24"/>
          <w:highlight w:val="none"/>
          <w:shd w:val="clear" w:color="auto" w:fill="FFFFFF"/>
          <w:lang w:val="en-US" w:eastAsia="zh-CN"/>
        </w:rPr>
        <w:t>南部</w:t>
      </w:r>
      <w:r>
        <w:rPr>
          <w:rFonts w:hint="eastAsia" w:ascii="宋体" w:hAnsi="宋体" w:eastAsia="宋体" w:cs="宋体"/>
          <w:color w:val="auto"/>
          <w:sz w:val="24"/>
          <w:szCs w:val="24"/>
          <w:highlight w:val="none"/>
          <w:shd w:val="clear" w:color="auto" w:fill="FFFFFF"/>
          <w:lang w:val="en-US" w:eastAsia="zh-CN"/>
        </w:rPr>
        <w:t>联盟医药集采专家库中抽取药学、临床医学、管理学专家共20人，分成4组，每组5人进行议价谈判</w:t>
      </w:r>
      <w:r>
        <w:rPr>
          <w:rFonts w:hint="eastAsia" w:ascii="宋体" w:hAnsi="宋体" w:cs="宋体"/>
          <w:color w:val="auto"/>
          <w:sz w:val="24"/>
          <w:szCs w:val="24"/>
          <w:highlight w:val="none"/>
          <w:shd w:val="clear" w:color="auto" w:fill="FFFFFF"/>
          <w:lang w:val="en-US" w:eastAsia="zh-CN"/>
        </w:rPr>
        <w:t>，并且每组推选一名资历深的评委当组长，组长组织组员开展评标活动。</w:t>
      </w:r>
      <w:r>
        <w:rPr>
          <w:rFonts w:hint="eastAsia" w:ascii="宋体" w:hAnsi="宋体" w:eastAsia="宋体" w:cs="宋体"/>
          <w:color w:val="auto"/>
          <w:sz w:val="24"/>
          <w:szCs w:val="24"/>
          <w:highlight w:val="none"/>
          <w:shd w:val="clear" w:color="auto" w:fill="FFFFFF"/>
          <w:lang w:val="en-US" w:eastAsia="zh-CN"/>
        </w:rPr>
        <w:t>谈判小组代表联盟直接在网上与药品生产企业进行药品议价并确定中选产品。</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5.2.1.2</w:t>
      </w:r>
      <w:r>
        <w:rPr>
          <w:rFonts w:hint="eastAsia" w:ascii="宋体" w:hAnsi="宋体" w:eastAsia="宋体" w:cs="宋体"/>
          <w:color w:val="auto"/>
          <w:sz w:val="24"/>
          <w:szCs w:val="24"/>
          <w:highlight w:val="none"/>
          <w:shd w:val="clear" w:color="auto" w:fill="FFFFFF"/>
        </w:rPr>
        <w:t>评标专家与</w:t>
      </w:r>
      <w:r>
        <w:rPr>
          <w:rFonts w:hint="eastAsia" w:ascii="宋体" w:hAnsi="宋体" w:eastAsia="宋体" w:cs="宋体"/>
          <w:color w:val="auto"/>
          <w:sz w:val="24"/>
          <w:szCs w:val="24"/>
          <w:highlight w:val="none"/>
          <w:shd w:val="clear" w:color="auto" w:fill="FFFFFF"/>
          <w:lang w:val="en-US" w:eastAsia="zh-CN"/>
        </w:rPr>
        <w:t>申报企业</w:t>
      </w:r>
      <w:r>
        <w:rPr>
          <w:rFonts w:hint="eastAsia" w:ascii="宋体" w:hAnsi="宋体" w:eastAsia="宋体" w:cs="宋体"/>
          <w:color w:val="auto"/>
          <w:sz w:val="24"/>
          <w:szCs w:val="24"/>
          <w:highlight w:val="none"/>
          <w:shd w:val="clear" w:color="auto" w:fill="FFFFFF"/>
        </w:rPr>
        <w:t>有利害关系的不能进入</w:t>
      </w:r>
      <w:r>
        <w:rPr>
          <w:rFonts w:hint="eastAsia" w:ascii="宋体" w:hAnsi="宋体" w:cs="宋体"/>
          <w:color w:val="auto"/>
          <w:sz w:val="24"/>
          <w:szCs w:val="24"/>
          <w:highlight w:val="none"/>
          <w:shd w:val="clear" w:color="auto" w:fill="FFFFFF"/>
          <w:lang w:val="en-US" w:eastAsia="zh-CN"/>
        </w:rPr>
        <w:t>评标</w:t>
      </w:r>
      <w:r>
        <w:rPr>
          <w:rFonts w:hint="eastAsia" w:ascii="宋体" w:hAnsi="宋体" w:eastAsia="宋体" w:cs="宋体"/>
          <w:color w:val="auto"/>
          <w:sz w:val="24"/>
          <w:szCs w:val="24"/>
          <w:highlight w:val="none"/>
          <w:shd w:val="clear" w:color="auto" w:fill="FFFFFF"/>
        </w:rPr>
        <w:t>委员会，已经进入的</w:t>
      </w:r>
      <w:r>
        <w:rPr>
          <w:rFonts w:hint="eastAsia" w:ascii="宋体" w:hAnsi="宋体" w:eastAsia="宋体" w:cs="宋体"/>
          <w:color w:val="auto"/>
          <w:sz w:val="24"/>
          <w:szCs w:val="24"/>
          <w:highlight w:val="none"/>
          <w:shd w:val="clear" w:color="auto" w:fill="FFFFFF"/>
          <w:lang w:val="en-US" w:eastAsia="zh-CN"/>
        </w:rPr>
        <w:t>必须予</w:t>
      </w:r>
      <w:r>
        <w:rPr>
          <w:rFonts w:hint="eastAsia" w:ascii="宋体" w:hAnsi="宋体" w:eastAsia="宋体" w:cs="宋体"/>
          <w:color w:val="auto"/>
          <w:sz w:val="24"/>
          <w:szCs w:val="24"/>
          <w:highlight w:val="none"/>
          <w:shd w:val="clear" w:color="auto" w:fill="FFFFFF"/>
        </w:rPr>
        <w:t>以更换。</w:t>
      </w:r>
      <w:r>
        <w:rPr>
          <w:rFonts w:hint="eastAsia" w:ascii="宋体" w:hAnsi="宋体" w:eastAsia="宋体" w:cs="宋体"/>
          <w:color w:val="auto"/>
          <w:sz w:val="24"/>
          <w:szCs w:val="24"/>
          <w:highlight w:val="none"/>
          <w:shd w:val="clear" w:color="auto" w:fill="FFFFFF"/>
          <w:lang w:val="en-US" w:eastAsia="zh-CN"/>
        </w:rPr>
        <w:t>谈判</w:t>
      </w:r>
      <w:r>
        <w:rPr>
          <w:rFonts w:hint="eastAsia" w:ascii="宋体" w:hAnsi="宋体" w:eastAsia="宋体" w:cs="宋体"/>
          <w:color w:val="auto"/>
          <w:sz w:val="24"/>
          <w:szCs w:val="24"/>
          <w:highlight w:val="none"/>
          <w:shd w:val="clear" w:color="auto" w:fill="FFFFFF"/>
        </w:rPr>
        <w:t>小组成员名单在</w:t>
      </w:r>
      <w:r>
        <w:rPr>
          <w:rFonts w:hint="eastAsia" w:ascii="宋体" w:hAnsi="宋体" w:eastAsia="宋体" w:cs="宋体"/>
          <w:color w:val="auto"/>
          <w:sz w:val="24"/>
          <w:szCs w:val="24"/>
          <w:highlight w:val="none"/>
          <w:shd w:val="clear" w:color="auto" w:fill="FFFFFF"/>
          <w:lang w:val="en-US" w:eastAsia="zh-CN"/>
        </w:rPr>
        <w:t>议价</w:t>
      </w:r>
      <w:r>
        <w:rPr>
          <w:rFonts w:hint="eastAsia" w:ascii="宋体" w:hAnsi="宋体" w:eastAsia="宋体" w:cs="宋体"/>
          <w:color w:val="auto"/>
          <w:sz w:val="24"/>
          <w:szCs w:val="24"/>
          <w:highlight w:val="none"/>
          <w:shd w:val="clear" w:color="auto" w:fill="FFFFFF"/>
        </w:rPr>
        <w:t>结果公</w:t>
      </w:r>
      <w:r>
        <w:rPr>
          <w:rFonts w:hint="eastAsia" w:ascii="宋体" w:hAnsi="宋体" w:eastAsia="宋体" w:cs="宋体"/>
          <w:color w:val="auto"/>
          <w:sz w:val="24"/>
          <w:szCs w:val="24"/>
          <w:highlight w:val="none"/>
          <w:shd w:val="clear" w:color="auto" w:fill="FFFFFF"/>
          <w:lang w:val="en-US" w:eastAsia="zh-CN"/>
        </w:rPr>
        <w:t>布</w:t>
      </w:r>
      <w:r>
        <w:rPr>
          <w:rFonts w:hint="eastAsia" w:ascii="宋体" w:hAnsi="宋体" w:eastAsia="宋体" w:cs="宋体"/>
          <w:color w:val="auto"/>
          <w:sz w:val="24"/>
          <w:szCs w:val="24"/>
          <w:highlight w:val="none"/>
          <w:shd w:val="clear" w:color="auto" w:fill="FFFFFF"/>
        </w:rPr>
        <w:t>前应当保密</w:t>
      </w:r>
      <w:r>
        <w:rPr>
          <w:rFonts w:hint="eastAsia" w:ascii="宋体" w:hAnsi="宋体" w:eastAsia="宋体" w:cs="宋体"/>
          <w:color w:val="auto"/>
          <w:sz w:val="24"/>
          <w:szCs w:val="24"/>
          <w:highlight w:val="none"/>
          <w:shd w:val="clear" w:color="auto" w:fill="FFFFFF"/>
          <w:lang w:eastAsia="zh-CN"/>
        </w:rPr>
        <w:t>。</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5.2.1.</w:t>
      </w:r>
      <w:r>
        <w:rPr>
          <w:rFonts w:hint="eastAsia" w:ascii="宋体" w:hAnsi="宋体" w:cs="宋体"/>
          <w:color w:val="auto"/>
          <w:sz w:val="24"/>
          <w:szCs w:val="24"/>
          <w:highlight w:val="none"/>
          <w:shd w:val="clear" w:color="auto" w:fill="FFFFFF"/>
          <w:lang w:val="en-US" w:eastAsia="zh-CN"/>
        </w:rPr>
        <w:t>3议价</w:t>
      </w:r>
      <w:r>
        <w:rPr>
          <w:rFonts w:hint="eastAsia" w:ascii="宋体" w:hAnsi="宋体" w:eastAsia="宋体" w:cs="宋体"/>
          <w:color w:val="auto"/>
          <w:sz w:val="24"/>
          <w:szCs w:val="24"/>
          <w:highlight w:val="none"/>
          <w:shd w:val="clear" w:color="auto" w:fill="FFFFFF"/>
          <w:lang w:val="en-US" w:eastAsia="zh-CN"/>
        </w:rPr>
        <w:t>过程</w:t>
      </w:r>
      <w:r>
        <w:rPr>
          <w:rFonts w:hint="eastAsia" w:ascii="宋体" w:hAnsi="宋体" w:eastAsia="宋体" w:cs="宋体"/>
          <w:color w:val="auto"/>
          <w:sz w:val="24"/>
          <w:szCs w:val="24"/>
          <w:highlight w:val="none"/>
          <w:shd w:val="clear" w:color="auto" w:fill="FFFFFF"/>
        </w:rPr>
        <w:t>中因</w:t>
      </w:r>
      <w:r>
        <w:rPr>
          <w:rFonts w:hint="eastAsia" w:ascii="宋体" w:hAnsi="宋体" w:eastAsia="宋体" w:cs="宋体"/>
          <w:color w:val="auto"/>
          <w:sz w:val="24"/>
          <w:szCs w:val="24"/>
          <w:highlight w:val="none"/>
          <w:shd w:val="clear" w:color="auto" w:fill="FFFFFF"/>
          <w:lang w:val="en-US" w:eastAsia="zh-CN"/>
        </w:rPr>
        <w:t>专家</w:t>
      </w:r>
      <w:r>
        <w:rPr>
          <w:rFonts w:hint="eastAsia" w:ascii="宋体" w:hAnsi="宋体" w:eastAsia="宋体" w:cs="宋体"/>
          <w:color w:val="auto"/>
          <w:sz w:val="24"/>
          <w:szCs w:val="24"/>
          <w:highlight w:val="none"/>
          <w:shd w:val="clear" w:color="auto" w:fill="FFFFFF"/>
        </w:rPr>
        <w:t>成员缺席、回避或者健康等特殊原因导致</w:t>
      </w:r>
      <w:r>
        <w:rPr>
          <w:rFonts w:hint="eastAsia" w:ascii="宋体" w:hAnsi="宋体" w:eastAsia="宋体" w:cs="宋体"/>
          <w:color w:val="auto"/>
          <w:sz w:val="24"/>
          <w:szCs w:val="24"/>
          <w:highlight w:val="none"/>
          <w:shd w:val="clear" w:color="auto" w:fill="FFFFFF"/>
          <w:lang w:val="en-US" w:eastAsia="zh-CN"/>
        </w:rPr>
        <w:t>谈判小</w:t>
      </w:r>
      <w:r>
        <w:rPr>
          <w:rFonts w:hint="eastAsia" w:ascii="宋体" w:hAnsi="宋体" w:eastAsia="宋体" w:cs="宋体"/>
          <w:color w:val="auto"/>
          <w:sz w:val="24"/>
          <w:szCs w:val="24"/>
          <w:highlight w:val="none"/>
          <w:shd w:val="clear" w:color="auto" w:fill="FFFFFF"/>
        </w:rPr>
        <w:t>组组成不符合相关规定的，采购人或者</w:t>
      </w:r>
      <w:r>
        <w:rPr>
          <w:rFonts w:hint="eastAsia" w:ascii="宋体" w:hAnsi="宋体" w:cs="宋体"/>
          <w:color w:val="auto"/>
          <w:sz w:val="24"/>
          <w:szCs w:val="24"/>
          <w:highlight w:val="none"/>
          <w:shd w:val="clear" w:color="auto" w:fill="FFFFFF"/>
          <w:lang w:eastAsia="zh-CN"/>
        </w:rPr>
        <w:t>招标代理机构</w:t>
      </w:r>
      <w:r>
        <w:rPr>
          <w:rFonts w:hint="eastAsia" w:ascii="宋体" w:hAnsi="宋体" w:eastAsia="宋体" w:cs="宋体"/>
          <w:color w:val="auto"/>
          <w:sz w:val="24"/>
          <w:szCs w:val="24"/>
          <w:highlight w:val="none"/>
          <w:shd w:val="clear" w:color="auto" w:fill="FFFFFF"/>
        </w:rPr>
        <w:t>应当依法补足后继续评标。采购人或者</w:t>
      </w:r>
      <w:r>
        <w:rPr>
          <w:rFonts w:hint="eastAsia" w:ascii="宋体" w:hAnsi="宋体" w:cs="宋体"/>
          <w:color w:val="auto"/>
          <w:sz w:val="24"/>
          <w:szCs w:val="24"/>
          <w:highlight w:val="none"/>
          <w:shd w:val="clear" w:color="auto" w:fill="FFFFFF"/>
          <w:lang w:eastAsia="zh-CN"/>
        </w:rPr>
        <w:t>招标</w:t>
      </w:r>
      <w:r>
        <w:rPr>
          <w:rFonts w:hint="eastAsia" w:ascii="宋体" w:hAnsi="宋体" w:eastAsia="宋体" w:cs="宋体"/>
          <w:color w:val="auto"/>
          <w:sz w:val="24"/>
          <w:szCs w:val="24"/>
          <w:highlight w:val="none"/>
          <w:shd w:val="clear" w:color="auto" w:fill="FFFFFF"/>
        </w:rPr>
        <w:t>代理机构应当将变更、重新组建评审小组的情况予以记录，并随采购文件一并存档。</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5.2.1.4议价谈判工作依据公平、公正、科学合理的原则进行。议价专家按照议价规则，根据自治区</w:t>
      </w:r>
      <w:r>
        <w:rPr>
          <w:rFonts w:hint="eastAsia" w:ascii="宋体" w:hAnsi="宋体" w:cs="宋体"/>
          <w:color w:val="auto"/>
          <w:sz w:val="24"/>
          <w:szCs w:val="24"/>
          <w:highlight w:val="none"/>
          <w:shd w:val="clear" w:color="auto" w:fill="FFFFFF"/>
          <w:lang w:val="en-US" w:eastAsia="zh-CN"/>
        </w:rPr>
        <w:t>（兵团）</w:t>
      </w:r>
      <w:r>
        <w:rPr>
          <w:rFonts w:hint="eastAsia" w:ascii="宋体" w:hAnsi="宋体" w:eastAsia="宋体" w:cs="宋体"/>
          <w:color w:val="auto"/>
          <w:sz w:val="24"/>
          <w:szCs w:val="24"/>
          <w:highlight w:val="none"/>
          <w:shd w:val="clear" w:color="auto" w:fill="FFFFFF"/>
          <w:lang w:val="en-US" w:eastAsia="zh-CN"/>
        </w:rPr>
        <w:t>医保平台招采子系</w:t>
      </w:r>
      <w:r>
        <w:rPr>
          <w:rFonts w:hint="eastAsia" w:ascii="宋体" w:hAnsi="宋体" w:cs="宋体"/>
          <w:color w:val="auto"/>
          <w:sz w:val="24"/>
          <w:szCs w:val="24"/>
          <w:highlight w:val="none"/>
          <w:shd w:val="clear" w:color="auto" w:fill="FFFFFF"/>
          <w:lang w:val="en-US" w:eastAsia="zh-CN"/>
        </w:rPr>
        <w:t>统</w:t>
      </w:r>
      <w:r>
        <w:rPr>
          <w:rFonts w:hint="eastAsia" w:ascii="宋体" w:hAnsi="宋体" w:eastAsia="宋体" w:cs="宋体"/>
          <w:color w:val="auto"/>
          <w:sz w:val="24"/>
          <w:szCs w:val="24"/>
          <w:highlight w:val="none"/>
          <w:shd w:val="clear" w:color="auto" w:fill="FFFFFF"/>
          <w:lang w:val="en-US" w:eastAsia="zh-CN"/>
        </w:rPr>
        <w:t>提供的药品质量及价格信息，结合临床专业知识及用药经验给出议价药品的建议价，决定是否接受企业报价，并对药品议价结果负责。</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5.2.2</w:t>
      </w:r>
      <w:r>
        <w:rPr>
          <w:rFonts w:hint="eastAsia" w:ascii="宋体" w:hAnsi="宋体" w:eastAsia="宋体" w:cs="宋体"/>
          <w:color w:val="auto"/>
          <w:sz w:val="24"/>
          <w:szCs w:val="24"/>
          <w:highlight w:val="none"/>
          <w:shd w:val="clear" w:color="auto" w:fill="FFFFFF"/>
        </w:rPr>
        <w:t>评标过程的保密性</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5.2.2.1</w:t>
      </w:r>
      <w:r>
        <w:rPr>
          <w:rFonts w:hint="eastAsia" w:ascii="宋体" w:hAnsi="宋体" w:eastAsia="宋体" w:cs="宋体"/>
          <w:color w:val="auto"/>
          <w:sz w:val="24"/>
          <w:szCs w:val="24"/>
          <w:highlight w:val="none"/>
          <w:shd w:val="clear" w:color="auto" w:fill="FFFFFF"/>
        </w:rPr>
        <w:t>参加</w:t>
      </w:r>
      <w:r>
        <w:rPr>
          <w:rFonts w:hint="eastAsia" w:ascii="宋体" w:hAnsi="宋体" w:eastAsia="宋体" w:cs="宋体"/>
          <w:color w:val="auto"/>
          <w:sz w:val="24"/>
          <w:szCs w:val="24"/>
          <w:highlight w:val="none"/>
          <w:shd w:val="clear" w:color="auto" w:fill="FFFFFF"/>
          <w:lang w:val="en-US" w:eastAsia="zh-CN"/>
        </w:rPr>
        <w:t>联盟联合议价</w:t>
      </w:r>
      <w:r>
        <w:rPr>
          <w:rFonts w:hint="eastAsia" w:ascii="宋体" w:hAnsi="宋体" w:eastAsia="宋体" w:cs="宋体"/>
          <w:color w:val="auto"/>
          <w:sz w:val="24"/>
          <w:szCs w:val="24"/>
          <w:highlight w:val="none"/>
          <w:shd w:val="clear" w:color="auto" w:fill="FFFFFF"/>
        </w:rPr>
        <w:t>评标人员，凡与审查、澄清、评审和比较投标有关的资料以及</w:t>
      </w:r>
      <w:r>
        <w:rPr>
          <w:rFonts w:hint="eastAsia" w:ascii="宋体" w:hAnsi="宋体" w:eastAsia="宋体" w:cs="宋体"/>
          <w:color w:val="auto"/>
          <w:sz w:val="24"/>
          <w:szCs w:val="24"/>
          <w:highlight w:val="none"/>
          <w:shd w:val="clear" w:color="auto" w:fill="FFFFFF"/>
          <w:lang w:val="en-US" w:eastAsia="zh-CN"/>
        </w:rPr>
        <w:t>中选</w:t>
      </w:r>
      <w:r>
        <w:rPr>
          <w:rFonts w:hint="eastAsia" w:ascii="宋体" w:hAnsi="宋体" w:eastAsia="宋体" w:cs="宋体"/>
          <w:color w:val="auto"/>
          <w:sz w:val="24"/>
          <w:szCs w:val="24"/>
          <w:highlight w:val="none"/>
          <w:shd w:val="clear" w:color="auto" w:fill="FFFFFF"/>
        </w:rPr>
        <w:t>意见相关的事项，均不得向</w:t>
      </w:r>
      <w:r>
        <w:rPr>
          <w:rFonts w:hint="eastAsia" w:ascii="宋体" w:hAnsi="宋体" w:eastAsia="宋体" w:cs="宋体"/>
          <w:color w:val="auto"/>
          <w:sz w:val="24"/>
          <w:szCs w:val="24"/>
          <w:highlight w:val="none"/>
          <w:shd w:val="clear" w:color="auto" w:fill="FFFFFF"/>
          <w:lang w:val="en-US" w:eastAsia="zh-CN"/>
        </w:rPr>
        <w:t>申报企业</w:t>
      </w:r>
      <w:r>
        <w:rPr>
          <w:rFonts w:hint="eastAsia" w:ascii="宋体" w:hAnsi="宋体" w:eastAsia="宋体" w:cs="宋体"/>
          <w:color w:val="auto"/>
          <w:sz w:val="24"/>
          <w:szCs w:val="24"/>
          <w:highlight w:val="none"/>
          <w:shd w:val="clear" w:color="auto" w:fill="FFFFFF"/>
        </w:rPr>
        <w:t>及与评标无关的其他人透露。</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5.2.2.2</w:t>
      </w:r>
      <w:r>
        <w:rPr>
          <w:rFonts w:hint="eastAsia" w:ascii="宋体" w:hAnsi="宋体" w:eastAsia="宋体" w:cs="宋体"/>
          <w:color w:val="auto"/>
          <w:sz w:val="24"/>
          <w:szCs w:val="24"/>
          <w:highlight w:val="none"/>
          <w:shd w:val="clear" w:color="auto" w:fill="FFFFFF"/>
        </w:rPr>
        <w:t>采购人、</w:t>
      </w:r>
      <w:r>
        <w:rPr>
          <w:rFonts w:hint="eastAsia" w:ascii="宋体" w:hAnsi="宋体" w:cs="宋体"/>
          <w:color w:val="auto"/>
          <w:sz w:val="24"/>
          <w:szCs w:val="24"/>
          <w:highlight w:val="none"/>
          <w:shd w:val="clear" w:color="auto" w:fill="FFFFFF"/>
          <w:lang w:eastAsia="zh-CN"/>
        </w:rPr>
        <w:t>招标代理机构</w:t>
      </w:r>
      <w:r>
        <w:rPr>
          <w:rFonts w:hint="eastAsia" w:ascii="宋体" w:hAnsi="宋体" w:eastAsia="宋体" w:cs="宋体"/>
          <w:color w:val="auto"/>
          <w:sz w:val="24"/>
          <w:szCs w:val="24"/>
          <w:highlight w:val="none"/>
          <w:shd w:val="clear" w:color="auto" w:fill="FFFFFF"/>
          <w:lang w:val="en-US" w:eastAsia="zh-CN"/>
        </w:rPr>
        <w:t>将</w:t>
      </w:r>
      <w:r>
        <w:rPr>
          <w:rFonts w:hint="eastAsia" w:ascii="宋体" w:hAnsi="宋体" w:eastAsia="宋体" w:cs="宋体"/>
          <w:color w:val="auto"/>
          <w:sz w:val="24"/>
          <w:szCs w:val="24"/>
          <w:highlight w:val="none"/>
          <w:shd w:val="clear" w:color="auto" w:fill="FFFFFF"/>
        </w:rPr>
        <w:t>采取必要措施，</w:t>
      </w:r>
      <w:r>
        <w:rPr>
          <w:rFonts w:hint="eastAsia" w:ascii="宋体" w:hAnsi="宋体" w:eastAsia="宋体" w:cs="宋体"/>
          <w:color w:val="auto"/>
          <w:sz w:val="24"/>
          <w:szCs w:val="24"/>
          <w:highlight w:val="none"/>
          <w:shd w:val="clear" w:color="auto" w:fill="FFFFFF"/>
          <w:lang w:val="en-US" w:eastAsia="zh-CN"/>
        </w:rPr>
        <w:t>确保</w:t>
      </w:r>
      <w:r>
        <w:rPr>
          <w:rFonts w:hint="eastAsia" w:ascii="宋体" w:hAnsi="宋体" w:eastAsia="宋体" w:cs="宋体"/>
          <w:color w:val="auto"/>
          <w:sz w:val="24"/>
          <w:szCs w:val="24"/>
          <w:highlight w:val="none"/>
          <w:shd w:val="clear" w:color="auto" w:fill="FFFFFF"/>
        </w:rPr>
        <w:t>评审</w:t>
      </w:r>
      <w:r>
        <w:rPr>
          <w:rFonts w:hint="eastAsia" w:ascii="宋体" w:hAnsi="宋体" w:eastAsia="宋体" w:cs="宋体"/>
          <w:color w:val="auto"/>
          <w:sz w:val="24"/>
          <w:szCs w:val="24"/>
          <w:highlight w:val="none"/>
          <w:shd w:val="clear" w:color="auto" w:fill="FFFFFF"/>
          <w:lang w:val="en-US" w:eastAsia="zh-CN"/>
        </w:rPr>
        <w:t>工作</w:t>
      </w:r>
      <w:r>
        <w:rPr>
          <w:rFonts w:hint="eastAsia" w:ascii="宋体" w:hAnsi="宋体" w:eastAsia="宋体" w:cs="宋体"/>
          <w:color w:val="auto"/>
          <w:sz w:val="24"/>
          <w:szCs w:val="24"/>
          <w:highlight w:val="none"/>
          <w:shd w:val="clear" w:color="auto" w:fill="FFFFFF"/>
        </w:rPr>
        <w:t>在严格保密的情况下进行。除采购人代表、评审现场组织人员外，采购人的其他工作人员以及与评审工作无关的人员不得进入评审现场</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任何单位或个人不得非法干预、影响议价</w:t>
      </w:r>
      <w:r>
        <w:rPr>
          <w:rFonts w:hint="eastAsia" w:ascii="宋体" w:hAnsi="宋体" w:eastAsia="宋体" w:cs="宋体"/>
          <w:color w:val="auto"/>
          <w:sz w:val="24"/>
          <w:szCs w:val="24"/>
          <w:highlight w:val="none"/>
          <w:shd w:val="clear" w:color="auto" w:fill="FFFFFF"/>
          <w:lang w:val="en-US" w:eastAsia="zh-CN"/>
        </w:rPr>
        <w:t>谈判</w:t>
      </w:r>
      <w:r>
        <w:rPr>
          <w:rFonts w:hint="eastAsia" w:ascii="宋体" w:hAnsi="宋体" w:eastAsia="宋体" w:cs="宋体"/>
          <w:color w:val="auto"/>
          <w:sz w:val="24"/>
          <w:szCs w:val="24"/>
          <w:highlight w:val="none"/>
          <w:shd w:val="clear" w:color="auto" w:fill="FFFFFF"/>
        </w:rPr>
        <w:t>的过程和结果。</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5.2.2.3中选药品</w:t>
      </w:r>
      <w:r>
        <w:rPr>
          <w:rFonts w:hint="eastAsia" w:ascii="宋体" w:hAnsi="宋体" w:eastAsia="宋体" w:cs="宋体"/>
          <w:color w:val="auto"/>
          <w:sz w:val="24"/>
          <w:szCs w:val="24"/>
          <w:highlight w:val="none"/>
          <w:shd w:val="clear" w:color="auto" w:fill="FFFFFF"/>
        </w:rPr>
        <w:t>产生后，</w:t>
      </w:r>
      <w:r>
        <w:rPr>
          <w:rFonts w:hint="eastAsia" w:ascii="宋体" w:hAnsi="宋体" w:eastAsia="宋体" w:cs="宋体"/>
          <w:color w:val="auto"/>
          <w:sz w:val="24"/>
          <w:szCs w:val="24"/>
          <w:highlight w:val="none"/>
          <w:shd w:val="clear" w:color="auto" w:fill="FFFFFF"/>
          <w:lang w:val="en-US" w:eastAsia="zh-CN"/>
        </w:rPr>
        <w:t>由招标代理公司整理项目档案，</w:t>
      </w:r>
      <w:r>
        <w:rPr>
          <w:rFonts w:hint="eastAsia" w:ascii="宋体" w:hAnsi="宋体" w:eastAsia="宋体" w:cs="宋体"/>
          <w:color w:val="auto"/>
          <w:sz w:val="24"/>
          <w:szCs w:val="24"/>
          <w:highlight w:val="none"/>
          <w:shd w:val="clear" w:color="auto" w:fill="FFFFFF"/>
        </w:rPr>
        <w:t>报送</w:t>
      </w:r>
      <w:r>
        <w:rPr>
          <w:rFonts w:hint="eastAsia" w:ascii="宋体" w:hAnsi="宋体" w:eastAsia="宋体" w:cs="宋体"/>
          <w:color w:val="auto"/>
          <w:sz w:val="24"/>
          <w:szCs w:val="24"/>
          <w:highlight w:val="none"/>
          <w:shd w:val="clear" w:color="auto" w:fill="FFFFFF"/>
          <w:lang w:val="en-US" w:eastAsia="zh-CN"/>
        </w:rPr>
        <w:t>联盟集采领导小组办公室</w:t>
      </w:r>
      <w:r>
        <w:rPr>
          <w:rFonts w:hint="eastAsia" w:ascii="宋体" w:hAnsi="宋体" w:eastAsia="宋体" w:cs="宋体"/>
          <w:color w:val="auto"/>
          <w:sz w:val="24"/>
          <w:szCs w:val="24"/>
          <w:highlight w:val="none"/>
          <w:shd w:val="clear" w:color="auto" w:fill="FFFFFF"/>
        </w:rPr>
        <w:t>封存备查。</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5.2.2.4</w:t>
      </w:r>
      <w:r>
        <w:rPr>
          <w:rFonts w:hint="eastAsia" w:ascii="宋体" w:hAnsi="宋体" w:eastAsia="宋体" w:cs="宋体"/>
          <w:color w:val="auto"/>
          <w:sz w:val="24"/>
          <w:szCs w:val="24"/>
          <w:highlight w:val="none"/>
          <w:shd w:val="clear" w:color="auto" w:fill="FFFFFF"/>
        </w:rPr>
        <w:t>评标委员会</w:t>
      </w:r>
      <w:r>
        <w:rPr>
          <w:rFonts w:hint="eastAsia" w:ascii="宋体" w:hAnsi="宋体" w:eastAsia="宋体" w:cs="宋体"/>
          <w:color w:val="auto"/>
          <w:sz w:val="24"/>
          <w:szCs w:val="24"/>
          <w:highlight w:val="none"/>
          <w:shd w:val="clear" w:color="auto" w:fill="FFFFFF"/>
          <w:lang w:val="en-US" w:eastAsia="zh-CN"/>
        </w:rPr>
        <w:t>须</w:t>
      </w:r>
      <w:r>
        <w:rPr>
          <w:rFonts w:hint="eastAsia" w:ascii="宋体" w:hAnsi="宋体" w:eastAsia="宋体" w:cs="宋体"/>
          <w:color w:val="auto"/>
          <w:sz w:val="24"/>
          <w:szCs w:val="24"/>
          <w:highlight w:val="none"/>
          <w:shd w:val="clear" w:color="auto" w:fill="FFFFFF"/>
        </w:rPr>
        <w:t>客观公正地履行职责，遵守职业道德，对所提出的评审意见承担个人责任。专家不得私下接触</w:t>
      </w:r>
      <w:r>
        <w:rPr>
          <w:rFonts w:hint="eastAsia" w:ascii="宋体" w:hAnsi="宋体" w:eastAsia="宋体" w:cs="宋体"/>
          <w:color w:val="auto"/>
          <w:sz w:val="24"/>
          <w:szCs w:val="24"/>
          <w:highlight w:val="none"/>
          <w:shd w:val="clear" w:color="auto" w:fill="FFFFFF"/>
          <w:lang w:val="en-US" w:eastAsia="zh-CN"/>
        </w:rPr>
        <w:t>申报企业</w:t>
      </w:r>
      <w:r>
        <w:rPr>
          <w:rFonts w:hint="eastAsia" w:ascii="宋体" w:hAnsi="宋体" w:eastAsia="宋体" w:cs="宋体"/>
          <w:color w:val="auto"/>
          <w:sz w:val="24"/>
          <w:szCs w:val="24"/>
          <w:highlight w:val="none"/>
          <w:shd w:val="clear" w:color="auto" w:fill="FFFFFF"/>
        </w:rPr>
        <w:t>，不得收受</w:t>
      </w:r>
      <w:r>
        <w:rPr>
          <w:rFonts w:hint="eastAsia" w:ascii="宋体" w:hAnsi="宋体" w:eastAsia="宋体" w:cs="宋体"/>
          <w:color w:val="auto"/>
          <w:sz w:val="24"/>
          <w:szCs w:val="24"/>
          <w:highlight w:val="none"/>
          <w:shd w:val="clear" w:color="auto" w:fill="FFFFFF"/>
          <w:lang w:val="en-US" w:eastAsia="zh-CN"/>
        </w:rPr>
        <w:t>申报企业</w:t>
      </w:r>
      <w:r>
        <w:rPr>
          <w:rFonts w:hint="eastAsia" w:ascii="宋体" w:hAnsi="宋体" w:eastAsia="宋体" w:cs="宋体"/>
          <w:color w:val="auto"/>
          <w:sz w:val="24"/>
          <w:szCs w:val="24"/>
          <w:highlight w:val="none"/>
          <w:shd w:val="clear" w:color="auto" w:fill="FFFFFF"/>
        </w:rPr>
        <w:t>的财物或者其他好处。</w:t>
      </w:r>
      <w:r>
        <w:rPr>
          <w:rFonts w:hint="eastAsia" w:ascii="宋体" w:hAnsi="宋体" w:eastAsia="宋体" w:cs="宋体"/>
          <w:color w:val="auto"/>
          <w:sz w:val="24"/>
          <w:szCs w:val="24"/>
          <w:highlight w:val="none"/>
          <w:shd w:val="clear" w:color="auto" w:fill="FFFFFF"/>
          <w:lang w:val="en-US" w:eastAsia="zh-CN"/>
        </w:rPr>
        <w:t>评标</w:t>
      </w:r>
      <w:r>
        <w:rPr>
          <w:rFonts w:hint="eastAsia" w:ascii="宋体" w:hAnsi="宋体" w:eastAsia="宋体" w:cs="宋体"/>
          <w:color w:val="auto"/>
          <w:sz w:val="24"/>
          <w:szCs w:val="24"/>
          <w:highlight w:val="none"/>
          <w:shd w:val="clear" w:color="auto" w:fill="FFFFFF"/>
        </w:rPr>
        <w:t>委员会和参与评标的有关工作人员不得透露对</w:t>
      </w:r>
      <w:r>
        <w:rPr>
          <w:rFonts w:hint="eastAsia" w:ascii="宋体" w:hAnsi="宋体" w:eastAsia="宋体" w:cs="宋体"/>
          <w:color w:val="auto"/>
          <w:sz w:val="24"/>
          <w:szCs w:val="24"/>
          <w:highlight w:val="none"/>
          <w:shd w:val="clear" w:color="auto" w:fill="FFFFFF"/>
          <w:lang w:val="en-US" w:eastAsia="zh-CN"/>
        </w:rPr>
        <w:t>申报材料</w:t>
      </w:r>
      <w:r>
        <w:rPr>
          <w:rFonts w:hint="eastAsia" w:ascii="宋体" w:hAnsi="宋体" w:eastAsia="宋体" w:cs="宋体"/>
          <w:color w:val="auto"/>
          <w:sz w:val="24"/>
          <w:szCs w:val="24"/>
          <w:highlight w:val="none"/>
          <w:shd w:val="clear" w:color="auto" w:fill="FFFFFF"/>
        </w:rPr>
        <w:t>的评审和比较、</w:t>
      </w:r>
      <w:r>
        <w:rPr>
          <w:rFonts w:hint="eastAsia" w:ascii="宋体" w:hAnsi="宋体" w:eastAsia="宋体" w:cs="宋体"/>
          <w:color w:val="auto"/>
          <w:sz w:val="24"/>
          <w:szCs w:val="24"/>
          <w:highlight w:val="none"/>
          <w:shd w:val="clear" w:color="auto" w:fill="FFFFFF"/>
          <w:lang w:val="en-US" w:eastAsia="zh-CN"/>
        </w:rPr>
        <w:t>中选药品</w:t>
      </w:r>
      <w:r>
        <w:rPr>
          <w:rFonts w:hint="eastAsia" w:ascii="宋体" w:hAnsi="宋体" w:eastAsia="宋体" w:cs="宋体"/>
          <w:color w:val="auto"/>
          <w:sz w:val="24"/>
          <w:szCs w:val="24"/>
          <w:highlight w:val="none"/>
          <w:shd w:val="clear" w:color="auto" w:fill="FFFFFF"/>
        </w:rPr>
        <w:t>情况以及与评标有关的其他情况。</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5.3.</w:t>
      </w:r>
      <w:r>
        <w:rPr>
          <w:rFonts w:hint="eastAsia" w:ascii="宋体" w:hAnsi="宋体" w:eastAsia="宋体" w:cs="宋体"/>
          <w:color w:val="auto"/>
          <w:sz w:val="24"/>
          <w:szCs w:val="24"/>
          <w:highlight w:val="none"/>
          <w:shd w:val="clear" w:color="auto" w:fill="FFFFFF"/>
        </w:rPr>
        <w:t>开标后</w:t>
      </w:r>
      <w:r>
        <w:rPr>
          <w:rFonts w:hint="eastAsia" w:ascii="宋体" w:hAnsi="宋体" w:eastAsia="宋体" w:cs="宋体"/>
          <w:color w:val="auto"/>
          <w:sz w:val="24"/>
          <w:szCs w:val="24"/>
          <w:highlight w:val="none"/>
          <w:shd w:val="clear" w:color="auto" w:fill="FFFFFF"/>
          <w:lang w:val="en-US" w:eastAsia="zh-CN"/>
        </w:rPr>
        <w:t>申报材料</w:t>
      </w:r>
      <w:r>
        <w:rPr>
          <w:rFonts w:hint="eastAsia" w:ascii="宋体" w:hAnsi="宋体" w:eastAsia="宋体" w:cs="宋体"/>
          <w:color w:val="auto"/>
          <w:sz w:val="24"/>
          <w:szCs w:val="24"/>
          <w:highlight w:val="none"/>
          <w:shd w:val="clear" w:color="auto" w:fill="FFFFFF"/>
        </w:rPr>
        <w:t>的澄清</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5.3.1</w:t>
      </w:r>
      <w:r>
        <w:rPr>
          <w:rFonts w:hint="eastAsia" w:ascii="宋体" w:hAnsi="宋体" w:eastAsia="宋体" w:cs="宋体"/>
          <w:color w:val="auto"/>
          <w:sz w:val="24"/>
          <w:szCs w:val="24"/>
          <w:highlight w:val="none"/>
          <w:shd w:val="clear" w:color="auto" w:fill="FFFFFF"/>
        </w:rPr>
        <w:t>在评标期间，评标委员会可要求</w:t>
      </w:r>
      <w:r>
        <w:rPr>
          <w:rFonts w:hint="eastAsia" w:ascii="宋体" w:hAnsi="宋体" w:eastAsia="宋体" w:cs="宋体"/>
          <w:color w:val="auto"/>
          <w:sz w:val="24"/>
          <w:szCs w:val="24"/>
          <w:highlight w:val="none"/>
          <w:shd w:val="clear" w:color="auto" w:fill="FFFFFF"/>
          <w:lang w:val="en-US" w:eastAsia="zh-CN"/>
        </w:rPr>
        <w:t>申报企业</w:t>
      </w:r>
      <w:r>
        <w:rPr>
          <w:rFonts w:hint="eastAsia" w:ascii="宋体" w:hAnsi="宋体" w:eastAsia="宋体" w:cs="宋体"/>
          <w:color w:val="auto"/>
          <w:sz w:val="24"/>
          <w:szCs w:val="24"/>
          <w:highlight w:val="none"/>
          <w:shd w:val="clear" w:color="auto" w:fill="FFFFFF"/>
        </w:rPr>
        <w:t>对</w:t>
      </w:r>
      <w:r>
        <w:rPr>
          <w:rFonts w:hint="eastAsia" w:ascii="宋体" w:hAnsi="宋体" w:eastAsia="宋体" w:cs="宋体"/>
          <w:color w:val="auto"/>
          <w:sz w:val="24"/>
          <w:szCs w:val="24"/>
          <w:highlight w:val="none"/>
          <w:shd w:val="clear" w:color="auto" w:fill="FFFFFF"/>
          <w:lang w:val="en-US" w:eastAsia="zh-CN"/>
        </w:rPr>
        <w:t>申报材料</w:t>
      </w:r>
      <w:r>
        <w:rPr>
          <w:rFonts w:hint="eastAsia" w:ascii="宋体" w:hAnsi="宋体" w:eastAsia="宋体" w:cs="宋体"/>
          <w:color w:val="auto"/>
          <w:sz w:val="24"/>
          <w:szCs w:val="24"/>
          <w:highlight w:val="none"/>
          <w:shd w:val="clear" w:color="auto" w:fill="FFFFFF"/>
        </w:rPr>
        <w:t>中含义不明确的内容作必要的澄清或者说明。有关澄清的答复可以书面形式提交。但澄清或者说明不得超出</w:t>
      </w:r>
      <w:r>
        <w:rPr>
          <w:rFonts w:hint="eastAsia" w:ascii="宋体" w:hAnsi="宋体" w:eastAsia="宋体" w:cs="宋体"/>
          <w:color w:val="auto"/>
          <w:sz w:val="24"/>
          <w:szCs w:val="24"/>
          <w:highlight w:val="none"/>
          <w:shd w:val="clear" w:color="auto" w:fill="FFFFFF"/>
          <w:lang w:val="en-US" w:eastAsia="zh-CN"/>
        </w:rPr>
        <w:t>申报材料</w:t>
      </w:r>
      <w:r>
        <w:rPr>
          <w:rFonts w:hint="eastAsia" w:ascii="宋体" w:hAnsi="宋体" w:eastAsia="宋体" w:cs="宋体"/>
          <w:color w:val="auto"/>
          <w:sz w:val="24"/>
          <w:szCs w:val="24"/>
          <w:highlight w:val="none"/>
          <w:shd w:val="clear" w:color="auto" w:fill="FFFFFF"/>
        </w:rPr>
        <w:t>的范围或者改变</w:t>
      </w:r>
      <w:r>
        <w:rPr>
          <w:rFonts w:hint="eastAsia" w:ascii="宋体" w:hAnsi="宋体" w:eastAsia="宋体" w:cs="宋体"/>
          <w:color w:val="auto"/>
          <w:sz w:val="24"/>
          <w:szCs w:val="24"/>
          <w:highlight w:val="none"/>
          <w:shd w:val="clear" w:color="auto" w:fill="FFFFFF"/>
          <w:lang w:val="en-US" w:eastAsia="zh-CN"/>
        </w:rPr>
        <w:t>采购文件</w:t>
      </w:r>
      <w:r>
        <w:rPr>
          <w:rFonts w:hint="eastAsia" w:ascii="宋体" w:hAnsi="宋体" w:eastAsia="宋体" w:cs="宋体"/>
          <w:color w:val="auto"/>
          <w:sz w:val="24"/>
          <w:szCs w:val="24"/>
          <w:highlight w:val="none"/>
          <w:shd w:val="clear" w:color="auto" w:fill="FFFFFF"/>
        </w:rPr>
        <w:t>的实质性内容。</w:t>
      </w:r>
    </w:p>
    <w:p>
      <w:pPr>
        <w:pStyle w:val="2"/>
        <w:ind w:firstLine="480" w:firstLineChars="200"/>
        <w:rPr>
          <w:rFonts w:hint="default"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5.3.2申报材料符合要求后，投标平台上方可报价。</w:t>
      </w:r>
    </w:p>
    <w:p>
      <w:pPr>
        <w:pStyle w:val="2"/>
        <w:ind w:firstLine="480" w:firstLineChars="200"/>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5.3.3投标人不得虚高报价，不得以低于产品生产成本价报价，不得进行串通报价、恶意竞争，不得在采购期内擅自涨价，否则一律取消投标资格。</w:t>
      </w:r>
    </w:p>
    <w:p>
      <w:pPr>
        <w:pStyle w:val="2"/>
        <w:ind w:firstLine="480" w:firstLineChars="200"/>
        <w:rPr>
          <w:rFonts w:hint="default"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5.3.4每个产品按要求报价，未报价的产品，视为无效报价，报价为“0”产品视为赠送，申报药品价格不得高于自治区（兵团）正在执行的最低价。</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b w:val="0"/>
          <w:bCs w:val="0"/>
          <w:color w:val="auto"/>
          <w:kern w:val="32"/>
          <w:sz w:val="24"/>
          <w:szCs w:val="24"/>
          <w:highlight w:val="none"/>
          <w:lang w:val="en-US" w:eastAsia="zh-CN"/>
        </w:rPr>
      </w:pPr>
      <w:bookmarkStart w:id="52" w:name="_Toc53152587"/>
      <w:bookmarkStart w:id="53" w:name="_Toc28835"/>
      <w:bookmarkStart w:id="54" w:name="_Toc29568"/>
      <w:r>
        <w:rPr>
          <w:rFonts w:hint="eastAsia" w:ascii="宋体" w:hAnsi="宋体" w:eastAsia="宋体" w:cs="宋体"/>
          <w:b w:val="0"/>
          <w:bCs w:val="0"/>
          <w:color w:val="auto"/>
          <w:kern w:val="32"/>
          <w:sz w:val="24"/>
          <w:szCs w:val="24"/>
          <w:highlight w:val="none"/>
          <w:lang w:val="en-US" w:eastAsia="zh-CN"/>
        </w:rPr>
        <w:t>5.4</w:t>
      </w:r>
      <w:bookmarkEnd w:id="52"/>
      <w:bookmarkEnd w:id="53"/>
      <w:bookmarkEnd w:id="54"/>
      <w:r>
        <w:rPr>
          <w:rFonts w:hint="eastAsia" w:ascii="宋体" w:hAnsi="宋体" w:eastAsia="宋体" w:cs="宋体"/>
          <w:b w:val="0"/>
          <w:bCs w:val="0"/>
          <w:color w:val="auto"/>
          <w:kern w:val="32"/>
          <w:sz w:val="24"/>
          <w:szCs w:val="24"/>
          <w:highlight w:val="none"/>
          <w:lang w:val="en-US" w:eastAsia="zh-CN"/>
        </w:rPr>
        <w:t>评标办法的确定</w:t>
      </w:r>
    </w:p>
    <w:p>
      <w:pPr>
        <w:pStyle w:val="19"/>
        <w:keepNext w:val="0"/>
        <w:keepLines w:val="0"/>
        <w:pageBreakBefore w:val="0"/>
        <w:widowControl w:val="0"/>
        <w:numPr>
          <w:ilvl w:val="0"/>
          <w:numId w:val="0"/>
        </w:numPr>
        <w:kinsoku/>
        <w:wordWrap/>
        <w:overflowPunct/>
        <w:topLinePunct w:val="0"/>
        <w:autoSpaceDE/>
        <w:autoSpaceDN/>
        <w:bidi w:val="0"/>
        <w:adjustRightInd/>
        <w:snapToGrid/>
        <w:spacing w:after="0" w:afterLines="0" w:line="4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5.4.1入围规则。</w:t>
      </w:r>
      <w:r>
        <w:rPr>
          <w:rFonts w:hint="eastAsia" w:ascii="宋体" w:hAnsi="宋体" w:cs="宋体"/>
          <w:color w:val="auto"/>
          <w:sz w:val="24"/>
          <w:szCs w:val="24"/>
          <w:highlight w:val="none"/>
          <w:shd w:val="clear" w:color="auto" w:fill="FFFFFF"/>
          <w:lang w:eastAsia="zh-CN"/>
        </w:rPr>
        <w:t>评标委员会</w:t>
      </w:r>
      <w:r>
        <w:rPr>
          <w:rFonts w:hint="eastAsia" w:ascii="宋体" w:hAnsi="宋体" w:eastAsia="宋体" w:cs="宋体"/>
          <w:color w:val="auto"/>
          <w:sz w:val="24"/>
          <w:szCs w:val="24"/>
          <w:highlight w:val="none"/>
          <w:shd w:val="clear" w:color="auto" w:fill="FFFFFF"/>
        </w:rPr>
        <w:t>按</w:t>
      </w:r>
      <w:r>
        <w:rPr>
          <w:rFonts w:hint="eastAsia" w:ascii="宋体" w:hAnsi="宋体" w:cs="宋体"/>
          <w:color w:val="auto"/>
          <w:sz w:val="24"/>
          <w:szCs w:val="24"/>
          <w:highlight w:val="none"/>
          <w:shd w:val="clear" w:color="auto" w:fill="FFFFFF"/>
          <w:lang w:val="en-US" w:eastAsia="zh-CN"/>
        </w:rPr>
        <w:t>照报价单位的降幅比例由高到低</w:t>
      </w:r>
      <w:r>
        <w:rPr>
          <w:rFonts w:hint="eastAsia" w:ascii="宋体" w:hAnsi="宋体" w:eastAsia="宋体" w:cs="宋体"/>
          <w:color w:val="auto"/>
          <w:sz w:val="24"/>
          <w:szCs w:val="24"/>
          <w:highlight w:val="none"/>
          <w:shd w:val="clear" w:color="auto" w:fill="FFFFFF"/>
        </w:rPr>
        <w:t>确定申报企业入围顺序，</w:t>
      </w:r>
      <w:r>
        <w:rPr>
          <w:rFonts w:hint="eastAsia" w:ascii="宋体" w:hAnsi="宋体" w:cs="宋体"/>
          <w:color w:val="auto"/>
          <w:sz w:val="24"/>
          <w:szCs w:val="24"/>
          <w:highlight w:val="none"/>
          <w:shd w:val="clear" w:color="auto" w:fill="FFFFFF"/>
          <w:lang w:val="en-US" w:eastAsia="zh-CN"/>
        </w:rPr>
        <w:t>降幅率最高</w:t>
      </w:r>
      <w:r>
        <w:rPr>
          <w:rFonts w:hint="eastAsia" w:ascii="宋体" w:hAnsi="宋体" w:eastAsia="宋体" w:cs="宋体"/>
          <w:color w:val="auto"/>
          <w:sz w:val="24"/>
          <w:szCs w:val="24"/>
          <w:highlight w:val="none"/>
          <w:shd w:val="clear" w:color="auto" w:fill="FFFFFF"/>
        </w:rPr>
        <w:t>的为第一顺位，次</w:t>
      </w:r>
      <w:r>
        <w:rPr>
          <w:rFonts w:hint="eastAsia" w:ascii="宋体" w:hAnsi="宋体" w:cs="宋体"/>
          <w:color w:val="auto"/>
          <w:sz w:val="24"/>
          <w:szCs w:val="24"/>
          <w:highlight w:val="none"/>
          <w:shd w:val="clear" w:color="auto" w:fill="FFFFFF"/>
          <w:lang w:val="en-US" w:eastAsia="zh-CN"/>
        </w:rPr>
        <w:t>高</w:t>
      </w:r>
      <w:r>
        <w:rPr>
          <w:rFonts w:hint="eastAsia" w:ascii="宋体" w:hAnsi="宋体" w:eastAsia="宋体" w:cs="宋体"/>
          <w:color w:val="auto"/>
          <w:sz w:val="24"/>
          <w:szCs w:val="24"/>
          <w:highlight w:val="none"/>
          <w:shd w:val="clear" w:color="auto" w:fill="FFFFFF"/>
        </w:rPr>
        <w:t>的为第二顺位，</w:t>
      </w:r>
      <w:r>
        <w:rPr>
          <w:rFonts w:hint="eastAsia" w:ascii="宋体" w:hAnsi="宋体" w:cs="宋体"/>
          <w:color w:val="auto"/>
          <w:sz w:val="24"/>
          <w:szCs w:val="24"/>
          <w:highlight w:val="none"/>
          <w:shd w:val="clear" w:color="auto" w:fill="FFFFFF"/>
          <w:lang w:val="en-US" w:eastAsia="zh-CN"/>
        </w:rPr>
        <w:t>以此</w:t>
      </w:r>
      <w:r>
        <w:rPr>
          <w:rFonts w:hint="eastAsia" w:ascii="宋体" w:hAnsi="宋体" w:eastAsia="宋体" w:cs="宋体"/>
          <w:color w:val="auto"/>
          <w:sz w:val="24"/>
          <w:szCs w:val="24"/>
          <w:highlight w:val="none"/>
          <w:shd w:val="clear" w:color="auto" w:fill="FFFFFF"/>
        </w:rPr>
        <w:t>类推确定其他顺位</w:t>
      </w:r>
    </w:p>
    <w:p>
      <w:pPr>
        <w:pStyle w:val="19"/>
        <w:keepNext w:val="0"/>
        <w:keepLines w:val="0"/>
        <w:pageBreakBefore w:val="0"/>
        <w:widowControl w:val="0"/>
        <w:numPr>
          <w:ilvl w:val="0"/>
          <w:numId w:val="0"/>
        </w:numPr>
        <w:kinsoku/>
        <w:wordWrap/>
        <w:overflowPunct/>
        <w:topLinePunct w:val="0"/>
        <w:autoSpaceDE/>
        <w:autoSpaceDN/>
        <w:bidi w:val="0"/>
        <w:adjustRightInd/>
        <w:snapToGrid/>
        <w:spacing w:after="0" w:afterLines="0" w:line="460" w:lineRule="exact"/>
        <w:ind w:left="0" w:leftChars="0" w:firstLine="480" w:firstLineChars="200"/>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rPr>
        <w:t>5.4.2</w:t>
      </w:r>
      <w:r>
        <w:rPr>
          <w:rFonts w:hint="eastAsia" w:ascii="宋体" w:hAnsi="宋体" w:eastAsia="宋体" w:cs="宋体"/>
          <w:color w:val="auto"/>
          <w:kern w:val="2"/>
          <w:sz w:val="24"/>
          <w:szCs w:val="24"/>
          <w:highlight w:val="none"/>
          <w:lang w:val="en-US" w:eastAsia="zh-CN" w:bidi="ar-SA"/>
        </w:rPr>
        <w:t>议价</w:t>
      </w:r>
      <w:r>
        <w:rPr>
          <w:rFonts w:hint="eastAsia" w:ascii="宋体" w:hAnsi="宋体" w:cs="宋体"/>
          <w:color w:val="auto"/>
          <w:kern w:val="2"/>
          <w:sz w:val="24"/>
          <w:szCs w:val="24"/>
          <w:highlight w:val="none"/>
          <w:lang w:val="en-US" w:eastAsia="zh-CN" w:bidi="ar-SA"/>
        </w:rPr>
        <w:t>程序</w:t>
      </w:r>
      <w:r>
        <w:rPr>
          <w:rFonts w:hint="eastAsia" w:ascii="宋体" w:hAnsi="宋体" w:eastAsia="宋体" w:cs="宋体"/>
          <w:color w:val="auto"/>
          <w:kern w:val="2"/>
          <w:sz w:val="24"/>
          <w:szCs w:val="24"/>
          <w:highlight w:val="none"/>
          <w:lang w:val="en-US" w:eastAsia="zh-CN" w:bidi="ar-SA"/>
        </w:rPr>
        <w:t>。开展两轮网上议价。</w:t>
      </w:r>
      <w:r>
        <w:rPr>
          <w:rFonts w:hint="eastAsia" w:ascii="宋体" w:hAnsi="宋体" w:cs="宋体"/>
          <w:color w:val="auto"/>
          <w:kern w:val="2"/>
          <w:sz w:val="24"/>
          <w:szCs w:val="24"/>
          <w:highlight w:val="none"/>
          <w:lang w:val="en-US" w:eastAsia="zh-CN" w:bidi="ar-SA"/>
        </w:rPr>
        <w:t>第一轮满足评审要求，将不进行第二轮议价。</w:t>
      </w:r>
    </w:p>
    <w:p>
      <w:pPr>
        <w:pStyle w:val="19"/>
        <w:keepNext w:val="0"/>
        <w:keepLines w:val="0"/>
        <w:pageBreakBefore w:val="0"/>
        <w:widowControl w:val="0"/>
        <w:numPr>
          <w:ilvl w:val="0"/>
          <w:numId w:val="0"/>
        </w:numPr>
        <w:kinsoku/>
        <w:wordWrap/>
        <w:overflowPunct/>
        <w:topLinePunct w:val="0"/>
        <w:autoSpaceDE/>
        <w:autoSpaceDN/>
        <w:bidi w:val="0"/>
        <w:adjustRightInd/>
        <w:snapToGrid/>
        <w:spacing w:after="0" w:afterLines="0" w:line="460" w:lineRule="exact"/>
        <w:ind w:left="0" w:leftChars="0" w:firstLine="480" w:firstLineChars="200"/>
        <w:textAlignment w:val="auto"/>
        <w:rPr>
          <w:rFonts w:hint="eastAsia" w:ascii="宋体" w:hAnsi="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第一轮</w:t>
      </w:r>
      <w:r>
        <w:rPr>
          <w:rFonts w:hint="eastAsia" w:ascii="宋体" w:hAnsi="宋体" w:cs="宋体"/>
          <w:color w:val="auto"/>
          <w:kern w:val="2"/>
          <w:sz w:val="24"/>
          <w:szCs w:val="24"/>
          <w:highlight w:val="none"/>
          <w:lang w:val="en-US" w:eastAsia="zh-CN" w:bidi="ar-SA"/>
        </w:rPr>
        <w:t>：同组产品生产企业在规定时间内自主报价，</w:t>
      </w:r>
      <w:r>
        <w:rPr>
          <w:rFonts w:hint="eastAsia" w:ascii="宋体" w:hAnsi="宋体" w:eastAsia="宋体" w:cs="宋体"/>
          <w:color w:val="auto"/>
          <w:kern w:val="2"/>
          <w:sz w:val="24"/>
          <w:szCs w:val="24"/>
          <w:highlight w:val="none"/>
          <w:lang w:val="en-US" w:eastAsia="zh-CN" w:bidi="ar-SA"/>
        </w:rPr>
        <w:t>报价不得高于自治区</w:t>
      </w:r>
      <w:r>
        <w:rPr>
          <w:rFonts w:hint="eastAsia" w:ascii="宋体" w:hAnsi="宋体" w:cs="宋体"/>
          <w:color w:val="auto"/>
          <w:kern w:val="2"/>
          <w:sz w:val="24"/>
          <w:szCs w:val="24"/>
          <w:highlight w:val="none"/>
          <w:lang w:val="en-US" w:eastAsia="zh-CN" w:bidi="ar-SA"/>
        </w:rPr>
        <w:t>（兵团）医保平台</w:t>
      </w:r>
      <w:r>
        <w:rPr>
          <w:rFonts w:hint="eastAsia" w:ascii="宋体" w:hAnsi="宋体" w:eastAsia="宋体" w:cs="宋体"/>
          <w:color w:val="auto"/>
          <w:kern w:val="2"/>
          <w:sz w:val="24"/>
          <w:szCs w:val="24"/>
          <w:highlight w:val="none"/>
          <w:lang w:val="en-US" w:eastAsia="zh-CN" w:bidi="ar-SA"/>
        </w:rPr>
        <w:t>招采子系统挂网价</w:t>
      </w:r>
      <w:r>
        <w:rPr>
          <w:rFonts w:hint="default" w:ascii="Arial" w:hAnsi="Arial" w:cs="Arial"/>
          <w:color w:val="auto"/>
          <w:kern w:val="2"/>
          <w:sz w:val="24"/>
          <w:szCs w:val="24"/>
          <w:highlight w:val="none"/>
          <w:lang w:val="en-US" w:eastAsia="zh-CN" w:bidi="ar-SA"/>
        </w:rPr>
        <w:t>→</w:t>
      </w:r>
      <w:r>
        <w:rPr>
          <w:rFonts w:hint="eastAsia" w:ascii="Arial" w:hAnsi="Arial" w:cs="Arial"/>
          <w:color w:val="auto"/>
          <w:kern w:val="2"/>
          <w:sz w:val="24"/>
          <w:szCs w:val="24"/>
          <w:highlight w:val="none"/>
          <w:lang w:val="en-US" w:eastAsia="zh-CN" w:bidi="ar-SA"/>
        </w:rPr>
        <w:t>于开标时间公布各投标产品降幅率</w:t>
      </w:r>
      <w:r>
        <w:rPr>
          <w:rFonts w:hint="default" w:ascii="Arial" w:hAnsi="Arial" w:cs="Arial"/>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降幅率由高到低排名前80%的单位入选，结束评审；如入围家数未满足评审要求（未达到5.4.3最多入围企业数的），根据差额进行二轮议价。</w:t>
      </w:r>
    </w:p>
    <w:p>
      <w:pPr>
        <w:pStyle w:val="19"/>
        <w:keepNext w:val="0"/>
        <w:keepLines w:val="0"/>
        <w:pageBreakBefore w:val="0"/>
        <w:widowControl w:val="0"/>
        <w:numPr>
          <w:ilvl w:val="0"/>
          <w:numId w:val="0"/>
        </w:numPr>
        <w:kinsoku/>
        <w:wordWrap/>
        <w:overflowPunct/>
        <w:topLinePunct w:val="0"/>
        <w:autoSpaceDE/>
        <w:autoSpaceDN/>
        <w:bidi w:val="0"/>
        <w:adjustRightInd/>
        <w:snapToGrid/>
        <w:spacing w:after="0" w:afterLines="0" w:line="460" w:lineRule="exact"/>
        <w:ind w:firstLine="480" w:firstLineChars="200"/>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第二轮：在第一轮</w:t>
      </w:r>
      <w:r>
        <w:rPr>
          <w:rFonts w:hint="eastAsia" w:ascii="Arial" w:hAnsi="Arial" w:cs="Arial"/>
          <w:color w:val="auto"/>
          <w:kern w:val="2"/>
          <w:sz w:val="24"/>
          <w:szCs w:val="24"/>
          <w:highlight w:val="none"/>
          <w:lang w:val="en-US" w:eastAsia="zh-CN" w:bidi="ar-SA"/>
        </w:rPr>
        <w:t>入围家数未达到预期要求的情况下，进入</w:t>
      </w:r>
      <w:r>
        <w:rPr>
          <w:rFonts w:hint="eastAsia" w:ascii="宋体" w:hAnsi="宋体" w:eastAsia="宋体" w:cs="宋体"/>
          <w:color w:val="auto"/>
          <w:kern w:val="2"/>
          <w:sz w:val="24"/>
          <w:szCs w:val="24"/>
          <w:highlight w:val="none"/>
          <w:lang w:val="en-US" w:eastAsia="zh-CN" w:bidi="ar-SA"/>
        </w:rPr>
        <w:t>第二轮远程议价环节</w:t>
      </w:r>
      <w:r>
        <w:rPr>
          <w:rFonts w:hint="default" w:ascii="Arial" w:hAnsi="Arial" w:cs="Arial"/>
          <w:color w:val="auto"/>
          <w:kern w:val="2"/>
          <w:sz w:val="24"/>
          <w:szCs w:val="24"/>
          <w:highlight w:val="none"/>
          <w:lang w:val="en-US" w:eastAsia="zh-CN" w:bidi="ar-SA"/>
        </w:rPr>
        <w:t>→</w:t>
      </w:r>
      <w:r>
        <w:rPr>
          <w:rFonts w:hint="eastAsia" w:ascii="Arial" w:hAnsi="Arial" w:cs="Arial"/>
          <w:color w:val="auto"/>
          <w:kern w:val="2"/>
          <w:sz w:val="24"/>
          <w:szCs w:val="24"/>
          <w:highlight w:val="none"/>
          <w:lang w:val="en-US" w:eastAsia="zh-CN" w:bidi="ar-SA"/>
        </w:rPr>
        <w:t>评审专家通知进入第二轮的厂家在规定时间内重新报价</w:t>
      </w:r>
      <w:r>
        <w:rPr>
          <w:rFonts w:hint="default" w:ascii="Arial" w:hAnsi="Arial" w:cs="Arial"/>
          <w:color w:val="auto"/>
          <w:kern w:val="2"/>
          <w:sz w:val="24"/>
          <w:szCs w:val="24"/>
          <w:highlight w:val="none"/>
          <w:lang w:val="en-US" w:eastAsia="zh-CN" w:bidi="ar-SA"/>
        </w:rPr>
        <w:t>→</w:t>
      </w:r>
      <w:r>
        <w:rPr>
          <w:rFonts w:hint="eastAsia" w:ascii="Arial" w:hAnsi="Arial" w:cs="Arial"/>
          <w:color w:val="auto"/>
          <w:kern w:val="2"/>
          <w:sz w:val="24"/>
          <w:szCs w:val="24"/>
          <w:highlight w:val="none"/>
          <w:lang w:val="en-US" w:eastAsia="zh-CN" w:bidi="ar-SA"/>
        </w:rPr>
        <w:t>评审专家根据入围家数要求，按照降幅由高到低的排序</w:t>
      </w:r>
      <w:r>
        <w:rPr>
          <w:rFonts w:hint="eastAsia" w:ascii="宋体" w:hAnsi="宋体" w:cs="宋体"/>
          <w:color w:val="auto"/>
          <w:kern w:val="2"/>
          <w:sz w:val="24"/>
          <w:szCs w:val="24"/>
          <w:highlight w:val="none"/>
          <w:lang w:val="en-US" w:eastAsia="zh-CN" w:bidi="ar-SA"/>
        </w:rPr>
        <w:t>选择</w:t>
      </w:r>
      <w:r>
        <w:rPr>
          <w:rFonts w:hint="eastAsia" w:ascii="宋体" w:hAnsi="宋体" w:eastAsia="宋体" w:cs="宋体"/>
          <w:color w:val="auto"/>
          <w:kern w:val="2"/>
          <w:sz w:val="24"/>
          <w:szCs w:val="24"/>
          <w:highlight w:val="none"/>
          <w:lang w:val="en-US" w:eastAsia="zh-CN" w:bidi="ar-SA"/>
        </w:rPr>
        <w:t>中选产品</w:t>
      </w:r>
      <w:r>
        <w:rPr>
          <w:rFonts w:hint="eastAsia" w:ascii="宋体" w:hAnsi="宋体" w:cs="宋体"/>
          <w:color w:val="auto"/>
          <w:kern w:val="2"/>
          <w:sz w:val="24"/>
          <w:szCs w:val="24"/>
          <w:highlight w:val="none"/>
          <w:lang w:val="en-US" w:eastAsia="zh-CN" w:bidi="ar-SA"/>
        </w:rPr>
        <w:t>；如仍无法满足评审入围需求，由评审专家进行论证，在不高于</w:t>
      </w:r>
      <w:r>
        <w:rPr>
          <w:rFonts w:hint="eastAsia" w:ascii="宋体" w:hAnsi="宋体" w:eastAsia="宋体" w:cs="宋体"/>
          <w:color w:val="auto"/>
          <w:kern w:val="2"/>
          <w:sz w:val="24"/>
          <w:szCs w:val="24"/>
          <w:highlight w:val="none"/>
          <w:lang w:val="en-US" w:eastAsia="zh-CN" w:bidi="ar-SA"/>
        </w:rPr>
        <w:t>自治区</w:t>
      </w:r>
      <w:r>
        <w:rPr>
          <w:rFonts w:hint="eastAsia" w:ascii="宋体" w:hAnsi="宋体" w:cs="宋体"/>
          <w:color w:val="auto"/>
          <w:kern w:val="2"/>
          <w:sz w:val="24"/>
          <w:szCs w:val="24"/>
          <w:highlight w:val="none"/>
          <w:lang w:val="en-US" w:eastAsia="zh-CN" w:bidi="ar-SA"/>
        </w:rPr>
        <w:t>（兵团）医保平台</w:t>
      </w:r>
      <w:r>
        <w:rPr>
          <w:rFonts w:hint="eastAsia" w:ascii="宋体" w:hAnsi="宋体" w:eastAsia="宋体" w:cs="宋体"/>
          <w:color w:val="auto"/>
          <w:kern w:val="2"/>
          <w:sz w:val="24"/>
          <w:szCs w:val="24"/>
          <w:highlight w:val="none"/>
          <w:lang w:val="en-US" w:eastAsia="zh-CN" w:bidi="ar-SA"/>
        </w:rPr>
        <w:t>招采子系统挂网价</w:t>
      </w:r>
      <w:r>
        <w:rPr>
          <w:rFonts w:hint="eastAsia" w:ascii="宋体" w:hAnsi="宋体" w:cs="宋体"/>
          <w:color w:val="auto"/>
          <w:kern w:val="2"/>
          <w:sz w:val="24"/>
          <w:szCs w:val="24"/>
          <w:highlight w:val="none"/>
          <w:lang w:val="en-US" w:eastAsia="zh-CN" w:bidi="ar-SA"/>
        </w:rPr>
        <w:t>基础上确定入围企业，</w:t>
      </w:r>
      <w:r>
        <w:rPr>
          <w:rFonts w:hint="eastAsia" w:ascii="Arial" w:hAnsi="Arial" w:cs="Arial"/>
          <w:color w:val="auto"/>
          <w:kern w:val="2"/>
          <w:sz w:val="24"/>
          <w:szCs w:val="24"/>
          <w:highlight w:val="none"/>
          <w:lang w:val="en-US" w:eastAsia="zh-CN" w:bidi="ar-SA"/>
        </w:rPr>
        <w:t>原则上价格从低到高选择入围产品，如果选择高价格产品，各小组评标专家应根据产品质量、价格、信誉、服务等因素，采取集体表决的方式，投票超过半数的产品成为中标候选产品。对特殊需求产品，由专家提出需求，经专家小组讨论投票表决，必须超过半数赞成的方可入围，并写出书面说明进行备案。最高价格产品不能选择入围。</w:t>
      </w:r>
    </w:p>
    <w:p>
      <w:pPr>
        <w:pStyle w:val="19"/>
        <w:keepNext w:val="0"/>
        <w:keepLines w:val="0"/>
        <w:pageBreakBefore w:val="0"/>
        <w:widowControl w:val="0"/>
        <w:numPr>
          <w:ilvl w:val="0"/>
          <w:numId w:val="0"/>
        </w:numPr>
        <w:kinsoku/>
        <w:wordWrap/>
        <w:overflowPunct/>
        <w:topLinePunct w:val="0"/>
        <w:autoSpaceDE/>
        <w:autoSpaceDN/>
        <w:bidi w:val="0"/>
        <w:adjustRightInd/>
        <w:snapToGrid/>
        <w:spacing w:after="0" w:afterLines="0" w:line="460" w:lineRule="exact"/>
        <w:ind w:firstLine="480"/>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5.4.3最多入围企业数</w:t>
      </w:r>
    </w:p>
    <w:tbl>
      <w:tblPr>
        <w:tblStyle w:val="23"/>
        <w:tblW w:w="66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840"/>
        <w:gridCol w:w="27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840" w:type="dxa"/>
            <w:vAlign w:val="center"/>
          </w:tcPr>
          <w:p>
            <w:pPr>
              <w:pStyle w:val="35"/>
              <w:pageBreakBefore w:val="0"/>
              <w:tabs>
                <w:tab w:val="left" w:pos="1388"/>
              </w:tabs>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符合“申报品种资格”的</w:t>
            </w:r>
          </w:p>
          <w:p>
            <w:pPr>
              <w:pStyle w:val="35"/>
              <w:pageBreakBefore w:val="0"/>
              <w:tabs>
                <w:tab w:val="left" w:pos="1388"/>
              </w:tabs>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实际申报企业数</w:t>
            </w:r>
          </w:p>
        </w:tc>
        <w:tc>
          <w:tcPr>
            <w:tcW w:w="2783" w:type="dxa"/>
            <w:vAlign w:val="center"/>
          </w:tcPr>
          <w:p>
            <w:pPr>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最多入围企业数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840" w:type="dxa"/>
          </w:tcPr>
          <w:p>
            <w:pPr>
              <w:pStyle w:val="47"/>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783" w:type="dxa"/>
          </w:tcPr>
          <w:p>
            <w:pPr>
              <w:pStyle w:val="47"/>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840" w:type="dxa"/>
          </w:tcPr>
          <w:p>
            <w:pPr>
              <w:pStyle w:val="47"/>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783" w:type="dxa"/>
          </w:tcPr>
          <w:p>
            <w:pPr>
              <w:pStyle w:val="47"/>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840" w:type="dxa"/>
          </w:tcPr>
          <w:p>
            <w:pPr>
              <w:pStyle w:val="47"/>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783" w:type="dxa"/>
          </w:tcPr>
          <w:p>
            <w:pPr>
              <w:pStyle w:val="47"/>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840" w:type="dxa"/>
          </w:tcPr>
          <w:p>
            <w:pPr>
              <w:pStyle w:val="47"/>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783" w:type="dxa"/>
          </w:tcPr>
          <w:p>
            <w:pPr>
              <w:pStyle w:val="47"/>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840" w:type="dxa"/>
          </w:tcPr>
          <w:p>
            <w:pPr>
              <w:pStyle w:val="47"/>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783" w:type="dxa"/>
          </w:tcPr>
          <w:p>
            <w:pPr>
              <w:pStyle w:val="47"/>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840" w:type="dxa"/>
          </w:tcPr>
          <w:p>
            <w:pPr>
              <w:pStyle w:val="47"/>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783" w:type="dxa"/>
          </w:tcPr>
          <w:p>
            <w:pPr>
              <w:pStyle w:val="47"/>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840" w:type="dxa"/>
          </w:tcPr>
          <w:p>
            <w:pPr>
              <w:pStyle w:val="47"/>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783" w:type="dxa"/>
          </w:tcPr>
          <w:p>
            <w:pPr>
              <w:pStyle w:val="47"/>
              <w:pageBreakBefore w:val="0"/>
              <w:kinsoku/>
              <w:wordWrap/>
              <w:overflowPunct/>
              <w:topLinePunct w:val="0"/>
              <w:bidi w:val="0"/>
              <w:snapToGrid/>
              <w:spacing w:line="460" w:lineRule="exact"/>
              <w:ind w:left="0" w:leftChars="0" w:right="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r>
    </w:tbl>
    <w:p>
      <w:pPr>
        <w:pStyle w:val="19"/>
        <w:keepNext w:val="0"/>
        <w:keepLines w:val="0"/>
        <w:pageBreakBefore w:val="0"/>
        <w:widowControl w:val="0"/>
        <w:numPr>
          <w:ilvl w:val="0"/>
          <w:numId w:val="0"/>
        </w:numPr>
        <w:kinsoku/>
        <w:wordWrap/>
        <w:overflowPunct/>
        <w:topLinePunct w:val="0"/>
        <w:autoSpaceDE/>
        <w:autoSpaceDN/>
        <w:bidi w:val="0"/>
        <w:adjustRightInd/>
        <w:snapToGrid/>
        <w:spacing w:after="0" w:afterLines="0" w:line="4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Arial" w:hAnsi="Arial" w:cs="Arial"/>
          <w:color w:val="auto"/>
          <w:kern w:val="2"/>
          <w:sz w:val="24"/>
          <w:szCs w:val="24"/>
          <w:highlight w:val="none"/>
          <w:lang w:val="en-US" w:eastAsia="zh-CN" w:bidi="ar-SA"/>
        </w:rPr>
        <w:t>说明：</w:t>
      </w:r>
      <w:r>
        <w:rPr>
          <w:rFonts w:hint="eastAsia" w:ascii="宋体" w:hAnsi="宋体" w:eastAsia="宋体" w:cs="宋体"/>
          <w:color w:val="auto"/>
          <w:kern w:val="2"/>
          <w:sz w:val="24"/>
          <w:szCs w:val="24"/>
          <w:highlight w:val="none"/>
          <w:lang w:val="en-US" w:eastAsia="zh-CN" w:bidi="ar-SA"/>
        </w:rPr>
        <w:t>未中选</w:t>
      </w:r>
      <w:r>
        <w:rPr>
          <w:rFonts w:hint="eastAsia" w:ascii="宋体" w:hAnsi="宋体" w:cs="宋体"/>
          <w:color w:val="auto"/>
          <w:kern w:val="2"/>
          <w:sz w:val="24"/>
          <w:szCs w:val="24"/>
          <w:highlight w:val="none"/>
          <w:lang w:val="en-US" w:eastAsia="zh-CN" w:bidi="ar-SA"/>
        </w:rPr>
        <w:t>药品</w:t>
      </w:r>
      <w:r>
        <w:rPr>
          <w:rFonts w:hint="eastAsia" w:ascii="宋体" w:hAnsi="宋体" w:eastAsia="宋体" w:cs="宋体"/>
          <w:color w:val="auto"/>
          <w:kern w:val="2"/>
          <w:sz w:val="24"/>
          <w:szCs w:val="24"/>
          <w:highlight w:val="none"/>
          <w:lang w:val="en-US" w:eastAsia="zh-CN" w:bidi="ar-SA"/>
        </w:rPr>
        <w:t>视为非中选药品移出</w:t>
      </w:r>
      <w:r>
        <w:rPr>
          <w:rFonts w:hint="eastAsia" w:ascii="宋体" w:hAnsi="宋体" w:cs="宋体"/>
          <w:color w:val="auto"/>
          <w:kern w:val="2"/>
          <w:sz w:val="24"/>
          <w:szCs w:val="24"/>
          <w:highlight w:val="none"/>
          <w:lang w:val="en-US" w:eastAsia="zh-CN" w:bidi="ar-SA"/>
        </w:rPr>
        <w:t>南部</w:t>
      </w:r>
      <w:r>
        <w:rPr>
          <w:rFonts w:hint="eastAsia" w:ascii="宋体" w:hAnsi="宋体" w:eastAsia="宋体" w:cs="宋体"/>
          <w:color w:val="auto"/>
          <w:kern w:val="2"/>
          <w:sz w:val="24"/>
          <w:szCs w:val="24"/>
          <w:highlight w:val="none"/>
          <w:lang w:val="en-US" w:eastAsia="zh-CN" w:bidi="ar-SA"/>
        </w:rPr>
        <w:t>联盟药品议价目录，并作为重点监控品种进行管理。</w:t>
      </w:r>
    </w:p>
    <w:p>
      <w:pPr>
        <w:pStyle w:val="12"/>
        <w:keepNext w:val="0"/>
        <w:keepLines w:val="0"/>
        <w:pageBreakBefore w:val="0"/>
        <w:widowControl w:val="0"/>
        <w:kinsoku/>
        <w:wordWrap/>
        <w:overflowPunct/>
        <w:topLinePunct w:val="0"/>
        <w:bidi w:val="0"/>
        <w:adjustRightInd/>
        <w:snapToGrid/>
        <w:spacing w:line="460" w:lineRule="exact"/>
        <w:ind w:left="0" w:leftChars="0" w:firstLine="482" w:firstLineChars="200"/>
        <w:textAlignment w:val="auto"/>
        <w:outlineLvl w:val="1"/>
        <w:rPr>
          <w:rFonts w:hint="eastAsia" w:ascii="宋体" w:hAnsi="宋体" w:eastAsia="宋体" w:cs="宋体"/>
          <w:b/>
          <w:bCs/>
          <w:color w:val="auto"/>
          <w:sz w:val="24"/>
          <w:szCs w:val="24"/>
          <w:highlight w:val="none"/>
          <w:u w:val="none"/>
          <w:shd w:val="clear" w:color="auto" w:fill="auto"/>
          <w:lang w:val="en-US" w:eastAsia="zh-CN" w:bidi="zh-TW"/>
        </w:rPr>
      </w:pPr>
      <w:bookmarkStart w:id="55" w:name="_Toc24149"/>
      <w:r>
        <w:rPr>
          <w:rFonts w:hint="eastAsia" w:ascii="宋体" w:hAnsi="宋体" w:eastAsia="宋体" w:cs="宋体"/>
          <w:b/>
          <w:bCs/>
          <w:color w:val="auto"/>
          <w:sz w:val="24"/>
          <w:szCs w:val="24"/>
          <w:highlight w:val="none"/>
          <w:u w:val="none"/>
          <w:shd w:val="clear" w:color="auto" w:fill="auto"/>
          <w:lang w:val="en-US" w:eastAsia="zh-CN" w:bidi="zh-TW"/>
        </w:rPr>
        <w:t>6、拟中选</w:t>
      </w:r>
      <w:r>
        <w:rPr>
          <w:rFonts w:hint="eastAsia" w:ascii="宋体" w:hAnsi="宋体" w:eastAsia="宋体" w:cs="宋体"/>
          <w:b/>
          <w:bCs/>
          <w:color w:val="auto"/>
          <w:sz w:val="24"/>
          <w:szCs w:val="24"/>
          <w:highlight w:val="none"/>
          <w:u w:val="none"/>
          <w:shd w:val="clear" w:color="auto" w:fill="auto"/>
          <w:lang w:val="zh-TW" w:eastAsia="zh-TW" w:bidi="zh-TW"/>
        </w:rPr>
        <w:t>结果公示</w:t>
      </w:r>
      <w:r>
        <w:rPr>
          <w:rFonts w:hint="eastAsia" w:ascii="宋体" w:hAnsi="宋体" w:eastAsia="宋体" w:cs="宋体"/>
          <w:b/>
          <w:bCs/>
          <w:color w:val="auto"/>
          <w:sz w:val="24"/>
          <w:szCs w:val="24"/>
          <w:highlight w:val="none"/>
          <w:u w:val="none"/>
          <w:shd w:val="clear" w:color="auto" w:fill="auto"/>
          <w:lang w:val="en-US" w:eastAsia="zh-CN" w:bidi="zh-TW"/>
        </w:rPr>
        <w:t>及执行</w:t>
      </w:r>
      <w:bookmarkEnd w:id="55"/>
    </w:p>
    <w:p>
      <w:pPr>
        <w:keepNext w:val="0"/>
        <w:keepLines w:val="0"/>
        <w:pageBreakBefore w:val="0"/>
        <w:widowControl/>
        <w:kinsoku/>
        <w:wordWrap/>
        <w:overflowPunct/>
        <w:topLinePunct w:val="0"/>
        <w:bidi w:val="0"/>
        <w:adjustRightInd/>
        <w:snapToGrid/>
        <w:spacing w:line="460" w:lineRule="exact"/>
        <w:ind w:left="0" w:leftChars="0" w:right="0" w:firstLine="480" w:firstLineChars="200"/>
        <w:jc w:val="both"/>
        <w:textAlignment w:val="auto"/>
        <w:outlineLvl w:val="2"/>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6.1</w:t>
      </w:r>
      <w:r>
        <w:rPr>
          <w:rFonts w:hint="eastAsia" w:ascii="宋体" w:hAnsi="宋体" w:eastAsia="宋体" w:cs="宋体"/>
          <w:color w:val="auto"/>
          <w:sz w:val="24"/>
          <w:szCs w:val="24"/>
          <w:highlight w:val="none"/>
          <w:shd w:val="clear" w:color="auto" w:fill="FFFFFF"/>
        </w:rPr>
        <w:t>拟中选结果公示</w:t>
      </w:r>
    </w:p>
    <w:p>
      <w:pPr>
        <w:pStyle w:val="12"/>
        <w:keepNext w:val="0"/>
        <w:keepLines w:val="0"/>
        <w:pageBreakBefore w:val="0"/>
        <w:widowControl w:val="0"/>
        <w:kinsoku/>
        <w:wordWrap/>
        <w:overflowPunct/>
        <w:topLinePunct w:val="0"/>
        <w:bidi w:val="0"/>
        <w:adjustRightInd/>
        <w:snapToGrid/>
        <w:spacing w:line="460" w:lineRule="exact"/>
        <w:ind w:left="0" w:leftChars="0" w:firstLine="480" w:firstLineChars="200"/>
        <w:textAlignment w:val="auto"/>
        <w:rPr>
          <w:rFonts w:hint="eastAsia" w:ascii="宋体" w:hAnsi="宋体" w:eastAsia="宋体" w:cs="宋体"/>
          <w:color w:val="auto"/>
          <w:sz w:val="24"/>
          <w:szCs w:val="24"/>
          <w:highlight w:val="none"/>
          <w:u w:val="none"/>
          <w:shd w:val="clear" w:color="auto" w:fill="auto"/>
          <w:lang w:val="en-US" w:eastAsia="zh-CN" w:bidi="zh-TW"/>
        </w:rPr>
      </w:pPr>
      <w:r>
        <w:rPr>
          <w:rFonts w:hint="eastAsia" w:ascii="宋体" w:hAnsi="宋体" w:eastAsia="宋体" w:cs="宋体"/>
          <w:color w:val="auto"/>
          <w:sz w:val="24"/>
          <w:szCs w:val="24"/>
          <w:highlight w:val="none"/>
          <w:shd w:val="clear" w:color="auto" w:fill="FFFFFF"/>
        </w:rPr>
        <w:t>以拟中选企业最终报价作为该企业申报产品的拟中选价格。拟中选结果（不含中选价）在平台予以公示，并在规定时间内接受实名制投诉。如拟中选企业被取消中选资格的，从该品种未中选企业中按中选规则确定替补的供应企业。</w:t>
      </w:r>
    </w:p>
    <w:p>
      <w:pPr>
        <w:pStyle w:val="12"/>
        <w:keepNext w:val="0"/>
        <w:keepLines w:val="0"/>
        <w:pageBreakBefore w:val="0"/>
        <w:widowControl w:val="0"/>
        <w:kinsoku/>
        <w:wordWrap/>
        <w:overflowPunct/>
        <w:topLinePunct w:val="0"/>
        <w:bidi w:val="0"/>
        <w:adjustRightInd/>
        <w:snapToGrid/>
        <w:spacing w:line="460" w:lineRule="exact"/>
        <w:ind w:left="0" w:leftChars="0"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拟中选结果公示无异议后，中选结果公布并挂网执行。</w:t>
      </w:r>
      <w:r>
        <w:rPr>
          <w:rFonts w:hint="eastAsia" w:ascii="宋体" w:hAnsi="宋体" w:eastAsia="宋体" w:cs="宋体"/>
          <w:color w:val="auto"/>
          <w:sz w:val="24"/>
          <w:szCs w:val="24"/>
          <w:highlight w:val="none"/>
          <w:shd w:val="clear" w:color="auto" w:fill="FFFFFF"/>
          <w:lang w:val="en-US" w:eastAsia="zh-CN"/>
        </w:rPr>
        <w:t>中选企业放弃中选药品的，由排名靠前的投标单位入围，放弃中选资格的单位应当依法承担法律责任。</w:t>
      </w:r>
    </w:p>
    <w:p>
      <w:pPr>
        <w:pageBreakBefore w:val="0"/>
        <w:widowControl w:val="0"/>
        <w:numPr>
          <w:ilvl w:val="0"/>
          <w:numId w:val="0"/>
        </w:numPr>
        <w:kinsoku/>
        <w:wordWrap/>
        <w:overflowPunct/>
        <w:topLinePunct w:val="0"/>
        <w:bidi w:val="0"/>
        <w:adjustRightInd/>
        <w:snapToGrid/>
        <w:spacing w:line="460" w:lineRule="exact"/>
        <w:ind w:left="0" w:leftChars="0" w:right="0" w:rightChars="0" w:firstLine="480" w:firstLineChars="200"/>
        <w:jc w:val="both"/>
        <w:textAlignment w:val="auto"/>
        <w:outlineLvl w:val="2"/>
        <w:rPr>
          <w:rFonts w:hint="eastAsia" w:ascii="宋体" w:hAnsi="宋体" w:eastAsia="宋体" w:cs="宋体"/>
          <w:color w:val="auto"/>
          <w:sz w:val="24"/>
          <w:szCs w:val="24"/>
          <w:highlight w:val="none"/>
          <w:lang w:val="en-US" w:eastAsia="zh-CN"/>
        </w:rPr>
      </w:pPr>
      <w:bookmarkStart w:id="56" w:name="_Toc8833"/>
      <w:r>
        <w:rPr>
          <w:rFonts w:hint="eastAsia" w:ascii="宋体" w:hAnsi="宋体" w:eastAsia="宋体" w:cs="宋体"/>
          <w:color w:val="auto"/>
          <w:sz w:val="24"/>
          <w:szCs w:val="24"/>
          <w:highlight w:val="none"/>
          <w:lang w:val="en-US" w:eastAsia="zh-CN"/>
        </w:rPr>
        <w:t>6.2中选药品采购</w:t>
      </w:r>
      <w:bookmarkEnd w:id="56"/>
    </w:p>
    <w:p>
      <w:pPr>
        <w:keepNext w:val="0"/>
        <w:keepLines w:val="0"/>
        <w:pageBreakBefore w:val="0"/>
        <w:widowControl w:val="0"/>
        <w:kinsoku/>
        <w:wordWrap/>
        <w:overflowPunct/>
        <w:topLinePunct w:val="0"/>
        <w:autoSpaceDE w:val="0"/>
        <w:autoSpaceDN w:val="0"/>
        <w:bidi w:val="0"/>
        <w:adjustRightInd/>
        <w:snapToGrid/>
        <w:spacing w:line="460" w:lineRule="exact"/>
        <w:ind w:left="0" w:leftChars="0" w:firstLine="480" w:firstLineChars="200"/>
        <w:jc w:val="left"/>
        <w:textAlignment w:val="auto"/>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color w:val="auto"/>
          <w:sz w:val="24"/>
          <w:szCs w:val="24"/>
          <w:highlight w:val="none"/>
          <w:shd w:val="clear" w:color="auto" w:fill="FFFFFF"/>
          <w:lang w:val="en-US" w:eastAsia="zh-CN"/>
        </w:rPr>
        <w:t>6.2.1中选结果公布后，</w:t>
      </w:r>
      <w:r>
        <w:rPr>
          <w:rFonts w:hint="eastAsia" w:ascii="宋体" w:hAnsi="宋体" w:eastAsia="宋体" w:cs="宋体"/>
          <w:color w:val="auto"/>
          <w:sz w:val="24"/>
          <w:szCs w:val="24"/>
          <w:highlight w:val="none"/>
          <w:lang w:val="en-US" w:eastAsia="zh-CN"/>
        </w:rPr>
        <w:t>医疗机构自主确定配送企业，并签订相关协议。</w:t>
      </w:r>
    </w:p>
    <w:p>
      <w:pPr>
        <w:keepNext w:val="0"/>
        <w:keepLines w:val="0"/>
        <w:pageBreakBefore w:val="0"/>
        <w:widowControl w:val="0"/>
        <w:kinsoku/>
        <w:wordWrap/>
        <w:overflowPunct/>
        <w:topLinePunct w:val="0"/>
        <w:autoSpaceDE w:val="0"/>
        <w:autoSpaceDN w:val="0"/>
        <w:bidi w:val="0"/>
        <w:adjustRightInd/>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6.2.2中选企业是保障质量和供应的第一责任人，要严格质量管理，按照采购协议组织中选药品的生产，确保在采购周期及时满足医疗机构的采购需求。中选企业要按购销协议建立生产企业应急储备、库存和停产报告制度，出现质量和不能按时</w:t>
      </w:r>
      <w:r>
        <w:rPr>
          <w:rFonts w:hint="eastAsia" w:ascii="宋体" w:hAnsi="宋体" w:cs="宋体"/>
          <w:color w:val="auto"/>
          <w:kern w:val="2"/>
          <w:sz w:val="24"/>
          <w:szCs w:val="24"/>
          <w:highlight w:val="none"/>
          <w:u w:val="none"/>
          <w:shd w:val="clear" w:color="auto" w:fill="auto"/>
          <w:lang w:val="en-US" w:eastAsia="zh-CN" w:bidi="zh-TW"/>
        </w:rPr>
        <w:t>按量</w:t>
      </w:r>
      <w:r>
        <w:rPr>
          <w:rFonts w:hint="eastAsia" w:ascii="宋体" w:hAnsi="宋体" w:eastAsia="宋体" w:cs="宋体"/>
          <w:color w:val="auto"/>
          <w:kern w:val="2"/>
          <w:sz w:val="24"/>
          <w:szCs w:val="24"/>
          <w:highlight w:val="none"/>
          <w:u w:val="none"/>
          <w:shd w:val="clear" w:color="auto" w:fill="auto"/>
          <w:lang w:val="en-US" w:eastAsia="zh-CN" w:bidi="zh-TW"/>
        </w:rPr>
        <w:t>供货等情况时，要相应采取赔偿、约谈、惩戒、退出、备选和应急保障措施。</w:t>
      </w:r>
    </w:p>
    <w:p>
      <w:pPr>
        <w:keepNext w:val="0"/>
        <w:keepLines w:val="0"/>
        <w:pageBreakBefore w:val="0"/>
        <w:widowControl w:val="0"/>
        <w:kinsoku/>
        <w:wordWrap/>
        <w:overflowPunct/>
        <w:topLinePunct w:val="0"/>
        <w:autoSpaceDE w:val="0"/>
        <w:autoSpaceDN w:val="0"/>
        <w:bidi w:val="0"/>
        <w:adjustRightInd/>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sz w:val="24"/>
          <w:szCs w:val="24"/>
          <w:highlight w:val="none"/>
          <w:lang w:val="en-US" w:eastAsia="zh-CN"/>
        </w:rPr>
        <w:t>6.2.3中选企业自主选择配送能力强、信誉度好的配送企业进行配送，配送费用由中选</w:t>
      </w:r>
      <w:r>
        <w:rPr>
          <w:rFonts w:hint="eastAsia" w:ascii="宋体" w:hAnsi="宋体" w:eastAsia="宋体" w:cs="宋体"/>
          <w:color w:val="auto"/>
          <w:kern w:val="2"/>
          <w:sz w:val="24"/>
          <w:szCs w:val="24"/>
          <w:highlight w:val="none"/>
          <w:u w:val="none"/>
          <w:shd w:val="clear" w:color="auto" w:fill="auto"/>
          <w:lang w:val="en-US" w:eastAsia="zh-CN" w:bidi="zh-TW"/>
        </w:rPr>
        <w:t>企业承担。配送企业应具备相应资质和完备的流通追溯体系，有能力覆盖协议供应地区，及时响应医药机构采购订单并配送到位。</w:t>
      </w:r>
    </w:p>
    <w:p>
      <w:pPr>
        <w:keepNext w:val="0"/>
        <w:keepLines w:val="0"/>
        <w:pageBreakBefore w:val="0"/>
        <w:widowControl w:val="0"/>
        <w:kinsoku/>
        <w:wordWrap/>
        <w:overflowPunct/>
        <w:topLinePunct w:val="0"/>
        <w:autoSpaceDE w:val="0"/>
        <w:autoSpaceDN w:val="0"/>
        <w:bidi w:val="0"/>
        <w:adjustRightInd/>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6.2.4采购周期内，中选企业出现无法保障供应等情况，导致协议无法继续履行时，</w:t>
      </w:r>
      <w:r>
        <w:rPr>
          <w:rFonts w:hint="eastAsia" w:ascii="宋体" w:hAnsi="宋体" w:cs="宋体"/>
          <w:color w:val="auto"/>
          <w:kern w:val="2"/>
          <w:sz w:val="24"/>
          <w:szCs w:val="24"/>
          <w:highlight w:val="none"/>
          <w:u w:val="none"/>
          <w:shd w:val="clear" w:color="auto" w:fill="auto"/>
          <w:lang w:val="en-US" w:eastAsia="zh-CN" w:bidi="zh-TW"/>
        </w:rPr>
        <w:t>南部联盟医药集采领导小组办公室</w:t>
      </w:r>
      <w:r>
        <w:rPr>
          <w:rFonts w:hint="eastAsia" w:ascii="宋体" w:hAnsi="宋体" w:eastAsia="宋体" w:cs="宋体"/>
          <w:color w:val="auto"/>
          <w:kern w:val="2"/>
          <w:sz w:val="24"/>
          <w:szCs w:val="24"/>
          <w:highlight w:val="none"/>
          <w:u w:val="none"/>
          <w:shd w:val="clear" w:color="auto" w:fill="auto"/>
          <w:lang w:val="en-US" w:eastAsia="zh-CN" w:bidi="zh-TW"/>
        </w:rPr>
        <w:t>与该企业协商后，从本次药品议价采购该品种其他入围企业中依顺次确定替补的供应企业，因保障供应产生的额外支出由无法履行协议的原中标企业承担。</w:t>
      </w:r>
    </w:p>
    <w:p>
      <w:pPr>
        <w:keepNext w:val="0"/>
        <w:keepLines w:val="0"/>
        <w:pageBreakBefore w:val="0"/>
        <w:widowControl w:val="0"/>
        <w:kinsoku/>
        <w:wordWrap/>
        <w:overflowPunct/>
        <w:topLinePunct w:val="0"/>
        <w:autoSpaceDE w:val="0"/>
        <w:autoSpaceDN w:val="0"/>
        <w:bidi w:val="0"/>
        <w:adjustRightInd/>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6.2.5采购周期内，若中选药品配送企业被列入“违规名单”，</w:t>
      </w:r>
      <w:r>
        <w:rPr>
          <w:rFonts w:hint="eastAsia" w:ascii="宋体" w:hAnsi="宋体" w:cs="宋体"/>
          <w:color w:val="auto"/>
          <w:kern w:val="2"/>
          <w:sz w:val="24"/>
          <w:szCs w:val="24"/>
          <w:highlight w:val="none"/>
          <w:u w:val="none"/>
          <w:shd w:val="clear" w:color="auto" w:fill="auto"/>
          <w:lang w:val="en-US" w:eastAsia="zh-CN" w:bidi="zh-TW"/>
        </w:rPr>
        <w:t>南部联盟医药集采领导小组办公室</w:t>
      </w:r>
      <w:r>
        <w:rPr>
          <w:rFonts w:hint="eastAsia" w:ascii="宋体" w:hAnsi="宋体" w:eastAsia="宋体" w:cs="宋体"/>
          <w:color w:val="auto"/>
          <w:kern w:val="2"/>
          <w:sz w:val="24"/>
          <w:szCs w:val="24"/>
          <w:highlight w:val="none"/>
          <w:u w:val="none"/>
          <w:shd w:val="clear" w:color="auto" w:fill="auto"/>
          <w:lang w:val="en-US" w:eastAsia="zh-CN" w:bidi="zh-TW"/>
        </w:rPr>
        <w:t>组织中选企业选择其他配送企业，确保中选药品及时配送。</w:t>
      </w:r>
    </w:p>
    <w:p>
      <w:pPr>
        <w:keepNext w:val="0"/>
        <w:keepLines w:val="0"/>
        <w:pageBreakBefore w:val="0"/>
        <w:widowControl w:val="0"/>
        <w:kinsoku/>
        <w:wordWrap/>
        <w:overflowPunct/>
        <w:topLinePunct w:val="0"/>
        <w:autoSpaceDE w:val="0"/>
        <w:autoSpaceDN w:val="0"/>
        <w:bidi w:val="0"/>
        <w:adjustRightInd/>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6.2.6患者因使用中选药品生产质量问题造成的损失，按照有关规定</w:t>
      </w:r>
      <w:r>
        <w:rPr>
          <w:rFonts w:hint="eastAsia" w:ascii="宋体" w:hAnsi="宋体" w:cs="宋体"/>
          <w:color w:val="auto"/>
          <w:kern w:val="2"/>
          <w:sz w:val="24"/>
          <w:szCs w:val="24"/>
          <w:highlight w:val="none"/>
          <w:u w:val="none"/>
          <w:shd w:val="clear" w:color="auto" w:fill="auto"/>
          <w:lang w:val="en-US" w:eastAsia="zh-CN" w:bidi="zh-TW"/>
        </w:rPr>
        <w:t>进行</w:t>
      </w:r>
      <w:r>
        <w:rPr>
          <w:rFonts w:hint="eastAsia" w:ascii="宋体" w:hAnsi="宋体" w:eastAsia="宋体" w:cs="宋体"/>
          <w:color w:val="auto"/>
          <w:kern w:val="2"/>
          <w:sz w:val="24"/>
          <w:szCs w:val="24"/>
          <w:highlight w:val="none"/>
          <w:u w:val="none"/>
          <w:shd w:val="clear" w:color="auto" w:fill="auto"/>
          <w:lang w:val="en-US" w:eastAsia="zh-CN" w:bidi="zh-TW"/>
        </w:rPr>
        <w:t>相应处罚，并由中选企业承担全部赔偿责任。</w:t>
      </w:r>
    </w:p>
    <w:p>
      <w:pPr>
        <w:keepNext w:val="0"/>
        <w:keepLines w:val="0"/>
        <w:pageBreakBefore w:val="0"/>
        <w:widowControl w:val="0"/>
        <w:kinsoku/>
        <w:wordWrap/>
        <w:overflowPunct/>
        <w:topLinePunct w:val="0"/>
        <w:autoSpaceDE w:val="0"/>
        <w:autoSpaceDN w:val="0"/>
        <w:bidi w:val="0"/>
        <w:adjustRightInd/>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6.3备案采购</w:t>
      </w:r>
    </w:p>
    <w:p>
      <w:pPr>
        <w:pStyle w:val="12"/>
        <w:keepNext w:val="0"/>
        <w:keepLines w:val="0"/>
        <w:pageBreakBefore w:val="0"/>
        <w:widowControl w:val="0"/>
        <w:kinsoku/>
        <w:wordWrap/>
        <w:overflowPunct/>
        <w:topLinePunct w:val="0"/>
        <w:autoSpaceDE w:val="0"/>
        <w:autoSpaceDN w:val="0"/>
        <w:bidi w:val="0"/>
        <w:adjustRightInd/>
        <w:snapToGrid/>
        <w:spacing w:line="460" w:lineRule="exact"/>
        <w:ind w:left="0" w:leftChars="0" w:firstLine="480" w:firstLineChars="200"/>
        <w:textAlignment w:val="auto"/>
        <w:rPr>
          <w:rFonts w:hint="eastAsia" w:ascii="宋体" w:hAnsi="宋体" w:eastAsia="宋体" w:cs="宋体"/>
          <w:b/>
          <w:bCs/>
          <w:color w:val="auto"/>
          <w:kern w:val="2"/>
          <w:sz w:val="24"/>
          <w:szCs w:val="24"/>
          <w:highlight w:val="none"/>
          <w:u w:val="none"/>
          <w:shd w:val="clear" w:color="auto" w:fill="auto"/>
          <w:lang w:val="en-US" w:eastAsia="zh-CN" w:bidi="zh-TW"/>
        </w:rPr>
      </w:pPr>
      <w:r>
        <w:rPr>
          <w:rFonts w:hint="eastAsia" w:ascii="宋体" w:hAnsi="宋体" w:eastAsia="宋体" w:cs="宋体"/>
          <w:color w:val="auto"/>
          <w:sz w:val="24"/>
          <w:szCs w:val="24"/>
          <w:highlight w:val="none"/>
          <w:u w:val="none"/>
          <w:shd w:val="clear" w:color="auto" w:fill="auto"/>
          <w:lang w:val="en-US" w:eastAsia="zh-CN" w:bidi="zh-TW"/>
        </w:rPr>
        <w:t>备案采购是</w:t>
      </w:r>
      <w:r>
        <w:rPr>
          <w:rFonts w:hint="eastAsia" w:ascii="宋体" w:hAnsi="宋体" w:eastAsia="宋体" w:cs="宋体"/>
          <w:color w:val="auto"/>
          <w:sz w:val="24"/>
          <w:szCs w:val="24"/>
          <w:highlight w:val="none"/>
          <w:u w:val="none"/>
          <w:shd w:val="clear" w:color="auto" w:fill="auto"/>
          <w:lang w:val="zh-CN" w:eastAsia="zh-CN" w:bidi="zh-TW"/>
        </w:rPr>
        <w:t>指在采购目录中，但没有产生</w:t>
      </w:r>
      <w:r>
        <w:rPr>
          <w:rFonts w:hint="eastAsia" w:ascii="宋体" w:hAnsi="宋体" w:eastAsia="宋体" w:cs="宋体"/>
          <w:color w:val="auto"/>
          <w:sz w:val="24"/>
          <w:szCs w:val="24"/>
          <w:highlight w:val="none"/>
          <w:u w:val="none"/>
          <w:shd w:val="clear" w:color="auto" w:fill="auto"/>
          <w:lang w:val="en-US" w:eastAsia="zh-CN" w:bidi="zh-TW"/>
        </w:rPr>
        <w:t>中选</w:t>
      </w:r>
      <w:r>
        <w:rPr>
          <w:rFonts w:hint="eastAsia" w:ascii="宋体" w:hAnsi="宋体" w:eastAsia="宋体" w:cs="宋体"/>
          <w:color w:val="auto"/>
          <w:sz w:val="24"/>
          <w:szCs w:val="24"/>
          <w:highlight w:val="none"/>
          <w:u w:val="none"/>
          <w:shd w:val="clear" w:color="auto" w:fill="auto"/>
          <w:lang w:val="zh-CN" w:eastAsia="zh-CN" w:bidi="zh-TW"/>
        </w:rPr>
        <w:t>结果或</w:t>
      </w:r>
      <w:r>
        <w:rPr>
          <w:rFonts w:hint="eastAsia" w:ascii="宋体" w:hAnsi="宋体" w:eastAsia="宋体" w:cs="宋体"/>
          <w:color w:val="auto"/>
          <w:sz w:val="24"/>
          <w:szCs w:val="24"/>
          <w:highlight w:val="none"/>
          <w:u w:val="none"/>
          <w:shd w:val="clear" w:color="auto" w:fill="auto"/>
          <w:lang w:val="en-US" w:eastAsia="zh-CN" w:bidi="zh-TW"/>
        </w:rPr>
        <w:t>中选</w:t>
      </w:r>
      <w:r>
        <w:rPr>
          <w:rFonts w:hint="eastAsia" w:ascii="宋体" w:hAnsi="宋体" w:eastAsia="宋体" w:cs="宋体"/>
          <w:color w:val="auto"/>
          <w:sz w:val="24"/>
          <w:szCs w:val="24"/>
          <w:highlight w:val="none"/>
          <w:u w:val="none"/>
          <w:shd w:val="clear" w:color="auto" w:fill="auto"/>
          <w:lang w:val="zh-CN" w:eastAsia="zh-CN" w:bidi="zh-TW"/>
        </w:rPr>
        <w:t>后因特殊原因导致废</w:t>
      </w:r>
      <w:r>
        <w:rPr>
          <w:rFonts w:hint="eastAsia" w:hAnsi="宋体" w:cs="宋体"/>
          <w:color w:val="auto"/>
          <w:sz w:val="24"/>
          <w:szCs w:val="24"/>
          <w:highlight w:val="none"/>
          <w:u w:val="none"/>
          <w:shd w:val="clear" w:color="auto" w:fill="auto"/>
          <w:lang w:val="zh-CN" w:eastAsia="zh-CN" w:bidi="zh-TW"/>
        </w:rPr>
        <w:t>标的</w:t>
      </w:r>
      <w:r>
        <w:rPr>
          <w:rFonts w:hint="eastAsia" w:ascii="宋体" w:hAnsi="宋体" w:eastAsia="宋体" w:cs="宋体"/>
          <w:color w:val="auto"/>
          <w:sz w:val="24"/>
          <w:szCs w:val="24"/>
          <w:highlight w:val="none"/>
          <w:u w:val="none"/>
          <w:shd w:val="clear" w:color="auto" w:fill="auto"/>
          <w:lang w:val="en-US" w:eastAsia="zh-CN" w:bidi="zh-TW"/>
        </w:rPr>
        <w:t>药品，医疗机构必须使用的产品或新产品，</w:t>
      </w:r>
      <w:r>
        <w:rPr>
          <w:rFonts w:hint="eastAsia" w:ascii="宋体" w:hAnsi="宋体" w:eastAsia="宋体" w:cs="宋体"/>
          <w:color w:val="auto"/>
          <w:sz w:val="24"/>
          <w:szCs w:val="24"/>
          <w:highlight w:val="none"/>
          <w:u w:val="none"/>
          <w:shd w:val="clear" w:color="auto" w:fill="auto"/>
          <w:lang w:val="zh-CN" w:eastAsia="zh-CN" w:bidi="zh-TW"/>
        </w:rPr>
        <w:t>依据属地管理需</w:t>
      </w:r>
      <w:r>
        <w:rPr>
          <w:rFonts w:hint="eastAsia" w:ascii="宋体" w:hAnsi="宋体" w:eastAsia="宋体" w:cs="宋体"/>
          <w:color w:val="auto"/>
          <w:sz w:val="24"/>
          <w:szCs w:val="24"/>
          <w:highlight w:val="none"/>
          <w:u w:val="none"/>
          <w:shd w:val="clear" w:color="auto" w:fill="auto"/>
          <w:lang w:val="en-US" w:eastAsia="zh-CN" w:bidi="zh-TW"/>
        </w:rPr>
        <w:t>提交相关资料到联盟地州（师市）</w:t>
      </w:r>
      <w:r>
        <w:rPr>
          <w:rFonts w:hint="eastAsia" w:ascii="宋体" w:hAnsi="宋体" w:eastAsia="宋体" w:cs="宋体"/>
          <w:color w:val="auto"/>
          <w:sz w:val="24"/>
          <w:szCs w:val="24"/>
          <w:highlight w:val="none"/>
          <w:u w:val="none"/>
          <w:shd w:val="clear" w:color="auto" w:fill="auto"/>
          <w:lang w:val="zh-CN" w:eastAsia="zh-CN" w:bidi="zh-TW"/>
        </w:rPr>
        <w:t>医疗保障局</w:t>
      </w:r>
      <w:r>
        <w:rPr>
          <w:rFonts w:hint="eastAsia" w:ascii="宋体" w:hAnsi="宋体" w:eastAsia="宋体" w:cs="宋体"/>
          <w:color w:val="auto"/>
          <w:sz w:val="24"/>
          <w:szCs w:val="24"/>
          <w:highlight w:val="none"/>
          <w:u w:val="none"/>
          <w:shd w:val="clear" w:color="auto" w:fill="auto"/>
          <w:lang w:val="en-US" w:eastAsia="zh-CN" w:bidi="zh-TW"/>
        </w:rPr>
        <w:t>报备</w:t>
      </w:r>
      <w:r>
        <w:rPr>
          <w:rFonts w:hint="eastAsia" w:ascii="宋体" w:hAnsi="宋体" w:eastAsia="宋体" w:cs="宋体"/>
          <w:color w:val="auto"/>
          <w:sz w:val="24"/>
          <w:szCs w:val="24"/>
          <w:highlight w:val="none"/>
          <w:u w:val="none"/>
          <w:shd w:val="clear" w:color="auto" w:fill="auto"/>
          <w:lang w:val="zh-CN" w:eastAsia="zh-CN" w:bidi="zh-TW"/>
        </w:rPr>
        <w:t>方可使用。</w:t>
      </w:r>
    </w:p>
    <w:p>
      <w:pPr>
        <w:pStyle w:val="2"/>
        <w:pageBreakBefore w:val="0"/>
        <w:kinsoku/>
        <w:wordWrap/>
        <w:overflowPunct/>
        <w:topLinePunct w:val="0"/>
        <w:bidi w:val="0"/>
        <w:snapToGrid/>
        <w:spacing w:line="460" w:lineRule="exact"/>
        <w:ind w:left="0" w:leftChars="0" w:firstLine="482" w:firstLineChars="200"/>
        <w:textAlignment w:val="auto"/>
        <w:outlineLvl w:val="1"/>
        <w:rPr>
          <w:rFonts w:hint="eastAsia" w:ascii="宋体" w:hAnsi="宋体" w:eastAsia="宋体" w:cs="宋体"/>
          <w:b/>
          <w:bCs/>
          <w:color w:val="auto"/>
          <w:kern w:val="2"/>
          <w:sz w:val="24"/>
          <w:szCs w:val="24"/>
          <w:highlight w:val="none"/>
          <w:u w:val="none"/>
          <w:shd w:val="clear" w:color="auto" w:fill="auto"/>
          <w:lang w:val="en-US" w:eastAsia="zh-CN" w:bidi="zh-TW"/>
        </w:rPr>
      </w:pPr>
      <w:bookmarkStart w:id="57" w:name="_Toc21718"/>
      <w:r>
        <w:rPr>
          <w:rFonts w:hint="eastAsia" w:ascii="宋体" w:hAnsi="宋体" w:eastAsia="宋体" w:cs="宋体"/>
          <w:b/>
          <w:bCs/>
          <w:color w:val="auto"/>
          <w:kern w:val="2"/>
          <w:sz w:val="24"/>
          <w:szCs w:val="24"/>
          <w:highlight w:val="none"/>
          <w:u w:val="none"/>
          <w:shd w:val="clear" w:color="auto" w:fill="auto"/>
          <w:lang w:val="en-US" w:eastAsia="zh-CN" w:bidi="zh-TW"/>
        </w:rPr>
        <w:t>7、</w:t>
      </w:r>
      <w:bookmarkStart w:id="58" w:name="_Toc53152588"/>
      <w:bookmarkStart w:id="59" w:name="_Toc22111"/>
      <w:r>
        <w:rPr>
          <w:rFonts w:hint="eastAsia" w:ascii="宋体" w:hAnsi="宋体" w:eastAsia="宋体" w:cs="宋体"/>
          <w:b/>
          <w:bCs/>
          <w:color w:val="auto"/>
          <w:kern w:val="2"/>
          <w:sz w:val="24"/>
          <w:szCs w:val="24"/>
          <w:highlight w:val="none"/>
          <w:u w:val="none"/>
          <w:shd w:val="clear" w:color="auto" w:fill="auto"/>
          <w:lang w:val="en-US" w:eastAsia="zh-CN" w:bidi="zh-TW"/>
        </w:rPr>
        <w:t>质疑的提出及处理</w:t>
      </w:r>
      <w:bookmarkEnd w:id="57"/>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outlineLvl w:val="2"/>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7.1质疑的提出</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7.1.1申报企业（以下简称投标人）认为采购文件、评标过程、中标或者成交结果使自己的权益受到损害的，可以在知道或者应知其权益受到损害之日起七个工作日内，以书面形式向</w:t>
      </w:r>
      <w:r>
        <w:rPr>
          <w:rFonts w:hint="eastAsia" w:ascii="宋体" w:hAnsi="宋体" w:cs="宋体"/>
          <w:color w:val="auto"/>
          <w:kern w:val="2"/>
          <w:sz w:val="24"/>
          <w:szCs w:val="24"/>
          <w:highlight w:val="none"/>
          <w:u w:val="none"/>
          <w:shd w:val="clear" w:color="auto" w:fill="auto"/>
          <w:lang w:val="en-US" w:eastAsia="zh-CN" w:bidi="zh-TW"/>
        </w:rPr>
        <w:t>南部联盟医药集采领导小组办公室</w:t>
      </w:r>
      <w:r>
        <w:rPr>
          <w:rFonts w:hint="eastAsia" w:ascii="宋体" w:hAnsi="宋体" w:eastAsia="宋体" w:cs="宋体"/>
          <w:color w:val="auto"/>
          <w:kern w:val="2"/>
          <w:sz w:val="24"/>
          <w:szCs w:val="24"/>
          <w:highlight w:val="none"/>
          <w:u w:val="none"/>
          <w:shd w:val="clear" w:color="auto" w:fill="auto"/>
          <w:lang w:val="en-US" w:eastAsia="zh-CN" w:bidi="zh-TW"/>
        </w:rPr>
        <w:t>、</w:t>
      </w:r>
      <w:r>
        <w:rPr>
          <w:rFonts w:hint="eastAsia" w:ascii="宋体" w:hAnsi="宋体" w:cs="宋体"/>
          <w:color w:val="auto"/>
          <w:kern w:val="2"/>
          <w:sz w:val="24"/>
          <w:szCs w:val="24"/>
          <w:highlight w:val="none"/>
          <w:u w:val="none"/>
          <w:shd w:val="clear" w:color="auto" w:fill="auto"/>
          <w:lang w:val="en-US" w:eastAsia="zh-CN" w:bidi="zh-TW"/>
        </w:rPr>
        <w:t>招标代理机构</w:t>
      </w:r>
      <w:r>
        <w:rPr>
          <w:rFonts w:hint="eastAsia" w:ascii="宋体" w:hAnsi="宋体" w:eastAsia="宋体" w:cs="宋体"/>
          <w:color w:val="auto"/>
          <w:kern w:val="2"/>
          <w:sz w:val="24"/>
          <w:szCs w:val="24"/>
          <w:highlight w:val="none"/>
          <w:u w:val="none"/>
          <w:shd w:val="clear" w:color="auto" w:fill="auto"/>
          <w:lang w:val="en-US" w:eastAsia="zh-CN" w:bidi="zh-TW"/>
        </w:rPr>
        <w:t>提出质疑。采购文件可以要求投标人在法定质疑期内一次性提出针对同一采购程序环节的质疑。</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7.1.2投标人应知其权益受到损害之日，是指：（1）对可以质疑的采购文件提出质疑的，为收到采购文件之日或者采购文件公告期限届满之日。（2）对采购过程提出质疑的，为各采购程序环节结束之日。（3）对中选结果提出质疑的，为中选结果公告期限届满之日。</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7.1.3提出质疑人应当是参与所质疑项目采购活动的投标人。</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7.1.4潜在投标人已依法获取其可质疑的采购文件的，可以对该文件提出质疑。对采购文件提出质疑的，应当在获取采购文件或者采购文件公告期限届满之日起7 个工作日内提出。</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7.1.5投标人提出质疑应当提交质疑函和必要的证明材料。质疑函应当包括下列内容：</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1）投标人的姓名或者名称、地址、邮编、联系人及联系电话；</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2）质疑项目的名称、编号；</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3）具体、明确的质疑事项和与质疑事项相关的请求；</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4）事实依据；</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5）必要的法律依据；</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6）提出质疑的日期。</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7.1.6质疑函应当由投标人的法定代表人、主要负责人，或者其授权代表签字或者盖章，并加盖公章。</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7.1.7提出质疑时，必须按照“实事求是</w:t>
      </w:r>
      <w:r>
        <w:rPr>
          <w:rFonts w:hint="eastAsia" w:ascii="宋体" w:hAnsi="宋体" w:cs="宋体"/>
          <w:color w:val="auto"/>
          <w:kern w:val="2"/>
          <w:sz w:val="24"/>
          <w:szCs w:val="24"/>
          <w:highlight w:val="none"/>
          <w:u w:val="none"/>
          <w:shd w:val="clear" w:color="auto" w:fill="auto"/>
          <w:lang w:val="en-US" w:eastAsia="zh-CN" w:bidi="zh-TW"/>
        </w:rPr>
        <w:t>”“</w:t>
      </w:r>
      <w:r>
        <w:rPr>
          <w:rFonts w:hint="eastAsia" w:ascii="宋体" w:hAnsi="宋体" w:eastAsia="宋体" w:cs="宋体"/>
          <w:color w:val="auto"/>
          <w:kern w:val="2"/>
          <w:sz w:val="24"/>
          <w:szCs w:val="24"/>
          <w:highlight w:val="none"/>
          <w:u w:val="none"/>
          <w:shd w:val="clear" w:color="auto" w:fill="auto"/>
          <w:lang w:val="en-US" w:eastAsia="zh-CN" w:bidi="zh-TW"/>
        </w:rPr>
        <w:t>谁主张，谁举证”的原则，提供相关证明材料，不能主观臆测。</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7.1.8投标人可以委托代理人进行质疑和投诉。其授权委托书应当载明代理人的姓名或者名称、代理事项、具体权限、期限和相关事项。并由法定代表人、主要负责人签字或者盖章，并加盖公章。代理人提出质疑和投诉，应当提交投标人签署的授权委托书。</w:t>
      </w:r>
    </w:p>
    <w:p>
      <w:pPr>
        <w:pageBreakBefore w:val="0"/>
        <w:tabs>
          <w:tab w:val="left" w:pos="1843"/>
        </w:tabs>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7.1.9质疑必须提供合法的信息来源或有效证据。质疑人捏造事实、提供虚假材料或者以非法手段取得证明材料进行质疑的，将不予受理。质疑人应当保证所提出的质疑内容及相关证明材料的真实性及来源的合法性，并承担相应的法律责任。属于须由相关部门调查、鉴定或者先行做出相关认定的事项，质疑人应当依法申请具有法定职权的部门查清、认定，并将相关结果提供给采购人。采购人不具有法定调查、认定权限和义务。</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7.1.10证明材料要具备客观性、关联性、合法性，无法查实的（如宣传册、媒体报道、猜测、推理等）不能作为证明材料。</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7.1.11对不能提供相关证明材料的、涉及商业秘密的、非书面形式送达的、匿名的质疑将不予受理。</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7.2受理和处理</w:t>
      </w:r>
    </w:p>
    <w:p>
      <w:pPr>
        <w:pageBreakBefore w:val="0"/>
        <w:kinsoku/>
        <w:wordWrap/>
        <w:overflowPunct/>
        <w:topLinePunct w:val="0"/>
        <w:autoSpaceDE w:val="0"/>
        <w:autoSpaceDN w:val="0"/>
        <w:bidi w:val="0"/>
        <w:adjustRightInd w:val="0"/>
        <w:snapToGrid/>
        <w:spacing w:line="460" w:lineRule="exact"/>
        <w:ind w:left="0" w:leftChars="0" w:firstLine="480" w:firstLineChars="200"/>
        <w:jc w:val="both"/>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7.2.1《质疑函》必须由质疑方的法定代表人或参与本次投标的被授权人以书面的形式送达</w:t>
      </w:r>
      <w:r>
        <w:rPr>
          <w:rFonts w:hint="eastAsia" w:ascii="宋体" w:hAnsi="宋体" w:cs="宋体"/>
          <w:color w:val="auto"/>
          <w:kern w:val="2"/>
          <w:sz w:val="24"/>
          <w:szCs w:val="24"/>
          <w:highlight w:val="none"/>
          <w:u w:val="none"/>
          <w:shd w:val="clear" w:color="auto" w:fill="auto"/>
          <w:lang w:val="en-US" w:eastAsia="zh-CN" w:bidi="zh-TW"/>
        </w:rPr>
        <w:t>南部联盟医药集采领导小组办公室</w:t>
      </w:r>
      <w:r>
        <w:rPr>
          <w:rFonts w:hint="eastAsia" w:ascii="宋体" w:hAnsi="宋体" w:eastAsia="宋体" w:cs="宋体"/>
          <w:color w:val="auto"/>
          <w:kern w:val="2"/>
          <w:sz w:val="24"/>
          <w:szCs w:val="24"/>
          <w:highlight w:val="none"/>
          <w:u w:val="none"/>
          <w:shd w:val="clear" w:color="auto" w:fill="auto"/>
          <w:lang w:val="en-US" w:eastAsia="zh-CN" w:bidi="zh-TW"/>
        </w:rPr>
        <w:t>或招标代理机构。</w:t>
      </w:r>
    </w:p>
    <w:p>
      <w:pPr>
        <w:pageBreakBefore w:val="0"/>
        <w:kinsoku/>
        <w:wordWrap/>
        <w:overflowPunct/>
        <w:topLinePunct w:val="0"/>
        <w:autoSpaceDE w:val="0"/>
        <w:autoSpaceDN w:val="0"/>
        <w:bidi w:val="0"/>
        <w:adjustRightInd w:val="0"/>
        <w:snapToGrid/>
        <w:spacing w:line="460" w:lineRule="exact"/>
        <w:ind w:left="0" w:leftChars="0" w:firstLine="480" w:firstLineChars="200"/>
        <w:jc w:val="both"/>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7.2.2</w:t>
      </w:r>
      <w:r>
        <w:rPr>
          <w:rFonts w:hint="eastAsia" w:ascii="宋体" w:hAnsi="宋体" w:cs="宋体"/>
          <w:color w:val="auto"/>
          <w:kern w:val="2"/>
          <w:sz w:val="24"/>
          <w:szCs w:val="24"/>
          <w:highlight w:val="none"/>
          <w:u w:val="none"/>
          <w:shd w:val="clear" w:color="auto" w:fill="auto"/>
          <w:lang w:val="en-US" w:eastAsia="zh-CN" w:bidi="zh-TW"/>
        </w:rPr>
        <w:t>南部联盟医药集采领导小组办公室</w:t>
      </w:r>
      <w:r>
        <w:rPr>
          <w:rFonts w:hint="eastAsia" w:ascii="宋体" w:hAnsi="宋体" w:eastAsia="宋体" w:cs="宋体"/>
          <w:color w:val="auto"/>
          <w:kern w:val="2"/>
          <w:sz w:val="24"/>
          <w:szCs w:val="24"/>
          <w:highlight w:val="none"/>
          <w:u w:val="none"/>
          <w:shd w:val="clear" w:color="auto" w:fill="auto"/>
          <w:lang w:val="en-US" w:eastAsia="zh-CN" w:bidi="zh-TW"/>
        </w:rPr>
        <w:t>、</w:t>
      </w:r>
      <w:r>
        <w:rPr>
          <w:rFonts w:hint="eastAsia" w:ascii="宋体" w:hAnsi="宋体" w:cs="宋体"/>
          <w:color w:val="auto"/>
          <w:kern w:val="2"/>
          <w:sz w:val="24"/>
          <w:szCs w:val="24"/>
          <w:highlight w:val="none"/>
          <w:u w:val="none"/>
          <w:shd w:val="clear" w:color="auto" w:fill="auto"/>
          <w:lang w:val="en-US" w:eastAsia="zh-CN" w:bidi="zh-TW"/>
        </w:rPr>
        <w:t>招标代理机构</w:t>
      </w:r>
      <w:r>
        <w:rPr>
          <w:rFonts w:hint="eastAsia" w:ascii="宋体" w:hAnsi="宋体" w:eastAsia="宋体" w:cs="宋体"/>
          <w:color w:val="auto"/>
          <w:kern w:val="2"/>
          <w:sz w:val="24"/>
          <w:szCs w:val="24"/>
          <w:highlight w:val="none"/>
          <w:u w:val="none"/>
          <w:shd w:val="clear" w:color="auto" w:fill="auto"/>
          <w:lang w:val="en-US" w:eastAsia="zh-CN" w:bidi="zh-TW"/>
        </w:rPr>
        <w:t>不得拒收质疑投标人在法定质疑期内发出的质疑函，应当在收到质疑函后7个工作日内作出答复，并以书面形式通知质疑投标人和其他有关投标人。</w:t>
      </w:r>
    </w:p>
    <w:p>
      <w:pPr>
        <w:pageBreakBefore w:val="0"/>
        <w:kinsoku/>
        <w:wordWrap/>
        <w:overflowPunct/>
        <w:topLinePunct w:val="0"/>
        <w:autoSpaceDE w:val="0"/>
        <w:autoSpaceDN w:val="0"/>
        <w:bidi w:val="0"/>
        <w:adjustRightInd w:val="0"/>
        <w:snapToGrid/>
        <w:spacing w:line="460" w:lineRule="exact"/>
        <w:ind w:left="0" w:leftChars="0" w:firstLine="480" w:firstLineChars="200"/>
        <w:jc w:val="both"/>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7.2.3质疑答复的内容不得涉及商业秘密。</w:t>
      </w:r>
    </w:p>
    <w:p>
      <w:pPr>
        <w:pageBreakBefore w:val="0"/>
        <w:kinsoku/>
        <w:wordWrap/>
        <w:overflowPunct/>
        <w:topLinePunct w:val="0"/>
        <w:autoSpaceDE w:val="0"/>
        <w:autoSpaceDN w:val="0"/>
        <w:bidi w:val="0"/>
        <w:adjustRightInd w:val="0"/>
        <w:snapToGrid/>
        <w:spacing w:line="460" w:lineRule="exact"/>
        <w:ind w:left="0" w:leftChars="0" w:firstLine="480" w:firstLineChars="200"/>
        <w:jc w:val="both"/>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7.2.4对于不符合相关条款要求的质疑，</w:t>
      </w:r>
      <w:r>
        <w:rPr>
          <w:rFonts w:hint="eastAsia" w:ascii="宋体" w:hAnsi="宋体" w:cs="宋体"/>
          <w:color w:val="auto"/>
          <w:kern w:val="2"/>
          <w:sz w:val="24"/>
          <w:szCs w:val="24"/>
          <w:highlight w:val="none"/>
          <w:u w:val="none"/>
          <w:shd w:val="clear" w:color="auto" w:fill="auto"/>
          <w:lang w:val="en-US" w:eastAsia="zh-CN" w:bidi="zh-TW"/>
        </w:rPr>
        <w:t>南部联盟医药集采领导小组办公室</w:t>
      </w:r>
      <w:r>
        <w:rPr>
          <w:rFonts w:hint="eastAsia" w:ascii="宋体" w:hAnsi="宋体" w:eastAsia="宋体" w:cs="宋体"/>
          <w:color w:val="auto"/>
          <w:kern w:val="2"/>
          <w:sz w:val="24"/>
          <w:szCs w:val="24"/>
          <w:highlight w:val="none"/>
          <w:u w:val="none"/>
          <w:shd w:val="clear" w:color="auto" w:fill="auto"/>
          <w:lang w:val="en-US" w:eastAsia="zh-CN" w:bidi="zh-TW"/>
        </w:rPr>
        <w:t>将不予受理。</w:t>
      </w:r>
    </w:p>
    <w:p>
      <w:pPr>
        <w:pageBreakBefore w:val="0"/>
        <w:kinsoku/>
        <w:wordWrap/>
        <w:overflowPunct/>
        <w:topLinePunct w:val="0"/>
        <w:autoSpaceDE w:val="0"/>
        <w:autoSpaceDN w:val="0"/>
        <w:bidi w:val="0"/>
        <w:adjustRightInd w:val="0"/>
        <w:snapToGrid/>
        <w:spacing w:line="460" w:lineRule="exact"/>
        <w:ind w:left="0" w:leftChars="0" w:firstLine="480" w:firstLineChars="200"/>
        <w:jc w:val="both"/>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7.2.5在处理过程中，发现需要质疑人进一步补充相关佐证材料的，要求质疑人在规定时间内提供。质疑人不能按照要求提供相关佐证材料的，视同放弃质疑。</w:t>
      </w:r>
    </w:p>
    <w:p>
      <w:pPr>
        <w:pageBreakBefore w:val="0"/>
        <w:kinsoku/>
        <w:wordWrap/>
        <w:overflowPunct/>
        <w:topLinePunct w:val="0"/>
        <w:autoSpaceDE w:val="0"/>
        <w:autoSpaceDN w:val="0"/>
        <w:bidi w:val="0"/>
        <w:adjustRightInd w:val="0"/>
        <w:snapToGrid/>
        <w:spacing w:line="460" w:lineRule="exact"/>
        <w:ind w:left="0" w:leftChars="0" w:firstLine="480" w:firstLineChars="200"/>
        <w:jc w:val="both"/>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7.2.6</w:t>
      </w:r>
      <w:r>
        <w:rPr>
          <w:rFonts w:hint="eastAsia" w:ascii="宋体" w:hAnsi="宋体" w:cs="宋体"/>
          <w:color w:val="auto"/>
          <w:kern w:val="2"/>
          <w:sz w:val="24"/>
          <w:szCs w:val="24"/>
          <w:highlight w:val="none"/>
          <w:u w:val="none"/>
          <w:shd w:val="clear" w:color="auto" w:fill="auto"/>
          <w:lang w:val="en-US" w:eastAsia="zh-CN" w:bidi="zh-TW"/>
        </w:rPr>
        <w:t>南部联盟医药集采领导小组办公室</w:t>
      </w:r>
      <w:r>
        <w:rPr>
          <w:rFonts w:hint="eastAsia" w:ascii="宋体" w:hAnsi="宋体" w:eastAsia="宋体" w:cs="宋体"/>
          <w:color w:val="auto"/>
          <w:kern w:val="2"/>
          <w:sz w:val="24"/>
          <w:szCs w:val="24"/>
          <w:highlight w:val="none"/>
          <w:u w:val="none"/>
          <w:shd w:val="clear" w:color="auto" w:fill="auto"/>
          <w:lang w:val="en-US" w:eastAsia="zh-CN" w:bidi="zh-TW"/>
        </w:rPr>
        <w:t>或</w:t>
      </w:r>
      <w:r>
        <w:rPr>
          <w:rFonts w:hint="eastAsia" w:ascii="宋体" w:hAnsi="宋体" w:cs="宋体"/>
          <w:color w:val="auto"/>
          <w:kern w:val="2"/>
          <w:sz w:val="24"/>
          <w:szCs w:val="24"/>
          <w:highlight w:val="none"/>
          <w:u w:val="none"/>
          <w:shd w:val="clear" w:color="auto" w:fill="auto"/>
          <w:lang w:val="en-US" w:eastAsia="zh-CN" w:bidi="zh-TW"/>
        </w:rPr>
        <w:t>招标代理机构</w:t>
      </w:r>
      <w:r>
        <w:rPr>
          <w:rFonts w:hint="eastAsia" w:ascii="宋体" w:hAnsi="宋体" w:eastAsia="宋体" w:cs="宋体"/>
          <w:color w:val="auto"/>
          <w:kern w:val="2"/>
          <w:sz w:val="24"/>
          <w:szCs w:val="24"/>
          <w:highlight w:val="none"/>
          <w:u w:val="none"/>
          <w:shd w:val="clear" w:color="auto" w:fill="auto"/>
          <w:lang w:val="en-US" w:eastAsia="zh-CN" w:bidi="zh-TW"/>
        </w:rPr>
        <w:t>负责对质疑的回复工作，将质疑人的质疑材料提供给相关专家或评审小组，并将处理意见回复质疑人。</w:t>
      </w:r>
    </w:p>
    <w:p>
      <w:pPr>
        <w:pageBreakBefore w:val="0"/>
        <w:kinsoku/>
        <w:wordWrap/>
        <w:overflowPunct/>
        <w:topLinePunct w:val="0"/>
        <w:autoSpaceDE w:val="0"/>
        <w:autoSpaceDN w:val="0"/>
        <w:bidi w:val="0"/>
        <w:adjustRightInd w:val="0"/>
        <w:snapToGrid/>
        <w:spacing w:line="460" w:lineRule="exact"/>
        <w:ind w:left="0" w:leftChars="0" w:firstLine="480" w:firstLineChars="200"/>
        <w:jc w:val="both"/>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7.2.7</w:t>
      </w:r>
      <w:r>
        <w:rPr>
          <w:rFonts w:hint="eastAsia" w:ascii="宋体" w:hAnsi="宋体" w:cs="宋体"/>
          <w:color w:val="auto"/>
          <w:kern w:val="2"/>
          <w:sz w:val="24"/>
          <w:szCs w:val="24"/>
          <w:highlight w:val="none"/>
          <w:u w:val="none"/>
          <w:shd w:val="clear" w:color="auto" w:fill="auto"/>
          <w:lang w:val="en-US" w:eastAsia="zh-CN" w:bidi="zh-TW"/>
        </w:rPr>
        <w:t>南部联盟医药集采领导小组办公室</w:t>
      </w:r>
      <w:r>
        <w:rPr>
          <w:rFonts w:hint="eastAsia" w:ascii="宋体" w:hAnsi="宋体" w:eastAsia="宋体" w:cs="宋体"/>
          <w:color w:val="auto"/>
          <w:kern w:val="2"/>
          <w:sz w:val="24"/>
          <w:szCs w:val="24"/>
          <w:highlight w:val="none"/>
          <w:u w:val="none"/>
          <w:shd w:val="clear" w:color="auto" w:fill="auto"/>
          <w:lang w:val="en-US" w:eastAsia="zh-CN" w:bidi="zh-TW"/>
        </w:rPr>
        <w:t>、</w:t>
      </w:r>
      <w:r>
        <w:rPr>
          <w:rFonts w:hint="eastAsia" w:ascii="宋体" w:hAnsi="宋体" w:cs="宋体"/>
          <w:color w:val="auto"/>
          <w:kern w:val="2"/>
          <w:sz w:val="24"/>
          <w:szCs w:val="24"/>
          <w:highlight w:val="none"/>
          <w:u w:val="none"/>
          <w:shd w:val="clear" w:color="auto" w:fill="auto"/>
          <w:lang w:val="en-US" w:eastAsia="zh-CN" w:bidi="zh-TW"/>
        </w:rPr>
        <w:t>招标代理机构</w:t>
      </w:r>
      <w:r>
        <w:rPr>
          <w:rFonts w:hint="eastAsia" w:ascii="宋体" w:hAnsi="宋体" w:eastAsia="宋体" w:cs="宋体"/>
          <w:color w:val="auto"/>
          <w:kern w:val="2"/>
          <w:sz w:val="24"/>
          <w:szCs w:val="24"/>
          <w:highlight w:val="none"/>
          <w:u w:val="none"/>
          <w:shd w:val="clear" w:color="auto" w:fill="auto"/>
          <w:lang w:val="en-US" w:eastAsia="zh-CN" w:bidi="zh-TW"/>
        </w:rPr>
        <w:t>认为投标人质疑不成立，或者成立但未对中标、成交结果构成影响的，可继续开展采购活动；认为投标人质疑成立且影响或者可能影响中选结果的，按照下列情况处理：</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7.2.7.1对采购文件提出的质疑，依法通过澄清或者修改可以继续开展采购活动的，澄清或者修改采购文件后继续开展采购活动；否则应当修改采购文件后重新开展采购活动。</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7.2.7.2对采购过程、中选结果提出的质疑，可以从该品种其他入围企业中依顺次确定中选产品，并在网上进行公示。</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outlineLvl w:val="2"/>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7.3质疑无效的处理</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7.3.1质疑人提供的相关佐证材料不能证明质疑成立的，南部联盟医药集采领导小组办公室可要求质疑人补充相关佐证材料，如补充材料仍不能证明质疑成立的，将不予受理。</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7.3.2对于质疑人在质疑期间不配合进行质疑调查处理的，视为自动放弃质疑。</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7.3.3质疑人提出的质疑，经评标专家审定后驳回的，列为无效质疑。</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7.3.4对于质疑中使用虚假材料或恶意方式质疑的，按无效质疑处理，并列入不良记录药品生产企业名单。</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7.3.5质疑人进行质疑后，南部联盟医药集采领导小组办公室在法定时间内对质疑进行回复</w:t>
      </w:r>
      <w:r>
        <w:rPr>
          <w:rFonts w:hint="eastAsia" w:ascii="宋体" w:hAnsi="宋体" w:cs="宋体"/>
          <w:color w:val="auto"/>
          <w:kern w:val="2"/>
          <w:sz w:val="24"/>
          <w:szCs w:val="24"/>
          <w:highlight w:val="none"/>
          <w:u w:val="none"/>
          <w:shd w:val="clear" w:color="auto" w:fill="auto"/>
          <w:lang w:val="en-US" w:eastAsia="zh-CN" w:bidi="zh-TW"/>
        </w:rPr>
        <w:t>。</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outlineLvl w:val="2"/>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7.4其他</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7.4.1质疑函和投诉书应当使用中文。</w:t>
      </w:r>
    </w:p>
    <w:p>
      <w:pPr>
        <w:pageBreakBefore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val="en-US" w:eastAsia="zh-CN" w:bidi="zh-TW"/>
        </w:rPr>
      </w:pPr>
      <w:r>
        <w:rPr>
          <w:rFonts w:hint="eastAsia" w:ascii="宋体" w:hAnsi="宋体" w:eastAsia="宋体" w:cs="宋体"/>
          <w:color w:val="auto"/>
          <w:kern w:val="2"/>
          <w:sz w:val="24"/>
          <w:szCs w:val="24"/>
          <w:highlight w:val="none"/>
          <w:u w:val="none"/>
          <w:shd w:val="clear" w:color="auto" w:fill="auto"/>
          <w:lang w:val="en-US" w:eastAsia="zh-CN" w:bidi="zh-TW"/>
        </w:rPr>
        <w:t>7.4.</w:t>
      </w:r>
      <w:r>
        <w:rPr>
          <w:rFonts w:hint="eastAsia" w:ascii="宋体" w:hAnsi="宋体" w:cs="宋体"/>
          <w:color w:val="auto"/>
          <w:kern w:val="2"/>
          <w:sz w:val="24"/>
          <w:szCs w:val="24"/>
          <w:highlight w:val="none"/>
          <w:u w:val="none"/>
          <w:shd w:val="clear" w:color="auto" w:fill="auto"/>
          <w:lang w:val="en-US" w:eastAsia="zh-CN" w:bidi="zh-TW"/>
        </w:rPr>
        <w:t>2</w:t>
      </w:r>
      <w:r>
        <w:rPr>
          <w:rFonts w:hint="eastAsia" w:ascii="宋体" w:hAnsi="宋体" w:eastAsia="宋体" w:cs="宋体"/>
          <w:color w:val="auto"/>
          <w:kern w:val="2"/>
          <w:sz w:val="24"/>
          <w:szCs w:val="24"/>
          <w:highlight w:val="none"/>
          <w:u w:val="none"/>
          <w:shd w:val="clear" w:color="auto" w:fill="auto"/>
          <w:lang w:val="en-US" w:eastAsia="zh-CN" w:bidi="zh-TW"/>
        </w:rPr>
        <w:t>对在质疑答复和投诉处理过程中知悉的国家秘密、商业秘密、个人隐私和依法不予公开的信息，采购人、</w:t>
      </w:r>
      <w:r>
        <w:rPr>
          <w:rFonts w:hint="eastAsia" w:ascii="宋体" w:hAnsi="宋体" w:cs="宋体"/>
          <w:color w:val="auto"/>
          <w:kern w:val="2"/>
          <w:sz w:val="24"/>
          <w:szCs w:val="24"/>
          <w:highlight w:val="none"/>
          <w:u w:val="none"/>
          <w:shd w:val="clear" w:color="auto" w:fill="auto"/>
          <w:lang w:val="en-US" w:eastAsia="zh-CN" w:bidi="zh-TW"/>
        </w:rPr>
        <w:t>招标代理机构</w:t>
      </w:r>
      <w:r>
        <w:rPr>
          <w:rFonts w:hint="eastAsia" w:ascii="宋体" w:hAnsi="宋体" w:eastAsia="宋体" w:cs="宋体"/>
          <w:color w:val="auto"/>
          <w:kern w:val="2"/>
          <w:sz w:val="24"/>
          <w:szCs w:val="24"/>
          <w:highlight w:val="none"/>
          <w:u w:val="none"/>
          <w:shd w:val="clear" w:color="auto" w:fill="auto"/>
          <w:lang w:val="en-US" w:eastAsia="zh-CN" w:bidi="zh-TW"/>
        </w:rPr>
        <w:t>等相关知情人应当保密。</w:t>
      </w:r>
    </w:p>
    <w:p>
      <w:pPr>
        <w:pStyle w:val="4"/>
        <w:pageBreakBefore w:val="0"/>
        <w:widowControl w:val="0"/>
        <w:kinsoku/>
        <w:wordWrap/>
        <w:overflowPunct/>
        <w:topLinePunct w:val="0"/>
        <w:bidi w:val="0"/>
        <w:adjustRightInd/>
        <w:snapToGrid/>
        <w:spacing w:before="0" w:after="0" w:line="460" w:lineRule="exact"/>
        <w:ind w:left="0" w:leftChars="0" w:right="0" w:firstLine="482" w:firstLineChars="200"/>
        <w:jc w:val="both"/>
        <w:textAlignment w:val="auto"/>
        <w:rPr>
          <w:rFonts w:hint="eastAsia" w:ascii="宋体" w:hAnsi="宋体" w:eastAsia="宋体" w:cs="宋体"/>
          <w:b/>
          <w:bCs/>
          <w:color w:val="auto"/>
          <w:kern w:val="2"/>
          <w:sz w:val="24"/>
          <w:szCs w:val="24"/>
          <w:highlight w:val="none"/>
          <w:u w:val="none"/>
          <w:shd w:val="clear" w:color="auto" w:fill="auto"/>
          <w:lang w:val="en-US" w:eastAsia="zh-CN" w:bidi="zh-TW"/>
        </w:rPr>
      </w:pPr>
      <w:bookmarkStart w:id="60" w:name="_Toc10377"/>
      <w:r>
        <w:rPr>
          <w:rFonts w:hint="eastAsia" w:ascii="宋体" w:hAnsi="宋体" w:eastAsia="宋体" w:cs="宋体"/>
          <w:b/>
          <w:bCs/>
          <w:color w:val="auto"/>
          <w:kern w:val="2"/>
          <w:sz w:val="24"/>
          <w:szCs w:val="24"/>
          <w:highlight w:val="none"/>
          <w:u w:val="none"/>
          <w:shd w:val="clear" w:color="auto" w:fill="auto"/>
          <w:lang w:val="en-US" w:eastAsia="zh-CN" w:bidi="zh-TW"/>
        </w:rPr>
        <w:t>8、违规处罚措施</w:t>
      </w:r>
      <w:bookmarkEnd w:id="58"/>
      <w:bookmarkEnd w:id="59"/>
      <w:bookmarkEnd w:id="60"/>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rPr>
      </w:pPr>
      <w:bookmarkStart w:id="61" w:name="_Toc16889"/>
      <w:r>
        <w:rPr>
          <w:rFonts w:hint="eastAsia" w:ascii="宋体" w:hAnsi="宋体" w:eastAsia="宋体" w:cs="宋体"/>
          <w:color w:val="auto"/>
          <w:sz w:val="24"/>
          <w:szCs w:val="24"/>
          <w:highlight w:val="none"/>
          <w:lang w:val="en-US" w:eastAsia="zh-CN"/>
        </w:rPr>
        <w:t>8.1</w:t>
      </w:r>
      <w:r>
        <w:rPr>
          <w:rFonts w:hint="eastAsia" w:ascii="宋体" w:hAnsi="宋体" w:eastAsia="宋体" w:cs="宋体"/>
          <w:color w:val="auto"/>
          <w:sz w:val="24"/>
          <w:szCs w:val="24"/>
          <w:highlight w:val="none"/>
        </w:rPr>
        <w:t>申报企业、中选企业、配送企业如有以下行为，经有关部门认定情节严重的将被列入“违规名单”</w:t>
      </w:r>
      <w:bookmarkEnd w:id="61"/>
      <w:r>
        <w:rPr>
          <w:rFonts w:hint="eastAsia" w:ascii="宋体" w:hAnsi="宋体" w:eastAsia="宋体" w:cs="宋体"/>
          <w:color w:val="auto"/>
          <w:sz w:val="24"/>
          <w:szCs w:val="24"/>
          <w:highlight w:val="none"/>
        </w:rPr>
        <w:t>：</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8.1.1</w:t>
      </w:r>
      <w:r>
        <w:rPr>
          <w:rFonts w:hint="eastAsia" w:ascii="宋体" w:hAnsi="宋体" w:eastAsia="宋体" w:cs="宋体"/>
          <w:color w:val="auto"/>
          <w:sz w:val="24"/>
          <w:szCs w:val="24"/>
          <w:highlight w:val="none"/>
          <w:shd w:val="clear" w:color="auto" w:fill="FFFFFF"/>
        </w:rPr>
        <w:t>提供回扣或其他商业贿赂，进行非法促销活动。</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8.1.2</w:t>
      </w:r>
      <w:r>
        <w:rPr>
          <w:rFonts w:hint="eastAsia" w:ascii="宋体" w:hAnsi="宋体" w:eastAsia="宋体" w:cs="宋体"/>
          <w:color w:val="auto"/>
          <w:sz w:val="24"/>
          <w:szCs w:val="24"/>
          <w:highlight w:val="none"/>
          <w:shd w:val="clear" w:color="auto" w:fill="FFFFFF"/>
        </w:rPr>
        <w:t>以低于成本的价格恶意申报，扰乱市场秩序。</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8.1.3</w:t>
      </w:r>
      <w:r>
        <w:rPr>
          <w:rFonts w:hint="eastAsia" w:ascii="宋体" w:hAnsi="宋体" w:eastAsia="宋体" w:cs="宋体"/>
          <w:color w:val="auto"/>
          <w:sz w:val="24"/>
          <w:szCs w:val="24"/>
          <w:highlight w:val="none"/>
          <w:shd w:val="clear" w:color="auto" w:fill="FFFFFF"/>
        </w:rPr>
        <w:t>相互串通申报，排斥其他申报企业的公平竞争，损害医疗机构或者其他申报企业的合法利益。</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8.1.4</w:t>
      </w:r>
      <w:r>
        <w:rPr>
          <w:rFonts w:hint="eastAsia" w:ascii="宋体" w:hAnsi="宋体" w:eastAsia="宋体" w:cs="宋体"/>
          <w:color w:val="auto"/>
          <w:sz w:val="24"/>
          <w:szCs w:val="24"/>
          <w:highlight w:val="none"/>
          <w:shd w:val="clear" w:color="auto" w:fill="FFFFFF"/>
        </w:rPr>
        <w:t>以向医疗机构、联合采购办公室行贿等手段牟取中选。</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8.1.5</w:t>
      </w:r>
      <w:r>
        <w:rPr>
          <w:rFonts w:hint="eastAsia" w:ascii="宋体" w:hAnsi="宋体" w:eastAsia="宋体" w:cs="宋体"/>
          <w:color w:val="auto"/>
          <w:sz w:val="24"/>
          <w:szCs w:val="24"/>
          <w:highlight w:val="none"/>
          <w:shd w:val="clear" w:color="auto" w:fill="FFFFFF"/>
        </w:rPr>
        <w:t>蓄意干扰集中</w:t>
      </w:r>
      <w:r>
        <w:rPr>
          <w:rFonts w:hint="eastAsia" w:ascii="宋体" w:hAnsi="宋体" w:eastAsia="宋体" w:cs="宋体"/>
          <w:color w:val="auto"/>
          <w:sz w:val="24"/>
          <w:szCs w:val="24"/>
          <w:highlight w:val="none"/>
        </w:rPr>
        <w:t>带量</w:t>
      </w:r>
      <w:r>
        <w:rPr>
          <w:rFonts w:hint="eastAsia" w:ascii="宋体" w:hAnsi="宋体" w:eastAsia="宋体" w:cs="宋体"/>
          <w:color w:val="auto"/>
          <w:sz w:val="24"/>
          <w:szCs w:val="24"/>
          <w:highlight w:val="none"/>
          <w:shd w:val="clear" w:color="auto" w:fill="FFFFFF"/>
        </w:rPr>
        <w:t>采购相关工作秩序。</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8.1.6</w:t>
      </w:r>
      <w:r>
        <w:rPr>
          <w:rFonts w:hint="eastAsia" w:ascii="宋体" w:hAnsi="宋体" w:eastAsia="宋体" w:cs="宋体"/>
          <w:color w:val="auto"/>
          <w:sz w:val="24"/>
          <w:szCs w:val="24"/>
          <w:highlight w:val="none"/>
          <w:shd w:val="clear" w:color="auto" w:fill="FFFFFF"/>
        </w:rPr>
        <w:t>提供虚假证明文件及文献资料，或者以其他方式弄虚作假，骗取中选。</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8.1.7</w:t>
      </w:r>
      <w:r>
        <w:rPr>
          <w:rFonts w:hint="eastAsia" w:ascii="宋体" w:hAnsi="宋体" w:eastAsia="宋体" w:cs="宋体"/>
          <w:color w:val="auto"/>
          <w:sz w:val="24"/>
          <w:szCs w:val="24"/>
          <w:highlight w:val="none"/>
          <w:shd w:val="clear" w:color="auto" w:fill="FFFFFF"/>
        </w:rPr>
        <w:t>中选企业、配送企业未按医疗机构及法律法规要求实行配送。</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8.1.8</w:t>
      </w:r>
      <w:r>
        <w:rPr>
          <w:rFonts w:hint="eastAsia" w:ascii="宋体" w:hAnsi="宋体" w:eastAsia="宋体" w:cs="宋体"/>
          <w:color w:val="auto"/>
          <w:sz w:val="24"/>
          <w:szCs w:val="24"/>
          <w:highlight w:val="none"/>
          <w:shd w:val="clear" w:color="auto" w:fill="FFFFFF"/>
        </w:rPr>
        <w:t>中选后</w:t>
      </w:r>
      <w:r>
        <w:rPr>
          <w:rFonts w:hint="eastAsia" w:ascii="宋体" w:hAnsi="宋体" w:eastAsia="宋体" w:cs="宋体"/>
          <w:color w:val="auto"/>
          <w:sz w:val="24"/>
          <w:szCs w:val="24"/>
          <w:highlight w:val="none"/>
          <w:shd w:val="clear" w:color="auto" w:fill="FFFFFF"/>
          <w:lang w:val="en-US" w:eastAsia="zh-CN"/>
        </w:rPr>
        <w:t>三个月内未按照中选价格响应医疗机构购销协议的。</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8.1.9</w:t>
      </w:r>
      <w:r>
        <w:rPr>
          <w:rFonts w:hint="eastAsia" w:ascii="宋体" w:hAnsi="宋体" w:eastAsia="宋体" w:cs="宋体"/>
          <w:color w:val="auto"/>
          <w:sz w:val="24"/>
          <w:szCs w:val="24"/>
          <w:highlight w:val="none"/>
          <w:shd w:val="clear" w:color="auto" w:fill="FFFFFF"/>
        </w:rPr>
        <w:t>不履行供货承诺，影响到临床使用。</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8.1.10</w:t>
      </w:r>
      <w:r>
        <w:rPr>
          <w:rFonts w:hint="eastAsia" w:ascii="宋体" w:hAnsi="宋体" w:eastAsia="宋体" w:cs="宋体"/>
          <w:color w:val="auto"/>
          <w:sz w:val="24"/>
          <w:szCs w:val="24"/>
          <w:highlight w:val="none"/>
          <w:shd w:val="clear" w:color="auto" w:fill="FFFFFF"/>
        </w:rPr>
        <w:t>中选产品发生严重质量问题。</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8.1.11</w:t>
      </w:r>
      <w:r>
        <w:rPr>
          <w:rFonts w:hint="eastAsia" w:ascii="宋体" w:hAnsi="宋体" w:eastAsia="宋体" w:cs="宋体"/>
          <w:color w:val="auto"/>
          <w:sz w:val="24"/>
          <w:szCs w:val="24"/>
          <w:highlight w:val="none"/>
          <w:shd w:val="clear" w:color="auto" w:fill="FFFFFF"/>
        </w:rPr>
        <w:t>在抽检或检查中发现中选企业严重违背在申报材料中作出的承诺。</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8.1.12</w:t>
      </w:r>
      <w:r>
        <w:rPr>
          <w:rFonts w:hint="eastAsia" w:ascii="宋体" w:hAnsi="宋体" w:eastAsia="宋体" w:cs="宋体"/>
          <w:color w:val="auto"/>
          <w:sz w:val="24"/>
          <w:szCs w:val="24"/>
          <w:highlight w:val="none"/>
          <w:shd w:val="clear" w:color="auto" w:fill="FFFFFF"/>
        </w:rPr>
        <w:t>通过恶意投诉等不正当手段竞争的企业。</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8.1.13</w:t>
      </w:r>
      <w:r>
        <w:rPr>
          <w:rFonts w:hint="eastAsia" w:ascii="宋体" w:hAnsi="宋体" w:eastAsia="宋体" w:cs="宋体"/>
          <w:color w:val="auto"/>
          <w:sz w:val="24"/>
          <w:szCs w:val="24"/>
          <w:highlight w:val="none"/>
          <w:shd w:val="clear" w:color="auto" w:fill="FFFFFF"/>
        </w:rPr>
        <w:t>其他违反法律法规的行为。</w:t>
      </w:r>
    </w:p>
    <w:p>
      <w:pPr>
        <w:keepNext w:val="0"/>
        <w:keepLines w:val="0"/>
        <w:pageBreakBefore w:val="0"/>
        <w:kinsoku/>
        <w:wordWrap/>
        <w:overflowPunct/>
        <w:topLinePunct w:val="0"/>
        <w:autoSpaceDE/>
        <w:autoSpaceDN/>
        <w:bidi w:val="0"/>
        <w:adjustRightInd/>
        <w:snapToGrid/>
        <w:spacing w:line="460" w:lineRule="exact"/>
        <w:ind w:left="0" w:leftChars="0" w:right="0" w:firstLine="480" w:firstLineChars="20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8.2</w:t>
      </w:r>
      <w:r>
        <w:rPr>
          <w:rFonts w:hint="eastAsia" w:ascii="宋体" w:hAnsi="宋体" w:eastAsia="宋体" w:cs="宋体"/>
          <w:color w:val="auto"/>
          <w:sz w:val="24"/>
          <w:szCs w:val="24"/>
          <w:highlight w:val="none"/>
        </w:rPr>
        <w:t>列入“违规名单”的，按以下条款处理：</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8.2.1</w:t>
      </w:r>
      <w:r>
        <w:rPr>
          <w:rFonts w:hint="eastAsia" w:ascii="宋体" w:hAnsi="宋体" w:eastAsia="宋体" w:cs="宋体"/>
          <w:color w:val="auto"/>
          <w:sz w:val="24"/>
          <w:szCs w:val="24"/>
          <w:highlight w:val="none"/>
          <w:shd w:val="clear" w:color="auto" w:fill="FFFFFF"/>
        </w:rPr>
        <w:t>申报企业列入“违规名单”的，取消该企业的申报资格；中选企业列入“违规名单”的，取消中选资格。同时视情节轻重取消上述企业在列入“违规名单”之日起2年内参与</w:t>
      </w:r>
      <w:r>
        <w:rPr>
          <w:rFonts w:hint="eastAsia" w:ascii="宋体" w:hAnsi="宋体" w:eastAsia="宋体" w:cs="宋体"/>
          <w:color w:val="auto"/>
          <w:sz w:val="24"/>
          <w:szCs w:val="24"/>
          <w:highlight w:val="none"/>
          <w:shd w:val="clear" w:color="auto" w:fill="FFFFFF"/>
          <w:lang w:eastAsia="zh-CN"/>
        </w:rPr>
        <w:t>联盟</w:t>
      </w:r>
      <w:r>
        <w:rPr>
          <w:rFonts w:hint="eastAsia" w:ascii="宋体" w:hAnsi="宋体" w:eastAsia="宋体" w:cs="宋体"/>
          <w:color w:val="auto"/>
          <w:sz w:val="24"/>
          <w:szCs w:val="24"/>
          <w:highlight w:val="none"/>
          <w:shd w:val="clear" w:color="auto" w:fill="FFFFFF"/>
          <w:lang w:val="en-US" w:eastAsia="zh-CN"/>
        </w:rPr>
        <w:t>采购地区</w:t>
      </w:r>
      <w:r>
        <w:rPr>
          <w:rFonts w:hint="eastAsia" w:ascii="宋体" w:hAnsi="宋体" w:eastAsia="宋体" w:cs="宋体"/>
          <w:color w:val="auto"/>
          <w:sz w:val="24"/>
          <w:szCs w:val="24"/>
          <w:highlight w:val="none"/>
          <w:shd w:val="clear" w:color="auto" w:fill="FFFFFF"/>
        </w:rPr>
        <w:t>药品耗材</w:t>
      </w:r>
      <w:r>
        <w:rPr>
          <w:rFonts w:hint="eastAsia" w:ascii="宋体" w:hAnsi="宋体" w:eastAsia="宋体" w:cs="宋体"/>
          <w:color w:val="auto"/>
          <w:sz w:val="24"/>
          <w:szCs w:val="24"/>
          <w:highlight w:val="none"/>
          <w:shd w:val="clear" w:color="auto" w:fill="FFFFFF"/>
          <w:lang w:val="en-US" w:eastAsia="zh-CN"/>
        </w:rPr>
        <w:t>采购</w:t>
      </w:r>
      <w:r>
        <w:rPr>
          <w:rFonts w:hint="eastAsia" w:ascii="宋体" w:hAnsi="宋体" w:eastAsia="宋体" w:cs="宋体"/>
          <w:color w:val="auto"/>
          <w:sz w:val="24"/>
          <w:szCs w:val="24"/>
          <w:highlight w:val="none"/>
          <w:shd w:val="clear" w:color="auto" w:fill="FFFFFF"/>
        </w:rPr>
        <w:t>活动的资格，并</w:t>
      </w:r>
      <w:r>
        <w:rPr>
          <w:rFonts w:hint="eastAsia" w:ascii="宋体" w:hAnsi="宋体" w:eastAsia="宋体" w:cs="宋体"/>
          <w:color w:val="auto"/>
          <w:sz w:val="24"/>
          <w:szCs w:val="24"/>
          <w:highlight w:val="none"/>
          <w:shd w:val="clear" w:color="auto" w:fill="FFFFFF"/>
          <w:lang w:val="en-US" w:eastAsia="zh-CN"/>
        </w:rPr>
        <w:t>将相关信息报送自治区医疗保障局。</w:t>
      </w:r>
    </w:p>
    <w:p>
      <w:pPr>
        <w:keepNext w:val="0"/>
        <w:keepLines w:val="0"/>
        <w:pageBreakBefore w:val="0"/>
        <w:widowControl/>
        <w:kinsoku/>
        <w:wordWrap/>
        <w:overflowPunct/>
        <w:topLinePunct w:val="0"/>
        <w:autoSpaceDE/>
        <w:autoSpaceDN/>
        <w:bidi w:val="0"/>
        <w:adjustRightInd/>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rPr>
        <w:t>8.2.2</w:t>
      </w:r>
      <w:r>
        <w:rPr>
          <w:rFonts w:hint="eastAsia" w:ascii="宋体" w:hAnsi="宋体" w:eastAsia="宋体" w:cs="宋体"/>
          <w:color w:val="auto"/>
          <w:sz w:val="24"/>
          <w:szCs w:val="24"/>
          <w:highlight w:val="none"/>
          <w:shd w:val="clear" w:color="auto" w:fill="FFFFFF"/>
        </w:rPr>
        <w:t>配送企业列入“违规名单”的，取消该企业的配送资格及列入“违规名单”之日起2年内参与</w:t>
      </w:r>
      <w:r>
        <w:rPr>
          <w:rFonts w:hint="eastAsia" w:ascii="宋体" w:hAnsi="宋体" w:eastAsia="宋体" w:cs="宋体"/>
          <w:color w:val="auto"/>
          <w:sz w:val="24"/>
          <w:szCs w:val="24"/>
          <w:highlight w:val="none"/>
          <w:shd w:val="clear" w:color="auto" w:fill="FFFFFF"/>
          <w:lang w:eastAsia="zh-CN"/>
        </w:rPr>
        <w:t>联盟</w:t>
      </w:r>
      <w:r>
        <w:rPr>
          <w:rFonts w:hint="eastAsia" w:ascii="宋体" w:hAnsi="宋体" w:eastAsia="宋体" w:cs="宋体"/>
          <w:color w:val="auto"/>
          <w:sz w:val="24"/>
          <w:szCs w:val="24"/>
          <w:highlight w:val="none"/>
          <w:shd w:val="clear" w:color="auto" w:fill="FFFFFF"/>
          <w:lang w:val="en-US" w:eastAsia="zh-CN"/>
        </w:rPr>
        <w:t>地</w:t>
      </w:r>
      <w:r>
        <w:rPr>
          <w:rFonts w:hint="eastAsia" w:ascii="宋体" w:hAnsi="宋体" w:eastAsia="宋体" w:cs="宋体"/>
          <w:color w:val="auto"/>
          <w:sz w:val="24"/>
          <w:szCs w:val="24"/>
          <w:highlight w:val="none"/>
          <w:shd w:val="clear" w:color="auto" w:fill="FFFFFF"/>
          <w:lang w:eastAsia="zh-CN"/>
        </w:rPr>
        <w:t>区</w:t>
      </w:r>
      <w:r>
        <w:rPr>
          <w:rFonts w:hint="eastAsia" w:ascii="宋体" w:hAnsi="宋体" w:eastAsia="宋体" w:cs="宋体"/>
          <w:color w:val="auto"/>
          <w:sz w:val="24"/>
          <w:szCs w:val="24"/>
          <w:highlight w:val="none"/>
          <w:shd w:val="clear" w:color="auto" w:fill="FFFFFF"/>
        </w:rPr>
        <w:t>药品耗材采购配送的资格。</w:t>
      </w:r>
    </w:p>
    <w:p>
      <w:pPr>
        <w:pStyle w:val="9"/>
        <w:keepNext w:val="0"/>
        <w:keepLines w:val="0"/>
        <w:pageBreakBefore w:val="0"/>
        <w:widowControl w:val="0"/>
        <w:numPr>
          <w:ilvl w:val="0"/>
          <w:numId w:val="0"/>
        </w:numPr>
        <w:kinsoku/>
        <w:wordWrap/>
        <w:overflowPunct/>
        <w:topLinePunct w:val="0"/>
        <w:autoSpaceDE w:val="0"/>
        <w:autoSpaceDN w:val="0"/>
        <w:bidi w:val="0"/>
        <w:adjustRightInd/>
        <w:snapToGrid/>
        <w:spacing w:line="460" w:lineRule="exact"/>
        <w:ind w:left="0" w:leftChars="0" w:firstLine="482" w:firstLineChars="200"/>
        <w:jc w:val="both"/>
        <w:textAlignment w:val="auto"/>
        <w:outlineLvl w:val="1"/>
        <w:rPr>
          <w:rFonts w:hint="eastAsia" w:ascii="宋体" w:hAnsi="宋体" w:eastAsia="宋体" w:cs="宋体"/>
          <w:b/>
          <w:bCs/>
          <w:color w:val="auto"/>
          <w:kern w:val="2"/>
          <w:sz w:val="24"/>
          <w:szCs w:val="24"/>
          <w:highlight w:val="none"/>
          <w:shd w:val="clear" w:color="auto" w:fill="FFFFFF"/>
          <w:lang w:val="en-US" w:eastAsia="zh-CN" w:bidi="ar-SA"/>
        </w:rPr>
      </w:pPr>
      <w:bookmarkStart w:id="62" w:name="_Toc5120"/>
      <w:r>
        <w:rPr>
          <w:rFonts w:hint="eastAsia" w:ascii="宋体" w:hAnsi="宋体" w:eastAsia="宋体" w:cs="宋体"/>
          <w:b/>
          <w:bCs/>
          <w:color w:val="auto"/>
          <w:kern w:val="2"/>
          <w:sz w:val="24"/>
          <w:szCs w:val="24"/>
          <w:highlight w:val="none"/>
          <w:shd w:val="clear" w:color="auto" w:fill="FFFFFF"/>
          <w:lang w:val="en-US" w:eastAsia="zh-CN" w:bidi="ar-SA"/>
        </w:rPr>
        <w:t>9、按时回款、资金保障</w:t>
      </w:r>
      <w:bookmarkEnd w:id="62"/>
    </w:p>
    <w:p>
      <w:pPr>
        <w:pStyle w:val="9"/>
        <w:keepNext w:val="0"/>
        <w:keepLines w:val="0"/>
        <w:pageBreakBefore w:val="0"/>
        <w:widowControl w:val="0"/>
        <w:numPr>
          <w:ilvl w:val="0"/>
          <w:numId w:val="0"/>
        </w:numPr>
        <w:kinsoku/>
        <w:wordWrap/>
        <w:overflowPunct/>
        <w:topLinePunct w:val="0"/>
        <w:autoSpaceDE w:val="0"/>
        <w:autoSpaceDN w:val="0"/>
        <w:bidi w:val="0"/>
        <w:adjustRightInd/>
        <w:snapToGrid/>
        <w:spacing w:line="460" w:lineRule="exact"/>
        <w:ind w:left="0" w:leftChars="0" w:firstLine="480" w:firstLineChars="200"/>
        <w:jc w:val="both"/>
        <w:textAlignment w:val="auto"/>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医疗机构作为药款结算第一责任人，应按合同规定与企业及时结算货款，原则上从药品交货验收合格到付款不得超过交货验收合格后次月底。</w:t>
      </w:r>
    </w:p>
    <w:p>
      <w:pPr>
        <w:pStyle w:val="9"/>
        <w:keepNext w:val="0"/>
        <w:keepLines w:val="0"/>
        <w:pageBreakBefore w:val="0"/>
        <w:widowControl w:val="0"/>
        <w:kinsoku/>
        <w:wordWrap/>
        <w:overflowPunct/>
        <w:topLinePunct w:val="0"/>
        <w:autoSpaceDE w:val="0"/>
        <w:autoSpaceDN w:val="0"/>
        <w:bidi w:val="0"/>
        <w:adjustRightInd/>
        <w:snapToGrid/>
        <w:spacing w:line="460" w:lineRule="exact"/>
        <w:ind w:left="0" w:leftChars="0" w:firstLine="482" w:firstLineChars="200"/>
        <w:jc w:val="both"/>
        <w:textAlignment w:val="auto"/>
        <w:outlineLvl w:val="1"/>
        <w:rPr>
          <w:rFonts w:hint="eastAsia" w:ascii="宋体" w:hAnsi="宋体" w:eastAsia="宋体" w:cs="宋体"/>
          <w:b/>
          <w:bCs/>
          <w:color w:val="auto"/>
          <w:kern w:val="2"/>
          <w:sz w:val="24"/>
          <w:szCs w:val="24"/>
          <w:highlight w:val="none"/>
          <w:shd w:val="clear" w:color="auto" w:fill="FFFFFF"/>
          <w:lang w:val="en-US" w:eastAsia="zh-CN" w:bidi="ar-SA"/>
        </w:rPr>
      </w:pPr>
      <w:bookmarkStart w:id="63" w:name="_Toc14681"/>
      <w:r>
        <w:rPr>
          <w:rFonts w:hint="eastAsia" w:ascii="宋体" w:hAnsi="宋体" w:eastAsia="宋体" w:cs="宋体"/>
          <w:b/>
          <w:bCs/>
          <w:color w:val="auto"/>
          <w:kern w:val="2"/>
          <w:sz w:val="24"/>
          <w:szCs w:val="24"/>
          <w:highlight w:val="none"/>
          <w:shd w:val="clear" w:color="auto" w:fill="FFFFFF"/>
          <w:lang w:val="en-US" w:eastAsia="zh-CN" w:bidi="ar-SA"/>
        </w:rPr>
        <w:t>10、采购文件的解释</w:t>
      </w:r>
      <w:bookmarkEnd w:id="63"/>
    </w:p>
    <w:p>
      <w:pPr>
        <w:pStyle w:val="9"/>
        <w:keepNext w:val="0"/>
        <w:keepLines w:val="0"/>
        <w:pageBreakBefore w:val="0"/>
        <w:widowControl w:val="0"/>
        <w:kinsoku/>
        <w:wordWrap/>
        <w:overflowPunct/>
        <w:topLinePunct w:val="0"/>
        <w:autoSpaceDE w:val="0"/>
        <w:autoSpaceDN w:val="0"/>
        <w:bidi w:val="0"/>
        <w:adjustRightInd/>
        <w:snapToGrid/>
        <w:spacing w:line="460" w:lineRule="exact"/>
        <w:ind w:left="0" w:leftChars="0" w:firstLine="480" w:firstLineChars="200"/>
        <w:jc w:val="both"/>
        <w:textAlignment w:val="auto"/>
        <w:rPr>
          <w:rFonts w:hint="default" w:ascii="宋体" w:hAnsi="宋体" w:eastAsia="宋体" w:cs="宋体"/>
          <w:color w:val="auto"/>
          <w:kern w:val="2"/>
          <w:sz w:val="24"/>
          <w:szCs w:val="24"/>
          <w:highlight w:val="none"/>
          <w:shd w:val="clear" w:color="auto" w:fill="FFFFFF"/>
          <w:lang w:val="en-US" w:eastAsia="zh-CN" w:bidi="ar-SA"/>
        </w:rPr>
      </w:pPr>
      <w:r>
        <w:rPr>
          <w:rFonts w:hint="eastAsia" w:hAnsi="宋体" w:cs="宋体"/>
          <w:color w:val="auto"/>
          <w:kern w:val="2"/>
          <w:sz w:val="24"/>
          <w:szCs w:val="24"/>
          <w:highlight w:val="none"/>
          <w:shd w:val="clear" w:color="auto" w:fill="FFFFFF"/>
          <w:lang w:val="en-US" w:eastAsia="zh-CN" w:bidi="ar-SA"/>
        </w:rPr>
        <w:t>受</w:t>
      </w:r>
      <w:r>
        <w:rPr>
          <w:rFonts w:hint="eastAsia" w:ascii="宋体" w:hAnsi="宋体" w:eastAsia="宋体" w:cs="宋体"/>
          <w:color w:val="auto"/>
          <w:kern w:val="2"/>
          <w:sz w:val="24"/>
          <w:szCs w:val="24"/>
          <w:highlight w:val="none"/>
          <w:shd w:val="clear" w:color="auto" w:fill="FFFFFF"/>
          <w:lang w:val="en-US" w:eastAsia="zh-CN" w:bidi="ar-SA"/>
        </w:rPr>
        <w:t>南部联盟医药集采领导小组办公室委托，本</w:t>
      </w:r>
      <w:r>
        <w:rPr>
          <w:rFonts w:hint="eastAsia" w:hAnsi="宋体" w:cs="宋体"/>
          <w:color w:val="auto"/>
          <w:kern w:val="2"/>
          <w:sz w:val="24"/>
          <w:szCs w:val="24"/>
          <w:highlight w:val="none"/>
          <w:shd w:val="clear" w:color="auto" w:fill="FFFFFF"/>
          <w:lang w:val="en-US" w:eastAsia="zh-CN" w:bidi="ar-SA"/>
        </w:rPr>
        <w:t>次“2023年新疆南部</w:t>
      </w:r>
      <w:r>
        <w:rPr>
          <w:rFonts w:hint="eastAsia" w:ascii="宋体" w:hAnsi="宋体" w:eastAsia="宋体" w:cs="宋体"/>
          <w:color w:val="auto"/>
          <w:kern w:val="2"/>
          <w:sz w:val="24"/>
          <w:szCs w:val="24"/>
          <w:highlight w:val="none"/>
          <w:shd w:val="clear" w:color="auto" w:fill="FFFFFF"/>
          <w:lang w:val="en-US" w:eastAsia="zh-CN" w:bidi="ar-SA"/>
        </w:rPr>
        <w:t>联盟医药联合议价采购项目</w:t>
      </w:r>
      <w:r>
        <w:rPr>
          <w:rFonts w:hint="eastAsia" w:hAnsi="宋体" w:cs="宋体"/>
          <w:color w:val="auto"/>
          <w:kern w:val="2"/>
          <w:sz w:val="24"/>
          <w:szCs w:val="24"/>
          <w:highlight w:val="none"/>
          <w:shd w:val="clear" w:color="auto" w:fill="FFFFFF"/>
          <w:lang w:val="en-US" w:eastAsia="zh-CN" w:bidi="ar-SA"/>
        </w:rPr>
        <w:t>”</w:t>
      </w:r>
      <w:r>
        <w:rPr>
          <w:rFonts w:hint="eastAsia" w:ascii="宋体" w:hAnsi="宋体" w:eastAsia="宋体" w:cs="宋体"/>
          <w:color w:val="auto"/>
          <w:kern w:val="2"/>
          <w:sz w:val="24"/>
          <w:szCs w:val="24"/>
          <w:highlight w:val="none"/>
          <w:shd w:val="clear" w:color="auto" w:fill="FFFFFF"/>
          <w:lang w:val="en-US" w:eastAsia="zh-CN" w:bidi="ar-SA"/>
        </w:rPr>
        <w:t>的采购文件由新疆通辰建设项目管理股份有限公司负责解释。</w:t>
      </w:r>
      <w:r>
        <w:rPr>
          <w:rFonts w:hint="eastAsia" w:hAnsi="宋体" w:cs="宋体"/>
          <w:color w:val="auto"/>
          <w:kern w:val="2"/>
          <w:sz w:val="24"/>
          <w:szCs w:val="24"/>
          <w:highlight w:val="none"/>
          <w:shd w:val="clear" w:color="auto" w:fill="FFFFFF"/>
          <w:lang w:val="en-US" w:eastAsia="zh-CN" w:bidi="ar-SA"/>
        </w:rPr>
        <w:t>如有疑问请拨打17881671111、19809970902、15026288521、19809970931咨询。</w:t>
      </w:r>
    </w:p>
    <w:p>
      <w:pPr>
        <w:pStyle w:val="31"/>
        <w:pageBreakBefore w:val="0"/>
        <w:widowControl/>
        <w:numPr>
          <w:ilvl w:val="0"/>
          <w:numId w:val="0"/>
        </w:numPr>
        <w:kinsoku/>
        <w:wordWrap/>
        <w:overflowPunct/>
        <w:topLinePunct w:val="0"/>
        <w:bidi w:val="0"/>
        <w:snapToGrid/>
        <w:spacing w:after="0" w:line="460" w:lineRule="exact"/>
        <w:ind w:right="0"/>
        <w:jc w:val="both"/>
        <w:textAlignment w:val="auto"/>
        <w:rPr>
          <w:rFonts w:hint="eastAsia" w:ascii="宋体" w:hAnsi="宋体" w:eastAsia="宋体" w:cs="宋体"/>
          <w:color w:val="auto"/>
          <w:sz w:val="24"/>
          <w:szCs w:val="24"/>
          <w:highlight w:val="none"/>
        </w:rPr>
      </w:pPr>
    </w:p>
    <w:p>
      <w:pPr>
        <w:pStyle w:val="31"/>
        <w:pageBreakBefore w:val="0"/>
        <w:widowControl/>
        <w:numPr>
          <w:ilvl w:val="0"/>
          <w:numId w:val="0"/>
        </w:numPr>
        <w:kinsoku/>
        <w:wordWrap/>
        <w:overflowPunct/>
        <w:topLinePunct w:val="0"/>
        <w:bidi w:val="0"/>
        <w:snapToGrid/>
        <w:spacing w:after="0" w:line="460" w:lineRule="exact"/>
        <w:ind w:right="0"/>
        <w:jc w:val="both"/>
        <w:textAlignment w:val="auto"/>
        <w:rPr>
          <w:rFonts w:hint="eastAsia" w:ascii="宋体" w:hAnsi="宋体" w:eastAsia="宋体" w:cs="宋体"/>
          <w:color w:val="auto"/>
          <w:sz w:val="24"/>
          <w:szCs w:val="24"/>
          <w:highlight w:val="none"/>
        </w:rPr>
      </w:pPr>
    </w:p>
    <w:p>
      <w:pPr>
        <w:pStyle w:val="31"/>
        <w:pageBreakBefore w:val="0"/>
        <w:widowControl/>
        <w:numPr>
          <w:ilvl w:val="0"/>
          <w:numId w:val="0"/>
        </w:numPr>
        <w:kinsoku/>
        <w:wordWrap/>
        <w:overflowPunct/>
        <w:topLinePunct w:val="0"/>
        <w:bidi w:val="0"/>
        <w:snapToGrid/>
        <w:spacing w:after="0" w:line="460" w:lineRule="exact"/>
        <w:ind w:right="0"/>
        <w:jc w:val="both"/>
        <w:textAlignment w:val="auto"/>
        <w:rPr>
          <w:rFonts w:hint="eastAsia" w:ascii="宋体" w:hAnsi="宋体" w:eastAsia="宋体" w:cs="宋体"/>
          <w:color w:val="auto"/>
          <w:sz w:val="24"/>
          <w:szCs w:val="24"/>
          <w:highlight w:val="none"/>
        </w:rPr>
      </w:pPr>
    </w:p>
    <w:p>
      <w:pPr>
        <w:pStyle w:val="31"/>
        <w:pageBreakBefore w:val="0"/>
        <w:widowControl/>
        <w:numPr>
          <w:ilvl w:val="0"/>
          <w:numId w:val="0"/>
        </w:numPr>
        <w:kinsoku/>
        <w:wordWrap/>
        <w:overflowPunct/>
        <w:topLinePunct w:val="0"/>
        <w:bidi w:val="0"/>
        <w:snapToGrid/>
        <w:spacing w:after="0" w:line="460" w:lineRule="exact"/>
        <w:ind w:right="0"/>
        <w:jc w:val="both"/>
        <w:textAlignment w:val="auto"/>
        <w:rPr>
          <w:rFonts w:hint="eastAsia" w:ascii="宋体" w:hAnsi="宋体" w:eastAsia="宋体" w:cs="宋体"/>
          <w:color w:val="auto"/>
          <w:sz w:val="24"/>
          <w:szCs w:val="24"/>
          <w:highlight w:val="none"/>
        </w:rPr>
      </w:pPr>
    </w:p>
    <w:p>
      <w:pPr>
        <w:pStyle w:val="31"/>
        <w:pageBreakBefore w:val="0"/>
        <w:widowControl/>
        <w:numPr>
          <w:ilvl w:val="0"/>
          <w:numId w:val="0"/>
        </w:numPr>
        <w:kinsoku/>
        <w:wordWrap/>
        <w:overflowPunct/>
        <w:topLinePunct w:val="0"/>
        <w:bidi w:val="0"/>
        <w:snapToGrid/>
        <w:spacing w:after="0" w:line="460" w:lineRule="exact"/>
        <w:ind w:right="0"/>
        <w:jc w:val="both"/>
        <w:textAlignment w:val="auto"/>
        <w:rPr>
          <w:rFonts w:hint="eastAsia" w:ascii="宋体" w:hAnsi="宋体" w:eastAsia="宋体" w:cs="宋体"/>
          <w:color w:val="auto"/>
          <w:sz w:val="24"/>
          <w:szCs w:val="24"/>
          <w:highlight w:val="none"/>
        </w:rPr>
      </w:pPr>
    </w:p>
    <w:p>
      <w:pPr>
        <w:pStyle w:val="31"/>
        <w:pageBreakBefore w:val="0"/>
        <w:widowControl/>
        <w:numPr>
          <w:ilvl w:val="0"/>
          <w:numId w:val="0"/>
        </w:numPr>
        <w:kinsoku/>
        <w:wordWrap/>
        <w:overflowPunct/>
        <w:topLinePunct w:val="0"/>
        <w:bidi w:val="0"/>
        <w:snapToGrid/>
        <w:spacing w:after="0" w:line="460" w:lineRule="exact"/>
        <w:ind w:right="0"/>
        <w:jc w:val="both"/>
        <w:textAlignment w:val="auto"/>
        <w:rPr>
          <w:rFonts w:hint="eastAsia" w:ascii="宋体" w:hAnsi="宋体" w:eastAsia="宋体" w:cs="宋体"/>
          <w:color w:val="auto"/>
          <w:sz w:val="24"/>
          <w:szCs w:val="24"/>
          <w:highlight w:val="none"/>
        </w:rPr>
      </w:pPr>
    </w:p>
    <w:p>
      <w:pPr>
        <w:pStyle w:val="31"/>
        <w:pageBreakBefore w:val="0"/>
        <w:widowControl/>
        <w:numPr>
          <w:ilvl w:val="0"/>
          <w:numId w:val="0"/>
        </w:numPr>
        <w:kinsoku/>
        <w:wordWrap/>
        <w:overflowPunct/>
        <w:topLinePunct w:val="0"/>
        <w:bidi w:val="0"/>
        <w:snapToGrid/>
        <w:spacing w:after="0" w:line="460" w:lineRule="exact"/>
        <w:ind w:right="0"/>
        <w:jc w:val="both"/>
        <w:textAlignment w:val="auto"/>
        <w:rPr>
          <w:rFonts w:hint="eastAsia" w:ascii="宋体" w:hAnsi="宋体" w:eastAsia="宋体" w:cs="宋体"/>
          <w:color w:val="auto"/>
          <w:sz w:val="24"/>
          <w:szCs w:val="24"/>
          <w:highlight w:val="none"/>
        </w:rPr>
      </w:pPr>
    </w:p>
    <w:p>
      <w:pPr>
        <w:pStyle w:val="31"/>
        <w:pageBreakBefore w:val="0"/>
        <w:widowControl/>
        <w:numPr>
          <w:ilvl w:val="0"/>
          <w:numId w:val="0"/>
        </w:numPr>
        <w:kinsoku/>
        <w:wordWrap/>
        <w:overflowPunct/>
        <w:topLinePunct w:val="0"/>
        <w:bidi w:val="0"/>
        <w:snapToGrid/>
        <w:spacing w:after="0" w:line="460" w:lineRule="exact"/>
        <w:ind w:right="0"/>
        <w:jc w:val="both"/>
        <w:textAlignment w:val="auto"/>
        <w:rPr>
          <w:rFonts w:hint="eastAsia" w:ascii="宋体" w:hAnsi="宋体" w:eastAsia="宋体" w:cs="宋体"/>
          <w:color w:val="auto"/>
          <w:sz w:val="24"/>
          <w:szCs w:val="24"/>
          <w:highlight w:val="none"/>
        </w:rPr>
      </w:pPr>
    </w:p>
    <w:p>
      <w:pPr>
        <w:pStyle w:val="31"/>
        <w:pageBreakBefore w:val="0"/>
        <w:widowControl/>
        <w:numPr>
          <w:ilvl w:val="0"/>
          <w:numId w:val="0"/>
        </w:numPr>
        <w:kinsoku/>
        <w:wordWrap/>
        <w:overflowPunct/>
        <w:topLinePunct w:val="0"/>
        <w:bidi w:val="0"/>
        <w:snapToGrid/>
        <w:spacing w:after="0" w:line="460" w:lineRule="exact"/>
        <w:ind w:right="0"/>
        <w:jc w:val="both"/>
        <w:textAlignment w:val="auto"/>
        <w:rPr>
          <w:rFonts w:hint="eastAsia" w:ascii="宋体" w:hAnsi="宋体" w:eastAsia="宋体" w:cs="宋体"/>
          <w:color w:val="auto"/>
          <w:sz w:val="24"/>
          <w:szCs w:val="24"/>
          <w:highlight w:val="none"/>
        </w:rPr>
      </w:pPr>
    </w:p>
    <w:p>
      <w:pPr>
        <w:pStyle w:val="31"/>
        <w:pageBreakBefore w:val="0"/>
        <w:widowControl/>
        <w:numPr>
          <w:ilvl w:val="0"/>
          <w:numId w:val="0"/>
        </w:numPr>
        <w:kinsoku/>
        <w:wordWrap/>
        <w:overflowPunct/>
        <w:topLinePunct w:val="0"/>
        <w:bidi w:val="0"/>
        <w:snapToGrid/>
        <w:spacing w:after="0" w:line="460" w:lineRule="exact"/>
        <w:ind w:right="0"/>
        <w:jc w:val="both"/>
        <w:textAlignment w:val="auto"/>
        <w:rPr>
          <w:rFonts w:hint="eastAsia" w:ascii="宋体" w:hAnsi="宋体" w:eastAsia="宋体" w:cs="宋体"/>
          <w:color w:val="auto"/>
          <w:sz w:val="24"/>
          <w:szCs w:val="24"/>
          <w:highlight w:val="none"/>
        </w:rPr>
      </w:pPr>
    </w:p>
    <w:p>
      <w:pPr>
        <w:pStyle w:val="31"/>
        <w:pageBreakBefore w:val="0"/>
        <w:widowControl/>
        <w:numPr>
          <w:ilvl w:val="0"/>
          <w:numId w:val="0"/>
        </w:numPr>
        <w:kinsoku/>
        <w:wordWrap/>
        <w:overflowPunct/>
        <w:topLinePunct w:val="0"/>
        <w:bidi w:val="0"/>
        <w:snapToGrid/>
        <w:spacing w:after="0" w:line="460" w:lineRule="exact"/>
        <w:ind w:right="0"/>
        <w:jc w:val="both"/>
        <w:textAlignment w:val="auto"/>
        <w:rPr>
          <w:rFonts w:hint="eastAsia" w:ascii="宋体" w:hAnsi="宋体" w:eastAsia="宋体" w:cs="宋体"/>
          <w:color w:val="auto"/>
          <w:sz w:val="24"/>
          <w:szCs w:val="24"/>
          <w:highlight w:val="none"/>
        </w:rPr>
      </w:pPr>
    </w:p>
    <w:p>
      <w:pPr>
        <w:pStyle w:val="31"/>
        <w:pageBreakBefore w:val="0"/>
        <w:widowControl/>
        <w:numPr>
          <w:ilvl w:val="0"/>
          <w:numId w:val="0"/>
        </w:numPr>
        <w:kinsoku/>
        <w:wordWrap/>
        <w:overflowPunct/>
        <w:topLinePunct w:val="0"/>
        <w:bidi w:val="0"/>
        <w:snapToGrid/>
        <w:spacing w:after="0" w:line="460" w:lineRule="exact"/>
        <w:ind w:right="0"/>
        <w:jc w:val="both"/>
        <w:textAlignment w:val="auto"/>
        <w:rPr>
          <w:rFonts w:hint="eastAsia" w:ascii="宋体" w:hAnsi="宋体" w:eastAsia="宋体" w:cs="宋体"/>
          <w:color w:val="auto"/>
          <w:sz w:val="24"/>
          <w:szCs w:val="24"/>
          <w:highlight w:val="none"/>
        </w:rPr>
      </w:pPr>
    </w:p>
    <w:p>
      <w:pPr>
        <w:pStyle w:val="31"/>
        <w:pageBreakBefore w:val="0"/>
        <w:widowControl/>
        <w:numPr>
          <w:ilvl w:val="0"/>
          <w:numId w:val="0"/>
        </w:numPr>
        <w:kinsoku/>
        <w:wordWrap/>
        <w:overflowPunct/>
        <w:topLinePunct w:val="0"/>
        <w:bidi w:val="0"/>
        <w:snapToGrid/>
        <w:spacing w:after="0" w:line="460" w:lineRule="exact"/>
        <w:ind w:right="0"/>
        <w:jc w:val="both"/>
        <w:textAlignment w:val="auto"/>
        <w:rPr>
          <w:rFonts w:hint="eastAsia" w:ascii="宋体" w:hAnsi="宋体" w:eastAsia="宋体" w:cs="宋体"/>
          <w:color w:val="auto"/>
          <w:sz w:val="24"/>
          <w:szCs w:val="24"/>
          <w:highlight w:val="none"/>
        </w:rPr>
      </w:pPr>
    </w:p>
    <w:p>
      <w:pPr>
        <w:pStyle w:val="31"/>
        <w:pageBreakBefore w:val="0"/>
        <w:widowControl/>
        <w:numPr>
          <w:ilvl w:val="0"/>
          <w:numId w:val="0"/>
        </w:numPr>
        <w:kinsoku/>
        <w:wordWrap/>
        <w:overflowPunct/>
        <w:topLinePunct w:val="0"/>
        <w:bidi w:val="0"/>
        <w:snapToGrid/>
        <w:spacing w:after="0" w:line="460" w:lineRule="exact"/>
        <w:ind w:right="0"/>
        <w:jc w:val="both"/>
        <w:textAlignment w:val="auto"/>
        <w:rPr>
          <w:rFonts w:hint="eastAsia" w:ascii="宋体" w:hAnsi="宋体" w:eastAsia="宋体" w:cs="宋体"/>
          <w:color w:val="auto"/>
          <w:sz w:val="24"/>
          <w:szCs w:val="24"/>
          <w:highlight w:val="none"/>
        </w:rPr>
      </w:pPr>
    </w:p>
    <w:p>
      <w:pPr>
        <w:pStyle w:val="9"/>
        <w:pageBreakBefore w:val="0"/>
        <w:numPr>
          <w:ilvl w:val="0"/>
          <w:numId w:val="1"/>
        </w:numPr>
        <w:kinsoku/>
        <w:wordWrap/>
        <w:overflowPunct/>
        <w:topLinePunct w:val="0"/>
        <w:bidi w:val="0"/>
        <w:snapToGrid/>
        <w:spacing w:line="460" w:lineRule="exact"/>
        <w:ind w:left="0" w:leftChars="0" w:right="0" w:firstLine="643" w:firstLineChars="200"/>
        <w:jc w:val="center"/>
        <w:textAlignment w:val="auto"/>
        <w:outlineLvl w:val="0"/>
        <w:rPr>
          <w:rFonts w:hint="eastAsia" w:ascii="宋体" w:hAnsi="宋体" w:eastAsia="宋体" w:cs="宋体"/>
          <w:b/>
          <w:bCs/>
          <w:color w:val="auto"/>
          <w:sz w:val="32"/>
          <w:szCs w:val="32"/>
          <w:highlight w:val="none"/>
        </w:rPr>
      </w:pPr>
      <w:bookmarkStart w:id="64" w:name="_Toc32704"/>
      <w:bookmarkStart w:id="65" w:name="_Toc53152589"/>
      <w:r>
        <w:rPr>
          <w:rFonts w:hint="eastAsia" w:ascii="宋体" w:hAnsi="宋体" w:eastAsia="宋体" w:cs="宋体"/>
          <w:b/>
          <w:bCs/>
          <w:color w:val="auto"/>
          <w:sz w:val="32"/>
          <w:szCs w:val="32"/>
          <w:highlight w:val="none"/>
        </w:rPr>
        <w:t>附 件</w:t>
      </w:r>
      <w:bookmarkEnd w:id="64"/>
    </w:p>
    <w:p>
      <w:pPr>
        <w:pageBreakBefore w:val="0"/>
        <w:kinsoku/>
        <w:wordWrap/>
        <w:overflowPunct/>
        <w:topLinePunct w:val="0"/>
        <w:bidi w:val="0"/>
        <w:snapToGrid/>
        <w:spacing w:line="460" w:lineRule="exact"/>
        <w:ind w:left="0" w:leftChars="0" w:firstLine="480" w:firstLineChars="200"/>
        <w:textAlignment w:val="auto"/>
        <w:rPr>
          <w:rFonts w:hint="eastAsia" w:ascii="宋体" w:hAnsi="宋体" w:eastAsia="宋体" w:cs="宋体"/>
          <w:color w:val="auto"/>
          <w:sz w:val="24"/>
          <w:szCs w:val="24"/>
          <w:highlight w:val="none"/>
        </w:rPr>
      </w:pPr>
    </w:p>
    <w:p>
      <w:pPr>
        <w:pStyle w:val="9"/>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rPr>
      </w:pPr>
    </w:p>
    <w:p>
      <w:pPr>
        <w:pStyle w:val="9"/>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附件1  </w:t>
      </w:r>
      <w:r>
        <w:rPr>
          <w:rFonts w:hint="eastAsia" w:ascii="宋体" w:hAnsi="宋体" w:eastAsia="宋体" w:cs="宋体"/>
          <w:color w:val="auto"/>
          <w:sz w:val="24"/>
          <w:szCs w:val="24"/>
          <w:highlight w:val="none"/>
          <w:shd w:val="clear" w:color="auto" w:fill="FFFFFF"/>
          <w:lang w:val="en-US" w:eastAsia="zh-CN"/>
        </w:rPr>
        <w:t>资格证明文件封面</w:t>
      </w:r>
    </w:p>
    <w:p>
      <w:pPr>
        <w:pageBreakBefore w:val="0"/>
        <w:kinsoku/>
        <w:wordWrap/>
        <w:overflowPunct/>
        <w:topLinePunct w:val="0"/>
        <w:bidi w:val="0"/>
        <w:snapToGrid/>
        <w:spacing w:line="460" w:lineRule="exact"/>
        <w:ind w:left="0" w:leftChars="0" w:firstLine="480" w:firstLineChars="200"/>
        <w:textAlignment w:val="auto"/>
        <w:rPr>
          <w:rFonts w:hint="eastAsia" w:ascii="宋体" w:hAnsi="宋体" w:eastAsia="宋体" w:cs="宋体"/>
          <w:color w:val="auto"/>
          <w:sz w:val="24"/>
          <w:szCs w:val="24"/>
          <w:highlight w:val="none"/>
          <w:lang w:val="en-US" w:eastAsia="zh-CN"/>
        </w:rPr>
      </w:pPr>
    </w:p>
    <w:p>
      <w:pPr>
        <w:pageBreakBefore w:val="0"/>
        <w:kinsoku/>
        <w:wordWrap/>
        <w:overflowPunct/>
        <w:topLinePunct w:val="0"/>
        <w:bidi w:val="0"/>
        <w:snapToGrid/>
        <w:spacing w:line="460" w:lineRule="exact"/>
        <w:ind w:left="0" w:leftChars="0" w:firstLine="480" w:firstLineChars="200"/>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附件2  投标</w:t>
      </w:r>
      <w:r>
        <w:rPr>
          <w:rFonts w:hint="eastAsia" w:ascii="宋体" w:hAnsi="宋体" w:eastAsia="宋体" w:cs="宋体"/>
          <w:color w:val="auto"/>
          <w:sz w:val="24"/>
          <w:szCs w:val="24"/>
          <w:highlight w:val="none"/>
          <w:shd w:val="clear" w:color="auto" w:fill="FFFFFF"/>
        </w:rPr>
        <w:t>承诺函</w:t>
      </w:r>
    </w:p>
    <w:p>
      <w:pPr>
        <w:pStyle w:val="2"/>
        <w:pageBreakBefore w:val="0"/>
        <w:kinsoku/>
        <w:wordWrap/>
        <w:overflowPunct/>
        <w:topLinePunct w:val="0"/>
        <w:bidi w:val="0"/>
        <w:snapToGrid/>
        <w:spacing w:line="460" w:lineRule="exact"/>
        <w:ind w:left="0" w:leftChars="0" w:firstLine="480" w:firstLineChars="200"/>
        <w:textAlignment w:val="auto"/>
        <w:rPr>
          <w:rFonts w:hint="eastAsia" w:ascii="宋体" w:hAnsi="宋体" w:eastAsia="宋体" w:cs="宋体"/>
          <w:color w:val="auto"/>
          <w:sz w:val="24"/>
          <w:szCs w:val="24"/>
          <w:highlight w:val="none"/>
        </w:rPr>
      </w:pPr>
    </w:p>
    <w:p>
      <w:pPr>
        <w:pStyle w:val="9"/>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pacing w:val="-6"/>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附件</w:t>
      </w:r>
      <w:r>
        <w:rPr>
          <w:rFonts w:hint="eastAsia" w:ascii="宋体" w:hAnsi="宋体" w:eastAsia="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pacing w:val="-6"/>
          <w:sz w:val="24"/>
          <w:szCs w:val="24"/>
          <w:highlight w:val="none"/>
          <w:shd w:val="clear" w:color="auto" w:fill="FFFFFF"/>
        </w:rPr>
        <w:t>法定代表人授权书</w:t>
      </w:r>
    </w:p>
    <w:p>
      <w:pPr>
        <w:rPr>
          <w:rFonts w:hint="eastAsia" w:ascii="宋体" w:hAnsi="宋体" w:eastAsia="宋体" w:cs="宋体"/>
          <w:color w:val="auto"/>
          <w:spacing w:val="-6"/>
          <w:sz w:val="24"/>
          <w:szCs w:val="24"/>
          <w:highlight w:val="none"/>
          <w:shd w:val="clear" w:color="auto" w:fill="FFFFFF"/>
        </w:rPr>
      </w:pPr>
    </w:p>
    <w:p>
      <w:pPr>
        <w:pageBreakBefore w:val="0"/>
        <w:kinsoku/>
        <w:wordWrap/>
        <w:overflowPunct/>
        <w:topLinePunct w:val="0"/>
        <w:bidi w:val="0"/>
        <w:snapToGrid/>
        <w:spacing w:line="460" w:lineRule="exact"/>
        <w:ind w:left="0" w:leftChars="0" w:right="0" w:firstLine="480" w:firstLineChars="200"/>
        <w:jc w:val="both"/>
        <w:textAlignment w:val="auto"/>
        <w:rPr>
          <w:rFonts w:hint="eastAsia"/>
          <w:color w:val="auto"/>
          <w:highlight w:val="none"/>
        </w:rPr>
      </w:pPr>
      <w:r>
        <w:rPr>
          <w:rFonts w:hint="eastAsia" w:ascii="宋体" w:hAnsi="宋体" w:eastAsia="宋体" w:cs="宋体"/>
          <w:color w:val="auto"/>
          <w:sz w:val="24"/>
          <w:szCs w:val="24"/>
          <w:highlight w:val="none"/>
          <w:shd w:val="clear" w:color="auto" w:fill="FFFFFF"/>
        </w:rPr>
        <w:t>附件</w:t>
      </w:r>
      <w:r>
        <w:rPr>
          <w:rFonts w:hint="eastAsia" w:ascii="宋体" w:hAnsi="宋体" w:eastAsia="宋体" w:cs="宋体"/>
          <w:color w:val="auto"/>
          <w:sz w:val="24"/>
          <w:szCs w:val="24"/>
          <w:highlight w:val="none"/>
          <w:shd w:val="clear" w:color="auto" w:fill="FFFFFF"/>
          <w:lang w:val="en-US" w:eastAsia="zh-CN"/>
        </w:rPr>
        <w:t>4</w:t>
      </w:r>
      <w:r>
        <w:rPr>
          <w:rFonts w:hint="eastAsia" w:ascii="宋体"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lang w:val="en-US" w:eastAsia="zh-CN"/>
        </w:rPr>
        <w:t>供应商资格证明文件</w:t>
      </w:r>
    </w:p>
    <w:p>
      <w:pPr>
        <w:pageBreakBefore w:val="0"/>
        <w:kinsoku/>
        <w:wordWrap/>
        <w:overflowPunct/>
        <w:topLinePunct w:val="0"/>
        <w:bidi w:val="0"/>
        <w:snapToGrid/>
        <w:spacing w:line="460" w:lineRule="exact"/>
        <w:ind w:left="0" w:leftChars="0" w:firstLine="480" w:firstLineChars="200"/>
        <w:textAlignment w:val="auto"/>
        <w:rPr>
          <w:rFonts w:hint="eastAsia" w:ascii="宋体" w:hAnsi="宋体" w:eastAsia="宋体" w:cs="宋体"/>
          <w:color w:val="auto"/>
          <w:sz w:val="24"/>
          <w:szCs w:val="24"/>
          <w:highlight w:val="none"/>
        </w:rPr>
      </w:pPr>
    </w:p>
    <w:p>
      <w:pPr>
        <w:pStyle w:val="9"/>
        <w:pageBreakBefore w:val="0"/>
        <w:kinsoku/>
        <w:wordWrap/>
        <w:overflowPunct/>
        <w:topLinePunct w:val="0"/>
        <w:bidi w:val="0"/>
        <w:snapToGrid/>
        <w:spacing w:line="460" w:lineRule="exact"/>
        <w:ind w:left="0" w:leftChars="0" w:right="0" w:firstLine="480" w:firstLineChars="200"/>
        <w:jc w:val="both"/>
        <w:textAlignment w:val="auto"/>
        <w:outlineLvl w:val="1"/>
        <w:rPr>
          <w:rFonts w:hint="eastAsia" w:ascii="宋体" w:hAnsi="宋体" w:eastAsia="宋体" w:cs="宋体"/>
          <w:color w:val="auto"/>
          <w:sz w:val="24"/>
          <w:szCs w:val="24"/>
          <w:highlight w:val="none"/>
          <w:shd w:val="clear" w:color="auto" w:fill="FFFFFF"/>
          <w:lang w:val="en-US" w:eastAsia="zh-CN"/>
        </w:rPr>
      </w:pPr>
      <w:bookmarkStart w:id="66" w:name="_Toc39"/>
      <w:bookmarkStart w:id="67" w:name="_Toc11009"/>
      <w:r>
        <w:rPr>
          <w:rFonts w:hint="eastAsia" w:ascii="宋体" w:hAnsi="宋体" w:eastAsia="宋体" w:cs="宋体"/>
          <w:color w:val="auto"/>
          <w:sz w:val="24"/>
          <w:szCs w:val="24"/>
          <w:highlight w:val="none"/>
          <w:shd w:val="clear" w:color="auto" w:fill="FFFFFF"/>
        </w:rPr>
        <w:t>附件</w:t>
      </w:r>
      <w:r>
        <w:rPr>
          <w:rFonts w:hint="eastAsia" w:hAnsi="宋体" w:cs="宋体"/>
          <w:color w:val="auto"/>
          <w:sz w:val="24"/>
          <w:szCs w:val="24"/>
          <w:highlight w:val="none"/>
          <w:shd w:val="clear" w:color="auto" w:fill="FFFFFF"/>
          <w:lang w:val="en-US" w:eastAsia="zh-CN"/>
        </w:rPr>
        <w:t>5</w:t>
      </w:r>
      <w:r>
        <w:rPr>
          <w:rFonts w:hint="eastAsia" w:ascii="宋体" w:hAnsi="宋体" w:eastAsia="宋体" w:cs="宋体"/>
          <w:color w:val="auto"/>
          <w:sz w:val="24"/>
          <w:szCs w:val="24"/>
          <w:highlight w:val="none"/>
          <w:shd w:val="clear" w:color="auto" w:fill="FFFFFF"/>
        </w:rPr>
        <w:t xml:space="preserve">  </w:t>
      </w:r>
      <w:bookmarkEnd w:id="65"/>
      <w:bookmarkStart w:id="68" w:name="_Toc53152590"/>
      <w:r>
        <w:rPr>
          <w:rFonts w:hint="eastAsia" w:ascii="宋体" w:hAnsi="宋体" w:eastAsia="宋体" w:cs="宋体"/>
          <w:color w:val="auto"/>
          <w:sz w:val="24"/>
          <w:szCs w:val="24"/>
          <w:highlight w:val="none"/>
          <w:shd w:val="clear" w:color="auto" w:fill="FFFFFF"/>
          <w:lang w:val="en-US" w:eastAsia="zh-CN"/>
        </w:rPr>
        <w:t>申报药品清单</w:t>
      </w:r>
      <w:bookmarkEnd w:id="66"/>
      <w:bookmarkEnd w:id="67"/>
    </w:p>
    <w:p>
      <w:pPr>
        <w:pStyle w:val="2"/>
        <w:rPr>
          <w:rFonts w:hint="eastAsia"/>
          <w:color w:val="auto"/>
          <w:highlight w:val="none"/>
          <w:lang w:val="en-US" w:eastAsia="zh-CN"/>
        </w:rPr>
      </w:pPr>
    </w:p>
    <w:p>
      <w:pPr>
        <w:ind w:firstLine="480" w:firstLineChars="200"/>
        <w:rPr>
          <w:rFonts w:hint="eastAsia" w:ascii="宋体" w:hAnsi="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附件6  质疑函模板</w:t>
      </w:r>
    </w:p>
    <w:p>
      <w:pPr>
        <w:pStyle w:val="9"/>
        <w:pageBreakBefore w:val="0"/>
        <w:kinsoku/>
        <w:wordWrap/>
        <w:overflowPunct/>
        <w:topLinePunct w:val="0"/>
        <w:bidi w:val="0"/>
        <w:snapToGrid/>
        <w:spacing w:line="460" w:lineRule="exact"/>
        <w:ind w:left="0" w:leftChars="0" w:right="0" w:firstLine="480" w:firstLineChars="200"/>
        <w:jc w:val="both"/>
        <w:textAlignment w:val="auto"/>
        <w:outlineLvl w:val="9"/>
        <w:rPr>
          <w:rFonts w:hint="eastAsia" w:ascii="宋体" w:hAnsi="宋体" w:eastAsia="宋体" w:cs="宋体"/>
          <w:color w:val="auto"/>
          <w:sz w:val="24"/>
          <w:szCs w:val="24"/>
          <w:highlight w:val="none"/>
          <w:shd w:val="clear" w:color="auto" w:fill="FFFFFF"/>
          <w:lang w:val="en-US" w:eastAsia="zh-CN"/>
        </w:rPr>
      </w:pPr>
    </w:p>
    <w:p>
      <w:pPr>
        <w:pStyle w:val="2"/>
        <w:ind w:firstLine="480" w:firstLineChars="200"/>
        <w:rPr>
          <w:rFonts w:hint="default"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 xml:space="preserve">附件7  </w:t>
      </w:r>
      <w:r>
        <w:rPr>
          <w:rFonts w:hint="default" w:ascii="宋体" w:hAnsi="宋体" w:eastAsia="宋体" w:cs="宋体"/>
          <w:color w:val="auto"/>
          <w:kern w:val="2"/>
          <w:sz w:val="24"/>
          <w:szCs w:val="24"/>
          <w:highlight w:val="none"/>
          <w:shd w:val="clear" w:color="auto" w:fill="FFFFFF"/>
          <w:lang w:val="en-US" w:eastAsia="zh-CN" w:bidi="ar-SA"/>
        </w:rPr>
        <w:t>申报企业认为需要提供</w:t>
      </w:r>
      <w:r>
        <w:rPr>
          <w:rFonts w:hint="eastAsia" w:ascii="宋体" w:hAnsi="宋体" w:eastAsia="宋体" w:cs="宋体"/>
          <w:color w:val="auto"/>
          <w:kern w:val="2"/>
          <w:sz w:val="24"/>
          <w:szCs w:val="24"/>
          <w:highlight w:val="none"/>
          <w:shd w:val="clear" w:color="auto" w:fill="FFFFFF"/>
          <w:lang w:val="en-US" w:eastAsia="zh-CN" w:bidi="ar-SA"/>
        </w:rPr>
        <w:t>的其他</w:t>
      </w:r>
      <w:r>
        <w:rPr>
          <w:rFonts w:hint="default" w:ascii="宋体" w:hAnsi="宋体" w:eastAsia="宋体" w:cs="宋体"/>
          <w:color w:val="auto"/>
          <w:kern w:val="2"/>
          <w:sz w:val="24"/>
          <w:szCs w:val="24"/>
          <w:highlight w:val="none"/>
          <w:shd w:val="clear" w:color="auto" w:fill="FFFFFF"/>
          <w:lang w:val="en-US" w:eastAsia="zh-CN" w:bidi="ar-SA"/>
        </w:rPr>
        <w:t>资料</w:t>
      </w:r>
      <w:bookmarkStart w:id="69" w:name="_Toc16416"/>
    </w:p>
    <w:p>
      <w:pPr>
        <w:rPr>
          <w:rFonts w:hint="default" w:ascii="宋体" w:hAnsi="宋体" w:eastAsia="宋体" w:cs="宋体"/>
          <w:color w:val="auto"/>
          <w:kern w:val="2"/>
          <w:sz w:val="24"/>
          <w:szCs w:val="24"/>
          <w:highlight w:val="none"/>
          <w:shd w:val="clear" w:color="auto" w:fill="FFFFFF"/>
          <w:lang w:val="en-US" w:eastAsia="zh-CN" w:bidi="ar-SA"/>
        </w:rPr>
      </w:pPr>
      <w:r>
        <w:rPr>
          <w:rFonts w:hint="default" w:ascii="宋体" w:hAnsi="宋体" w:eastAsia="宋体" w:cs="宋体"/>
          <w:color w:val="auto"/>
          <w:kern w:val="2"/>
          <w:sz w:val="24"/>
          <w:szCs w:val="24"/>
          <w:highlight w:val="none"/>
          <w:shd w:val="clear" w:color="auto" w:fill="FFFFFF"/>
          <w:lang w:val="en-US" w:eastAsia="zh-CN" w:bidi="ar-SA"/>
        </w:rPr>
        <w:br w:type="page"/>
      </w:r>
    </w:p>
    <w:p>
      <w:pPr>
        <w:pStyle w:val="2"/>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rPr>
        <w:t>附件1</w:t>
      </w:r>
      <w:bookmarkEnd w:id="69"/>
      <w:r>
        <w:rPr>
          <w:rFonts w:hint="eastAsia" w:ascii="宋体" w:hAnsi="宋体" w:eastAsia="宋体" w:cs="宋体"/>
          <w:b w:val="0"/>
          <w:color w:val="auto"/>
          <w:sz w:val="24"/>
          <w:szCs w:val="24"/>
          <w:highlight w:val="none"/>
          <w:lang w:eastAsia="zh-CN"/>
        </w:rPr>
        <w:t>：</w:t>
      </w:r>
    </w:p>
    <w:p>
      <w:pPr>
        <w:spacing w:line="360" w:lineRule="auto"/>
        <w:rPr>
          <w:rFonts w:hint="eastAsia" w:ascii="仿宋" w:hAnsi="仿宋" w:eastAsia="仿宋" w:cs="仿宋"/>
          <w:color w:val="auto"/>
          <w:sz w:val="32"/>
          <w:highlight w:val="none"/>
        </w:rPr>
      </w:pPr>
    </w:p>
    <w:p>
      <w:pPr>
        <w:jc w:val="center"/>
        <w:rPr>
          <w:rFonts w:hint="eastAsia" w:ascii="宋体" w:hAnsi="宋体" w:eastAsia="宋体" w:cs="宋体"/>
          <w:b/>
          <w:color w:val="auto"/>
          <w:sz w:val="48"/>
          <w:szCs w:val="48"/>
          <w:highlight w:val="none"/>
          <w:lang w:val="en-US" w:eastAsia="zh-CN"/>
        </w:rPr>
      </w:pPr>
      <w:r>
        <w:rPr>
          <w:rFonts w:hint="eastAsia" w:ascii="宋体" w:hAnsi="宋体" w:eastAsia="宋体" w:cs="宋体"/>
          <w:b/>
          <w:color w:val="auto"/>
          <w:sz w:val="48"/>
          <w:szCs w:val="48"/>
          <w:highlight w:val="none"/>
          <w:lang w:eastAsia="zh-CN"/>
        </w:rPr>
        <w:t>202</w:t>
      </w:r>
      <w:r>
        <w:rPr>
          <w:rFonts w:hint="eastAsia" w:ascii="宋体" w:hAnsi="宋体" w:eastAsia="宋体" w:cs="宋体"/>
          <w:b/>
          <w:color w:val="auto"/>
          <w:sz w:val="48"/>
          <w:szCs w:val="48"/>
          <w:highlight w:val="none"/>
          <w:lang w:val="en-US" w:eastAsia="zh-CN"/>
        </w:rPr>
        <w:t>3</w:t>
      </w:r>
      <w:r>
        <w:rPr>
          <w:rFonts w:hint="eastAsia" w:ascii="宋体" w:hAnsi="宋体" w:eastAsia="宋体" w:cs="宋体"/>
          <w:b/>
          <w:color w:val="auto"/>
          <w:sz w:val="48"/>
          <w:szCs w:val="48"/>
          <w:highlight w:val="none"/>
          <w:lang w:eastAsia="zh-CN"/>
        </w:rPr>
        <w:t>年</w:t>
      </w:r>
      <w:r>
        <w:rPr>
          <w:rFonts w:hint="eastAsia" w:ascii="宋体" w:hAnsi="宋体" w:cs="宋体"/>
          <w:b/>
          <w:color w:val="auto"/>
          <w:sz w:val="48"/>
          <w:szCs w:val="48"/>
          <w:highlight w:val="none"/>
          <w:lang w:val="en-US" w:eastAsia="zh-CN"/>
        </w:rPr>
        <w:t>新疆南部</w:t>
      </w:r>
      <w:r>
        <w:rPr>
          <w:rFonts w:hint="eastAsia" w:ascii="宋体" w:hAnsi="宋体" w:eastAsia="宋体" w:cs="宋体"/>
          <w:b/>
          <w:color w:val="auto"/>
          <w:sz w:val="48"/>
          <w:szCs w:val="48"/>
          <w:highlight w:val="none"/>
          <w:lang w:val="en-US" w:eastAsia="zh-CN"/>
        </w:rPr>
        <w:t>联盟</w:t>
      </w:r>
      <w:r>
        <w:rPr>
          <w:rFonts w:hint="eastAsia" w:ascii="宋体" w:hAnsi="宋体" w:cs="宋体"/>
          <w:b/>
          <w:color w:val="auto"/>
          <w:sz w:val="48"/>
          <w:szCs w:val="48"/>
          <w:highlight w:val="none"/>
          <w:lang w:val="en-US" w:eastAsia="zh-CN"/>
        </w:rPr>
        <w:t>药品</w:t>
      </w:r>
      <w:r>
        <w:rPr>
          <w:rFonts w:hint="eastAsia" w:ascii="宋体" w:hAnsi="宋体" w:eastAsia="宋体" w:cs="宋体"/>
          <w:b/>
          <w:color w:val="auto"/>
          <w:sz w:val="48"/>
          <w:szCs w:val="48"/>
          <w:highlight w:val="none"/>
          <w:lang w:val="en-US" w:eastAsia="zh-CN"/>
        </w:rPr>
        <w:t>联合议价</w:t>
      </w:r>
    </w:p>
    <w:p>
      <w:pPr>
        <w:jc w:val="center"/>
        <w:rPr>
          <w:rFonts w:hint="eastAsia" w:ascii="宋体" w:hAnsi="宋体" w:cs="宋体"/>
          <w:b/>
          <w:color w:val="auto"/>
          <w:sz w:val="48"/>
          <w:szCs w:val="48"/>
          <w:highlight w:val="none"/>
          <w:lang w:val="en-US" w:eastAsia="zh-CN"/>
        </w:rPr>
      </w:pPr>
      <w:r>
        <w:rPr>
          <w:rFonts w:hint="eastAsia" w:ascii="宋体" w:hAnsi="宋体" w:cs="宋体"/>
          <w:b/>
          <w:color w:val="auto"/>
          <w:sz w:val="48"/>
          <w:szCs w:val="48"/>
          <w:highlight w:val="none"/>
          <w:lang w:val="en-US" w:eastAsia="zh-CN"/>
        </w:rPr>
        <w:t>采购项目</w:t>
      </w:r>
    </w:p>
    <w:p>
      <w:pPr>
        <w:spacing w:line="360" w:lineRule="auto"/>
        <w:jc w:val="center"/>
        <w:rPr>
          <w:rFonts w:hint="eastAsia" w:ascii="仿宋" w:hAnsi="仿宋" w:eastAsia="仿宋" w:cs="仿宋"/>
          <w:b/>
          <w:color w:val="auto"/>
          <w:sz w:val="52"/>
          <w:szCs w:val="52"/>
          <w:highlight w:val="none"/>
          <w:lang w:val="en-US" w:eastAsia="zh-CN"/>
        </w:rPr>
      </w:pPr>
    </w:p>
    <w:p>
      <w:pPr>
        <w:spacing w:line="360" w:lineRule="auto"/>
        <w:jc w:val="center"/>
        <w:rPr>
          <w:rFonts w:hint="eastAsia" w:ascii="仿宋" w:hAnsi="仿宋" w:eastAsia="仿宋" w:cs="仿宋"/>
          <w:b/>
          <w:color w:val="auto"/>
          <w:sz w:val="72"/>
          <w:szCs w:val="72"/>
          <w:highlight w:val="none"/>
          <w:lang w:val="en-US" w:eastAsia="zh-CN"/>
        </w:rPr>
      </w:pPr>
    </w:p>
    <w:p>
      <w:pPr>
        <w:spacing w:line="360" w:lineRule="auto"/>
        <w:jc w:val="center"/>
        <w:outlineLvl w:val="0"/>
        <w:rPr>
          <w:rFonts w:hint="eastAsia" w:ascii="仿宋" w:hAnsi="仿宋" w:eastAsia="仿宋" w:cs="仿宋"/>
          <w:b/>
          <w:color w:val="auto"/>
          <w:sz w:val="72"/>
          <w:szCs w:val="72"/>
          <w:highlight w:val="none"/>
          <w:lang w:val="en-US"/>
        </w:rPr>
      </w:pPr>
      <w:bookmarkStart w:id="70" w:name="_Toc24395"/>
      <w:bookmarkStart w:id="71" w:name="_Toc29678"/>
      <w:r>
        <w:rPr>
          <w:rFonts w:hint="eastAsia" w:ascii="仿宋" w:hAnsi="仿宋" w:eastAsia="仿宋" w:cs="仿宋"/>
          <w:b/>
          <w:color w:val="auto"/>
          <w:sz w:val="72"/>
          <w:szCs w:val="72"/>
          <w:highlight w:val="none"/>
          <w:lang w:val="en-US" w:eastAsia="zh-CN"/>
        </w:rPr>
        <w:t>资格证明文件</w:t>
      </w:r>
      <w:bookmarkEnd w:id="70"/>
      <w:bookmarkEnd w:id="71"/>
    </w:p>
    <w:p>
      <w:pPr>
        <w:spacing w:line="360" w:lineRule="auto"/>
        <w:jc w:val="center"/>
        <w:rPr>
          <w:rFonts w:hint="eastAsia" w:ascii="仿宋" w:hAnsi="仿宋" w:eastAsia="仿宋" w:cs="仿宋"/>
          <w:color w:val="auto"/>
          <w:sz w:val="32"/>
          <w:szCs w:val="32"/>
          <w:highlight w:val="none"/>
          <w:lang w:val="en-US" w:eastAsia="zh-CN"/>
        </w:rPr>
      </w:pPr>
    </w:p>
    <w:p>
      <w:pPr>
        <w:pStyle w:val="2"/>
        <w:rPr>
          <w:rFonts w:hint="eastAsia" w:ascii="仿宋" w:hAnsi="仿宋" w:eastAsia="仿宋" w:cs="仿宋"/>
          <w:color w:val="auto"/>
          <w:sz w:val="32"/>
          <w:szCs w:val="32"/>
          <w:highlight w:val="none"/>
          <w:lang w:val="en-US" w:eastAsia="zh-CN"/>
        </w:rPr>
      </w:pPr>
    </w:p>
    <w:p>
      <w:pPr>
        <w:pStyle w:val="2"/>
        <w:rPr>
          <w:rFonts w:hint="eastAsia" w:ascii="仿宋" w:hAnsi="仿宋" w:eastAsia="仿宋" w:cs="仿宋"/>
          <w:color w:val="auto"/>
          <w:sz w:val="32"/>
          <w:szCs w:val="32"/>
          <w:highlight w:val="none"/>
          <w:lang w:val="en-US" w:eastAsia="zh-CN"/>
        </w:rPr>
      </w:pPr>
    </w:p>
    <w:p>
      <w:pPr>
        <w:spacing w:line="360" w:lineRule="auto"/>
        <w:jc w:val="center"/>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（采购编号：NBLMJC—2023-01）</w:t>
      </w:r>
    </w:p>
    <w:p>
      <w:pPr>
        <w:spacing w:line="360" w:lineRule="auto"/>
        <w:ind w:left="960"/>
        <w:jc w:val="center"/>
        <w:rPr>
          <w:rFonts w:hint="eastAsia" w:ascii="仿宋" w:hAnsi="仿宋" w:eastAsia="仿宋" w:cs="仿宋"/>
          <w:color w:val="auto"/>
          <w:sz w:val="32"/>
          <w:szCs w:val="32"/>
          <w:highlight w:val="none"/>
        </w:rPr>
      </w:pPr>
    </w:p>
    <w:p>
      <w:pPr>
        <w:pStyle w:val="2"/>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spacing w:line="360" w:lineRule="auto"/>
        <w:ind w:left="960"/>
        <w:jc w:val="center"/>
        <w:rPr>
          <w:rFonts w:hint="eastAsia" w:ascii="仿宋" w:hAnsi="仿宋" w:eastAsia="仿宋" w:cs="仿宋"/>
          <w:color w:val="auto"/>
          <w:sz w:val="24"/>
          <w:highlight w:val="none"/>
        </w:rPr>
      </w:pPr>
    </w:p>
    <w:p>
      <w:pPr>
        <w:spacing w:line="360" w:lineRule="auto"/>
        <w:ind w:firstLine="1600" w:firstLineChars="500"/>
        <w:rPr>
          <w:rFonts w:hint="eastAsia" w:ascii="仿宋" w:hAnsi="仿宋" w:eastAsia="仿宋" w:cs="仿宋"/>
          <w:color w:val="auto"/>
          <w:sz w:val="32"/>
          <w:highlight w:val="none"/>
        </w:rPr>
      </w:pPr>
      <w:r>
        <w:rPr>
          <w:rFonts w:hint="eastAsia" w:cs="仿宋"/>
          <w:color w:val="auto"/>
          <w:sz w:val="32"/>
          <w:highlight w:val="none"/>
          <w:lang w:val="en-US" w:eastAsia="zh-CN"/>
        </w:rPr>
        <w:t>申报企业名称：</w:t>
      </w:r>
      <w:r>
        <w:rPr>
          <w:rFonts w:hint="eastAsia" w:ascii="仿宋" w:hAnsi="仿宋" w:eastAsia="仿宋" w:cs="仿宋"/>
          <w:color w:val="auto"/>
          <w:sz w:val="32"/>
          <w:highlight w:val="none"/>
          <w:u w:val="single"/>
        </w:rPr>
        <w:t xml:space="preserve">                         </w:t>
      </w:r>
      <w:r>
        <w:rPr>
          <w:rFonts w:hint="eastAsia" w:ascii="仿宋" w:hAnsi="仿宋" w:eastAsia="仿宋" w:cs="仿宋"/>
          <w:color w:val="auto"/>
          <w:sz w:val="32"/>
          <w:highlight w:val="none"/>
          <w:u w:val="none"/>
          <w:lang w:eastAsia="zh-CN"/>
        </w:rPr>
        <w:t>（</w:t>
      </w:r>
      <w:r>
        <w:rPr>
          <w:rFonts w:hint="eastAsia" w:ascii="仿宋" w:hAnsi="仿宋" w:eastAsia="仿宋" w:cs="仿宋"/>
          <w:color w:val="auto"/>
          <w:sz w:val="32"/>
          <w:highlight w:val="none"/>
          <w:u w:val="none"/>
          <w:lang w:val="en-US" w:eastAsia="zh-CN"/>
        </w:rPr>
        <w:t>公章）</w:t>
      </w:r>
    </w:p>
    <w:p>
      <w:pPr>
        <w:spacing w:line="360" w:lineRule="auto"/>
        <w:ind w:firstLine="1600" w:firstLineChars="500"/>
        <w:rPr>
          <w:rFonts w:hint="default" w:cs="仿宋"/>
          <w:color w:val="auto"/>
          <w:sz w:val="32"/>
          <w:highlight w:val="none"/>
          <w:lang w:val="en-US" w:eastAsia="zh-CN"/>
        </w:rPr>
      </w:pPr>
      <w:r>
        <w:rPr>
          <w:rFonts w:hint="eastAsia" w:cs="仿宋"/>
          <w:color w:val="auto"/>
          <w:sz w:val="32"/>
          <w:highlight w:val="none"/>
          <w:lang w:val="en-US" w:eastAsia="zh-CN"/>
        </w:rPr>
        <w:t>申报药品数量：</w:t>
      </w:r>
      <w:r>
        <w:rPr>
          <w:rFonts w:hint="eastAsia" w:cs="仿宋"/>
          <w:color w:val="auto"/>
          <w:sz w:val="32"/>
          <w:highlight w:val="none"/>
          <w:u w:val="single"/>
          <w:lang w:val="en-US" w:eastAsia="zh-CN"/>
        </w:rPr>
        <w:t xml:space="preserve">                         </w:t>
      </w:r>
    </w:p>
    <w:p>
      <w:pPr>
        <w:spacing w:line="360" w:lineRule="auto"/>
        <w:ind w:firstLine="1600" w:firstLineChars="500"/>
        <w:rPr>
          <w:rFonts w:hint="eastAsia" w:ascii="仿宋" w:hAnsi="仿宋" w:eastAsia="仿宋" w:cs="仿宋"/>
          <w:color w:val="auto"/>
          <w:sz w:val="32"/>
          <w:highlight w:val="none"/>
          <w:u w:val="single"/>
        </w:rPr>
      </w:pPr>
      <w:r>
        <w:rPr>
          <w:rFonts w:hint="eastAsia" w:cs="仿宋"/>
          <w:color w:val="auto"/>
          <w:sz w:val="32"/>
          <w:highlight w:val="none"/>
          <w:lang w:val="en-US" w:eastAsia="zh-CN"/>
        </w:rPr>
        <w:t>联   系   人</w:t>
      </w:r>
      <w:r>
        <w:rPr>
          <w:rFonts w:hint="eastAsia" w:cs="仿宋"/>
          <w:color w:val="auto"/>
          <w:sz w:val="32"/>
          <w:highlight w:val="none"/>
          <w:lang w:eastAsia="zh-CN"/>
        </w:rPr>
        <w:t>：</w:t>
      </w:r>
      <w:r>
        <w:rPr>
          <w:rFonts w:hint="eastAsia" w:ascii="仿宋" w:hAnsi="仿宋" w:eastAsia="仿宋" w:cs="仿宋"/>
          <w:color w:val="auto"/>
          <w:sz w:val="32"/>
          <w:highlight w:val="none"/>
          <w:u w:val="single"/>
        </w:rPr>
        <w:t xml:space="preserve">                         </w:t>
      </w:r>
    </w:p>
    <w:p>
      <w:pPr>
        <w:spacing w:line="360" w:lineRule="auto"/>
        <w:ind w:firstLine="1600" w:firstLineChars="500"/>
        <w:rPr>
          <w:rFonts w:hint="default" w:ascii="仿宋" w:hAnsi="仿宋" w:eastAsia="仿宋" w:cs="仿宋"/>
          <w:color w:val="auto"/>
          <w:sz w:val="32"/>
          <w:highlight w:val="none"/>
          <w:lang w:val="en-US" w:eastAsia="zh-CN"/>
        </w:rPr>
      </w:pPr>
      <w:r>
        <w:rPr>
          <w:rFonts w:hint="eastAsia" w:cs="仿宋"/>
          <w:color w:val="auto"/>
          <w:sz w:val="32"/>
          <w:highlight w:val="none"/>
          <w:lang w:val="en-US" w:eastAsia="zh-CN"/>
        </w:rPr>
        <w:t>联 系  电 话：</w:t>
      </w:r>
      <w:r>
        <w:rPr>
          <w:rFonts w:hint="eastAsia" w:ascii="仿宋" w:hAnsi="仿宋" w:eastAsia="仿宋" w:cs="仿宋"/>
          <w:color w:val="auto"/>
          <w:sz w:val="32"/>
          <w:highlight w:val="none"/>
          <w:u w:val="single"/>
        </w:rPr>
        <w:t xml:space="preserve">                         </w:t>
      </w:r>
    </w:p>
    <w:p>
      <w:pPr>
        <w:spacing w:line="360" w:lineRule="auto"/>
        <w:ind w:firstLine="3520" w:firstLineChars="1100"/>
        <w:rPr>
          <w:rFonts w:hint="eastAsia" w:ascii="仿宋" w:hAnsi="仿宋" w:eastAsia="仿宋" w:cs="仿宋"/>
          <w:color w:val="auto"/>
          <w:sz w:val="32"/>
          <w:highlight w:val="none"/>
        </w:rPr>
      </w:pPr>
      <w:r>
        <w:rPr>
          <w:rFonts w:hint="eastAsia" w:cs="仿宋"/>
          <w:color w:val="auto"/>
          <w:sz w:val="32"/>
          <w:highlight w:val="none"/>
          <w:lang w:val="en-US" w:eastAsia="zh-CN"/>
        </w:rPr>
        <w:t>2023</w:t>
      </w:r>
      <w:r>
        <w:rPr>
          <w:rFonts w:hint="eastAsia" w:ascii="仿宋" w:hAnsi="仿宋" w:eastAsia="仿宋" w:cs="仿宋"/>
          <w:color w:val="auto"/>
          <w:sz w:val="32"/>
          <w:highlight w:val="none"/>
        </w:rPr>
        <w:t xml:space="preserve">年  月 </w:t>
      </w:r>
      <w:r>
        <w:rPr>
          <w:rFonts w:hint="eastAsia" w:ascii="仿宋" w:hAnsi="仿宋" w:eastAsia="仿宋" w:cs="仿宋"/>
          <w:color w:val="auto"/>
          <w:sz w:val="32"/>
          <w:highlight w:val="none"/>
          <w:lang w:val="en-US" w:eastAsia="zh-CN"/>
        </w:rPr>
        <w:t xml:space="preserve"> </w:t>
      </w:r>
      <w:r>
        <w:rPr>
          <w:rFonts w:hint="eastAsia" w:ascii="仿宋" w:hAnsi="仿宋" w:eastAsia="仿宋" w:cs="仿宋"/>
          <w:color w:val="auto"/>
          <w:sz w:val="32"/>
          <w:highlight w:val="none"/>
        </w:rPr>
        <w:t>日</w:t>
      </w:r>
    </w:p>
    <w:p>
      <w:pPr>
        <w:pStyle w:val="4"/>
        <w:pageBreakBefore w:val="0"/>
        <w:kinsoku/>
        <w:wordWrap/>
        <w:overflowPunct/>
        <w:topLinePunct w:val="0"/>
        <w:bidi w:val="0"/>
        <w:snapToGrid/>
        <w:spacing w:before="0" w:after="0" w:line="460" w:lineRule="exact"/>
        <w:ind w:left="0" w:leftChars="0" w:right="0" w:firstLine="0" w:firstLineChars="0"/>
        <w:jc w:val="left"/>
        <w:textAlignment w:val="auto"/>
        <w:outlineLvl w:val="0"/>
        <w:rPr>
          <w:rFonts w:hint="eastAsia" w:ascii="宋体" w:hAnsi="宋体" w:eastAsia="宋体" w:cs="宋体"/>
          <w:b w:val="0"/>
          <w:bCs w:val="0"/>
          <w:color w:val="auto"/>
          <w:sz w:val="24"/>
          <w:szCs w:val="24"/>
          <w:highlight w:val="none"/>
          <w:lang w:val="en-US" w:eastAsia="zh-CN"/>
        </w:rPr>
      </w:pPr>
      <w:bookmarkStart w:id="72" w:name="_Toc18036"/>
      <w:bookmarkStart w:id="73" w:name="_Toc20294"/>
      <w:r>
        <w:rPr>
          <w:rFonts w:hint="eastAsia" w:ascii="宋体" w:hAnsi="宋体" w:eastAsia="宋体" w:cs="宋体"/>
          <w:b w:val="0"/>
          <w:bCs w:val="0"/>
          <w:color w:val="auto"/>
          <w:sz w:val="24"/>
          <w:szCs w:val="24"/>
          <w:highlight w:val="none"/>
          <w:lang w:val="en-US" w:eastAsia="zh-CN"/>
        </w:rPr>
        <w:t>附件2</w:t>
      </w:r>
      <w:bookmarkEnd w:id="72"/>
      <w:bookmarkEnd w:id="73"/>
      <w:r>
        <w:rPr>
          <w:rFonts w:hint="eastAsia" w:ascii="宋体" w:hAnsi="宋体" w:eastAsia="宋体" w:cs="宋体"/>
          <w:b w:val="0"/>
          <w:bCs w:val="0"/>
          <w:color w:val="auto"/>
          <w:sz w:val="24"/>
          <w:szCs w:val="24"/>
          <w:highlight w:val="none"/>
          <w:lang w:val="en-US" w:eastAsia="zh-CN"/>
        </w:rPr>
        <w:t>：</w:t>
      </w:r>
    </w:p>
    <w:p>
      <w:pPr>
        <w:pStyle w:val="4"/>
        <w:pageBreakBefore w:val="0"/>
        <w:kinsoku/>
        <w:wordWrap/>
        <w:overflowPunct/>
        <w:topLinePunct w:val="0"/>
        <w:bidi w:val="0"/>
        <w:snapToGrid/>
        <w:spacing w:before="0" w:after="0" w:line="460" w:lineRule="exact"/>
        <w:ind w:left="0" w:leftChars="0" w:right="0" w:firstLine="0" w:firstLineChars="0"/>
        <w:jc w:val="center"/>
        <w:textAlignment w:val="auto"/>
        <w:outlineLvl w:val="0"/>
        <w:rPr>
          <w:rFonts w:hint="eastAsia" w:ascii="宋体" w:hAnsi="宋体" w:eastAsia="宋体" w:cs="宋体"/>
          <w:b/>
          <w:bCs w:val="0"/>
          <w:color w:val="auto"/>
          <w:spacing w:val="-10"/>
          <w:sz w:val="36"/>
          <w:szCs w:val="36"/>
          <w:highlight w:val="none"/>
        </w:rPr>
      </w:pPr>
      <w:bookmarkStart w:id="74" w:name="_Toc3028"/>
      <w:bookmarkStart w:id="75" w:name="_Toc28357"/>
      <w:r>
        <w:rPr>
          <w:rFonts w:hint="eastAsia" w:ascii="宋体" w:hAnsi="宋体" w:eastAsia="宋体" w:cs="宋体"/>
          <w:b/>
          <w:bCs w:val="0"/>
          <w:color w:val="auto"/>
          <w:spacing w:val="-10"/>
          <w:sz w:val="36"/>
          <w:szCs w:val="36"/>
          <w:highlight w:val="none"/>
          <w:lang w:val="en-US" w:eastAsia="zh-CN"/>
        </w:rPr>
        <w:t>投标</w:t>
      </w:r>
      <w:r>
        <w:rPr>
          <w:rFonts w:hint="eastAsia" w:ascii="宋体" w:hAnsi="宋体" w:eastAsia="宋体" w:cs="宋体"/>
          <w:b/>
          <w:bCs w:val="0"/>
          <w:color w:val="auto"/>
          <w:spacing w:val="-10"/>
          <w:sz w:val="36"/>
          <w:szCs w:val="36"/>
          <w:highlight w:val="none"/>
        </w:rPr>
        <w:t>承诺函</w:t>
      </w:r>
      <w:bookmarkEnd w:id="68"/>
      <w:bookmarkEnd w:id="74"/>
      <w:bookmarkEnd w:id="75"/>
    </w:p>
    <w:p>
      <w:pPr>
        <w:rPr>
          <w:rFonts w:hint="eastAsia"/>
          <w:color w:val="auto"/>
          <w:sz w:val="24"/>
          <w:szCs w:val="24"/>
        </w:rPr>
      </w:pPr>
    </w:p>
    <w:p>
      <w:pPr>
        <w:pageBreakBefore w:val="0"/>
        <w:widowControl/>
        <w:kinsoku/>
        <w:wordWrap/>
        <w:overflowPunct/>
        <w:topLinePunct w:val="0"/>
        <w:bidi w:val="0"/>
        <w:snapToGrid/>
        <w:spacing w:line="460" w:lineRule="exact"/>
        <w:ind w:left="0" w:leftChars="0" w:right="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致：</w:t>
      </w:r>
      <w:r>
        <w:rPr>
          <w:rFonts w:hint="eastAsia" w:ascii="宋体" w:hAnsi="宋体" w:eastAsia="宋体" w:cs="宋体"/>
          <w:color w:val="auto"/>
          <w:sz w:val="24"/>
          <w:szCs w:val="24"/>
          <w:highlight w:val="none"/>
          <w:shd w:val="clear" w:color="auto" w:fill="FFFFFF"/>
          <w:lang w:val="en-US" w:eastAsia="zh-CN"/>
        </w:rPr>
        <w:t>南部联盟医药集采领导小组办公室</w:t>
      </w:r>
    </w:p>
    <w:p>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在充分理解《</w:t>
      </w:r>
      <w:r>
        <w:rPr>
          <w:rFonts w:hint="eastAsia" w:ascii="宋体" w:hAnsi="宋体" w:eastAsia="宋体" w:cs="宋体"/>
          <w:color w:val="auto"/>
          <w:sz w:val="24"/>
          <w:szCs w:val="24"/>
          <w:highlight w:val="none"/>
          <w:shd w:val="clear" w:color="auto" w:fill="FFFFFF"/>
          <w:lang w:val="en-US" w:eastAsia="zh-CN"/>
        </w:rPr>
        <w:t>2023年新疆南部联盟药品联合议价采购项目</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b w:val="0"/>
          <w:bCs w:val="0"/>
          <w:color w:val="auto"/>
          <w:sz w:val="24"/>
          <w:szCs w:val="24"/>
          <w:highlight w:val="none"/>
          <w:shd w:val="clear" w:color="auto" w:fill="FFFFFF"/>
          <w:lang w:val="en-US" w:eastAsia="zh-CN"/>
        </w:rPr>
        <w:t>采购</w:t>
      </w:r>
      <w:r>
        <w:rPr>
          <w:rFonts w:hint="eastAsia" w:ascii="宋体" w:hAnsi="宋体" w:eastAsia="宋体" w:cs="宋体"/>
          <w:b w:val="0"/>
          <w:bCs w:val="0"/>
          <w:color w:val="auto"/>
          <w:sz w:val="24"/>
          <w:szCs w:val="24"/>
          <w:highlight w:val="none"/>
          <w:shd w:val="clear" w:color="auto" w:fill="FFFFFF"/>
        </w:rPr>
        <w:t>编</w:t>
      </w:r>
      <w:r>
        <w:rPr>
          <w:rFonts w:hint="eastAsia" w:ascii="宋体" w:hAnsi="宋体" w:eastAsia="宋体" w:cs="宋体"/>
          <w:color w:val="auto"/>
          <w:sz w:val="24"/>
          <w:szCs w:val="24"/>
          <w:highlight w:val="none"/>
          <w:shd w:val="clear" w:color="auto" w:fill="FFFFFF"/>
          <w:lang w:val="en-US" w:eastAsia="zh-CN"/>
        </w:rPr>
        <w:t>号</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shd w:val="clear" w:color="auto" w:fill="FFFFFF"/>
          <w:lang w:val="en-US" w:eastAsia="zh-CN"/>
        </w:rPr>
        <w:t>NBLMJC-2023-01）的采购文件</w:t>
      </w:r>
      <w:r>
        <w:rPr>
          <w:rFonts w:hint="eastAsia" w:ascii="宋体" w:hAnsi="宋体" w:eastAsia="宋体" w:cs="宋体"/>
          <w:color w:val="auto"/>
          <w:sz w:val="24"/>
          <w:szCs w:val="24"/>
          <w:highlight w:val="none"/>
          <w:shd w:val="clear" w:color="auto" w:fill="FFFFFF"/>
        </w:rPr>
        <w:t>后，</w:t>
      </w:r>
      <w:r>
        <w:rPr>
          <w:rFonts w:hint="eastAsia" w:ascii="宋体" w:hAnsi="宋体" w:eastAsia="宋体" w:cs="宋体"/>
          <w:color w:val="auto"/>
          <w:sz w:val="24"/>
          <w:szCs w:val="24"/>
          <w:highlight w:val="none"/>
        </w:rPr>
        <w:t>我方决定按照采购文件的规定参与投标。我方保证所有的</w:t>
      </w:r>
      <w:r>
        <w:rPr>
          <w:rFonts w:hint="eastAsia" w:ascii="宋体" w:hAnsi="宋体" w:eastAsia="宋体" w:cs="宋体"/>
          <w:color w:val="auto"/>
          <w:sz w:val="24"/>
          <w:szCs w:val="24"/>
          <w:highlight w:val="none"/>
          <w:lang w:val="en-US" w:eastAsia="zh-CN"/>
        </w:rPr>
        <w:t>申报药品</w:t>
      </w:r>
      <w:r>
        <w:rPr>
          <w:rFonts w:hint="eastAsia" w:ascii="宋体" w:hAnsi="宋体" w:eastAsia="宋体" w:cs="宋体"/>
          <w:color w:val="auto"/>
          <w:sz w:val="24"/>
          <w:szCs w:val="24"/>
          <w:highlight w:val="none"/>
        </w:rPr>
        <w:t>来源合法，同时已对网上的</w:t>
      </w:r>
      <w:r>
        <w:rPr>
          <w:rFonts w:hint="eastAsia" w:ascii="宋体" w:hAnsi="宋体" w:eastAsia="宋体" w:cs="宋体"/>
          <w:color w:val="auto"/>
          <w:sz w:val="24"/>
          <w:szCs w:val="24"/>
          <w:highlight w:val="none"/>
          <w:lang w:val="en-US" w:eastAsia="zh-CN"/>
        </w:rPr>
        <w:t>申报</w:t>
      </w:r>
      <w:r>
        <w:rPr>
          <w:rFonts w:hint="eastAsia" w:ascii="宋体" w:hAnsi="宋体" w:eastAsia="宋体" w:cs="宋体"/>
          <w:color w:val="auto"/>
          <w:sz w:val="24"/>
          <w:szCs w:val="24"/>
          <w:highlight w:val="none"/>
        </w:rPr>
        <w:t>信息审核无误，保证所提供的全部报价</w:t>
      </w:r>
      <w:r>
        <w:rPr>
          <w:rFonts w:hint="eastAsia" w:ascii="宋体" w:hAnsi="宋体" w:eastAsia="宋体" w:cs="宋体"/>
          <w:color w:val="auto"/>
          <w:sz w:val="24"/>
          <w:szCs w:val="24"/>
          <w:highlight w:val="none"/>
          <w:lang w:eastAsia="zh-CN"/>
        </w:rPr>
        <w:t>和其他</w:t>
      </w:r>
      <w:r>
        <w:rPr>
          <w:rFonts w:hint="eastAsia" w:ascii="宋体" w:hAnsi="宋体" w:eastAsia="宋体" w:cs="宋体"/>
          <w:color w:val="auto"/>
          <w:sz w:val="24"/>
          <w:szCs w:val="24"/>
          <w:highlight w:val="none"/>
        </w:rPr>
        <w:t>证明文件的真实性、合法性</w:t>
      </w:r>
      <w:r>
        <w:rPr>
          <w:rFonts w:hint="eastAsia" w:ascii="宋体" w:hAnsi="宋体" w:eastAsia="宋体" w:cs="宋体"/>
          <w:color w:val="auto"/>
          <w:sz w:val="24"/>
          <w:szCs w:val="24"/>
          <w:highlight w:val="none"/>
          <w:lang w:eastAsia="zh-CN"/>
        </w:rPr>
        <w:t>。</w:t>
      </w:r>
    </w:p>
    <w:p>
      <w:pPr>
        <w:spacing w:before="50" w:after="50" w:line="500" w:lineRule="exact"/>
        <w:ind w:firstLine="4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如果我方投标</w:t>
      </w:r>
      <w:r>
        <w:rPr>
          <w:rFonts w:hint="eastAsia" w:ascii="宋体" w:hAnsi="宋体" w:eastAsia="宋体" w:cs="宋体"/>
          <w:color w:val="auto"/>
          <w:sz w:val="24"/>
          <w:szCs w:val="24"/>
          <w:highlight w:val="none"/>
          <w:lang w:eastAsia="zh-CN"/>
        </w:rPr>
        <w:t>药品</w:t>
      </w:r>
      <w:r>
        <w:rPr>
          <w:rFonts w:hint="eastAsia" w:ascii="宋体" w:hAnsi="宋体" w:eastAsia="宋体" w:cs="宋体"/>
          <w:color w:val="auto"/>
          <w:sz w:val="24"/>
          <w:szCs w:val="24"/>
          <w:highlight w:val="none"/>
          <w:lang w:val="en-US" w:eastAsia="zh-CN"/>
        </w:rPr>
        <w:t>中选</w:t>
      </w:r>
      <w:r>
        <w:rPr>
          <w:rFonts w:hint="eastAsia" w:ascii="宋体" w:hAnsi="宋体" w:eastAsia="宋体" w:cs="宋体"/>
          <w:color w:val="auto"/>
          <w:sz w:val="24"/>
          <w:szCs w:val="24"/>
          <w:highlight w:val="none"/>
        </w:rPr>
        <w:t>，将按照</w:t>
      </w:r>
      <w:r>
        <w:rPr>
          <w:rFonts w:hint="eastAsia" w:ascii="宋体" w:hAnsi="宋体" w:eastAsia="宋体" w:cs="宋体"/>
          <w:color w:val="auto"/>
          <w:sz w:val="24"/>
          <w:szCs w:val="24"/>
          <w:highlight w:val="none"/>
          <w:lang w:val="en-US" w:eastAsia="zh-CN"/>
        </w:rPr>
        <w:t>医疗机构</w:t>
      </w:r>
      <w:r>
        <w:rPr>
          <w:rFonts w:hint="eastAsia" w:ascii="宋体" w:hAnsi="宋体" w:eastAsia="宋体" w:cs="宋体"/>
          <w:color w:val="auto"/>
          <w:sz w:val="24"/>
          <w:szCs w:val="24"/>
          <w:highlight w:val="none"/>
        </w:rPr>
        <w:t>的要求按时</w:t>
      </w:r>
      <w:r>
        <w:rPr>
          <w:rFonts w:hint="eastAsia" w:ascii="宋体" w:hAnsi="宋体" w:eastAsia="宋体" w:cs="宋体"/>
          <w:color w:val="auto"/>
          <w:sz w:val="24"/>
          <w:szCs w:val="24"/>
          <w:highlight w:val="none"/>
          <w:lang w:val="en-US" w:eastAsia="zh-CN"/>
        </w:rPr>
        <w:t>按点足量</w:t>
      </w:r>
      <w:r>
        <w:rPr>
          <w:rFonts w:hint="eastAsia" w:ascii="宋体" w:hAnsi="宋体" w:eastAsia="宋体" w:cs="宋体"/>
          <w:color w:val="auto"/>
          <w:sz w:val="24"/>
          <w:szCs w:val="24"/>
          <w:highlight w:val="none"/>
        </w:rPr>
        <w:t>配送或委托配送单位配送</w:t>
      </w:r>
      <w:r>
        <w:rPr>
          <w:rFonts w:hint="eastAsia" w:ascii="宋体" w:hAnsi="宋体" w:eastAsia="宋体" w:cs="宋体"/>
          <w:color w:val="auto"/>
          <w:sz w:val="24"/>
          <w:szCs w:val="24"/>
          <w:highlight w:val="none"/>
          <w:lang w:val="en-US" w:eastAsia="zh-CN"/>
        </w:rPr>
        <w:t>中选</w:t>
      </w:r>
      <w:r>
        <w:rPr>
          <w:rFonts w:hint="eastAsia" w:ascii="宋体" w:hAnsi="宋体" w:eastAsia="宋体" w:cs="宋体"/>
          <w:color w:val="auto"/>
          <w:sz w:val="24"/>
          <w:szCs w:val="24"/>
          <w:highlight w:val="none"/>
          <w:lang w:eastAsia="zh-CN"/>
        </w:rPr>
        <w:t>药品</w:t>
      </w:r>
      <w:r>
        <w:rPr>
          <w:rFonts w:hint="eastAsia" w:ascii="宋体" w:hAnsi="宋体" w:eastAsia="宋体" w:cs="宋体"/>
          <w:color w:val="auto"/>
          <w:sz w:val="24"/>
          <w:szCs w:val="24"/>
          <w:highlight w:val="none"/>
        </w:rPr>
        <w:t>，确保</w:t>
      </w:r>
      <w:r>
        <w:rPr>
          <w:rFonts w:hint="eastAsia" w:ascii="宋体" w:hAnsi="宋体" w:eastAsia="宋体" w:cs="宋体"/>
          <w:color w:val="auto"/>
          <w:sz w:val="24"/>
          <w:szCs w:val="24"/>
          <w:highlight w:val="none"/>
          <w:lang w:eastAsia="zh-CN"/>
        </w:rPr>
        <w:t>药品</w:t>
      </w:r>
      <w:r>
        <w:rPr>
          <w:rFonts w:hint="eastAsia" w:ascii="宋体" w:hAnsi="宋体" w:eastAsia="宋体" w:cs="宋体"/>
          <w:color w:val="auto"/>
          <w:sz w:val="24"/>
          <w:szCs w:val="24"/>
          <w:highlight w:val="none"/>
        </w:rPr>
        <w:t>购销</w:t>
      </w:r>
      <w:r>
        <w:rPr>
          <w:rFonts w:hint="eastAsia" w:ascii="宋体" w:hAnsi="宋体" w:eastAsia="宋体" w:cs="宋体"/>
          <w:color w:val="auto"/>
          <w:sz w:val="24"/>
          <w:szCs w:val="24"/>
          <w:highlight w:val="none"/>
          <w:lang w:val="en-US" w:eastAsia="zh-CN"/>
        </w:rPr>
        <w:t>协议</w:t>
      </w:r>
      <w:r>
        <w:rPr>
          <w:rFonts w:hint="eastAsia" w:ascii="宋体" w:hAnsi="宋体" w:eastAsia="宋体" w:cs="宋体"/>
          <w:color w:val="auto"/>
          <w:sz w:val="24"/>
          <w:szCs w:val="24"/>
          <w:highlight w:val="none"/>
        </w:rPr>
        <w:t>的履行。</w:t>
      </w:r>
    </w:p>
    <w:p>
      <w:pPr>
        <w:spacing w:before="50" w:after="50" w:line="500" w:lineRule="exact"/>
        <w:ind w:firstLine="4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我方同意本投标函在提交</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截止日起90日内有效，并对我方具有约束力。</w:t>
      </w:r>
    </w:p>
    <w:p>
      <w:pPr>
        <w:keepNext w:val="0"/>
        <w:keepLines w:val="0"/>
        <w:pageBreakBefore w:val="0"/>
        <w:widowControl w:val="0"/>
        <w:kinsoku/>
        <w:wordWrap/>
        <w:overflowPunct/>
        <w:topLinePunct w:val="0"/>
        <w:autoSpaceDE/>
        <w:autoSpaceDN/>
        <w:bidi w:val="0"/>
        <w:adjustRightInd/>
        <w:snapToGrid/>
        <w:spacing w:before="50" w:after="5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我方承诺：我方同本项目的招标代理机构没有产权关系，不会在竞争性投标过程中有任何违法违规行为和</w:t>
      </w:r>
      <w:r>
        <w:rPr>
          <w:rFonts w:hint="eastAsia" w:ascii="宋体" w:hAnsi="宋体" w:eastAsia="宋体" w:cs="宋体"/>
          <w:color w:val="auto"/>
          <w:sz w:val="24"/>
          <w:szCs w:val="24"/>
          <w:highlight w:val="none"/>
          <w:lang w:val="en-US" w:eastAsia="zh-CN"/>
        </w:rPr>
        <w:t>中选</w:t>
      </w:r>
      <w:r>
        <w:rPr>
          <w:rFonts w:hint="eastAsia" w:ascii="宋体" w:hAnsi="宋体" w:eastAsia="宋体" w:cs="宋体"/>
          <w:color w:val="auto"/>
          <w:sz w:val="24"/>
          <w:szCs w:val="24"/>
          <w:highlight w:val="none"/>
        </w:rPr>
        <w:t>后采用不正当手段进行非法临床促销活动，提供各种回扣或其他商业贿赂。</w:t>
      </w:r>
    </w:p>
    <w:p>
      <w:pPr>
        <w:spacing w:line="500" w:lineRule="exact"/>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我方完全能够理解</w:t>
      </w:r>
      <w:r>
        <w:rPr>
          <w:rFonts w:hint="eastAsia" w:ascii="宋体" w:hAnsi="宋体" w:eastAsia="宋体" w:cs="宋体"/>
          <w:snapToGrid w:val="0"/>
          <w:color w:val="auto"/>
          <w:kern w:val="0"/>
          <w:sz w:val="24"/>
          <w:szCs w:val="24"/>
          <w:highlight w:val="none"/>
          <w:lang w:val="en-US" w:eastAsia="zh-CN"/>
        </w:rPr>
        <w:t>申报药品</w:t>
      </w:r>
      <w:r>
        <w:rPr>
          <w:rFonts w:hint="eastAsia" w:ascii="宋体" w:hAnsi="宋体" w:eastAsia="宋体" w:cs="宋体"/>
          <w:snapToGrid w:val="0"/>
          <w:color w:val="auto"/>
          <w:kern w:val="0"/>
          <w:sz w:val="24"/>
          <w:szCs w:val="24"/>
          <w:highlight w:val="none"/>
        </w:rPr>
        <w:t>可能由于种种原因不能</w:t>
      </w:r>
      <w:r>
        <w:rPr>
          <w:rFonts w:hint="eastAsia" w:ascii="宋体" w:hAnsi="宋体" w:eastAsia="宋体" w:cs="宋体"/>
          <w:snapToGrid w:val="0"/>
          <w:color w:val="auto"/>
          <w:kern w:val="0"/>
          <w:sz w:val="24"/>
          <w:szCs w:val="24"/>
          <w:highlight w:val="none"/>
          <w:lang w:val="en-US" w:eastAsia="zh-CN"/>
        </w:rPr>
        <w:t>中选</w:t>
      </w:r>
      <w:r>
        <w:rPr>
          <w:rFonts w:hint="eastAsia" w:ascii="宋体" w:hAnsi="宋体" w:eastAsia="宋体" w:cs="宋体"/>
          <w:snapToGrid w:val="0"/>
          <w:color w:val="auto"/>
          <w:kern w:val="0"/>
          <w:sz w:val="24"/>
          <w:szCs w:val="24"/>
          <w:highlight w:val="none"/>
        </w:rPr>
        <w:t>。</w:t>
      </w:r>
    </w:p>
    <w:p>
      <w:pPr>
        <w:pStyle w:val="9"/>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我方决定按照采购文件的规定参与申报。我方保证申报价格及所提供全部证明材料的真实性、合法性、有效性。我方完全理解并遵守采购文件中的中选品种确认准则。</w:t>
      </w:r>
    </w:p>
    <w:p>
      <w:pPr>
        <w:pStyle w:val="9"/>
        <w:pageBreakBefore w:val="0"/>
        <w:kinsoku/>
        <w:wordWrap/>
        <w:overflowPunct/>
        <w:topLinePunct w:val="0"/>
        <w:bidi w:val="0"/>
        <w:snapToGrid/>
        <w:spacing w:line="460" w:lineRule="exact"/>
        <w:ind w:left="0" w:leftChars="0" w:right="0" w:firstLine="638"/>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我方承诺确保在采购周期内满足采购</w:t>
      </w:r>
      <w:r>
        <w:rPr>
          <w:rFonts w:hint="eastAsia" w:ascii="宋体" w:hAnsi="宋体" w:eastAsia="宋体" w:cs="宋体"/>
          <w:color w:val="auto"/>
          <w:sz w:val="24"/>
          <w:szCs w:val="24"/>
          <w:highlight w:val="none"/>
          <w:shd w:val="clear" w:color="auto" w:fill="FFFFFF"/>
          <w:lang w:val="en-US" w:eastAsia="zh-CN"/>
        </w:rPr>
        <w:t>地</w:t>
      </w:r>
      <w:r>
        <w:rPr>
          <w:rFonts w:hint="eastAsia" w:ascii="宋体" w:hAnsi="宋体" w:eastAsia="宋体" w:cs="宋体"/>
          <w:color w:val="auto"/>
          <w:sz w:val="24"/>
          <w:szCs w:val="24"/>
          <w:highlight w:val="none"/>
          <w:shd w:val="clear" w:color="auto" w:fill="FFFFFF"/>
        </w:rPr>
        <w:t>区中选药品</w:t>
      </w:r>
      <w:r>
        <w:rPr>
          <w:rFonts w:hint="eastAsia" w:ascii="宋体" w:hAnsi="宋体" w:eastAsia="宋体" w:cs="宋体"/>
          <w:color w:val="auto"/>
          <w:sz w:val="24"/>
          <w:szCs w:val="24"/>
          <w:highlight w:val="none"/>
          <w:shd w:val="clear" w:color="auto" w:fill="FFFFFF"/>
          <w:lang w:val="en-US" w:eastAsia="zh-CN"/>
        </w:rPr>
        <w:t>的采购</w:t>
      </w:r>
      <w:r>
        <w:rPr>
          <w:rFonts w:hint="eastAsia" w:ascii="宋体" w:hAnsi="宋体" w:eastAsia="宋体" w:cs="宋体"/>
          <w:color w:val="auto"/>
          <w:sz w:val="24"/>
          <w:szCs w:val="24"/>
          <w:highlight w:val="none"/>
          <w:shd w:val="clear" w:color="auto" w:fill="FFFFFF"/>
        </w:rPr>
        <w:t>需求，具有履行协议必须具备的药品供应能力，对药品的质量和供应负责。如果我方药品中选，将按要求及时组织生产，及时向配送企业发送药品，满足医疗机构临床使用需求，确保中选药品的价格、质量和数量等一切要素按照购销协议履行。</w:t>
      </w:r>
    </w:p>
    <w:p>
      <w:pPr>
        <w:pStyle w:val="9"/>
        <w:pageBreakBefore w:val="0"/>
        <w:kinsoku/>
        <w:wordWrap/>
        <w:overflowPunct/>
        <w:topLinePunct w:val="0"/>
        <w:bidi w:val="0"/>
        <w:snapToGrid/>
        <w:spacing w:line="460" w:lineRule="exact"/>
        <w:ind w:left="0" w:leftChars="0" w:right="0" w:firstLine="638"/>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我方保证所提供的材料及证明文件真实、合法、完整，并愿承担因证明文件的缺陷所蒙受的全部经济损失及相应的法律责任。</w:t>
      </w:r>
    </w:p>
    <w:p>
      <w:pPr>
        <w:pStyle w:val="9"/>
        <w:pageBreakBefore w:val="0"/>
        <w:kinsoku/>
        <w:wordWrap/>
        <w:overflowPunct/>
        <w:topLinePunct w:val="0"/>
        <w:bidi w:val="0"/>
        <w:snapToGrid/>
        <w:spacing w:line="460" w:lineRule="exact"/>
        <w:ind w:left="0" w:leftChars="0" w:right="0" w:firstLine="638"/>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贵办</w:t>
      </w:r>
      <w:r>
        <w:rPr>
          <w:rFonts w:hint="eastAsia" w:ascii="宋体" w:hAnsi="宋体" w:eastAsia="宋体" w:cs="宋体"/>
          <w:color w:val="auto"/>
          <w:sz w:val="24"/>
          <w:szCs w:val="24"/>
          <w:highlight w:val="none"/>
          <w:shd w:val="clear" w:color="auto" w:fill="FFFFFF"/>
        </w:rPr>
        <w:t>对我方所提供的资质材料和证明文件仅负责审核，我方保证文件真实、齐全、完整，如有虚假内容及履约过程中出现任何药品质量问题，一切后果均由我方承担。</w:t>
      </w: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我方承诺申报的药品符合国家药品标准和经国家药品监督管理部门核准的药品质量标准，并按照国家药监局药审中心关于发布《化学药物中亚硝胺类杂质研究技术指导原则（试行）》的通告（2020年1号）组织生产。</w:t>
      </w:r>
    </w:p>
    <w:p>
      <w:pPr>
        <w:pageBreakBefore w:val="0"/>
        <w:kinsoku/>
        <w:wordWrap/>
        <w:overflowPunct/>
        <w:topLinePunct w:val="0"/>
        <w:bidi w:val="0"/>
        <w:snapToGrid/>
        <w:spacing w:line="460" w:lineRule="exact"/>
        <w:ind w:left="0" w:leftChars="0" w:right="0" w:firstLine="6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我方承诺申报品种不存在违反《专利法》《反不正当竞争法》等相关法律法规的情形，该承诺在采购周期内持续有效，若产生相关纠纷，给医疗机构造成的损失由我方承担。</w:t>
      </w:r>
    </w:p>
    <w:p>
      <w:pPr>
        <w:pageBreakBefore w:val="0"/>
        <w:tabs>
          <w:tab w:val="left" w:pos="7980"/>
        </w:tabs>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我方承诺同</w:t>
      </w:r>
      <w:r>
        <w:rPr>
          <w:rFonts w:hint="eastAsia" w:ascii="宋体" w:hAnsi="宋体" w:eastAsia="宋体" w:cs="宋体"/>
          <w:color w:val="auto"/>
          <w:sz w:val="24"/>
          <w:szCs w:val="24"/>
          <w:highlight w:val="none"/>
          <w:shd w:val="clear" w:color="auto" w:fill="FFFFFF"/>
          <w:lang w:val="en-US" w:eastAsia="zh-CN"/>
        </w:rPr>
        <w:t>南部联盟医药集采领导小组办公室</w:t>
      </w:r>
      <w:r>
        <w:rPr>
          <w:rFonts w:hint="eastAsia" w:ascii="宋体" w:hAnsi="宋体" w:eastAsia="宋体" w:cs="宋体"/>
          <w:color w:val="auto"/>
          <w:sz w:val="24"/>
          <w:szCs w:val="24"/>
          <w:highlight w:val="none"/>
          <w:shd w:val="clear" w:color="auto" w:fill="FFFFFF"/>
        </w:rPr>
        <w:t>无利益关系，不会为达成此项目与采购方进行任何不正当联系，不与其他企业串通申报、协商报价，不与申报同品种的其他企业存在直接控股、管理的关系或企业负责人为同一人的情况。不干扰</w:t>
      </w:r>
      <w:r>
        <w:rPr>
          <w:rFonts w:hint="eastAsia" w:ascii="宋体" w:hAnsi="宋体" w:eastAsia="宋体" w:cs="宋体"/>
          <w:color w:val="auto"/>
          <w:sz w:val="24"/>
          <w:szCs w:val="24"/>
          <w:highlight w:val="none"/>
          <w:shd w:val="clear" w:color="auto" w:fill="FFFFFF"/>
          <w:lang w:val="en-US" w:eastAsia="zh-CN"/>
        </w:rPr>
        <w:t>联合议价采购</w:t>
      </w:r>
      <w:r>
        <w:rPr>
          <w:rFonts w:hint="eastAsia" w:ascii="宋体" w:hAnsi="宋体" w:eastAsia="宋体" w:cs="宋体"/>
          <w:color w:val="auto"/>
          <w:sz w:val="24"/>
          <w:szCs w:val="24"/>
          <w:highlight w:val="none"/>
          <w:shd w:val="clear" w:color="auto" w:fill="FFFFFF"/>
        </w:rPr>
        <w:t>相关工作秩序，不会在申报过程中有任何违法违规行为。</w:t>
      </w:r>
    </w:p>
    <w:p>
      <w:pPr>
        <w:pStyle w:val="2"/>
        <w:rPr>
          <w:rFonts w:hint="eastAsia" w:ascii="宋体" w:hAnsi="宋体" w:eastAsia="宋体" w:cs="宋体"/>
          <w:color w:val="auto"/>
          <w:sz w:val="24"/>
          <w:szCs w:val="24"/>
          <w:highlight w:val="none"/>
          <w:shd w:val="clear" w:color="auto" w:fill="FFFFFF"/>
        </w:rPr>
      </w:pPr>
    </w:p>
    <w:p>
      <w:pPr>
        <w:pStyle w:val="2"/>
        <w:rPr>
          <w:rFonts w:hint="eastAsia" w:ascii="宋体" w:hAnsi="宋体" w:eastAsia="宋体" w:cs="宋体"/>
          <w:color w:val="auto"/>
          <w:sz w:val="24"/>
          <w:szCs w:val="24"/>
          <w:highlight w:val="none"/>
          <w:shd w:val="clear" w:color="auto" w:fill="FFFFFF"/>
        </w:rPr>
      </w:pPr>
    </w:p>
    <w:p>
      <w:pPr>
        <w:pStyle w:val="2"/>
        <w:rPr>
          <w:rFonts w:hint="eastAsia" w:ascii="宋体" w:hAnsi="宋体" w:eastAsia="宋体" w:cs="宋体"/>
          <w:color w:val="auto"/>
          <w:sz w:val="24"/>
          <w:szCs w:val="24"/>
          <w:highlight w:val="none"/>
          <w:shd w:val="clear" w:color="auto" w:fill="FFFFFF"/>
        </w:rPr>
      </w:pPr>
    </w:p>
    <w:p>
      <w:pPr>
        <w:pStyle w:val="2"/>
        <w:rPr>
          <w:rFonts w:hint="eastAsia" w:ascii="宋体" w:hAnsi="宋体" w:eastAsia="宋体" w:cs="宋体"/>
          <w:color w:val="auto"/>
          <w:sz w:val="24"/>
          <w:szCs w:val="24"/>
          <w:highlight w:val="none"/>
          <w:shd w:val="clear" w:color="auto" w:fill="FFFFFF"/>
        </w:rPr>
      </w:pPr>
    </w:p>
    <w:p>
      <w:pPr>
        <w:pStyle w:val="2"/>
        <w:rPr>
          <w:rFonts w:hint="eastAsia" w:ascii="宋体" w:hAnsi="宋体" w:eastAsia="宋体" w:cs="宋体"/>
          <w:color w:val="auto"/>
          <w:sz w:val="24"/>
          <w:szCs w:val="24"/>
          <w:highlight w:val="none"/>
          <w:shd w:val="clear" w:color="auto" w:fill="FFFFFF"/>
        </w:rPr>
      </w:pPr>
    </w:p>
    <w:p>
      <w:pPr>
        <w:pageBreakBefore w:val="0"/>
        <w:tabs>
          <w:tab w:val="left" w:pos="7980"/>
        </w:tabs>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shd w:val="clear" w:color="auto" w:fill="FFFFFF"/>
        </w:rPr>
        <w:t>申报企业（盖章）：</w:t>
      </w:r>
    </w:p>
    <w:p>
      <w:pPr>
        <w:pageBreakBefore w:val="0"/>
        <w:tabs>
          <w:tab w:val="left" w:pos="7980"/>
        </w:tabs>
        <w:kinsoku/>
        <w:wordWrap/>
        <w:overflowPunct/>
        <w:topLinePunct w:val="0"/>
        <w:bidi w:val="0"/>
        <w:snapToGrid/>
        <w:spacing w:line="460" w:lineRule="exact"/>
        <w:ind w:left="0" w:leftChars="0" w:right="0" w:firstLine="3120" w:firstLineChars="13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日期：</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年</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月   日</w:t>
      </w:r>
    </w:p>
    <w:p>
      <w:pPr>
        <w:pStyle w:val="2"/>
        <w:rPr>
          <w:rFonts w:hint="eastAsia" w:ascii="宋体" w:hAnsi="宋体" w:eastAsia="宋体" w:cs="宋体"/>
          <w:color w:val="auto"/>
          <w:sz w:val="24"/>
          <w:szCs w:val="24"/>
          <w:highlight w:val="none"/>
          <w:shd w:val="clear" w:color="auto" w:fill="FFFFFF"/>
        </w:rPr>
      </w:pPr>
    </w:p>
    <w:p>
      <w:pPr>
        <w:pStyle w:val="4"/>
        <w:pageBreakBefore w:val="0"/>
        <w:kinsoku/>
        <w:wordWrap/>
        <w:overflowPunct/>
        <w:topLinePunct w:val="0"/>
        <w:bidi w:val="0"/>
        <w:snapToGrid/>
        <w:spacing w:before="0" w:after="0" w:line="460" w:lineRule="exact"/>
        <w:ind w:left="0" w:leftChars="0" w:right="0" w:firstLine="0" w:firstLineChars="0"/>
        <w:jc w:val="both"/>
        <w:textAlignment w:val="auto"/>
        <w:outlineLvl w:val="9"/>
        <w:rPr>
          <w:rFonts w:hint="eastAsia" w:ascii="宋体" w:hAnsi="宋体" w:eastAsia="宋体" w:cs="宋体"/>
          <w:b/>
          <w:bCs w:val="0"/>
          <w:color w:val="auto"/>
          <w:sz w:val="24"/>
          <w:szCs w:val="24"/>
          <w:highlight w:val="none"/>
        </w:rPr>
        <w:sectPr>
          <w:footerReference r:id="rId5" w:type="default"/>
          <w:pgSz w:w="11906" w:h="16838"/>
          <w:pgMar w:top="1440" w:right="1457" w:bottom="1440" w:left="1457" w:header="851" w:footer="992" w:gutter="0"/>
          <w:pgNumType w:fmt="decimal"/>
          <w:cols w:space="720" w:num="1"/>
          <w:docGrid w:type="lines" w:linePitch="435" w:charSpace="0"/>
        </w:sectPr>
      </w:pPr>
      <w:bookmarkStart w:id="76" w:name="_Toc43738642"/>
      <w:bookmarkStart w:id="77" w:name="_Toc6422"/>
      <w:bookmarkStart w:id="78" w:name="_Toc53152591"/>
    </w:p>
    <w:p>
      <w:pPr>
        <w:pStyle w:val="4"/>
        <w:pageBreakBefore w:val="0"/>
        <w:kinsoku/>
        <w:wordWrap/>
        <w:overflowPunct/>
        <w:topLinePunct w:val="0"/>
        <w:bidi w:val="0"/>
        <w:snapToGrid/>
        <w:spacing w:before="0" w:after="0" w:line="460" w:lineRule="exact"/>
        <w:ind w:left="0" w:leftChars="0" w:right="0" w:firstLine="0" w:firstLineChars="0"/>
        <w:jc w:val="both"/>
        <w:textAlignment w:val="auto"/>
        <w:outlineLvl w:val="0"/>
        <w:rPr>
          <w:rFonts w:hint="eastAsia" w:ascii="宋体" w:hAnsi="宋体" w:eastAsia="宋体" w:cs="宋体"/>
          <w:b/>
          <w:bCs w:val="0"/>
          <w:color w:val="auto"/>
          <w:sz w:val="36"/>
          <w:szCs w:val="36"/>
          <w:highlight w:val="none"/>
          <w:lang w:eastAsia="zh-CN"/>
        </w:rPr>
      </w:pPr>
      <w:bookmarkStart w:id="79" w:name="_Toc21147"/>
      <w:r>
        <w:rPr>
          <w:rFonts w:hint="eastAsia" w:ascii="宋体" w:hAnsi="宋体" w:eastAsia="宋体" w:cs="宋体"/>
          <w:b w:val="0"/>
          <w:bCs/>
          <w:color w:val="auto"/>
          <w:sz w:val="24"/>
          <w:szCs w:val="24"/>
          <w:highlight w:val="none"/>
        </w:rPr>
        <w:t>附件</w:t>
      </w:r>
      <w:bookmarkEnd w:id="76"/>
      <w:r>
        <w:rPr>
          <w:rFonts w:hint="eastAsia" w:ascii="宋体" w:hAnsi="宋体" w:eastAsia="宋体" w:cs="宋体"/>
          <w:b w:val="0"/>
          <w:bCs/>
          <w:color w:val="auto"/>
          <w:sz w:val="24"/>
          <w:szCs w:val="24"/>
          <w:highlight w:val="none"/>
          <w:lang w:val="en-US" w:eastAsia="zh-CN"/>
        </w:rPr>
        <w:t>3</w:t>
      </w:r>
      <w:bookmarkEnd w:id="77"/>
      <w:bookmarkEnd w:id="79"/>
      <w:r>
        <w:rPr>
          <w:rFonts w:hint="eastAsia" w:ascii="宋体" w:hAnsi="宋体" w:eastAsia="宋体" w:cs="宋体"/>
          <w:b w:val="0"/>
          <w:bCs/>
          <w:color w:val="auto"/>
          <w:sz w:val="24"/>
          <w:szCs w:val="24"/>
          <w:highlight w:val="none"/>
          <w:lang w:val="en-US" w:eastAsia="zh-CN"/>
        </w:rPr>
        <w:t>：</w:t>
      </w:r>
    </w:p>
    <w:p>
      <w:pPr>
        <w:pStyle w:val="4"/>
        <w:pageBreakBefore w:val="0"/>
        <w:kinsoku/>
        <w:wordWrap/>
        <w:overflowPunct/>
        <w:topLinePunct w:val="0"/>
        <w:bidi w:val="0"/>
        <w:snapToGrid/>
        <w:spacing w:before="0" w:after="0" w:line="460" w:lineRule="exact"/>
        <w:ind w:left="0" w:leftChars="0" w:right="0" w:firstLine="0" w:firstLineChars="0"/>
        <w:jc w:val="center"/>
        <w:textAlignment w:val="auto"/>
        <w:outlineLvl w:val="0"/>
        <w:rPr>
          <w:rFonts w:hint="eastAsia" w:ascii="宋体" w:hAnsi="宋体" w:eastAsia="宋体" w:cs="宋体"/>
          <w:b/>
          <w:bCs w:val="0"/>
          <w:color w:val="auto"/>
          <w:sz w:val="36"/>
          <w:szCs w:val="36"/>
          <w:highlight w:val="none"/>
        </w:rPr>
      </w:pPr>
      <w:bookmarkStart w:id="80" w:name="_Toc26503"/>
      <w:bookmarkStart w:id="81" w:name="_Toc25379"/>
      <w:r>
        <w:rPr>
          <w:rFonts w:hint="eastAsia" w:ascii="宋体" w:hAnsi="宋体" w:eastAsia="宋体" w:cs="宋体"/>
          <w:b/>
          <w:bCs w:val="0"/>
          <w:color w:val="auto"/>
          <w:sz w:val="36"/>
          <w:szCs w:val="36"/>
          <w:highlight w:val="none"/>
        </w:rPr>
        <w:t>法定代表人授权书</w:t>
      </w:r>
      <w:bookmarkEnd w:id="78"/>
      <w:bookmarkEnd w:id="80"/>
      <w:bookmarkEnd w:id="81"/>
    </w:p>
    <w:p>
      <w:pPr>
        <w:pageBreakBefore w:val="0"/>
        <w:kinsoku/>
        <w:wordWrap/>
        <w:overflowPunct/>
        <w:topLinePunct w:val="0"/>
        <w:bidi w:val="0"/>
        <w:snapToGrid/>
        <w:spacing w:line="460" w:lineRule="exact"/>
        <w:ind w:left="0" w:leftChars="0" w:right="0"/>
        <w:jc w:val="both"/>
        <w:textAlignment w:val="auto"/>
        <w:rPr>
          <w:rFonts w:hint="eastAsia" w:ascii="宋体" w:hAnsi="宋体" w:eastAsia="宋体" w:cs="宋体"/>
          <w:color w:val="auto"/>
          <w:sz w:val="24"/>
          <w:szCs w:val="24"/>
          <w:highlight w:val="none"/>
        </w:rPr>
      </w:pPr>
    </w:p>
    <w:p>
      <w:pPr>
        <w:pageBreakBefore w:val="0"/>
        <w:kinsoku/>
        <w:wordWrap/>
        <w:overflowPunct/>
        <w:topLinePunct w:val="0"/>
        <w:bidi w:val="0"/>
        <w:snapToGrid/>
        <w:spacing w:line="460" w:lineRule="exact"/>
        <w:ind w:left="0" w:leftChars="0" w:right="0" w:firstLine="601"/>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本授权书声明：注册于</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（地址）的</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公司的（法定代表人姓名、职务）授权本公司</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（企业授权代理人的姓名、身份证号、职务）为公司的合法代理人，就本次</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lang w:val="en-US" w:eastAsia="zh-CN"/>
        </w:rPr>
        <w:t>2023年新疆南部联盟药品联合议价采购</w:t>
      </w:r>
      <w:r>
        <w:rPr>
          <w:rFonts w:hint="eastAsia" w:ascii="宋体" w:hAnsi="宋体" w:eastAsia="宋体" w:cs="宋体"/>
          <w:color w:val="auto"/>
          <w:sz w:val="24"/>
          <w:szCs w:val="24"/>
          <w:highlight w:val="none"/>
          <w:shd w:val="clear" w:color="auto" w:fill="FFFFFF"/>
        </w:rPr>
        <w:t>项目</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，以本公司名义参与产品申报、报价、谈判等一切与之相关的事务，本公司认可被授权人签署的相关说明、协议等法律文书的效力以及其</w:t>
      </w:r>
      <w:r>
        <w:rPr>
          <w:rFonts w:hint="eastAsia" w:ascii="宋体" w:hAnsi="宋体" w:eastAsia="宋体" w:cs="宋体"/>
          <w:color w:val="auto"/>
          <w:sz w:val="24"/>
          <w:szCs w:val="24"/>
          <w:highlight w:val="none"/>
          <w:shd w:val="clear" w:color="auto" w:fill="FFFFFF"/>
          <w:lang w:eastAsia="zh-CN"/>
        </w:rPr>
        <w:t>做出</w:t>
      </w:r>
      <w:r>
        <w:rPr>
          <w:rFonts w:hint="eastAsia" w:ascii="宋体" w:hAnsi="宋体" w:eastAsia="宋体" w:cs="宋体"/>
          <w:color w:val="auto"/>
          <w:sz w:val="24"/>
          <w:szCs w:val="24"/>
          <w:highlight w:val="none"/>
          <w:shd w:val="clear" w:color="auto" w:fill="FFFFFF"/>
        </w:rPr>
        <w:t>的相关行为。本公司与被授权人共同承诺本次申报的真实性、合法性、有效性。</w:t>
      </w:r>
    </w:p>
    <w:p>
      <w:pPr>
        <w:pageBreakBefore w:val="0"/>
        <w:kinsoku/>
        <w:wordWrap/>
        <w:overflowPunct/>
        <w:topLinePunct w:val="0"/>
        <w:bidi w:val="0"/>
        <w:snapToGrid/>
        <w:spacing w:line="460" w:lineRule="exact"/>
        <w:ind w:left="0" w:leftChars="0" w:right="0" w:firstLine="601"/>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本授权书于       年       月      日签字生效，有效期至本次药品</w:t>
      </w:r>
      <w:r>
        <w:rPr>
          <w:rFonts w:hint="eastAsia" w:ascii="宋体" w:hAnsi="宋体" w:eastAsia="宋体" w:cs="宋体"/>
          <w:color w:val="auto"/>
          <w:sz w:val="24"/>
          <w:szCs w:val="24"/>
          <w:highlight w:val="none"/>
          <w:shd w:val="clear" w:color="auto" w:fill="FFFFFF"/>
          <w:lang w:val="en-US" w:eastAsia="zh-CN"/>
        </w:rPr>
        <w:t>联合议价</w:t>
      </w:r>
      <w:r>
        <w:rPr>
          <w:rFonts w:hint="eastAsia" w:ascii="宋体" w:hAnsi="宋体" w:eastAsia="宋体" w:cs="宋体"/>
          <w:color w:val="auto"/>
          <w:sz w:val="24"/>
          <w:szCs w:val="24"/>
          <w:highlight w:val="none"/>
          <w:shd w:val="clear" w:color="auto" w:fill="FFFFFF"/>
        </w:rPr>
        <w:t>采购工作截止日止。</w:t>
      </w:r>
    </w:p>
    <w:p>
      <w:pPr>
        <w:pageBreakBefore w:val="0"/>
        <w:kinsoku/>
        <w:wordWrap/>
        <w:overflowPunct/>
        <w:topLinePunct w:val="0"/>
        <w:bidi w:val="0"/>
        <w:snapToGrid/>
        <w:spacing w:line="460" w:lineRule="exact"/>
        <w:ind w:left="0" w:leftChars="0" w:right="0" w:firstLine="601"/>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特此声明。</w:t>
      </w:r>
    </w:p>
    <w:p>
      <w:pPr>
        <w:pageBreakBefore w:val="0"/>
        <w:kinsoku/>
        <w:wordWrap/>
        <w:overflowPunct/>
        <w:topLinePunct w:val="0"/>
        <w:bidi w:val="0"/>
        <w:snapToGrid/>
        <w:spacing w:line="460" w:lineRule="exact"/>
        <w:ind w:left="0" w:leftChars="0" w:right="0" w:firstLine="601"/>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授权法定代表人签字或盖章：                              </w:t>
      </w:r>
    </w:p>
    <w:p>
      <w:pPr>
        <w:pageBreakBefore w:val="0"/>
        <w:kinsoku/>
        <w:wordWrap/>
        <w:overflowPunct/>
        <w:topLinePunct w:val="0"/>
        <w:bidi w:val="0"/>
        <w:snapToGrid/>
        <w:spacing w:line="460" w:lineRule="exact"/>
        <w:ind w:left="0" w:leftChars="0" w:right="0" w:firstLine="601"/>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被授权人联系方式（手机）： </w:t>
      </w:r>
      <w:r>
        <w:rPr>
          <w:rFonts w:hint="eastAsia" w:ascii="宋体" w:hAnsi="宋体" w:eastAsia="宋体" w:cs="宋体"/>
          <w:color w:val="auto"/>
          <w:sz w:val="24"/>
          <w:szCs w:val="24"/>
          <w:highlight w:val="none"/>
        </w:rPr>
        <w:t xml:space="preserve">                                   </w:t>
      </w:r>
    </w:p>
    <w:p>
      <w:pPr>
        <w:pageBreakBefore w:val="0"/>
        <w:kinsoku/>
        <w:wordWrap/>
        <w:overflowPunct/>
        <w:topLinePunct w:val="0"/>
        <w:bidi w:val="0"/>
        <w:snapToGrid/>
        <w:spacing w:line="460" w:lineRule="exact"/>
        <w:ind w:left="0" w:leftChars="0" w:righ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2933700</wp:posOffset>
                </wp:positionH>
                <wp:positionV relativeFrom="paragraph">
                  <wp:posOffset>170815</wp:posOffset>
                </wp:positionV>
                <wp:extent cx="2757170" cy="1387475"/>
                <wp:effectExtent l="0" t="0" r="5080" b="3175"/>
                <wp:wrapNone/>
                <wp:docPr id="1029" name="矩形 3"/>
                <wp:cNvGraphicFramePr/>
                <a:graphic xmlns:a="http://schemas.openxmlformats.org/drawingml/2006/main">
                  <a:graphicData uri="http://schemas.microsoft.com/office/word/2010/wordprocessingShape">
                    <wps:wsp>
                      <wps:cNvSpPr/>
                      <wps:spPr>
                        <a:xfrm>
                          <a:off x="0" y="0"/>
                          <a:ext cx="2757170" cy="138747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560"/>
                              <w:jc w:val="center"/>
                              <w:rPr>
                                <w:rFonts w:ascii="仿宋_GB2312" w:hAnsi="宋体" w:eastAsia="仿宋_GB2312"/>
                                <w:bCs/>
                                <w:sz w:val="28"/>
                              </w:rPr>
                            </w:pPr>
                          </w:p>
                          <w:p>
                            <w:pPr>
                              <w:ind w:firstLine="560"/>
                              <w:jc w:val="center"/>
                              <w:rPr>
                                <w:rFonts w:ascii="仿宋_GB2312" w:hAnsi="宋体" w:eastAsia="仿宋_GB2312"/>
                                <w:bCs/>
                                <w:sz w:val="28"/>
                              </w:rPr>
                            </w:pPr>
                            <w:r>
                              <w:rPr>
                                <w:rFonts w:hint="eastAsia" w:ascii="仿宋_GB2312" w:hAnsi="宋体" w:eastAsia="仿宋_GB2312"/>
                                <w:bCs/>
                                <w:sz w:val="28"/>
                              </w:rPr>
                              <w:t>被授权人（申报代表）</w:t>
                            </w:r>
                          </w:p>
                          <w:p>
                            <w:pPr>
                              <w:ind w:firstLine="560"/>
                              <w:jc w:val="center"/>
                              <w:rPr>
                                <w:rFonts w:ascii="仿宋_GB2312" w:hAnsi="宋体" w:eastAsia="仿宋_GB2312"/>
                                <w:bCs/>
                                <w:sz w:val="28"/>
                              </w:rPr>
                            </w:pPr>
                            <w:r>
                              <w:rPr>
                                <w:rFonts w:hint="eastAsia" w:ascii="仿宋_GB2312" w:hAnsi="宋体" w:eastAsia="仿宋_GB2312"/>
                                <w:bCs/>
                                <w:sz w:val="28"/>
                              </w:rPr>
                              <w:t>居民身份证复印件反面</w:t>
                            </w:r>
                          </w:p>
                          <w:p>
                            <w:pPr>
                              <w:ind w:firstLine="560"/>
                              <w:jc w:val="center"/>
                              <w:rPr>
                                <w:rFonts w:ascii="仿宋_GB2312" w:hAnsi="宋体" w:eastAsia="仿宋_GB2312"/>
                                <w:bCs/>
                                <w:sz w:val="28"/>
                              </w:rPr>
                            </w:pPr>
                            <w:r>
                              <w:rPr>
                                <w:rFonts w:hint="eastAsia" w:ascii="仿宋_GB2312" w:hAnsi="宋体" w:eastAsia="仿宋_GB2312"/>
                                <w:bCs/>
                                <w:sz w:val="28"/>
                              </w:rPr>
                              <w:t>粘贴处</w:t>
                            </w:r>
                          </w:p>
                          <w:p>
                            <w:pPr>
                              <w:ind w:firstLine="560"/>
                              <w:jc w:val="center"/>
                              <w:rPr>
                                <w:rFonts w:ascii="仿宋_GB2312" w:hAnsi="宋体" w:eastAsia="仿宋_GB2312"/>
                                <w:bCs/>
                                <w:sz w:val="28"/>
                              </w:rPr>
                            </w:pPr>
                          </w:p>
                        </w:txbxContent>
                      </wps:txbx>
                      <wps:bodyPr upright="1"/>
                    </wps:wsp>
                  </a:graphicData>
                </a:graphic>
              </wp:anchor>
            </w:drawing>
          </mc:Choice>
          <mc:Fallback>
            <w:pict>
              <v:rect id="矩形 3" o:spid="_x0000_s1026" o:spt="1" style="position:absolute;left:0pt;margin-left:231pt;margin-top:13.45pt;height:109.25pt;width:217.1pt;z-index:251661312;mso-width-relative:page;mso-height-relative:page;" fillcolor="#FFFFFF" filled="t" stroked="t" coordsize="21600,21600" o:gfxdata="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F2M8YNkAAAAKAQAADwAAAAAAAAABACAAAAAi&#10;AAAAZHJzL2Rvd25yZXYueG1sUEsBAhQAFAAAAAgAh07iQGO0e7wJAgAAOwQAAA4AAAAAAAAAAQAg&#10;AAAAKAEAAGRycy9lMm9Eb2MueG1sUEsFBgAAAAAGAAYAWQEAAKMFAAAAAA==&#10;">
                <v:fill on="t" focussize="0,0"/>
                <v:stroke color="#000000" joinstyle="miter"/>
                <v:imagedata o:title=""/>
                <o:lock v:ext="edit" aspectratio="f"/>
                <v:textbox>
                  <w:txbxContent>
                    <w:p>
                      <w:pPr>
                        <w:ind w:firstLine="560"/>
                        <w:jc w:val="center"/>
                        <w:rPr>
                          <w:rFonts w:ascii="仿宋_GB2312" w:hAnsi="宋体" w:eastAsia="仿宋_GB2312"/>
                          <w:bCs/>
                          <w:sz w:val="28"/>
                        </w:rPr>
                      </w:pPr>
                    </w:p>
                    <w:p>
                      <w:pPr>
                        <w:ind w:firstLine="560"/>
                        <w:jc w:val="center"/>
                        <w:rPr>
                          <w:rFonts w:ascii="仿宋_GB2312" w:hAnsi="宋体" w:eastAsia="仿宋_GB2312"/>
                          <w:bCs/>
                          <w:sz w:val="28"/>
                        </w:rPr>
                      </w:pPr>
                      <w:r>
                        <w:rPr>
                          <w:rFonts w:hint="eastAsia" w:ascii="仿宋_GB2312" w:hAnsi="宋体" w:eastAsia="仿宋_GB2312"/>
                          <w:bCs/>
                          <w:sz w:val="28"/>
                        </w:rPr>
                        <w:t>被授权人（申报代表）</w:t>
                      </w:r>
                    </w:p>
                    <w:p>
                      <w:pPr>
                        <w:ind w:firstLine="560"/>
                        <w:jc w:val="center"/>
                        <w:rPr>
                          <w:rFonts w:ascii="仿宋_GB2312" w:hAnsi="宋体" w:eastAsia="仿宋_GB2312"/>
                          <w:bCs/>
                          <w:sz w:val="28"/>
                        </w:rPr>
                      </w:pPr>
                      <w:r>
                        <w:rPr>
                          <w:rFonts w:hint="eastAsia" w:ascii="仿宋_GB2312" w:hAnsi="宋体" w:eastAsia="仿宋_GB2312"/>
                          <w:bCs/>
                          <w:sz w:val="28"/>
                        </w:rPr>
                        <w:t>居民身份证复印件反面</w:t>
                      </w:r>
                    </w:p>
                    <w:p>
                      <w:pPr>
                        <w:ind w:firstLine="560"/>
                        <w:jc w:val="center"/>
                        <w:rPr>
                          <w:rFonts w:ascii="仿宋_GB2312" w:hAnsi="宋体" w:eastAsia="仿宋_GB2312"/>
                          <w:bCs/>
                          <w:sz w:val="28"/>
                        </w:rPr>
                      </w:pPr>
                      <w:r>
                        <w:rPr>
                          <w:rFonts w:hint="eastAsia" w:ascii="仿宋_GB2312" w:hAnsi="宋体" w:eastAsia="仿宋_GB2312"/>
                          <w:bCs/>
                          <w:sz w:val="28"/>
                        </w:rPr>
                        <w:t>粘贴处</w:t>
                      </w:r>
                    </w:p>
                    <w:p>
                      <w:pPr>
                        <w:ind w:firstLine="560"/>
                        <w:jc w:val="center"/>
                        <w:rPr>
                          <w:rFonts w:ascii="仿宋_GB2312" w:hAnsi="宋体" w:eastAsia="仿宋_GB2312"/>
                          <w:bCs/>
                          <w:sz w:val="28"/>
                        </w:rPr>
                      </w:pPr>
                    </w:p>
                  </w:txbxContent>
                </v:textbox>
              </v:rect>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-31115</wp:posOffset>
                </wp:positionH>
                <wp:positionV relativeFrom="paragraph">
                  <wp:posOffset>158115</wp:posOffset>
                </wp:positionV>
                <wp:extent cx="2628900" cy="1390650"/>
                <wp:effectExtent l="0" t="0" r="0" b="0"/>
                <wp:wrapNone/>
                <wp:docPr id="1028" name="矩形 2"/>
                <wp:cNvGraphicFramePr/>
                <a:graphic xmlns:a="http://schemas.openxmlformats.org/drawingml/2006/main">
                  <a:graphicData uri="http://schemas.microsoft.com/office/word/2010/wordprocessingShape">
                    <wps:wsp>
                      <wps:cNvSpPr/>
                      <wps:spPr>
                        <a:xfrm>
                          <a:off x="0" y="0"/>
                          <a:ext cx="2628900" cy="139065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仿宋_GB2312" w:hAnsi="宋体" w:eastAsia="仿宋_GB2312"/>
                                <w:bCs/>
                                <w:sz w:val="28"/>
                              </w:rPr>
                            </w:pPr>
                          </w:p>
                          <w:p>
                            <w:pPr>
                              <w:jc w:val="center"/>
                              <w:rPr>
                                <w:rFonts w:ascii="仿宋_GB2312" w:hAnsi="宋体" w:eastAsia="仿宋_GB2312"/>
                                <w:bCs/>
                                <w:sz w:val="28"/>
                              </w:rPr>
                            </w:pPr>
                            <w:r>
                              <w:rPr>
                                <w:rFonts w:hint="eastAsia" w:ascii="仿宋_GB2312" w:hAnsi="宋体" w:eastAsia="仿宋_GB2312"/>
                                <w:bCs/>
                                <w:sz w:val="28"/>
                              </w:rPr>
                              <w:t>被授权人（申报代表）</w:t>
                            </w:r>
                          </w:p>
                          <w:p>
                            <w:pPr>
                              <w:jc w:val="center"/>
                              <w:rPr>
                                <w:rFonts w:ascii="仿宋_GB2312" w:hAnsi="宋体" w:eastAsia="仿宋_GB2312"/>
                                <w:bCs/>
                                <w:sz w:val="28"/>
                              </w:rPr>
                            </w:pPr>
                            <w:r>
                              <w:rPr>
                                <w:rFonts w:hint="eastAsia" w:ascii="仿宋_GB2312" w:hAnsi="宋体" w:eastAsia="仿宋_GB2312"/>
                                <w:bCs/>
                                <w:sz w:val="28"/>
                              </w:rPr>
                              <w:t>居民身份证复印件正面</w:t>
                            </w:r>
                          </w:p>
                          <w:p>
                            <w:pPr>
                              <w:jc w:val="center"/>
                              <w:rPr>
                                <w:rFonts w:ascii="仿宋_GB2312" w:hAnsi="宋体" w:eastAsia="仿宋_GB2312"/>
                                <w:bCs/>
                                <w:sz w:val="28"/>
                              </w:rPr>
                            </w:pPr>
                            <w:r>
                              <w:rPr>
                                <w:rFonts w:hint="eastAsia" w:ascii="仿宋_GB2312" w:hAnsi="宋体" w:eastAsia="仿宋_GB2312"/>
                                <w:bCs/>
                                <w:sz w:val="28"/>
                              </w:rPr>
                              <w:t>粘贴处</w:t>
                            </w:r>
                          </w:p>
                          <w:p>
                            <w:pPr>
                              <w:ind w:firstLine="560"/>
                              <w:jc w:val="center"/>
                              <w:rPr>
                                <w:rFonts w:ascii="仿宋_GB2312" w:hAnsi="宋体" w:eastAsia="仿宋_GB2312"/>
                                <w:bCs/>
                                <w:sz w:val="28"/>
                              </w:rPr>
                            </w:pPr>
                          </w:p>
                        </w:txbxContent>
                      </wps:txbx>
                      <wps:bodyPr upright="1"/>
                    </wps:wsp>
                  </a:graphicData>
                </a:graphic>
              </wp:anchor>
            </w:drawing>
          </mc:Choice>
          <mc:Fallback>
            <w:pict>
              <v:rect id="矩形 2" o:spid="_x0000_s1026" o:spt="1" style="position:absolute;left:0pt;margin-left:-2.45pt;margin-top:12.45pt;height:109.5pt;width:207pt;z-index:251660288;mso-width-relative:page;mso-height-relative:page;" fillcolor="#FFFFFF" filled="t" stroked="t" coordsize="21600,21600" o:gfxdata="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vOf/T1wAAAAkBAAAPAAAAAAAAAAEAIAAAACIA&#10;AABkcnMvZG93bnJldi54bWxQSwECFAAUAAAACACHTuJAosC97woCAAA7BAAADgAAAAAAAAABACAA&#10;AAAmAQAAZHJzL2Uyb0RvYy54bWxQSwUGAAAAAAYABgBZAQAAogUAAAAA&#10;">
                <v:fill on="t" focussize="0,0"/>
                <v:stroke color="#000000" joinstyle="miter"/>
                <v:imagedata o:title=""/>
                <o:lock v:ext="edit" aspectratio="f"/>
                <v:textbox>
                  <w:txbxContent>
                    <w:p>
                      <w:pPr>
                        <w:jc w:val="center"/>
                        <w:rPr>
                          <w:rFonts w:ascii="仿宋_GB2312" w:hAnsi="宋体" w:eastAsia="仿宋_GB2312"/>
                          <w:bCs/>
                          <w:sz w:val="28"/>
                        </w:rPr>
                      </w:pPr>
                    </w:p>
                    <w:p>
                      <w:pPr>
                        <w:jc w:val="center"/>
                        <w:rPr>
                          <w:rFonts w:ascii="仿宋_GB2312" w:hAnsi="宋体" w:eastAsia="仿宋_GB2312"/>
                          <w:bCs/>
                          <w:sz w:val="28"/>
                        </w:rPr>
                      </w:pPr>
                      <w:r>
                        <w:rPr>
                          <w:rFonts w:hint="eastAsia" w:ascii="仿宋_GB2312" w:hAnsi="宋体" w:eastAsia="仿宋_GB2312"/>
                          <w:bCs/>
                          <w:sz w:val="28"/>
                        </w:rPr>
                        <w:t>被授权人（申报代表）</w:t>
                      </w:r>
                    </w:p>
                    <w:p>
                      <w:pPr>
                        <w:jc w:val="center"/>
                        <w:rPr>
                          <w:rFonts w:ascii="仿宋_GB2312" w:hAnsi="宋体" w:eastAsia="仿宋_GB2312"/>
                          <w:bCs/>
                          <w:sz w:val="28"/>
                        </w:rPr>
                      </w:pPr>
                      <w:r>
                        <w:rPr>
                          <w:rFonts w:hint="eastAsia" w:ascii="仿宋_GB2312" w:hAnsi="宋体" w:eastAsia="仿宋_GB2312"/>
                          <w:bCs/>
                          <w:sz w:val="28"/>
                        </w:rPr>
                        <w:t>居民身份证复印件正面</w:t>
                      </w:r>
                    </w:p>
                    <w:p>
                      <w:pPr>
                        <w:jc w:val="center"/>
                        <w:rPr>
                          <w:rFonts w:ascii="仿宋_GB2312" w:hAnsi="宋体" w:eastAsia="仿宋_GB2312"/>
                          <w:bCs/>
                          <w:sz w:val="28"/>
                        </w:rPr>
                      </w:pPr>
                      <w:r>
                        <w:rPr>
                          <w:rFonts w:hint="eastAsia" w:ascii="仿宋_GB2312" w:hAnsi="宋体" w:eastAsia="仿宋_GB2312"/>
                          <w:bCs/>
                          <w:sz w:val="28"/>
                        </w:rPr>
                        <w:t>粘贴处</w:t>
                      </w:r>
                    </w:p>
                    <w:p>
                      <w:pPr>
                        <w:ind w:firstLine="560"/>
                        <w:jc w:val="center"/>
                        <w:rPr>
                          <w:rFonts w:ascii="仿宋_GB2312" w:hAnsi="宋体" w:eastAsia="仿宋_GB2312"/>
                          <w:bCs/>
                          <w:sz w:val="28"/>
                        </w:rPr>
                      </w:pPr>
                    </w:p>
                  </w:txbxContent>
                </v:textbox>
              </v:rect>
            </w:pict>
          </mc:Fallback>
        </mc:AlternateContent>
      </w:r>
    </w:p>
    <w:p>
      <w:pPr>
        <w:pageBreakBefore w:val="0"/>
        <w:kinsoku/>
        <w:wordWrap/>
        <w:overflowPunct/>
        <w:topLinePunct w:val="0"/>
        <w:bidi w:val="0"/>
        <w:snapToGrid/>
        <w:spacing w:line="460" w:lineRule="exact"/>
        <w:ind w:left="0" w:leftChars="0" w:right="0" w:firstLine="600"/>
        <w:jc w:val="both"/>
        <w:textAlignment w:val="auto"/>
        <w:rPr>
          <w:rFonts w:hint="eastAsia" w:ascii="宋体" w:hAnsi="宋体" w:eastAsia="宋体" w:cs="宋体"/>
          <w:color w:val="auto"/>
          <w:sz w:val="24"/>
          <w:szCs w:val="24"/>
          <w:highlight w:val="none"/>
        </w:rPr>
      </w:pPr>
    </w:p>
    <w:p>
      <w:pPr>
        <w:pageBreakBefore w:val="0"/>
        <w:kinsoku/>
        <w:wordWrap/>
        <w:overflowPunct/>
        <w:topLinePunct w:val="0"/>
        <w:bidi w:val="0"/>
        <w:snapToGrid/>
        <w:spacing w:line="460" w:lineRule="exact"/>
        <w:ind w:left="0" w:leftChars="0" w:right="0" w:firstLine="600"/>
        <w:jc w:val="both"/>
        <w:textAlignment w:val="auto"/>
        <w:rPr>
          <w:rFonts w:hint="eastAsia" w:ascii="宋体" w:hAnsi="宋体" w:eastAsia="宋体" w:cs="宋体"/>
          <w:color w:val="auto"/>
          <w:sz w:val="24"/>
          <w:szCs w:val="24"/>
          <w:highlight w:val="none"/>
        </w:rPr>
      </w:pPr>
    </w:p>
    <w:p>
      <w:pPr>
        <w:pageBreakBefore w:val="0"/>
        <w:kinsoku/>
        <w:wordWrap/>
        <w:overflowPunct/>
        <w:topLinePunct w:val="0"/>
        <w:bidi w:val="0"/>
        <w:snapToGrid/>
        <w:spacing w:line="460" w:lineRule="exact"/>
        <w:ind w:left="0" w:leftChars="0" w:right="0" w:firstLine="600"/>
        <w:jc w:val="both"/>
        <w:textAlignment w:val="auto"/>
        <w:rPr>
          <w:rFonts w:hint="eastAsia" w:ascii="宋体" w:hAnsi="宋体" w:eastAsia="宋体" w:cs="宋体"/>
          <w:color w:val="auto"/>
          <w:sz w:val="24"/>
          <w:szCs w:val="24"/>
          <w:highlight w:val="none"/>
        </w:rPr>
      </w:pPr>
    </w:p>
    <w:p>
      <w:pPr>
        <w:pageBreakBefore w:val="0"/>
        <w:widowControl/>
        <w:kinsoku/>
        <w:wordWrap/>
        <w:overflowPunct/>
        <w:topLinePunct w:val="0"/>
        <w:bidi w:val="0"/>
        <w:snapToGrid/>
        <w:spacing w:line="460" w:lineRule="exact"/>
        <w:ind w:left="0" w:leftChars="0" w:right="0"/>
        <w:jc w:val="both"/>
        <w:textAlignment w:val="auto"/>
        <w:rPr>
          <w:rFonts w:hint="eastAsia" w:ascii="宋体" w:hAnsi="宋体" w:eastAsia="宋体" w:cs="宋体"/>
          <w:color w:val="auto"/>
          <w:sz w:val="24"/>
          <w:szCs w:val="24"/>
          <w:highlight w:val="none"/>
        </w:rPr>
      </w:pPr>
    </w:p>
    <w:p>
      <w:pPr>
        <w:pageBreakBefore w:val="0"/>
        <w:widowControl/>
        <w:kinsoku/>
        <w:wordWrap/>
        <w:overflowPunct/>
        <w:topLinePunct w:val="0"/>
        <w:bidi w:val="0"/>
        <w:snapToGrid/>
        <w:spacing w:line="460" w:lineRule="exact"/>
        <w:ind w:left="0" w:leftChars="0" w:right="0"/>
        <w:jc w:val="both"/>
        <w:textAlignment w:val="auto"/>
        <w:rPr>
          <w:rFonts w:hint="eastAsia" w:ascii="宋体" w:hAnsi="宋体" w:eastAsia="宋体" w:cs="宋体"/>
          <w:color w:val="auto"/>
          <w:sz w:val="24"/>
          <w:szCs w:val="24"/>
          <w:highlight w:val="none"/>
        </w:rPr>
      </w:pPr>
    </w:p>
    <w:p>
      <w:pPr>
        <w:pageBreakBefore w:val="0"/>
        <w:widowControl/>
        <w:kinsoku/>
        <w:wordWrap/>
        <w:overflowPunct/>
        <w:topLinePunct w:val="0"/>
        <w:bidi w:val="0"/>
        <w:snapToGrid/>
        <w:spacing w:line="460" w:lineRule="exact"/>
        <w:ind w:left="0" w:leftChars="0" w:right="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注：身份证粘贴处要加盖企业</w:t>
      </w:r>
      <w:r>
        <w:rPr>
          <w:rFonts w:hint="eastAsia" w:ascii="宋体" w:hAnsi="宋体" w:eastAsia="宋体" w:cs="宋体"/>
          <w:color w:val="auto"/>
          <w:sz w:val="24"/>
          <w:szCs w:val="24"/>
          <w:highlight w:val="none"/>
          <w:lang w:val="en-US" w:eastAsia="zh-CN"/>
        </w:rPr>
        <w:t>签章</w:t>
      </w:r>
    </w:p>
    <w:p>
      <w:pPr>
        <w:pStyle w:val="2"/>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pStyle w:val="2"/>
        <w:rPr>
          <w:rFonts w:hint="eastAsia" w:ascii="宋体" w:hAnsi="宋体" w:eastAsia="宋体" w:cs="宋体"/>
          <w:color w:val="auto"/>
          <w:sz w:val="28"/>
          <w:szCs w:val="28"/>
          <w:highlight w:val="none"/>
        </w:rPr>
      </w:pPr>
    </w:p>
    <w:p>
      <w:pPr>
        <w:pageBreakBefore w:val="0"/>
        <w:kinsoku/>
        <w:wordWrap/>
        <w:overflowPunct/>
        <w:topLinePunct w:val="0"/>
        <w:bidi w:val="0"/>
        <w:snapToGrid/>
        <w:spacing w:line="460" w:lineRule="exact"/>
        <w:ind w:left="0" w:leftChars="0" w:right="0" w:firstLine="562" w:firstLineChars="200"/>
        <w:jc w:val="both"/>
        <w:textAlignment w:val="auto"/>
        <w:rPr>
          <w:rFonts w:hint="eastAsia" w:ascii="宋体" w:hAnsi="宋体" w:eastAsia="宋体" w:cs="宋体"/>
          <w:b/>
          <w:bCs/>
          <w:color w:val="auto"/>
          <w:sz w:val="28"/>
          <w:szCs w:val="28"/>
          <w:highlight w:val="none"/>
          <w:shd w:val="clear" w:color="auto" w:fill="FFFFFF"/>
        </w:rPr>
        <w:sectPr>
          <w:footerReference r:id="rId6" w:type="default"/>
          <w:pgSz w:w="11906" w:h="16838"/>
          <w:pgMar w:top="1440" w:right="1457" w:bottom="1440" w:left="1457" w:header="851" w:footer="992" w:gutter="0"/>
          <w:pgNumType w:fmt="decimal"/>
          <w:cols w:space="720" w:num="1"/>
          <w:docGrid w:type="lines" w:linePitch="435" w:charSpace="0"/>
        </w:sectPr>
      </w:pPr>
    </w:p>
    <w:p>
      <w:pPr>
        <w:pageBreakBefore w:val="0"/>
        <w:kinsoku/>
        <w:wordWrap/>
        <w:overflowPunct/>
        <w:topLinePunct w:val="0"/>
        <w:bidi w:val="0"/>
        <w:snapToGrid/>
        <w:spacing w:line="460" w:lineRule="exact"/>
        <w:ind w:left="0" w:leftChars="0" w:right="0" w:firstLine="480" w:firstLineChars="200"/>
        <w:jc w:val="both"/>
        <w:textAlignment w:val="auto"/>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rPr>
        <w:t>附件</w:t>
      </w:r>
      <w:r>
        <w:rPr>
          <w:rFonts w:hint="eastAsia" w:ascii="宋体" w:hAnsi="宋体" w:eastAsia="宋体" w:cs="宋体"/>
          <w:b w:val="0"/>
          <w:bCs w:val="0"/>
          <w:color w:val="auto"/>
          <w:sz w:val="24"/>
          <w:szCs w:val="24"/>
          <w:highlight w:val="none"/>
          <w:shd w:val="clear" w:color="auto" w:fill="FFFFFF"/>
          <w:lang w:val="en-US" w:eastAsia="zh-CN"/>
        </w:rPr>
        <w:t>4</w:t>
      </w:r>
    </w:p>
    <w:p>
      <w:pPr>
        <w:pageBreakBefore w:val="0"/>
        <w:kinsoku/>
        <w:wordWrap/>
        <w:overflowPunct/>
        <w:topLinePunct w:val="0"/>
        <w:bidi w:val="0"/>
        <w:snapToGrid/>
        <w:spacing w:line="460" w:lineRule="exact"/>
        <w:ind w:left="0" w:leftChars="0" w:right="0" w:firstLine="723" w:firstLineChars="200"/>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shd w:val="clear" w:color="auto" w:fill="FFFFFF"/>
          <w:lang w:val="en-US" w:eastAsia="zh-CN"/>
        </w:rPr>
        <w:t>供应商资格证明文件</w:t>
      </w:r>
    </w:p>
    <w:p>
      <w:pPr>
        <w:pStyle w:val="4"/>
        <w:pageBreakBefore w:val="0"/>
        <w:kinsoku/>
        <w:wordWrap/>
        <w:overflowPunct/>
        <w:topLinePunct w:val="0"/>
        <w:bidi w:val="0"/>
        <w:snapToGrid/>
        <w:spacing w:before="0" w:after="0" w:line="460" w:lineRule="exact"/>
        <w:ind w:left="0" w:leftChars="0" w:right="0" w:firstLine="0" w:firstLineChars="0"/>
        <w:jc w:val="both"/>
        <w:textAlignment w:val="auto"/>
        <w:outlineLvl w:val="9"/>
        <w:rPr>
          <w:rFonts w:hint="eastAsia" w:ascii="宋体" w:hAnsi="宋体" w:eastAsia="宋体" w:cs="宋体"/>
          <w:b/>
          <w:bCs w:val="0"/>
          <w:color w:val="auto"/>
          <w:sz w:val="24"/>
          <w:szCs w:val="24"/>
          <w:highlight w:val="none"/>
        </w:rPr>
      </w:pPr>
    </w:p>
    <w:p>
      <w:pPr>
        <w:pStyle w:val="2"/>
        <w:rPr>
          <w:rFonts w:hint="eastAsia" w:ascii="宋体" w:hAnsi="宋体" w:eastAsia="宋体" w:cs="宋体"/>
          <w:b/>
          <w:bCs w:val="0"/>
          <w:color w:val="auto"/>
          <w:sz w:val="24"/>
          <w:szCs w:val="24"/>
          <w:highlight w:val="none"/>
        </w:rPr>
        <w:sectPr>
          <w:footerReference r:id="rId7" w:type="default"/>
          <w:pgSz w:w="11906" w:h="16838"/>
          <w:pgMar w:top="1440" w:right="1457" w:bottom="1440" w:left="1457" w:header="851" w:footer="992" w:gutter="0"/>
          <w:pgNumType w:fmt="decimal"/>
          <w:cols w:space="720" w:num="1"/>
          <w:docGrid w:type="lines" w:linePitch="435" w:charSpace="0"/>
        </w:sectPr>
      </w:pPr>
    </w:p>
    <w:p>
      <w:pPr>
        <w:adjustRightInd w:val="0"/>
        <w:snapToGrid w:val="0"/>
        <w:spacing w:line="440" w:lineRule="exact"/>
        <w:ind w:right="71"/>
        <w:rPr>
          <w:rFonts w:hint="eastAsia" w:ascii="宋体" w:hAnsi="宋体" w:eastAsia="宋体" w:cs="宋体"/>
          <w:snapToGrid w:val="0"/>
          <w:color w:val="auto"/>
          <w:kern w:val="0"/>
          <w:sz w:val="24"/>
          <w:szCs w:val="24"/>
          <w:highlight w:val="none"/>
          <w:bdr w:val="single" w:color="auto" w:sz="4" w:space="0"/>
        </w:rPr>
      </w:pPr>
      <w:r>
        <w:rPr>
          <w:rFonts w:hint="eastAsia" w:ascii="宋体" w:hAnsi="宋体" w:eastAsia="宋体" w:cs="宋体"/>
          <w:b w:val="0"/>
          <w:bCs w:val="0"/>
          <w:color w:val="auto"/>
          <w:sz w:val="24"/>
          <w:szCs w:val="24"/>
          <w:highlight w:val="none"/>
        </w:rPr>
        <w:t>附件</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snapToGrid w:val="0"/>
          <w:color w:val="auto"/>
          <w:kern w:val="0"/>
          <w:sz w:val="24"/>
          <w:szCs w:val="24"/>
          <w:highlight w:val="none"/>
        </w:rPr>
        <w:t xml:space="preserve">   </w:t>
      </w:r>
      <w:r>
        <w:rPr>
          <w:rFonts w:hint="eastAsia" w:ascii="宋体" w:hAnsi="宋体" w:eastAsia="宋体" w:cs="宋体"/>
          <w:snapToGrid w:val="0"/>
          <w:color w:val="auto"/>
          <w:kern w:val="0"/>
          <w:sz w:val="24"/>
          <w:szCs w:val="24"/>
          <w:highlight w:val="none"/>
        </w:rPr>
        <w:t xml:space="preserve"> </w:t>
      </w:r>
    </w:p>
    <w:p>
      <w:pPr>
        <w:pStyle w:val="54"/>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460" w:lineRule="exact"/>
        <w:textAlignment w:val="auto"/>
        <w:rPr>
          <w:rFonts w:hint="eastAsia" w:ascii="宋体" w:hAnsi="宋体" w:eastAsia="宋体" w:cs="宋体"/>
          <w:color w:val="auto"/>
          <w:kern w:val="2"/>
          <w:sz w:val="36"/>
          <w:szCs w:val="36"/>
          <w:highlight w:val="none"/>
          <w:lang w:val="en-US" w:eastAsia="zh-CN"/>
        </w:rPr>
      </w:pPr>
      <w:r>
        <w:rPr>
          <w:rFonts w:hint="eastAsia" w:ascii="宋体" w:hAnsi="宋体" w:eastAsia="宋体" w:cs="宋体"/>
          <w:color w:val="auto"/>
          <w:kern w:val="2"/>
          <w:sz w:val="36"/>
          <w:szCs w:val="36"/>
          <w:highlight w:val="none"/>
          <w:lang w:val="en-US" w:eastAsia="zh-CN"/>
        </w:rPr>
        <w:t>申报</w:t>
      </w:r>
      <w:r>
        <w:rPr>
          <w:rFonts w:hint="eastAsia" w:ascii="宋体" w:hAnsi="宋体" w:eastAsia="宋体" w:cs="宋体"/>
          <w:color w:val="auto"/>
          <w:kern w:val="2"/>
          <w:sz w:val="36"/>
          <w:szCs w:val="36"/>
          <w:highlight w:val="none"/>
          <w:lang w:eastAsia="zh-CN"/>
        </w:rPr>
        <w:t>药品</w:t>
      </w:r>
      <w:r>
        <w:rPr>
          <w:rFonts w:hint="eastAsia" w:ascii="宋体" w:hAnsi="宋体" w:eastAsia="宋体" w:cs="宋体"/>
          <w:color w:val="auto"/>
          <w:kern w:val="2"/>
          <w:sz w:val="36"/>
          <w:szCs w:val="36"/>
          <w:highlight w:val="none"/>
          <w:lang w:val="en-US" w:eastAsia="zh-CN"/>
        </w:rPr>
        <w:t>清单</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采购编号：NBLMJC——2023-01号）</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rPr>
        <w:t>申报</w:t>
      </w:r>
      <w:r>
        <w:rPr>
          <w:rFonts w:hint="eastAsia" w:ascii="宋体" w:hAnsi="宋体" w:eastAsia="宋体" w:cs="宋体"/>
          <w:b/>
          <w:color w:val="auto"/>
          <w:kern w:val="0"/>
          <w:sz w:val="24"/>
          <w:szCs w:val="24"/>
          <w:highlight w:val="none"/>
        </w:rPr>
        <w:t>企业名称：</w:t>
      </w:r>
      <w:r>
        <w:rPr>
          <w:rFonts w:hint="eastAsia" w:ascii="宋体" w:hAnsi="宋体" w:eastAsia="宋体" w:cs="宋体"/>
          <w:b/>
          <w:color w:val="auto"/>
          <w:kern w:val="0"/>
          <w:sz w:val="24"/>
          <w:szCs w:val="24"/>
          <w:highlight w:val="none"/>
          <w:lang w:val="en-US" w:eastAsia="zh-CN"/>
        </w:rPr>
        <w:t xml:space="preserve">                  </w:t>
      </w:r>
      <w:r>
        <w:rPr>
          <w:rFonts w:hint="eastAsia" w:ascii="宋体" w:hAnsi="宋体" w:eastAsia="宋体" w:cs="宋体"/>
          <w:b/>
          <w:color w:val="auto"/>
          <w:kern w:val="0"/>
          <w:sz w:val="24"/>
          <w:szCs w:val="24"/>
          <w:highlight w:val="none"/>
        </w:rPr>
        <w:t>（盖章）</w:t>
      </w:r>
    </w:p>
    <w:tbl>
      <w:tblPr>
        <w:tblStyle w:val="23"/>
        <w:tblW w:w="14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899"/>
        <w:gridCol w:w="1062"/>
        <w:gridCol w:w="1857"/>
        <w:gridCol w:w="1192"/>
        <w:gridCol w:w="1472"/>
        <w:gridCol w:w="1125"/>
        <w:gridCol w:w="870"/>
        <w:gridCol w:w="1207"/>
        <w:gridCol w:w="619"/>
        <w:gridCol w:w="791"/>
        <w:gridCol w:w="718"/>
        <w:gridCol w:w="870"/>
        <w:gridCol w:w="1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9" w:hRule="atLeast"/>
        </w:trPr>
        <w:tc>
          <w:tcPr>
            <w:tcW w:w="770"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品</w:t>
            </w:r>
            <w:r>
              <w:rPr>
                <w:rFonts w:hint="eastAsia" w:ascii="宋体" w:hAnsi="宋体" w:eastAsia="宋体" w:cs="宋体"/>
                <w:b/>
                <w:color w:val="auto"/>
                <w:kern w:val="0"/>
                <w:sz w:val="24"/>
                <w:szCs w:val="24"/>
                <w:highlight w:val="none"/>
                <w:lang w:val="en-US" w:eastAsia="zh-CN"/>
              </w:rPr>
              <w:t>种</w:t>
            </w:r>
            <w:r>
              <w:rPr>
                <w:rFonts w:hint="eastAsia" w:ascii="宋体" w:hAnsi="宋体" w:eastAsia="宋体" w:cs="宋体"/>
                <w:b/>
                <w:color w:val="auto"/>
                <w:kern w:val="0"/>
                <w:sz w:val="24"/>
                <w:szCs w:val="24"/>
                <w:highlight w:val="none"/>
              </w:rPr>
              <w:t>序号</w:t>
            </w:r>
          </w:p>
        </w:tc>
        <w:tc>
          <w:tcPr>
            <w:tcW w:w="899"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药品编码</w:t>
            </w:r>
          </w:p>
        </w:tc>
        <w:tc>
          <w:tcPr>
            <w:tcW w:w="1062"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目录名称（通用名）</w:t>
            </w:r>
          </w:p>
        </w:tc>
        <w:tc>
          <w:tcPr>
            <w:tcW w:w="185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eastAsia="zh-CN"/>
              </w:rPr>
              <w:t>药品</w:t>
            </w:r>
            <w:r>
              <w:rPr>
                <w:rFonts w:hint="eastAsia" w:ascii="宋体" w:hAnsi="宋体" w:eastAsia="宋体" w:cs="宋体"/>
                <w:b/>
                <w:color w:val="auto"/>
                <w:kern w:val="0"/>
                <w:sz w:val="24"/>
                <w:szCs w:val="24"/>
                <w:highlight w:val="none"/>
              </w:rPr>
              <w:t>名称</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eastAsia="zh-CN"/>
              </w:rPr>
              <w:t>（注册证名称）</w:t>
            </w:r>
          </w:p>
        </w:tc>
        <w:tc>
          <w:tcPr>
            <w:tcW w:w="1192"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药品类别</w:t>
            </w:r>
          </w:p>
        </w:tc>
        <w:tc>
          <w:tcPr>
            <w:tcW w:w="1472"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商品名</w:t>
            </w:r>
          </w:p>
        </w:tc>
        <w:tc>
          <w:tcPr>
            <w:tcW w:w="1125"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规格</w:t>
            </w:r>
          </w:p>
        </w:tc>
        <w:tc>
          <w:tcPr>
            <w:tcW w:w="870"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rPr>
              <w:t>剂型</w:t>
            </w:r>
          </w:p>
        </w:tc>
        <w:tc>
          <w:tcPr>
            <w:tcW w:w="1207"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转换系数</w:t>
            </w:r>
          </w:p>
        </w:tc>
        <w:tc>
          <w:tcPr>
            <w:tcW w:w="619"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eastAsia="zh-CN"/>
              </w:rPr>
              <w:t>包材</w:t>
            </w:r>
          </w:p>
        </w:tc>
        <w:tc>
          <w:tcPr>
            <w:tcW w:w="791"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rPr>
              <w:t>批准文号</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eastAsia="zh-CN"/>
              </w:rPr>
              <w:t>生产企业</w:t>
            </w:r>
          </w:p>
        </w:tc>
        <w:tc>
          <w:tcPr>
            <w:tcW w:w="870"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eastAsia="zh-CN"/>
              </w:rPr>
              <w:t>计量单位</w:t>
            </w:r>
            <w:bookmarkStart w:id="88" w:name="_GoBack"/>
            <w:bookmarkEnd w:id="88"/>
          </w:p>
        </w:tc>
        <w:tc>
          <w:tcPr>
            <w:tcW w:w="1402"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是否已在自治区（兵团）医保平台招采系统挂网（是/否）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770" w:type="dxa"/>
            <w:shd w:val="clear" w:color="auto" w:fill="auto"/>
            <w:noWrap w:val="0"/>
            <w:vAlign w:val="center"/>
          </w:tcPr>
          <w:p>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899" w:type="dxa"/>
            <w:shd w:val="clear" w:color="auto" w:fill="auto"/>
            <w:noWrap w:val="0"/>
            <w:vAlign w:val="center"/>
          </w:tcPr>
          <w:p>
            <w:pPr>
              <w:widowControl/>
              <w:jc w:val="center"/>
              <w:rPr>
                <w:rFonts w:hint="eastAsia" w:ascii="宋体" w:hAnsi="宋体" w:eastAsia="宋体" w:cs="宋体"/>
                <w:color w:val="auto"/>
                <w:kern w:val="0"/>
                <w:sz w:val="24"/>
                <w:szCs w:val="24"/>
                <w:highlight w:val="none"/>
              </w:rPr>
            </w:pPr>
          </w:p>
        </w:tc>
        <w:tc>
          <w:tcPr>
            <w:tcW w:w="1062" w:type="dxa"/>
            <w:shd w:val="clear" w:color="auto" w:fill="auto"/>
            <w:noWrap w:val="0"/>
            <w:vAlign w:val="center"/>
          </w:tcPr>
          <w:p>
            <w:pPr>
              <w:widowControl/>
              <w:jc w:val="center"/>
              <w:rPr>
                <w:rFonts w:hint="eastAsia" w:ascii="宋体" w:hAnsi="宋体" w:eastAsia="宋体" w:cs="宋体"/>
                <w:color w:val="auto"/>
                <w:kern w:val="0"/>
                <w:sz w:val="24"/>
                <w:szCs w:val="24"/>
                <w:highlight w:val="none"/>
              </w:rPr>
            </w:pPr>
          </w:p>
        </w:tc>
        <w:tc>
          <w:tcPr>
            <w:tcW w:w="1857" w:type="dxa"/>
            <w:shd w:val="clear" w:color="auto" w:fill="auto"/>
            <w:noWrap w:val="0"/>
            <w:vAlign w:val="center"/>
          </w:tcPr>
          <w:p>
            <w:pPr>
              <w:widowControl/>
              <w:jc w:val="center"/>
              <w:rPr>
                <w:rFonts w:hint="eastAsia" w:ascii="宋体" w:hAnsi="宋体" w:eastAsia="宋体" w:cs="宋体"/>
                <w:color w:val="auto"/>
                <w:kern w:val="0"/>
                <w:sz w:val="24"/>
                <w:szCs w:val="24"/>
                <w:highlight w:val="none"/>
              </w:rPr>
            </w:pPr>
          </w:p>
        </w:tc>
        <w:tc>
          <w:tcPr>
            <w:tcW w:w="1192" w:type="dxa"/>
            <w:noWrap w:val="0"/>
            <w:vAlign w:val="center"/>
          </w:tcPr>
          <w:p>
            <w:pPr>
              <w:widowControl/>
              <w:jc w:val="center"/>
              <w:rPr>
                <w:rFonts w:hint="eastAsia" w:ascii="宋体" w:hAnsi="宋体" w:eastAsia="宋体" w:cs="宋体"/>
                <w:color w:val="auto"/>
                <w:kern w:val="0"/>
                <w:sz w:val="24"/>
                <w:szCs w:val="24"/>
                <w:highlight w:val="none"/>
              </w:rPr>
            </w:pPr>
          </w:p>
        </w:tc>
        <w:tc>
          <w:tcPr>
            <w:tcW w:w="1472" w:type="dxa"/>
            <w:noWrap w:val="0"/>
            <w:vAlign w:val="center"/>
          </w:tcPr>
          <w:p>
            <w:pPr>
              <w:widowControl/>
              <w:jc w:val="center"/>
              <w:rPr>
                <w:rFonts w:hint="eastAsia" w:ascii="宋体" w:hAnsi="宋体" w:eastAsia="宋体" w:cs="宋体"/>
                <w:color w:val="auto"/>
                <w:kern w:val="0"/>
                <w:sz w:val="24"/>
                <w:szCs w:val="24"/>
                <w:highlight w:val="none"/>
              </w:rPr>
            </w:pPr>
          </w:p>
        </w:tc>
        <w:tc>
          <w:tcPr>
            <w:tcW w:w="1125" w:type="dxa"/>
            <w:noWrap w:val="0"/>
            <w:vAlign w:val="center"/>
          </w:tcPr>
          <w:p>
            <w:pPr>
              <w:widowControl/>
              <w:jc w:val="center"/>
              <w:rPr>
                <w:rFonts w:hint="eastAsia" w:ascii="宋体" w:hAnsi="宋体" w:eastAsia="宋体" w:cs="宋体"/>
                <w:color w:val="auto"/>
                <w:kern w:val="0"/>
                <w:sz w:val="24"/>
                <w:szCs w:val="24"/>
                <w:highlight w:val="none"/>
              </w:rPr>
            </w:pPr>
          </w:p>
        </w:tc>
        <w:tc>
          <w:tcPr>
            <w:tcW w:w="870" w:type="dxa"/>
            <w:noWrap w:val="0"/>
            <w:vAlign w:val="center"/>
          </w:tcPr>
          <w:p>
            <w:pPr>
              <w:widowControl/>
              <w:jc w:val="center"/>
              <w:rPr>
                <w:rFonts w:hint="eastAsia" w:ascii="宋体" w:hAnsi="宋体" w:eastAsia="宋体" w:cs="宋体"/>
                <w:color w:val="auto"/>
                <w:kern w:val="0"/>
                <w:sz w:val="24"/>
                <w:szCs w:val="24"/>
                <w:highlight w:val="none"/>
              </w:rPr>
            </w:pPr>
          </w:p>
        </w:tc>
        <w:tc>
          <w:tcPr>
            <w:tcW w:w="1207" w:type="dxa"/>
            <w:noWrap w:val="0"/>
            <w:vAlign w:val="center"/>
          </w:tcPr>
          <w:p>
            <w:pPr>
              <w:widowControl/>
              <w:jc w:val="center"/>
              <w:rPr>
                <w:rFonts w:hint="eastAsia" w:ascii="宋体" w:hAnsi="宋体" w:eastAsia="宋体" w:cs="宋体"/>
                <w:color w:val="auto"/>
                <w:kern w:val="0"/>
                <w:sz w:val="24"/>
                <w:szCs w:val="24"/>
                <w:highlight w:val="none"/>
              </w:rPr>
            </w:pPr>
          </w:p>
        </w:tc>
        <w:tc>
          <w:tcPr>
            <w:tcW w:w="619" w:type="dxa"/>
            <w:noWrap w:val="0"/>
            <w:vAlign w:val="center"/>
          </w:tcPr>
          <w:p>
            <w:pPr>
              <w:widowControl/>
              <w:jc w:val="center"/>
              <w:rPr>
                <w:rFonts w:hint="eastAsia" w:ascii="宋体" w:hAnsi="宋体" w:eastAsia="宋体" w:cs="宋体"/>
                <w:color w:val="auto"/>
                <w:kern w:val="0"/>
                <w:sz w:val="24"/>
                <w:szCs w:val="24"/>
                <w:highlight w:val="none"/>
              </w:rPr>
            </w:pPr>
          </w:p>
        </w:tc>
        <w:tc>
          <w:tcPr>
            <w:tcW w:w="791" w:type="dxa"/>
            <w:noWrap w:val="0"/>
            <w:vAlign w:val="center"/>
          </w:tcPr>
          <w:p>
            <w:pPr>
              <w:widowControl/>
              <w:jc w:val="center"/>
              <w:rPr>
                <w:rFonts w:hint="eastAsia" w:ascii="宋体" w:hAnsi="宋体" w:eastAsia="宋体" w:cs="宋体"/>
                <w:color w:val="auto"/>
                <w:kern w:val="0"/>
                <w:sz w:val="24"/>
                <w:szCs w:val="24"/>
                <w:highlight w:val="none"/>
              </w:rPr>
            </w:pPr>
          </w:p>
        </w:tc>
        <w:tc>
          <w:tcPr>
            <w:tcW w:w="718" w:type="dxa"/>
            <w:noWrap w:val="0"/>
            <w:vAlign w:val="center"/>
          </w:tcPr>
          <w:p>
            <w:pPr>
              <w:widowControl/>
              <w:rPr>
                <w:rFonts w:hint="eastAsia" w:ascii="宋体" w:hAnsi="宋体" w:eastAsia="宋体" w:cs="宋体"/>
                <w:color w:val="auto"/>
                <w:kern w:val="0"/>
                <w:sz w:val="24"/>
                <w:szCs w:val="24"/>
                <w:highlight w:val="none"/>
              </w:rPr>
            </w:pPr>
          </w:p>
        </w:tc>
        <w:tc>
          <w:tcPr>
            <w:tcW w:w="870" w:type="dxa"/>
            <w:noWrap w:val="0"/>
            <w:vAlign w:val="center"/>
          </w:tcPr>
          <w:p>
            <w:pPr>
              <w:widowControl/>
              <w:jc w:val="center"/>
              <w:rPr>
                <w:rFonts w:hint="eastAsia" w:ascii="宋体" w:hAnsi="宋体" w:eastAsia="宋体" w:cs="宋体"/>
                <w:color w:val="auto"/>
                <w:kern w:val="0"/>
                <w:sz w:val="24"/>
                <w:szCs w:val="24"/>
                <w:highlight w:val="none"/>
              </w:rPr>
            </w:pPr>
          </w:p>
        </w:tc>
        <w:tc>
          <w:tcPr>
            <w:tcW w:w="1402" w:type="dxa"/>
            <w:noWrap w:val="0"/>
            <w:vAlign w:val="center"/>
          </w:tcPr>
          <w:p>
            <w:pPr>
              <w:widowControl/>
              <w:jc w:val="center"/>
              <w:rPr>
                <w:rFonts w:hint="eastAsia" w:ascii="宋体" w:hAnsi="宋体" w:eastAsia="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770" w:type="dxa"/>
            <w:shd w:val="clear" w:color="auto" w:fill="auto"/>
            <w:noWrap w:val="0"/>
            <w:vAlign w:val="center"/>
          </w:tcPr>
          <w:p>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899" w:type="dxa"/>
            <w:shd w:val="clear" w:color="auto" w:fill="auto"/>
            <w:noWrap w:val="0"/>
            <w:vAlign w:val="center"/>
          </w:tcPr>
          <w:p>
            <w:pPr>
              <w:widowControl/>
              <w:jc w:val="center"/>
              <w:rPr>
                <w:rFonts w:hint="eastAsia" w:ascii="宋体" w:hAnsi="宋体" w:eastAsia="宋体" w:cs="宋体"/>
                <w:color w:val="auto"/>
                <w:kern w:val="0"/>
                <w:sz w:val="24"/>
                <w:szCs w:val="24"/>
                <w:highlight w:val="none"/>
              </w:rPr>
            </w:pPr>
          </w:p>
        </w:tc>
        <w:tc>
          <w:tcPr>
            <w:tcW w:w="1062" w:type="dxa"/>
            <w:shd w:val="clear" w:color="auto" w:fill="auto"/>
            <w:noWrap w:val="0"/>
            <w:vAlign w:val="center"/>
          </w:tcPr>
          <w:p>
            <w:pPr>
              <w:widowControl/>
              <w:jc w:val="center"/>
              <w:rPr>
                <w:rFonts w:hint="eastAsia" w:ascii="宋体" w:hAnsi="宋体" w:eastAsia="宋体" w:cs="宋体"/>
                <w:color w:val="auto"/>
                <w:kern w:val="0"/>
                <w:sz w:val="24"/>
                <w:szCs w:val="24"/>
                <w:highlight w:val="none"/>
              </w:rPr>
            </w:pPr>
          </w:p>
        </w:tc>
        <w:tc>
          <w:tcPr>
            <w:tcW w:w="1857" w:type="dxa"/>
            <w:shd w:val="clear" w:color="auto" w:fill="auto"/>
            <w:noWrap w:val="0"/>
            <w:vAlign w:val="center"/>
          </w:tcPr>
          <w:p>
            <w:pPr>
              <w:widowControl/>
              <w:jc w:val="center"/>
              <w:rPr>
                <w:rFonts w:hint="eastAsia" w:ascii="宋体" w:hAnsi="宋体" w:eastAsia="宋体" w:cs="宋体"/>
                <w:color w:val="auto"/>
                <w:kern w:val="0"/>
                <w:sz w:val="24"/>
                <w:szCs w:val="24"/>
                <w:highlight w:val="none"/>
              </w:rPr>
            </w:pPr>
          </w:p>
        </w:tc>
        <w:tc>
          <w:tcPr>
            <w:tcW w:w="1192" w:type="dxa"/>
            <w:noWrap w:val="0"/>
            <w:vAlign w:val="center"/>
          </w:tcPr>
          <w:p>
            <w:pPr>
              <w:widowControl/>
              <w:jc w:val="center"/>
              <w:rPr>
                <w:rFonts w:hint="eastAsia" w:ascii="宋体" w:hAnsi="宋体" w:eastAsia="宋体" w:cs="宋体"/>
                <w:color w:val="auto"/>
                <w:kern w:val="0"/>
                <w:sz w:val="24"/>
                <w:szCs w:val="24"/>
                <w:highlight w:val="none"/>
              </w:rPr>
            </w:pPr>
          </w:p>
        </w:tc>
        <w:tc>
          <w:tcPr>
            <w:tcW w:w="1472" w:type="dxa"/>
            <w:noWrap w:val="0"/>
            <w:vAlign w:val="center"/>
          </w:tcPr>
          <w:p>
            <w:pPr>
              <w:widowControl/>
              <w:jc w:val="center"/>
              <w:rPr>
                <w:rFonts w:hint="eastAsia" w:ascii="宋体" w:hAnsi="宋体" w:eastAsia="宋体" w:cs="宋体"/>
                <w:color w:val="auto"/>
                <w:kern w:val="0"/>
                <w:sz w:val="24"/>
                <w:szCs w:val="24"/>
                <w:highlight w:val="none"/>
              </w:rPr>
            </w:pPr>
          </w:p>
        </w:tc>
        <w:tc>
          <w:tcPr>
            <w:tcW w:w="1125" w:type="dxa"/>
            <w:noWrap w:val="0"/>
            <w:vAlign w:val="center"/>
          </w:tcPr>
          <w:p>
            <w:pPr>
              <w:widowControl/>
              <w:jc w:val="center"/>
              <w:rPr>
                <w:rFonts w:hint="eastAsia" w:ascii="宋体" w:hAnsi="宋体" w:eastAsia="宋体" w:cs="宋体"/>
                <w:color w:val="auto"/>
                <w:kern w:val="0"/>
                <w:sz w:val="24"/>
                <w:szCs w:val="24"/>
                <w:highlight w:val="none"/>
              </w:rPr>
            </w:pPr>
          </w:p>
        </w:tc>
        <w:tc>
          <w:tcPr>
            <w:tcW w:w="870" w:type="dxa"/>
            <w:noWrap w:val="0"/>
            <w:vAlign w:val="center"/>
          </w:tcPr>
          <w:p>
            <w:pPr>
              <w:widowControl/>
              <w:jc w:val="center"/>
              <w:rPr>
                <w:rFonts w:hint="eastAsia" w:ascii="宋体" w:hAnsi="宋体" w:eastAsia="宋体" w:cs="宋体"/>
                <w:color w:val="auto"/>
                <w:kern w:val="0"/>
                <w:sz w:val="24"/>
                <w:szCs w:val="24"/>
                <w:highlight w:val="none"/>
              </w:rPr>
            </w:pPr>
          </w:p>
        </w:tc>
        <w:tc>
          <w:tcPr>
            <w:tcW w:w="1207" w:type="dxa"/>
            <w:noWrap w:val="0"/>
            <w:vAlign w:val="center"/>
          </w:tcPr>
          <w:p>
            <w:pPr>
              <w:widowControl/>
              <w:jc w:val="center"/>
              <w:rPr>
                <w:rFonts w:hint="eastAsia" w:ascii="宋体" w:hAnsi="宋体" w:eastAsia="宋体" w:cs="宋体"/>
                <w:color w:val="auto"/>
                <w:kern w:val="0"/>
                <w:sz w:val="24"/>
                <w:szCs w:val="24"/>
                <w:highlight w:val="none"/>
              </w:rPr>
            </w:pPr>
          </w:p>
        </w:tc>
        <w:tc>
          <w:tcPr>
            <w:tcW w:w="619" w:type="dxa"/>
            <w:noWrap w:val="0"/>
            <w:vAlign w:val="center"/>
          </w:tcPr>
          <w:p>
            <w:pPr>
              <w:widowControl/>
              <w:jc w:val="center"/>
              <w:rPr>
                <w:rFonts w:hint="eastAsia" w:ascii="宋体" w:hAnsi="宋体" w:eastAsia="宋体" w:cs="宋体"/>
                <w:color w:val="auto"/>
                <w:kern w:val="0"/>
                <w:sz w:val="24"/>
                <w:szCs w:val="24"/>
                <w:highlight w:val="none"/>
              </w:rPr>
            </w:pPr>
          </w:p>
        </w:tc>
        <w:tc>
          <w:tcPr>
            <w:tcW w:w="791" w:type="dxa"/>
            <w:noWrap w:val="0"/>
            <w:vAlign w:val="center"/>
          </w:tcPr>
          <w:p>
            <w:pPr>
              <w:widowControl/>
              <w:jc w:val="center"/>
              <w:rPr>
                <w:rFonts w:hint="eastAsia" w:ascii="宋体" w:hAnsi="宋体" w:eastAsia="宋体" w:cs="宋体"/>
                <w:color w:val="auto"/>
                <w:kern w:val="0"/>
                <w:sz w:val="24"/>
                <w:szCs w:val="24"/>
                <w:highlight w:val="none"/>
              </w:rPr>
            </w:pPr>
          </w:p>
        </w:tc>
        <w:tc>
          <w:tcPr>
            <w:tcW w:w="718" w:type="dxa"/>
            <w:noWrap w:val="0"/>
            <w:vAlign w:val="center"/>
          </w:tcPr>
          <w:p>
            <w:pPr>
              <w:widowControl/>
              <w:rPr>
                <w:rFonts w:hint="eastAsia" w:ascii="宋体" w:hAnsi="宋体" w:eastAsia="宋体" w:cs="宋体"/>
                <w:color w:val="auto"/>
                <w:kern w:val="0"/>
                <w:sz w:val="24"/>
                <w:szCs w:val="24"/>
                <w:highlight w:val="none"/>
              </w:rPr>
            </w:pPr>
          </w:p>
        </w:tc>
        <w:tc>
          <w:tcPr>
            <w:tcW w:w="870" w:type="dxa"/>
            <w:noWrap w:val="0"/>
            <w:vAlign w:val="center"/>
          </w:tcPr>
          <w:p>
            <w:pPr>
              <w:widowControl/>
              <w:jc w:val="center"/>
              <w:rPr>
                <w:rFonts w:hint="eastAsia" w:ascii="宋体" w:hAnsi="宋体" w:eastAsia="宋体" w:cs="宋体"/>
                <w:color w:val="auto"/>
                <w:kern w:val="0"/>
                <w:sz w:val="24"/>
                <w:szCs w:val="24"/>
                <w:highlight w:val="none"/>
              </w:rPr>
            </w:pPr>
          </w:p>
        </w:tc>
        <w:tc>
          <w:tcPr>
            <w:tcW w:w="1402" w:type="dxa"/>
            <w:noWrap w:val="0"/>
            <w:vAlign w:val="center"/>
          </w:tcPr>
          <w:p>
            <w:pPr>
              <w:widowControl/>
              <w:jc w:val="center"/>
              <w:rPr>
                <w:rFonts w:hint="eastAsia" w:ascii="宋体" w:hAnsi="宋体" w:eastAsia="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770" w:type="dxa"/>
            <w:shd w:val="clear" w:color="auto" w:fill="auto"/>
            <w:noWrap w:val="0"/>
            <w:vAlign w:val="center"/>
          </w:tcPr>
          <w:p>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899" w:type="dxa"/>
            <w:shd w:val="clear" w:color="auto" w:fill="auto"/>
            <w:noWrap w:val="0"/>
            <w:vAlign w:val="center"/>
          </w:tcPr>
          <w:p>
            <w:pPr>
              <w:widowControl/>
              <w:jc w:val="center"/>
              <w:rPr>
                <w:rFonts w:hint="eastAsia" w:ascii="宋体" w:hAnsi="宋体" w:eastAsia="宋体" w:cs="宋体"/>
                <w:color w:val="auto"/>
                <w:kern w:val="0"/>
                <w:sz w:val="24"/>
                <w:szCs w:val="24"/>
                <w:highlight w:val="none"/>
              </w:rPr>
            </w:pPr>
          </w:p>
        </w:tc>
        <w:tc>
          <w:tcPr>
            <w:tcW w:w="1062" w:type="dxa"/>
            <w:shd w:val="clear" w:color="auto" w:fill="auto"/>
            <w:noWrap w:val="0"/>
            <w:vAlign w:val="center"/>
          </w:tcPr>
          <w:p>
            <w:pPr>
              <w:widowControl/>
              <w:jc w:val="center"/>
              <w:rPr>
                <w:rFonts w:hint="eastAsia" w:ascii="宋体" w:hAnsi="宋体" w:eastAsia="宋体" w:cs="宋体"/>
                <w:color w:val="auto"/>
                <w:kern w:val="0"/>
                <w:sz w:val="24"/>
                <w:szCs w:val="24"/>
                <w:highlight w:val="none"/>
              </w:rPr>
            </w:pPr>
          </w:p>
        </w:tc>
        <w:tc>
          <w:tcPr>
            <w:tcW w:w="1857" w:type="dxa"/>
            <w:shd w:val="clear" w:color="auto" w:fill="auto"/>
            <w:noWrap w:val="0"/>
            <w:vAlign w:val="center"/>
          </w:tcPr>
          <w:p>
            <w:pPr>
              <w:widowControl/>
              <w:jc w:val="center"/>
              <w:rPr>
                <w:rFonts w:hint="eastAsia" w:ascii="宋体" w:hAnsi="宋体" w:eastAsia="宋体" w:cs="宋体"/>
                <w:color w:val="auto"/>
                <w:kern w:val="0"/>
                <w:sz w:val="24"/>
                <w:szCs w:val="24"/>
                <w:highlight w:val="none"/>
              </w:rPr>
            </w:pPr>
          </w:p>
        </w:tc>
        <w:tc>
          <w:tcPr>
            <w:tcW w:w="1192" w:type="dxa"/>
            <w:noWrap w:val="0"/>
            <w:vAlign w:val="center"/>
          </w:tcPr>
          <w:p>
            <w:pPr>
              <w:widowControl/>
              <w:jc w:val="center"/>
              <w:rPr>
                <w:rFonts w:hint="eastAsia" w:ascii="宋体" w:hAnsi="宋体" w:eastAsia="宋体" w:cs="宋体"/>
                <w:color w:val="auto"/>
                <w:kern w:val="0"/>
                <w:sz w:val="24"/>
                <w:szCs w:val="24"/>
                <w:highlight w:val="none"/>
              </w:rPr>
            </w:pPr>
          </w:p>
        </w:tc>
        <w:tc>
          <w:tcPr>
            <w:tcW w:w="1472" w:type="dxa"/>
            <w:noWrap w:val="0"/>
            <w:vAlign w:val="center"/>
          </w:tcPr>
          <w:p>
            <w:pPr>
              <w:widowControl/>
              <w:jc w:val="center"/>
              <w:rPr>
                <w:rFonts w:hint="eastAsia" w:ascii="宋体" w:hAnsi="宋体" w:eastAsia="宋体" w:cs="宋体"/>
                <w:color w:val="auto"/>
                <w:kern w:val="0"/>
                <w:sz w:val="24"/>
                <w:szCs w:val="24"/>
                <w:highlight w:val="none"/>
              </w:rPr>
            </w:pPr>
          </w:p>
        </w:tc>
        <w:tc>
          <w:tcPr>
            <w:tcW w:w="1125" w:type="dxa"/>
            <w:noWrap w:val="0"/>
            <w:vAlign w:val="center"/>
          </w:tcPr>
          <w:p>
            <w:pPr>
              <w:widowControl/>
              <w:jc w:val="center"/>
              <w:rPr>
                <w:rFonts w:hint="eastAsia" w:ascii="宋体" w:hAnsi="宋体" w:eastAsia="宋体" w:cs="宋体"/>
                <w:color w:val="auto"/>
                <w:kern w:val="0"/>
                <w:sz w:val="24"/>
                <w:szCs w:val="24"/>
                <w:highlight w:val="none"/>
              </w:rPr>
            </w:pPr>
          </w:p>
        </w:tc>
        <w:tc>
          <w:tcPr>
            <w:tcW w:w="870" w:type="dxa"/>
            <w:noWrap w:val="0"/>
            <w:vAlign w:val="center"/>
          </w:tcPr>
          <w:p>
            <w:pPr>
              <w:widowControl/>
              <w:jc w:val="center"/>
              <w:rPr>
                <w:rFonts w:hint="eastAsia" w:ascii="宋体" w:hAnsi="宋体" w:eastAsia="宋体" w:cs="宋体"/>
                <w:color w:val="auto"/>
                <w:kern w:val="0"/>
                <w:sz w:val="24"/>
                <w:szCs w:val="24"/>
                <w:highlight w:val="none"/>
              </w:rPr>
            </w:pPr>
          </w:p>
        </w:tc>
        <w:tc>
          <w:tcPr>
            <w:tcW w:w="1207" w:type="dxa"/>
            <w:noWrap w:val="0"/>
            <w:vAlign w:val="center"/>
          </w:tcPr>
          <w:p>
            <w:pPr>
              <w:widowControl/>
              <w:jc w:val="center"/>
              <w:rPr>
                <w:rFonts w:hint="eastAsia" w:ascii="宋体" w:hAnsi="宋体" w:eastAsia="宋体" w:cs="宋体"/>
                <w:color w:val="auto"/>
                <w:kern w:val="0"/>
                <w:sz w:val="24"/>
                <w:szCs w:val="24"/>
                <w:highlight w:val="none"/>
              </w:rPr>
            </w:pPr>
          </w:p>
        </w:tc>
        <w:tc>
          <w:tcPr>
            <w:tcW w:w="619" w:type="dxa"/>
            <w:noWrap w:val="0"/>
            <w:vAlign w:val="center"/>
          </w:tcPr>
          <w:p>
            <w:pPr>
              <w:widowControl/>
              <w:jc w:val="center"/>
              <w:rPr>
                <w:rFonts w:hint="eastAsia" w:ascii="宋体" w:hAnsi="宋体" w:eastAsia="宋体" w:cs="宋体"/>
                <w:color w:val="auto"/>
                <w:kern w:val="0"/>
                <w:sz w:val="24"/>
                <w:szCs w:val="24"/>
                <w:highlight w:val="none"/>
              </w:rPr>
            </w:pPr>
          </w:p>
        </w:tc>
        <w:tc>
          <w:tcPr>
            <w:tcW w:w="791" w:type="dxa"/>
            <w:noWrap w:val="0"/>
            <w:vAlign w:val="center"/>
          </w:tcPr>
          <w:p>
            <w:pPr>
              <w:widowControl/>
              <w:jc w:val="center"/>
              <w:rPr>
                <w:rFonts w:hint="eastAsia" w:ascii="宋体" w:hAnsi="宋体" w:eastAsia="宋体" w:cs="宋体"/>
                <w:color w:val="auto"/>
                <w:kern w:val="0"/>
                <w:sz w:val="24"/>
                <w:szCs w:val="24"/>
                <w:highlight w:val="none"/>
              </w:rPr>
            </w:pPr>
          </w:p>
        </w:tc>
        <w:tc>
          <w:tcPr>
            <w:tcW w:w="718" w:type="dxa"/>
            <w:noWrap w:val="0"/>
            <w:vAlign w:val="center"/>
          </w:tcPr>
          <w:p>
            <w:pPr>
              <w:widowControl/>
              <w:rPr>
                <w:rFonts w:hint="eastAsia" w:ascii="宋体" w:hAnsi="宋体" w:eastAsia="宋体" w:cs="宋体"/>
                <w:color w:val="auto"/>
                <w:kern w:val="0"/>
                <w:sz w:val="24"/>
                <w:szCs w:val="24"/>
                <w:highlight w:val="none"/>
              </w:rPr>
            </w:pPr>
          </w:p>
        </w:tc>
        <w:tc>
          <w:tcPr>
            <w:tcW w:w="870" w:type="dxa"/>
            <w:noWrap w:val="0"/>
            <w:vAlign w:val="center"/>
          </w:tcPr>
          <w:p>
            <w:pPr>
              <w:widowControl/>
              <w:jc w:val="center"/>
              <w:rPr>
                <w:rFonts w:hint="eastAsia" w:ascii="宋体" w:hAnsi="宋体" w:eastAsia="宋体" w:cs="宋体"/>
                <w:color w:val="auto"/>
                <w:kern w:val="0"/>
                <w:sz w:val="24"/>
                <w:szCs w:val="24"/>
                <w:highlight w:val="none"/>
              </w:rPr>
            </w:pPr>
          </w:p>
        </w:tc>
        <w:tc>
          <w:tcPr>
            <w:tcW w:w="1402" w:type="dxa"/>
            <w:noWrap w:val="0"/>
            <w:vAlign w:val="center"/>
          </w:tcPr>
          <w:p>
            <w:pPr>
              <w:widowControl/>
              <w:jc w:val="center"/>
              <w:rPr>
                <w:rFonts w:hint="eastAsia" w:ascii="宋体" w:hAnsi="宋体" w:eastAsia="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770" w:type="dxa"/>
            <w:shd w:val="clear" w:color="auto" w:fill="auto"/>
            <w:noWrap w:val="0"/>
            <w:vAlign w:val="center"/>
          </w:tcPr>
          <w:p>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w:t>
            </w:r>
          </w:p>
        </w:tc>
        <w:tc>
          <w:tcPr>
            <w:tcW w:w="899" w:type="dxa"/>
            <w:shd w:val="clear" w:color="auto" w:fill="auto"/>
            <w:noWrap w:val="0"/>
            <w:vAlign w:val="center"/>
          </w:tcPr>
          <w:p>
            <w:pPr>
              <w:widowControl/>
              <w:jc w:val="center"/>
              <w:rPr>
                <w:rFonts w:hint="eastAsia" w:ascii="宋体" w:hAnsi="宋体" w:eastAsia="宋体" w:cs="宋体"/>
                <w:color w:val="auto"/>
                <w:kern w:val="0"/>
                <w:sz w:val="24"/>
                <w:szCs w:val="24"/>
                <w:highlight w:val="none"/>
              </w:rPr>
            </w:pPr>
          </w:p>
        </w:tc>
        <w:tc>
          <w:tcPr>
            <w:tcW w:w="1062" w:type="dxa"/>
            <w:shd w:val="clear" w:color="auto" w:fill="auto"/>
            <w:noWrap w:val="0"/>
            <w:vAlign w:val="center"/>
          </w:tcPr>
          <w:p>
            <w:pPr>
              <w:widowControl/>
              <w:jc w:val="center"/>
              <w:rPr>
                <w:rFonts w:hint="eastAsia" w:ascii="宋体" w:hAnsi="宋体" w:eastAsia="宋体" w:cs="宋体"/>
                <w:color w:val="auto"/>
                <w:kern w:val="0"/>
                <w:sz w:val="24"/>
                <w:szCs w:val="24"/>
                <w:highlight w:val="none"/>
              </w:rPr>
            </w:pPr>
          </w:p>
        </w:tc>
        <w:tc>
          <w:tcPr>
            <w:tcW w:w="1857" w:type="dxa"/>
            <w:shd w:val="clear" w:color="auto" w:fill="auto"/>
            <w:noWrap w:val="0"/>
            <w:vAlign w:val="center"/>
          </w:tcPr>
          <w:p>
            <w:pPr>
              <w:widowControl/>
              <w:jc w:val="center"/>
              <w:rPr>
                <w:rFonts w:hint="eastAsia" w:ascii="宋体" w:hAnsi="宋体" w:eastAsia="宋体" w:cs="宋体"/>
                <w:color w:val="auto"/>
                <w:kern w:val="0"/>
                <w:sz w:val="24"/>
                <w:szCs w:val="24"/>
                <w:highlight w:val="none"/>
              </w:rPr>
            </w:pPr>
          </w:p>
        </w:tc>
        <w:tc>
          <w:tcPr>
            <w:tcW w:w="1192" w:type="dxa"/>
            <w:noWrap w:val="0"/>
            <w:vAlign w:val="center"/>
          </w:tcPr>
          <w:p>
            <w:pPr>
              <w:widowControl/>
              <w:jc w:val="center"/>
              <w:rPr>
                <w:rFonts w:hint="eastAsia" w:ascii="宋体" w:hAnsi="宋体" w:eastAsia="宋体" w:cs="宋体"/>
                <w:color w:val="auto"/>
                <w:kern w:val="0"/>
                <w:sz w:val="24"/>
                <w:szCs w:val="24"/>
                <w:highlight w:val="none"/>
              </w:rPr>
            </w:pPr>
          </w:p>
        </w:tc>
        <w:tc>
          <w:tcPr>
            <w:tcW w:w="1472" w:type="dxa"/>
            <w:noWrap w:val="0"/>
            <w:vAlign w:val="center"/>
          </w:tcPr>
          <w:p>
            <w:pPr>
              <w:widowControl/>
              <w:jc w:val="center"/>
              <w:rPr>
                <w:rFonts w:hint="eastAsia" w:ascii="宋体" w:hAnsi="宋体" w:eastAsia="宋体" w:cs="宋体"/>
                <w:color w:val="auto"/>
                <w:kern w:val="0"/>
                <w:sz w:val="24"/>
                <w:szCs w:val="24"/>
                <w:highlight w:val="none"/>
              </w:rPr>
            </w:pPr>
          </w:p>
        </w:tc>
        <w:tc>
          <w:tcPr>
            <w:tcW w:w="1125" w:type="dxa"/>
            <w:noWrap w:val="0"/>
            <w:vAlign w:val="center"/>
          </w:tcPr>
          <w:p>
            <w:pPr>
              <w:widowControl/>
              <w:jc w:val="center"/>
              <w:rPr>
                <w:rFonts w:hint="eastAsia" w:ascii="宋体" w:hAnsi="宋体" w:eastAsia="宋体" w:cs="宋体"/>
                <w:color w:val="auto"/>
                <w:kern w:val="0"/>
                <w:sz w:val="24"/>
                <w:szCs w:val="24"/>
                <w:highlight w:val="none"/>
              </w:rPr>
            </w:pPr>
          </w:p>
        </w:tc>
        <w:tc>
          <w:tcPr>
            <w:tcW w:w="870" w:type="dxa"/>
            <w:noWrap w:val="0"/>
            <w:vAlign w:val="center"/>
          </w:tcPr>
          <w:p>
            <w:pPr>
              <w:widowControl/>
              <w:jc w:val="center"/>
              <w:rPr>
                <w:rFonts w:hint="eastAsia" w:ascii="宋体" w:hAnsi="宋体" w:eastAsia="宋体" w:cs="宋体"/>
                <w:color w:val="auto"/>
                <w:kern w:val="0"/>
                <w:sz w:val="24"/>
                <w:szCs w:val="24"/>
                <w:highlight w:val="none"/>
              </w:rPr>
            </w:pPr>
          </w:p>
        </w:tc>
        <w:tc>
          <w:tcPr>
            <w:tcW w:w="1207" w:type="dxa"/>
            <w:noWrap w:val="0"/>
            <w:vAlign w:val="center"/>
          </w:tcPr>
          <w:p>
            <w:pPr>
              <w:widowControl/>
              <w:jc w:val="center"/>
              <w:rPr>
                <w:rFonts w:hint="eastAsia" w:ascii="宋体" w:hAnsi="宋体" w:eastAsia="宋体" w:cs="宋体"/>
                <w:color w:val="auto"/>
                <w:kern w:val="0"/>
                <w:sz w:val="24"/>
                <w:szCs w:val="24"/>
                <w:highlight w:val="none"/>
              </w:rPr>
            </w:pPr>
          </w:p>
        </w:tc>
        <w:tc>
          <w:tcPr>
            <w:tcW w:w="619" w:type="dxa"/>
            <w:noWrap w:val="0"/>
            <w:vAlign w:val="center"/>
          </w:tcPr>
          <w:p>
            <w:pPr>
              <w:widowControl/>
              <w:jc w:val="center"/>
              <w:rPr>
                <w:rFonts w:hint="eastAsia" w:ascii="宋体" w:hAnsi="宋体" w:eastAsia="宋体" w:cs="宋体"/>
                <w:color w:val="auto"/>
                <w:kern w:val="0"/>
                <w:sz w:val="24"/>
                <w:szCs w:val="24"/>
                <w:highlight w:val="none"/>
              </w:rPr>
            </w:pPr>
          </w:p>
        </w:tc>
        <w:tc>
          <w:tcPr>
            <w:tcW w:w="791" w:type="dxa"/>
            <w:noWrap w:val="0"/>
            <w:vAlign w:val="center"/>
          </w:tcPr>
          <w:p>
            <w:pPr>
              <w:widowControl/>
              <w:jc w:val="center"/>
              <w:rPr>
                <w:rFonts w:hint="eastAsia" w:ascii="宋体" w:hAnsi="宋体" w:eastAsia="宋体" w:cs="宋体"/>
                <w:color w:val="auto"/>
                <w:kern w:val="0"/>
                <w:sz w:val="24"/>
                <w:szCs w:val="24"/>
                <w:highlight w:val="none"/>
              </w:rPr>
            </w:pPr>
          </w:p>
        </w:tc>
        <w:tc>
          <w:tcPr>
            <w:tcW w:w="718" w:type="dxa"/>
            <w:noWrap w:val="0"/>
            <w:vAlign w:val="center"/>
          </w:tcPr>
          <w:p>
            <w:pPr>
              <w:widowControl/>
              <w:rPr>
                <w:rFonts w:hint="eastAsia" w:ascii="宋体" w:hAnsi="宋体" w:eastAsia="宋体" w:cs="宋体"/>
                <w:color w:val="auto"/>
                <w:kern w:val="0"/>
                <w:sz w:val="24"/>
                <w:szCs w:val="24"/>
                <w:highlight w:val="none"/>
              </w:rPr>
            </w:pPr>
          </w:p>
        </w:tc>
        <w:tc>
          <w:tcPr>
            <w:tcW w:w="870" w:type="dxa"/>
            <w:noWrap w:val="0"/>
            <w:vAlign w:val="center"/>
          </w:tcPr>
          <w:p>
            <w:pPr>
              <w:widowControl/>
              <w:jc w:val="center"/>
              <w:rPr>
                <w:rFonts w:hint="eastAsia" w:ascii="宋体" w:hAnsi="宋体" w:eastAsia="宋体" w:cs="宋体"/>
                <w:color w:val="auto"/>
                <w:kern w:val="0"/>
                <w:sz w:val="24"/>
                <w:szCs w:val="24"/>
                <w:highlight w:val="none"/>
              </w:rPr>
            </w:pPr>
          </w:p>
        </w:tc>
        <w:tc>
          <w:tcPr>
            <w:tcW w:w="1402" w:type="dxa"/>
            <w:noWrap w:val="0"/>
            <w:vAlign w:val="center"/>
          </w:tcPr>
          <w:p>
            <w:pPr>
              <w:widowControl/>
              <w:jc w:val="center"/>
              <w:rPr>
                <w:rFonts w:hint="eastAsia" w:ascii="宋体" w:hAnsi="宋体" w:eastAsia="宋体" w:cs="宋体"/>
                <w:color w:val="auto"/>
                <w:kern w:val="0"/>
                <w:sz w:val="24"/>
                <w:szCs w:val="24"/>
                <w:highlight w:val="none"/>
              </w:rPr>
            </w:pPr>
          </w:p>
        </w:tc>
      </w:tr>
    </w:tbl>
    <w:p>
      <w:pPr>
        <w:pStyle w:val="2"/>
        <w:ind w:firstLine="720" w:firstLineChars="300"/>
        <w:rPr>
          <w:rFonts w:hint="eastAsia" w:ascii="宋体" w:hAnsi="宋体" w:eastAsia="宋体" w:cs="宋体"/>
          <w:b w:val="0"/>
          <w:color w:val="auto"/>
          <w:sz w:val="24"/>
          <w:szCs w:val="24"/>
          <w:highlight w:val="none"/>
          <w:lang w:val="en-US" w:eastAsia="zh-CN"/>
        </w:rPr>
        <w:sectPr>
          <w:pgSz w:w="16838" w:h="11906" w:orient="landscape"/>
          <w:pgMar w:top="1457" w:right="1440" w:bottom="1457" w:left="1440" w:header="851" w:footer="992" w:gutter="0"/>
          <w:pgNumType w:fmt="decimal"/>
          <w:cols w:space="0" w:num="1"/>
          <w:rtlGutter w:val="0"/>
          <w:docGrid w:type="lines" w:linePitch="449" w:charSpace="0"/>
        </w:sectPr>
      </w:pPr>
      <w:r>
        <w:rPr>
          <w:rFonts w:hint="eastAsia" w:ascii="宋体" w:hAnsi="宋体" w:eastAsia="宋体" w:cs="宋体"/>
          <w:b w:val="0"/>
          <w:color w:val="auto"/>
          <w:sz w:val="24"/>
          <w:szCs w:val="24"/>
          <w:highlight w:val="none"/>
          <w:lang w:val="en-US" w:eastAsia="zh-CN"/>
        </w:rPr>
        <w:t>备注：未在自治区（兵团）医保平台招采子系统挂网的申报产品，应后附该产品在全国正在执行的挂网价截图并盖章确认。</w:t>
      </w:r>
    </w:p>
    <w:p>
      <w:pPr>
        <w:pStyle w:val="2"/>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附件</w:t>
      </w:r>
      <w:r>
        <w:rPr>
          <w:rFonts w:hint="eastAsia" w:ascii="宋体" w:hAnsi="宋体" w:eastAsia="宋体" w:cs="宋体"/>
          <w:b w:val="0"/>
          <w:bCs w:val="0"/>
          <w:color w:val="auto"/>
          <w:sz w:val="24"/>
          <w:szCs w:val="24"/>
          <w:highlight w:val="none"/>
          <w:lang w:val="en-US" w:eastAsia="zh-CN"/>
        </w:rPr>
        <w:t>6：</w:t>
      </w:r>
    </w:p>
    <w:p>
      <w:pPr>
        <w:pStyle w:val="2"/>
        <w:jc w:val="center"/>
        <w:rPr>
          <w:rFonts w:hint="eastAsia" w:ascii="宋体" w:hAnsi="宋体" w:eastAsia="宋体" w:cs="宋体"/>
          <w:b/>
          <w:bCs/>
          <w:color w:val="auto"/>
          <w:kern w:val="2"/>
          <w:sz w:val="36"/>
          <w:szCs w:val="36"/>
          <w:highlight w:val="none"/>
          <w:shd w:val="clear" w:color="auto" w:fill="FFFFFF"/>
          <w:lang w:val="en-US" w:eastAsia="zh-CN" w:bidi="ar-SA"/>
        </w:rPr>
      </w:pPr>
      <w:r>
        <w:rPr>
          <w:rFonts w:hint="eastAsia" w:ascii="宋体" w:hAnsi="宋体" w:eastAsia="宋体" w:cs="宋体"/>
          <w:b/>
          <w:bCs/>
          <w:color w:val="auto"/>
          <w:kern w:val="2"/>
          <w:sz w:val="36"/>
          <w:szCs w:val="36"/>
          <w:highlight w:val="none"/>
          <w:shd w:val="clear" w:color="auto" w:fill="FFFFFF"/>
          <w:lang w:val="en-US" w:eastAsia="zh-CN" w:bidi="ar-SA"/>
        </w:rPr>
        <w:t>质疑函范本</w:t>
      </w:r>
    </w:p>
    <w:p>
      <w:pPr>
        <w:pStyle w:val="2"/>
        <w:jc w:val="center"/>
        <w:rPr>
          <w:rFonts w:hint="eastAsia" w:ascii="宋体" w:hAnsi="宋体" w:eastAsia="宋体" w:cs="宋体"/>
          <w:color w:val="auto"/>
          <w:kern w:val="2"/>
          <w:sz w:val="24"/>
          <w:szCs w:val="24"/>
          <w:highlight w:val="none"/>
          <w:shd w:val="clear" w:color="auto" w:fill="FFFFFF"/>
          <w:lang w:val="en-US" w:eastAsia="zh-CN" w:bidi="ar-SA"/>
        </w:rPr>
      </w:pPr>
    </w:p>
    <w:p>
      <w:pPr>
        <w:pStyle w:val="2"/>
        <w:jc w:val="left"/>
        <w:outlineLvl w:val="1"/>
        <w:rPr>
          <w:rFonts w:hint="eastAsia" w:ascii="宋体" w:hAnsi="宋体" w:eastAsia="宋体" w:cs="宋体"/>
          <w:color w:val="auto"/>
          <w:kern w:val="2"/>
          <w:sz w:val="24"/>
          <w:szCs w:val="24"/>
          <w:highlight w:val="none"/>
          <w:shd w:val="clear" w:color="auto" w:fill="FFFFFF"/>
          <w:lang w:val="en-US" w:eastAsia="zh-CN" w:bidi="ar-SA"/>
        </w:rPr>
      </w:pPr>
      <w:bookmarkStart w:id="82" w:name="_Toc13409"/>
      <w:r>
        <w:rPr>
          <w:rFonts w:hint="eastAsia" w:ascii="宋体" w:hAnsi="宋体" w:eastAsia="宋体" w:cs="宋体"/>
          <w:color w:val="auto"/>
          <w:kern w:val="2"/>
          <w:sz w:val="24"/>
          <w:szCs w:val="24"/>
          <w:highlight w:val="none"/>
          <w:shd w:val="clear" w:color="auto" w:fill="FFFFFF"/>
          <w:lang w:val="en-US" w:eastAsia="zh-CN" w:bidi="ar-SA"/>
        </w:rPr>
        <w:t>一、质疑供应商基本信息</w:t>
      </w:r>
      <w:bookmarkEnd w:id="82"/>
    </w:p>
    <w:p>
      <w:pPr>
        <w:pStyle w:val="2"/>
        <w:jc w:val="left"/>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质疑供应商：</w:t>
      </w:r>
    </w:p>
    <w:p>
      <w:pPr>
        <w:pStyle w:val="2"/>
        <w:jc w:val="left"/>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地址：         邮编：</w:t>
      </w:r>
    </w:p>
    <w:p>
      <w:pPr>
        <w:pStyle w:val="2"/>
        <w:jc w:val="left"/>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联系人：       联系电话：</w:t>
      </w:r>
    </w:p>
    <w:p>
      <w:pPr>
        <w:pStyle w:val="2"/>
        <w:jc w:val="both"/>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授权代表：</w:t>
      </w:r>
    </w:p>
    <w:p>
      <w:pPr>
        <w:pStyle w:val="2"/>
        <w:jc w:val="both"/>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联系电话：</w:t>
      </w:r>
    </w:p>
    <w:p>
      <w:pPr>
        <w:pStyle w:val="2"/>
        <w:jc w:val="both"/>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地址：          邮编：</w:t>
      </w:r>
    </w:p>
    <w:p>
      <w:pPr>
        <w:pStyle w:val="2"/>
        <w:jc w:val="both"/>
        <w:rPr>
          <w:rFonts w:hint="eastAsia" w:ascii="宋体" w:hAnsi="宋体" w:eastAsia="宋体" w:cs="宋体"/>
          <w:color w:val="auto"/>
          <w:kern w:val="2"/>
          <w:sz w:val="24"/>
          <w:szCs w:val="24"/>
          <w:highlight w:val="none"/>
          <w:shd w:val="clear" w:color="auto" w:fill="FFFFFF"/>
          <w:lang w:val="en-US" w:eastAsia="zh-CN" w:bidi="ar-SA"/>
        </w:rPr>
      </w:pPr>
    </w:p>
    <w:p>
      <w:pPr>
        <w:pStyle w:val="2"/>
        <w:jc w:val="both"/>
        <w:outlineLvl w:val="1"/>
        <w:rPr>
          <w:rFonts w:hint="eastAsia" w:ascii="宋体" w:hAnsi="宋体" w:eastAsia="宋体" w:cs="宋体"/>
          <w:color w:val="auto"/>
          <w:kern w:val="2"/>
          <w:sz w:val="24"/>
          <w:szCs w:val="24"/>
          <w:highlight w:val="none"/>
          <w:shd w:val="clear" w:color="auto" w:fill="FFFFFF"/>
          <w:lang w:val="en-US" w:eastAsia="zh-CN" w:bidi="ar-SA"/>
        </w:rPr>
      </w:pPr>
      <w:bookmarkStart w:id="83" w:name="_Toc25555"/>
      <w:r>
        <w:rPr>
          <w:rFonts w:hint="eastAsia" w:ascii="宋体" w:hAnsi="宋体" w:eastAsia="宋体" w:cs="宋体"/>
          <w:color w:val="auto"/>
          <w:kern w:val="2"/>
          <w:sz w:val="24"/>
          <w:szCs w:val="24"/>
          <w:highlight w:val="none"/>
          <w:shd w:val="clear" w:color="auto" w:fill="FFFFFF"/>
          <w:lang w:val="en-US" w:eastAsia="zh-CN" w:bidi="ar-SA"/>
        </w:rPr>
        <w:t>二、质疑项目基本情况</w:t>
      </w:r>
      <w:bookmarkEnd w:id="83"/>
    </w:p>
    <w:p>
      <w:pPr>
        <w:pStyle w:val="2"/>
        <w:jc w:val="both"/>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质疑项目的名称：</w:t>
      </w:r>
    </w:p>
    <w:p>
      <w:pPr>
        <w:pStyle w:val="2"/>
        <w:jc w:val="both"/>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质疑项目的编号： 包号：</w:t>
      </w:r>
    </w:p>
    <w:p>
      <w:pPr>
        <w:pStyle w:val="2"/>
        <w:jc w:val="both"/>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采购人名称：</w:t>
      </w:r>
    </w:p>
    <w:p>
      <w:pPr>
        <w:pStyle w:val="2"/>
        <w:jc w:val="both"/>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采购文件获取日期：</w:t>
      </w:r>
    </w:p>
    <w:p>
      <w:pPr>
        <w:pStyle w:val="2"/>
        <w:jc w:val="both"/>
        <w:rPr>
          <w:rFonts w:hint="eastAsia" w:ascii="宋体" w:hAnsi="宋体" w:eastAsia="宋体" w:cs="宋体"/>
          <w:color w:val="auto"/>
          <w:kern w:val="2"/>
          <w:sz w:val="24"/>
          <w:szCs w:val="24"/>
          <w:highlight w:val="none"/>
          <w:shd w:val="clear" w:color="auto" w:fill="FFFFFF"/>
          <w:lang w:val="en-US" w:eastAsia="zh-CN" w:bidi="ar-SA"/>
        </w:rPr>
      </w:pPr>
    </w:p>
    <w:p>
      <w:pPr>
        <w:pStyle w:val="2"/>
        <w:jc w:val="both"/>
        <w:outlineLvl w:val="1"/>
        <w:rPr>
          <w:rFonts w:hint="eastAsia" w:ascii="宋体" w:hAnsi="宋体" w:eastAsia="宋体" w:cs="宋体"/>
          <w:color w:val="auto"/>
          <w:kern w:val="2"/>
          <w:sz w:val="24"/>
          <w:szCs w:val="24"/>
          <w:highlight w:val="none"/>
          <w:shd w:val="clear" w:color="auto" w:fill="FFFFFF"/>
          <w:lang w:val="en-US" w:eastAsia="zh-CN" w:bidi="ar-SA"/>
        </w:rPr>
      </w:pPr>
      <w:bookmarkStart w:id="84" w:name="_Toc10477"/>
      <w:r>
        <w:rPr>
          <w:rFonts w:hint="eastAsia" w:ascii="宋体" w:hAnsi="宋体" w:eastAsia="宋体" w:cs="宋体"/>
          <w:color w:val="auto"/>
          <w:kern w:val="2"/>
          <w:sz w:val="24"/>
          <w:szCs w:val="24"/>
          <w:highlight w:val="none"/>
          <w:shd w:val="clear" w:color="auto" w:fill="FFFFFF"/>
          <w:lang w:val="en-US" w:eastAsia="zh-CN" w:bidi="ar-SA"/>
        </w:rPr>
        <w:t>三、质疑事项具体内容</w:t>
      </w:r>
      <w:bookmarkEnd w:id="84"/>
    </w:p>
    <w:p>
      <w:pPr>
        <w:pStyle w:val="2"/>
        <w:jc w:val="both"/>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质疑事项1：</w:t>
      </w:r>
    </w:p>
    <w:p>
      <w:pPr>
        <w:pStyle w:val="2"/>
        <w:jc w:val="both"/>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事实依据：</w:t>
      </w:r>
    </w:p>
    <w:p>
      <w:pPr>
        <w:pStyle w:val="2"/>
        <w:jc w:val="both"/>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法律依据：</w:t>
      </w:r>
    </w:p>
    <w:p>
      <w:pPr>
        <w:pStyle w:val="2"/>
        <w:jc w:val="both"/>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质疑事项2</w:t>
      </w:r>
    </w:p>
    <w:p>
      <w:pPr>
        <w:pStyle w:val="2"/>
        <w:jc w:val="both"/>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w:t>
      </w:r>
    </w:p>
    <w:p>
      <w:pPr>
        <w:pStyle w:val="2"/>
        <w:jc w:val="both"/>
        <w:rPr>
          <w:rFonts w:hint="eastAsia" w:ascii="宋体" w:hAnsi="宋体" w:eastAsia="宋体" w:cs="宋体"/>
          <w:color w:val="auto"/>
          <w:kern w:val="2"/>
          <w:sz w:val="24"/>
          <w:szCs w:val="24"/>
          <w:highlight w:val="none"/>
          <w:shd w:val="clear" w:color="auto" w:fill="FFFFFF"/>
          <w:lang w:val="en-US" w:eastAsia="zh-CN" w:bidi="ar-SA"/>
        </w:rPr>
      </w:pPr>
    </w:p>
    <w:p>
      <w:pPr>
        <w:pStyle w:val="2"/>
        <w:jc w:val="both"/>
        <w:outlineLvl w:val="1"/>
        <w:rPr>
          <w:rFonts w:hint="eastAsia" w:ascii="宋体" w:hAnsi="宋体" w:eastAsia="宋体" w:cs="宋体"/>
          <w:color w:val="auto"/>
          <w:kern w:val="2"/>
          <w:sz w:val="24"/>
          <w:szCs w:val="24"/>
          <w:highlight w:val="none"/>
          <w:shd w:val="clear" w:color="auto" w:fill="FFFFFF"/>
          <w:lang w:val="en-US" w:eastAsia="zh-CN" w:bidi="ar-SA"/>
        </w:rPr>
      </w:pPr>
      <w:bookmarkStart w:id="85" w:name="_Toc26749"/>
      <w:r>
        <w:rPr>
          <w:rFonts w:hint="eastAsia" w:ascii="宋体" w:hAnsi="宋体" w:eastAsia="宋体" w:cs="宋体"/>
          <w:color w:val="auto"/>
          <w:kern w:val="2"/>
          <w:sz w:val="24"/>
          <w:szCs w:val="24"/>
          <w:highlight w:val="none"/>
          <w:shd w:val="clear" w:color="auto" w:fill="FFFFFF"/>
          <w:lang w:val="en-US" w:eastAsia="zh-CN" w:bidi="ar-SA"/>
        </w:rPr>
        <w:t>四、与质疑事项相关的质疑请求</w:t>
      </w:r>
      <w:bookmarkEnd w:id="85"/>
    </w:p>
    <w:p>
      <w:pPr>
        <w:pStyle w:val="2"/>
        <w:jc w:val="both"/>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请求：</w:t>
      </w:r>
    </w:p>
    <w:p>
      <w:pPr>
        <w:pStyle w:val="2"/>
        <w:jc w:val="right"/>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签字（签章）： 公章：</w:t>
      </w:r>
    </w:p>
    <w:p>
      <w:pPr>
        <w:pStyle w:val="2"/>
        <w:jc w:val="right"/>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日期：</w:t>
      </w:r>
    </w:p>
    <w:p>
      <w:pPr>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br w:type="page"/>
      </w:r>
    </w:p>
    <w:p>
      <w:pPr>
        <w:pStyle w:val="2"/>
        <w:outlineLvl w:val="0"/>
        <w:rPr>
          <w:rFonts w:hint="eastAsia" w:ascii="宋体" w:hAnsi="宋体" w:eastAsia="宋体" w:cs="宋体"/>
          <w:color w:val="auto"/>
          <w:kern w:val="2"/>
          <w:sz w:val="24"/>
          <w:szCs w:val="24"/>
          <w:highlight w:val="none"/>
          <w:shd w:val="clear" w:color="auto" w:fill="FFFFFF"/>
          <w:lang w:val="en-US" w:eastAsia="zh-CN" w:bidi="ar-SA"/>
        </w:rPr>
      </w:pPr>
      <w:bookmarkStart w:id="86" w:name="_Toc8610"/>
      <w:r>
        <w:rPr>
          <w:rFonts w:hint="eastAsia" w:ascii="宋体" w:hAnsi="宋体" w:eastAsia="宋体" w:cs="宋体"/>
          <w:color w:val="auto"/>
          <w:kern w:val="2"/>
          <w:sz w:val="24"/>
          <w:szCs w:val="24"/>
          <w:highlight w:val="none"/>
          <w:shd w:val="clear" w:color="auto" w:fill="FFFFFF"/>
          <w:lang w:val="en-US" w:eastAsia="zh-CN" w:bidi="ar-SA"/>
        </w:rPr>
        <w:t>附件7</w:t>
      </w:r>
      <w:bookmarkEnd w:id="86"/>
    </w:p>
    <w:p>
      <w:pPr>
        <w:pStyle w:val="2"/>
        <w:jc w:val="center"/>
        <w:outlineLvl w:val="0"/>
        <w:rPr>
          <w:rFonts w:hint="eastAsia" w:ascii="宋体" w:hAnsi="宋体" w:eastAsia="宋体" w:cs="宋体"/>
          <w:b/>
          <w:bCs/>
          <w:color w:val="auto"/>
          <w:kern w:val="2"/>
          <w:sz w:val="36"/>
          <w:szCs w:val="36"/>
          <w:highlight w:val="none"/>
          <w:shd w:val="clear" w:color="auto" w:fill="FFFFFF"/>
          <w:lang w:val="en-US" w:eastAsia="zh-CN" w:bidi="ar-SA"/>
        </w:rPr>
      </w:pPr>
      <w:bookmarkStart w:id="87" w:name="_Toc24934"/>
      <w:r>
        <w:rPr>
          <w:rFonts w:hint="eastAsia" w:ascii="宋体" w:hAnsi="宋体" w:eastAsia="宋体" w:cs="宋体"/>
          <w:b/>
          <w:bCs/>
          <w:color w:val="auto"/>
          <w:kern w:val="2"/>
          <w:sz w:val="36"/>
          <w:szCs w:val="36"/>
          <w:highlight w:val="none"/>
          <w:shd w:val="clear" w:color="auto" w:fill="FFFFFF"/>
          <w:lang w:val="en-US" w:eastAsia="zh-CN" w:bidi="ar-SA"/>
        </w:rPr>
        <w:t>申报企业认为需要提供的其他资料</w:t>
      </w:r>
      <w:bookmarkEnd w:id="87"/>
    </w:p>
    <w:p>
      <w:pPr>
        <w:pStyle w:val="2"/>
        <w:rPr>
          <w:rFonts w:hint="eastAsia" w:ascii="仿宋" w:hAnsi="仿宋" w:eastAsia="仿宋" w:cs="仿宋"/>
          <w:color w:val="auto"/>
          <w:sz w:val="28"/>
          <w:szCs w:val="28"/>
          <w:highlight w:val="none"/>
        </w:rPr>
      </w:pPr>
    </w:p>
    <w:sectPr>
      <w:pgSz w:w="11906" w:h="16838"/>
      <w:pgMar w:top="1440" w:right="1457" w:bottom="1440" w:left="1457" w:header="851" w:footer="992" w:gutter="0"/>
      <w:pgNumType w:fmt="decimal"/>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方正仿宋简体">
    <w:altName w:val="微软雅黑"/>
    <w:panose1 w:val="02000000000000000000"/>
    <w:charset w:val="86"/>
    <w:family w:val="script"/>
    <w:pitch w:val="default"/>
    <w:sig w:usb0="00000000" w:usb1="00000000" w:usb2="00000012" w:usb3="00000000" w:csb0="00040001" w:csb1="00000000"/>
  </w:font>
  <w:font w:name="宋?">
    <w:altName w:val="Times New Roman"/>
    <w:panose1 w:val="00000000000000000000"/>
    <w:charset w:val="00"/>
    <w:family w:val="auto"/>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小标宋简体">
    <w:altName w:val="方正舒体"/>
    <w:panose1 w:val="02010601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sdt>
      <w:sdtPr>
        <w:id w:val="9918820"/>
      </w:sdtP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5"/>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both"/>
      <w:rPr>
        <w:rFonts w:hint="eastAsia"/>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t xml:space="preserve">— </w:t>
                          </w:r>
                          <w:r>
                            <w:fldChar w:fldCharType="begin"/>
                          </w:r>
                          <w:r>
                            <w:instrText xml:space="preserve"> PAGE  \* MERGEFORMAT </w:instrText>
                          </w:r>
                          <w:r>
                            <w:fldChar w:fldCharType="separate"/>
                          </w:r>
                          <w:r>
                            <w:t>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5"/>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both"/>
      <w:rPr>
        <w:rFonts w:hint="eastAsia" w:eastAsia="宋体"/>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t xml:space="preserve">— </w:t>
                          </w:r>
                          <w:r>
                            <w:fldChar w:fldCharType="begin"/>
                          </w:r>
                          <w:r>
                            <w:instrText xml:space="preserve"> PAGE  \* MERGEFORMAT </w:instrText>
                          </w:r>
                          <w:r>
                            <w:fldChar w:fldCharType="separate"/>
                          </w:r>
                          <w:r>
                            <w:t>23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5"/>
                    </w:pPr>
                    <w:r>
                      <w:t xml:space="preserve">— </w:t>
                    </w:r>
                    <w:r>
                      <w:fldChar w:fldCharType="begin"/>
                    </w:r>
                    <w:r>
                      <w:instrText xml:space="preserve"> PAGE  \* MERGEFORMAT </w:instrText>
                    </w:r>
                    <w:r>
                      <w:fldChar w:fldCharType="separate"/>
                    </w:r>
                    <w:r>
                      <w:t>23</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both"/>
      <w:rPr>
        <w:rFonts w:hint="eastAsia" w:eastAsia="宋体"/>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t xml:space="preserve">— </w:t>
                          </w:r>
                          <w:r>
                            <w:fldChar w:fldCharType="begin"/>
                          </w:r>
                          <w:r>
                            <w:instrText xml:space="preserve"> PAGE  \* MERGEFORMAT </w:instrText>
                          </w:r>
                          <w:r>
                            <w:fldChar w:fldCharType="separate"/>
                          </w:r>
                          <w:r>
                            <w:t>24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5"/>
                    </w:pPr>
                    <w:r>
                      <w:t xml:space="preserve">— </w:t>
                    </w:r>
                    <w:r>
                      <w:fldChar w:fldCharType="begin"/>
                    </w:r>
                    <w:r>
                      <w:instrText xml:space="preserve"> PAGE  \* MERGEFORMAT </w:instrText>
                    </w:r>
                    <w:r>
                      <w:fldChar w:fldCharType="separate"/>
                    </w:r>
                    <w:r>
                      <w:t>24</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1985BA3"/>
    <w:multiLevelType w:val="singleLevel"/>
    <w:tmpl w:val="71985BA3"/>
    <w:lvl w:ilvl="0" w:tentative="0">
      <w:start w:val="3"/>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dit="forms" w:enforcement="0"/>
  <w:defaultTabStop w:val="420"/>
  <w:drawingGridHorizontalSpacing w:val="160"/>
  <w:drawingGridVerticalSpacing w:val="225"/>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2MjdhOTA5ODBhNDU2MzIxZGVlOGI1YmIwNjRhMzMifQ=="/>
  </w:docVars>
  <w:rsids>
    <w:rsidRoot w:val="63232510"/>
    <w:rsid w:val="00000D69"/>
    <w:rsid w:val="00002E28"/>
    <w:rsid w:val="000038D3"/>
    <w:rsid w:val="0001597C"/>
    <w:rsid w:val="00015E74"/>
    <w:rsid w:val="00017A52"/>
    <w:rsid w:val="00024FC6"/>
    <w:rsid w:val="0002555C"/>
    <w:rsid w:val="0002561F"/>
    <w:rsid w:val="00026D42"/>
    <w:rsid w:val="00027783"/>
    <w:rsid w:val="00032CD3"/>
    <w:rsid w:val="00033023"/>
    <w:rsid w:val="000342CB"/>
    <w:rsid w:val="00034365"/>
    <w:rsid w:val="000344C0"/>
    <w:rsid w:val="0004008D"/>
    <w:rsid w:val="00040E79"/>
    <w:rsid w:val="00041793"/>
    <w:rsid w:val="00053465"/>
    <w:rsid w:val="0005522E"/>
    <w:rsid w:val="00062380"/>
    <w:rsid w:val="00063BAA"/>
    <w:rsid w:val="00066F7A"/>
    <w:rsid w:val="00074A94"/>
    <w:rsid w:val="0007796F"/>
    <w:rsid w:val="00083AFE"/>
    <w:rsid w:val="00083ED5"/>
    <w:rsid w:val="000859CE"/>
    <w:rsid w:val="00087BF6"/>
    <w:rsid w:val="00093DFA"/>
    <w:rsid w:val="00096F06"/>
    <w:rsid w:val="000A532E"/>
    <w:rsid w:val="000A5B03"/>
    <w:rsid w:val="000A6D95"/>
    <w:rsid w:val="000A7691"/>
    <w:rsid w:val="000B5E3D"/>
    <w:rsid w:val="000C19E0"/>
    <w:rsid w:val="000C1A60"/>
    <w:rsid w:val="000C2D55"/>
    <w:rsid w:val="000C2E5A"/>
    <w:rsid w:val="000C5EA1"/>
    <w:rsid w:val="000C63BB"/>
    <w:rsid w:val="000C695B"/>
    <w:rsid w:val="000D1A1D"/>
    <w:rsid w:val="000D26CD"/>
    <w:rsid w:val="000D7369"/>
    <w:rsid w:val="000E2859"/>
    <w:rsid w:val="000E3F48"/>
    <w:rsid w:val="000E4D04"/>
    <w:rsid w:val="000F0B5E"/>
    <w:rsid w:val="000F1F1D"/>
    <w:rsid w:val="000F43F6"/>
    <w:rsid w:val="000F5D59"/>
    <w:rsid w:val="000F7FFD"/>
    <w:rsid w:val="0010738B"/>
    <w:rsid w:val="0011071B"/>
    <w:rsid w:val="00110900"/>
    <w:rsid w:val="0011423E"/>
    <w:rsid w:val="0011711E"/>
    <w:rsid w:val="0012627E"/>
    <w:rsid w:val="001321E2"/>
    <w:rsid w:val="0013416B"/>
    <w:rsid w:val="00141D06"/>
    <w:rsid w:val="00145D95"/>
    <w:rsid w:val="00147BA2"/>
    <w:rsid w:val="00147BDA"/>
    <w:rsid w:val="00155DC9"/>
    <w:rsid w:val="00161914"/>
    <w:rsid w:val="001674FB"/>
    <w:rsid w:val="0017378E"/>
    <w:rsid w:val="001751DC"/>
    <w:rsid w:val="00177F3D"/>
    <w:rsid w:val="00180886"/>
    <w:rsid w:val="001813D8"/>
    <w:rsid w:val="00184483"/>
    <w:rsid w:val="001845AB"/>
    <w:rsid w:val="00190DD2"/>
    <w:rsid w:val="00192BFD"/>
    <w:rsid w:val="001A123B"/>
    <w:rsid w:val="001A1837"/>
    <w:rsid w:val="001B0C63"/>
    <w:rsid w:val="001B256D"/>
    <w:rsid w:val="001B5689"/>
    <w:rsid w:val="001B5919"/>
    <w:rsid w:val="001B63F5"/>
    <w:rsid w:val="001C0551"/>
    <w:rsid w:val="001D0ABB"/>
    <w:rsid w:val="001D0F6D"/>
    <w:rsid w:val="001D37DE"/>
    <w:rsid w:val="001D3FA4"/>
    <w:rsid w:val="001D5785"/>
    <w:rsid w:val="001D61CC"/>
    <w:rsid w:val="001D6BBC"/>
    <w:rsid w:val="001E148C"/>
    <w:rsid w:val="001E5936"/>
    <w:rsid w:val="001E6752"/>
    <w:rsid w:val="001F2003"/>
    <w:rsid w:val="001F21C5"/>
    <w:rsid w:val="001F4B3B"/>
    <w:rsid w:val="00200A6D"/>
    <w:rsid w:val="00200F8C"/>
    <w:rsid w:val="00223A8D"/>
    <w:rsid w:val="00225677"/>
    <w:rsid w:val="00226997"/>
    <w:rsid w:val="00226B27"/>
    <w:rsid w:val="002313AE"/>
    <w:rsid w:val="0023362A"/>
    <w:rsid w:val="00234C86"/>
    <w:rsid w:val="00235967"/>
    <w:rsid w:val="002428E3"/>
    <w:rsid w:val="00253397"/>
    <w:rsid w:val="002538AA"/>
    <w:rsid w:val="0025426E"/>
    <w:rsid w:val="00256BC5"/>
    <w:rsid w:val="00260C52"/>
    <w:rsid w:val="00260C6C"/>
    <w:rsid w:val="00266357"/>
    <w:rsid w:val="00270610"/>
    <w:rsid w:val="00275165"/>
    <w:rsid w:val="00276076"/>
    <w:rsid w:val="00277B65"/>
    <w:rsid w:val="00281960"/>
    <w:rsid w:val="00281FB1"/>
    <w:rsid w:val="00282CD3"/>
    <w:rsid w:val="002941E6"/>
    <w:rsid w:val="00296001"/>
    <w:rsid w:val="002A002F"/>
    <w:rsid w:val="002A143F"/>
    <w:rsid w:val="002B013F"/>
    <w:rsid w:val="002B1DC2"/>
    <w:rsid w:val="002B4C0F"/>
    <w:rsid w:val="002B5225"/>
    <w:rsid w:val="002C352D"/>
    <w:rsid w:val="002C3AC9"/>
    <w:rsid w:val="002C5957"/>
    <w:rsid w:val="002D0A4A"/>
    <w:rsid w:val="002D1C8E"/>
    <w:rsid w:val="002D317A"/>
    <w:rsid w:val="002D45C7"/>
    <w:rsid w:val="002E6A17"/>
    <w:rsid w:val="002E7A11"/>
    <w:rsid w:val="002E7A6C"/>
    <w:rsid w:val="002F153C"/>
    <w:rsid w:val="002F16BD"/>
    <w:rsid w:val="002F55A8"/>
    <w:rsid w:val="002F599D"/>
    <w:rsid w:val="00305E2C"/>
    <w:rsid w:val="00311193"/>
    <w:rsid w:val="00311DFF"/>
    <w:rsid w:val="00312873"/>
    <w:rsid w:val="003130DB"/>
    <w:rsid w:val="00315F5F"/>
    <w:rsid w:val="00323F98"/>
    <w:rsid w:val="00325584"/>
    <w:rsid w:val="003262BB"/>
    <w:rsid w:val="0032697E"/>
    <w:rsid w:val="00331B06"/>
    <w:rsid w:val="0033384D"/>
    <w:rsid w:val="00334AA1"/>
    <w:rsid w:val="00337ED5"/>
    <w:rsid w:val="00340F0B"/>
    <w:rsid w:val="00341C05"/>
    <w:rsid w:val="00345FC4"/>
    <w:rsid w:val="003464F8"/>
    <w:rsid w:val="0035312D"/>
    <w:rsid w:val="0035538E"/>
    <w:rsid w:val="00355A76"/>
    <w:rsid w:val="003602B7"/>
    <w:rsid w:val="00361444"/>
    <w:rsid w:val="003626AE"/>
    <w:rsid w:val="00362825"/>
    <w:rsid w:val="00362E9A"/>
    <w:rsid w:val="0036364B"/>
    <w:rsid w:val="00365545"/>
    <w:rsid w:val="00371AAA"/>
    <w:rsid w:val="00373DB2"/>
    <w:rsid w:val="00373EC2"/>
    <w:rsid w:val="003745D4"/>
    <w:rsid w:val="00376D82"/>
    <w:rsid w:val="00376E02"/>
    <w:rsid w:val="00377168"/>
    <w:rsid w:val="003854A6"/>
    <w:rsid w:val="003857DA"/>
    <w:rsid w:val="0039186E"/>
    <w:rsid w:val="00391A12"/>
    <w:rsid w:val="00391B65"/>
    <w:rsid w:val="00397B62"/>
    <w:rsid w:val="003A020B"/>
    <w:rsid w:val="003A2B97"/>
    <w:rsid w:val="003A453B"/>
    <w:rsid w:val="003B16C1"/>
    <w:rsid w:val="003B2E53"/>
    <w:rsid w:val="003B4470"/>
    <w:rsid w:val="003B5FD3"/>
    <w:rsid w:val="003C5CE4"/>
    <w:rsid w:val="003D1F09"/>
    <w:rsid w:val="003D5153"/>
    <w:rsid w:val="003E05A9"/>
    <w:rsid w:val="003E3B33"/>
    <w:rsid w:val="003E5580"/>
    <w:rsid w:val="003E6391"/>
    <w:rsid w:val="003E69EB"/>
    <w:rsid w:val="003E7965"/>
    <w:rsid w:val="003F023C"/>
    <w:rsid w:val="003F329E"/>
    <w:rsid w:val="003F5057"/>
    <w:rsid w:val="003F5F81"/>
    <w:rsid w:val="003F66C0"/>
    <w:rsid w:val="003F756A"/>
    <w:rsid w:val="00402E90"/>
    <w:rsid w:val="0040589C"/>
    <w:rsid w:val="004064AE"/>
    <w:rsid w:val="00406DDD"/>
    <w:rsid w:val="0041232A"/>
    <w:rsid w:val="00414F18"/>
    <w:rsid w:val="00415492"/>
    <w:rsid w:val="0041695B"/>
    <w:rsid w:val="004204D0"/>
    <w:rsid w:val="00420C30"/>
    <w:rsid w:val="00421C70"/>
    <w:rsid w:val="00423B40"/>
    <w:rsid w:val="00424D08"/>
    <w:rsid w:val="00430A29"/>
    <w:rsid w:val="0043328F"/>
    <w:rsid w:val="00440245"/>
    <w:rsid w:val="00442266"/>
    <w:rsid w:val="00442B17"/>
    <w:rsid w:val="00443E8A"/>
    <w:rsid w:val="004446A0"/>
    <w:rsid w:val="00444717"/>
    <w:rsid w:val="00444CC9"/>
    <w:rsid w:val="00450369"/>
    <w:rsid w:val="00450905"/>
    <w:rsid w:val="00452CEE"/>
    <w:rsid w:val="00453E6A"/>
    <w:rsid w:val="00457B7F"/>
    <w:rsid w:val="004633B9"/>
    <w:rsid w:val="0047099C"/>
    <w:rsid w:val="00470FA4"/>
    <w:rsid w:val="00470FED"/>
    <w:rsid w:val="004727DD"/>
    <w:rsid w:val="00473707"/>
    <w:rsid w:val="004737D9"/>
    <w:rsid w:val="004737F4"/>
    <w:rsid w:val="00475D67"/>
    <w:rsid w:val="00480AA3"/>
    <w:rsid w:val="00480D3F"/>
    <w:rsid w:val="004848CF"/>
    <w:rsid w:val="00486B38"/>
    <w:rsid w:val="00486D7C"/>
    <w:rsid w:val="0049474E"/>
    <w:rsid w:val="00495D09"/>
    <w:rsid w:val="00496FC4"/>
    <w:rsid w:val="00497CF3"/>
    <w:rsid w:val="004A0BD4"/>
    <w:rsid w:val="004A1544"/>
    <w:rsid w:val="004A1D59"/>
    <w:rsid w:val="004B26FC"/>
    <w:rsid w:val="004B2A21"/>
    <w:rsid w:val="004B65D5"/>
    <w:rsid w:val="004C09B2"/>
    <w:rsid w:val="004C0DC8"/>
    <w:rsid w:val="004C28B3"/>
    <w:rsid w:val="004C3740"/>
    <w:rsid w:val="004D3E79"/>
    <w:rsid w:val="004E7231"/>
    <w:rsid w:val="004F1DD1"/>
    <w:rsid w:val="004F21BD"/>
    <w:rsid w:val="004F243D"/>
    <w:rsid w:val="004F4A9A"/>
    <w:rsid w:val="005005EE"/>
    <w:rsid w:val="005016E6"/>
    <w:rsid w:val="00501BD6"/>
    <w:rsid w:val="00510269"/>
    <w:rsid w:val="00510F85"/>
    <w:rsid w:val="005211B7"/>
    <w:rsid w:val="005216E2"/>
    <w:rsid w:val="00522635"/>
    <w:rsid w:val="00523C33"/>
    <w:rsid w:val="00526528"/>
    <w:rsid w:val="00535A92"/>
    <w:rsid w:val="005361C7"/>
    <w:rsid w:val="00537FC5"/>
    <w:rsid w:val="005403B8"/>
    <w:rsid w:val="0054559E"/>
    <w:rsid w:val="00551012"/>
    <w:rsid w:val="0055200D"/>
    <w:rsid w:val="00553D00"/>
    <w:rsid w:val="00556AED"/>
    <w:rsid w:val="00564D11"/>
    <w:rsid w:val="00566D43"/>
    <w:rsid w:val="0056726A"/>
    <w:rsid w:val="00567B0F"/>
    <w:rsid w:val="00567DC6"/>
    <w:rsid w:val="00576165"/>
    <w:rsid w:val="00580D09"/>
    <w:rsid w:val="0058494C"/>
    <w:rsid w:val="005853B5"/>
    <w:rsid w:val="00595E98"/>
    <w:rsid w:val="00597E62"/>
    <w:rsid w:val="005A7D43"/>
    <w:rsid w:val="005B0444"/>
    <w:rsid w:val="005B35A0"/>
    <w:rsid w:val="005B6F4D"/>
    <w:rsid w:val="005C11FD"/>
    <w:rsid w:val="005C6DE0"/>
    <w:rsid w:val="005D1366"/>
    <w:rsid w:val="005D1DDF"/>
    <w:rsid w:val="005D314F"/>
    <w:rsid w:val="005D387E"/>
    <w:rsid w:val="005D4C96"/>
    <w:rsid w:val="005D5E03"/>
    <w:rsid w:val="005E015B"/>
    <w:rsid w:val="005E057D"/>
    <w:rsid w:val="005E2F07"/>
    <w:rsid w:val="005E38A2"/>
    <w:rsid w:val="005E6EF0"/>
    <w:rsid w:val="005E7E15"/>
    <w:rsid w:val="005F0D54"/>
    <w:rsid w:val="005F1669"/>
    <w:rsid w:val="005F395C"/>
    <w:rsid w:val="00601726"/>
    <w:rsid w:val="00602DCD"/>
    <w:rsid w:val="0060365A"/>
    <w:rsid w:val="006063F6"/>
    <w:rsid w:val="00611AC7"/>
    <w:rsid w:val="006120FD"/>
    <w:rsid w:val="00612FBE"/>
    <w:rsid w:val="0061341B"/>
    <w:rsid w:val="00621D86"/>
    <w:rsid w:val="006239FE"/>
    <w:rsid w:val="0062670A"/>
    <w:rsid w:val="006330B5"/>
    <w:rsid w:val="006344C9"/>
    <w:rsid w:val="00634DA7"/>
    <w:rsid w:val="006359ED"/>
    <w:rsid w:val="00635E29"/>
    <w:rsid w:val="00637334"/>
    <w:rsid w:val="00637F9C"/>
    <w:rsid w:val="0064119C"/>
    <w:rsid w:val="0064163F"/>
    <w:rsid w:val="0064319D"/>
    <w:rsid w:val="00644AEA"/>
    <w:rsid w:val="006513F6"/>
    <w:rsid w:val="00652BA7"/>
    <w:rsid w:val="00653DF3"/>
    <w:rsid w:val="006556BB"/>
    <w:rsid w:val="0066089D"/>
    <w:rsid w:val="00660C1C"/>
    <w:rsid w:val="00661FEF"/>
    <w:rsid w:val="006658E5"/>
    <w:rsid w:val="00666A9A"/>
    <w:rsid w:val="006704CD"/>
    <w:rsid w:val="0067051F"/>
    <w:rsid w:val="00675F9E"/>
    <w:rsid w:val="006847CC"/>
    <w:rsid w:val="00686DAE"/>
    <w:rsid w:val="00686E28"/>
    <w:rsid w:val="0068709D"/>
    <w:rsid w:val="006870D6"/>
    <w:rsid w:val="00687789"/>
    <w:rsid w:val="00690D78"/>
    <w:rsid w:val="006935CB"/>
    <w:rsid w:val="00697F3E"/>
    <w:rsid w:val="006A0B6D"/>
    <w:rsid w:val="006A2BA3"/>
    <w:rsid w:val="006A5EFE"/>
    <w:rsid w:val="006A710C"/>
    <w:rsid w:val="006B2DDE"/>
    <w:rsid w:val="006B37E5"/>
    <w:rsid w:val="006B7FC8"/>
    <w:rsid w:val="006C00D1"/>
    <w:rsid w:val="006C0CE4"/>
    <w:rsid w:val="006C25A3"/>
    <w:rsid w:val="006C38C8"/>
    <w:rsid w:val="006D7337"/>
    <w:rsid w:val="006E4A13"/>
    <w:rsid w:val="006F012D"/>
    <w:rsid w:val="006F4BC4"/>
    <w:rsid w:val="006F4C85"/>
    <w:rsid w:val="00701097"/>
    <w:rsid w:val="00702662"/>
    <w:rsid w:val="00704F87"/>
    <w:rsid w:val="00705003"/>
    <w:rsid w:val="0070733D"/>
    <w:rsid w:val="007124B8"/>
    <w:rsid w:val="00716F5C"/>
    <w:rsid w:val="00716F99"/>
    <w:rsid w:val="00732A08"/>
    <w:rsid w:val="0073751A"/>
    <w:rsid w:val="00737DAD"/>
    <w:rsid w:val="00740386"/>
    <w:rsid w:val="00744184"/>
    <w:rsid w:val="00745234"/>
    <w:rsid w:val="00745789"/>
    <w:rsid w:val="007466CD"/>
    <w:rsid w:val="007475A8"/>
    <w:rsid w:val="0076014F"/>
    <w:rsid w:val="00761844"/>
    <w:rsid w:val="00765090"/>
    <w:rsid w:val="00766D7F"/>
    <w:rsid w:val="00774E47"/>
    <w:rsid w:val="00782CE5"/>
    <w:rsid w:val="007845EE"/>
    <w:rsid w:val="0078590E"/>
    <w:rsid w:val="00790545"/>
    <w:rsid w:val="00792C1F"/>
    <w:rsid w:val="00792E3E"/>
    <w:rsid w:val="007A1485"/>
    <w:rsid w:val="007A1BD8"/>
    <w:rsid w:val="007A31D3"/>
    <w:rsid w:val="007A3B41"/>
    <w:rsid w:val="007A5DEB"/>
    <w:rsid w:val="007B32C4"/>
    <w:rsid w:val="007B707D"/>
    <w:rsid w:val="007C0027"/>
    <w:rsid w:val="007C1BC0"/>
    <w:rsid w:val="007C2C6C"/>
    <w:rsid w:val="007C4EB0"/>
    <w:rsid w:val="007C688F"/>
    <w:rsid w:val="007C78E6"/>
    <w:rsid w:val="007D066A"/>
    <w:rsid w:val="007D13E3"/>
    <w:rsid w:val="007D256A"/>
    <w:rsid w:val="007D3C13"/>
    <w:rsid w:val="007D5810"/>
    <w:rsid w:val="007E68F3"/>
    <w:rsid w:val="007E6EE5"/>
    <w:rsid w:val="007F1802"/>
    <w:rsid w:val="007F2CD6"/>
    <w:rsid w:val="007F383C"/>
    <w:rsid w:val="007F471E"/>
    <w:rsid w:val="00801111"/>
    <w:rsid w:val="00803900"/>
    <w:rsid w:val="00810744"/>
    <w:rsid w:val="00811A90"/>
    <w:rsid w:val="00812A3F"/>
    <w:rsid w:val="00814C14"/>
    <w:rsid w:val="00820E8D"/>
    <w:rsid w:val="008307C7"/>
    <w:rsid w:val="008312E7"/>
    <w:rsid w:val="00835E58"/>
    <w:rsid w:val="00841201"/>
    <w:rsid w:val="00847E3B"/>
    <w:rsid w:val="0085025E"/>
    <w:rsid w:val="00850EF3"/>
    <w:rsid w:val="00851F34"/>
    <w:rsid w:val="008534BA"/>
    <w:rsid w:val="008568E4"/>
    <w:rsid w:val="00856DF0"/>
    <w:rsid w:val="00861C7D"/>
    <w:rsid w:val="00867388"/>
    <w:rsid w:val="00867AB1"/>
    <w:rsid w:val="00867CD2"/>
    <w:rsid w:val="008739D0"/>
    <w:rsid w:val="00874803"/>
    <w:rsid w:val="008755A7"/>
    <w:rsid w:val="008776AD"/>
    <w:rsid w:val="008807AD"/>
    <w:rsid w:val="008854F3"/>
    <w:rsid w:val="00890DD3"/>
    <w:rsid w:val="00891E0E"/>
    <w:rsid w:val="00893566"/>
    <w:rsid w:val="00895C34"/>
    <w:rsid w:val="008A2247"/>
    <w:rsid w:val="008A54BE"/>
    <w:rsid w:val="008B18C1"/>
    <w:rsid w:val="008B4B75"/>
    <w:rsid w:val="008B539F"/>
    <w:rsid w:val="008C21D0"/>
    <w:rsid w:val="008C3E3F"/>
    <w:rsid w:val="008C7338"/>
    <w:rsid w:val="008D19FA"/>
    <w:rsid w:val="008D3163"/>
    <w:rsid w:val="008D32DE"/>
    <w:rsid w:val="008D5818"/>
    <w:rsid w:val="008E0C1B"/>
    <w:rsid w:val="008E0E1B"/>
    <w:rsid w:val="008E124F"/>
    <w:rsid w:val="008E3531"/>
    <w:rsid w:val="008E615D"/>
    <w:rsid w:val="008F0991"/>
    <w:rsid w:val="008F4570"/>
    <w:rsid w:val="008F728E"/>
    <w:rsid w:val="00905B7D"/>
    <w:rsid w:val="009069D6"/>
    <w:rsid w:val="00907021"/>
    <w:rsid w:val="00915C28"/>
    <w:rsid w:val="0092028B"/>
    <w:rsid w:val="00920622"/>
    <w:rsid w:val="00925778"/>
    <w:rsid w:val="00925FDA"/>
    <w:rsid w:val="00930C87"/>
    <w:rsid w:val="0093274A"/>
    <w:rsid w:val="0093428D"/>
    <w:rsid w:val="00935F9B"/>
    <w:rsid w:val="0093712F"/>
    <w:rsid w:val="00941F19"/>
    <w:rsid w:val="00942E99"/>
    <w:rsid w:val="00944C80"/>
    <w:rsid w:val="0095218E"/>
    <w:rsid w:val="00956399"/>
    <w:rsid w:val="0095658D"/>
    <w:rsid w:val="0095660F"/>
    <w:rsid w:val="00956B92"/>
    <w:rsid w:val="00960022"/>
    <w:rsid w:val="00960D90"/>
    <w:rsid w:val="00962577"/>
    <w:rsid w:val="00963937"/>
    <w:rsid w:val="0096612F"/>
    <w:rsid w:val="00966FEF"/>
    <w:rsid w:val="00967975"/>
    <w:rsid w:val="0097014F"/>
    <w:rsid w:val="00971FAD"/>
    <w:rsid w:val="00973C79"/>
    <w:rsid w:val="00975CCD"/>
    <w:rsid w:val="00976B72"/>
    <w:rsid w:val="00977719"/>
    <w:rsid w:val="00982A90"/>
    <w:rsid w:val="00984E74"/>
    <w:rsid w:val="00987198"/>
    <w:rsid w:val="00987796"/>
    <w:rsid w:val="00990E41"/>
    <w:rsid w:val="00992A86"/>
    <w:rsid w:val="009A098C"/>
    <w:rsid w:val="009A1CE4"/>
    <w:rsid w:val="009A2FB6"/>
    <w:rsid w:val="009A3575"/>
    <w:rsid w:val="009A5BDB"/>
    <w:rsid w:val="009B156A"/>
    <w:rsid w:val="009B481C"/>
    <w:rsid w:val="009B63FD"/>
    <w:rsid w:val="009B65B2"/>
    <w:rsid w:val="009C2197"/>
    <w:rsid w:val="009C2662"/>
    <w:rsid w:val="009C37E1"/>
    <w:rsid w:val="009D0511"/>
    <w:rsid w:val="009D296C"/>
    <w:rsid w:val="009D373E"/>
    <w:rsid w:val="009D4D88"/>
    <w:rsid w:val="009E1A77"/>
    <w:rsid w:val="009E47AC"/>
    <w:rsid w:val="009F0622"/>
    <w:rsid w:val="009F5382"/>
    <w:rsid w:val="009F5E9D"/>
    <w:rsid w:val="00A013B8"/>
    <w:rsid w:val="00A055B4"/>
    <w:rsid w:val="00A061EE"/>
    <w:rsid w:val="00A07F58"/>
    <w:rsid w:val="00A12C5D"/>
    <w:rsid w:val="00A14AD7"/>
    <w:rsid w:val="00A21CA3"/>
    <w:rsid w:val="00A2370A"/>
    <w:rsid w:val="00A241A5"/>
    <w:rsid w:val="00A340C1"/>
    <w:rsid w:val="00A3670B"/>
    <w:rsid w:val="00A409CC"/>
    <w:rsid w:val="00A45E25"/>
    <w:rsid w:val="00A60104"/>
    <w:rsid w:val="00A613F5"/>
    <w:rsid w:val="00A6348D"/>
    <w:rsid w:val="00A745E5"/>
    <w:rsid w:val="00A74F54"/>
    <w:rsid w:val="00A75C97"/>
    <w:rsid w:val="00A7788B"/>
    <w:rsid w:val="00A815D8"/>
    <w:rsid w:val="00A83445"/>
    <w:rsid w:val="00A908C8"/>
    <w:rsid w:val="00A92FD3"/>
    <w:rsid w:val="00A94246"/>
    <w:rsid w:val="00A94991"/>
    <w:rsid w:val="00A9572B"/>
    <w:rsid w:val="00A958B5"/>
    <w:rsid w:val="00AA1AB3"/>
    <w:rsid w:val="00AA252D"/>
    <w:rsid w:val="00AA40AE"/>
    <w:rsid w:val="00AA5CFE"/>
    <w:rsid w:val="00AA7D6C"/>
    <w:rsid w:val="00AA7E33"/>
    <w:rsid w:val="00AB5376"/>
    <w:rsid w:val="00AC04EE"/>
    <w:rsid w:val="00AC1D45"/>
    <w:rsid w:val="00AC3A15"/>
    <w:rsid w:val="00AC3B5C"/>
    <w:rsid w:val="00AC4478"/>
    <w:rsid w:val="00AC53AE"/>
    <w:rsid w:val="00AC6C71"/>
    <w:rsid w:val="00AC7791"/>
    <w:rsid w:val="00AD0102"/>
    <w:rsid w:val="00AD1529"/>
    <w:rsid w:val="00AD389E"/>
    <w:rsid w:val="00AD3EC2"/>
    <w:rsid w:val="00AD4734"/>
    <w:rsid w:val="00AD6CC7"/>
    <w:rsid w:val="00AE0C30"/>
    <w:rsid w:val="00AE31CE"/>
    <w:rsid w:val="00AE3D85"/>
    <w:rsid w:val="00AE4086"/>
    <w:rsid w:val="00AE4EEC"/>
    <w:rsid w:val="00AE6606"/>
    <w:rsid w:val="00AF0300"/>
    <w:rsid w:val="00AF0592"/>
    <w:rsid w:val="00AF7018"/>
    <w:rsid w:val="00B00B02"/>
    <w:rsid w:val="00B03722"/>
    <w:rsid w:val="00B03782"/>
    <w:rsid w:val="00B03809"/>
    <w:rsid w:val="00B06C14"/>
    <w:rsid w:val="00B11356"/>
    <w:rsid w:val="00B13B2E"/>
    <w:rsid w:val="00B164AB"/>
    <w:rsid w:val="00B24FC0"/>
    <w:rsid w:val="00B4125B"/>
    <w:rsid w:val="00B52848"/>
    <w:rsid w:val="00B637EB"/>
    <w:rsid w:val="00B66846"/>
    <w:rsid w:val="00B7686E"/>
    <w:rsid w:val="00B76E84"/>
    <w:rsid w:val="00B804CE"/>
    <w:rsid w:val="00B81500"/>
    <w:rsid w:val="00B85231"/>
    <w:rsid w:val="00B85522"/>
    <w:rsid w:val="00B859F0"/>
    <w:rsid w:val="00B95DE8"/>
    <w:rsid w:val="00B97920"/>
    <w:rsid w:val="00BA2884"/>
    <w:rsid w:val="00BA4E3D"/>
    <w:rsid w:val="00BB210F"/>
    <w:rsid w:val="00BB2E69"/>
    <w:rsid w:val="00BB47F4"/>
    <w:rsid w:val="00BB7D21"/>
    <w:rsid w:val="00BC0AB5"/>
    <w:rsid w:val="00BC3099"/>
    <w:rsid w:val="00BC4FFC"/>
    <w:rsid w:val="00BC55E0"/>
    <w:rsid w:val="00BC7E99"/>
    <w:rsid w:val="00BD0961"/>
    <w:rsid w:val="00BD5083"/>
    <w:rsid w:val="00BD634B"/>
    <w:rsid w:val="00BE16E5"/>
    <w:rsid w:val="00BE2C40"/>
    <w:rsid w:val="00BE2FAB"/>
    <w:rsid w:val="00BE4B14"/>
    <w:rsid w:val="00BE7FC8"/>
    <w:rsid w:val="00BF0795"/>
    <w:rsid w:val="00BF40A7"/>
    <w:rsid w:val="00BF506D"/>
    <w:rsid w:val="00BF5639"/>
    <w:rsid w:val="00BF60E0"/>
    <w:rsid w:val="00BF7859"/>
    <w:rsid w:val="00BF79BE"/>
    <w:rsid w:val="00C001F2"/>
    <w:rsid w:val="00C00443"/>
    <w:rsid w:val="00C0400B"/>
    <w:rsid w:val="00C049A6"/>
    <w:rsid w:val="00C0644B"/>
    <w:rsid w:val="00C1236D"/>
    <w:rsid w:val="00C1328D"/>
    <w:rsid w:val="00C20320"/>
    <w:rsid w:val="00C21C6E"/>
    <w:rsid w:val="00C221A9"/>
    <w:rsid w:val="00C247A8"/>
    <w:rsid w:val="00C26757"/>
    <w:rsid w:val="00C33823"/>
    <w:rsid w:val="00C34731"/>
    <w:rsid w:val="00C37564"/>
    <w:rsid w:val="00C37AB6"/>
    <w:rsid w:val="00C405AD"/>
    <w:rsid w:val="00C42414"/>
    <w:rsid w:val="00C42D1B"/>
    <w:rsid w:val="00C44FCE"/>
    <w:rsid w:val="00C45E5C"/>
    <w:rsid w:val="00C50CB7"/>
    <w:rsid w:val="00C51FDB"/>
    <w:rsid w:val="00C535ED"/>
    <w:rsid w:val="00C54BD5"/>
    <w:rsid w:val="00C55973"/>
    <w:rsid w:val="00C56EF6"/>
    <w:rsid w:val="00C60161"/>
    <w:rsid w:val="00C616E5"/>
    <w:rsid w:val="00C6305A"/>
    <w:rsid w:val="00C63084"/>
    <w:rsid w:val="00C6608E"/>
    <w:rsid w:val="00C676C0"/>
    <w:rsid w:val="00C67964"/>
    <w:rsid w:val="00C67B12"/>
    <w:rsid w:val="00C71B8E"/>
    <w:rsid w:val="00C72082"/>
    <w:rsid w:val="00C74F7A"/>
    <w:rsid w:val="00C758ED"/>
    <w:rsid w:val="00C80F48"/>
    <w:rsid w:val="00C8485D"/>
    <w:rsid w:val="00C8780D"/>
    <w:rsid w:val="00C90206"/>
    <w:rsid w:val="00C935FA"/>
    <w:rsid w:val="00C94A88"/>
    <w:rsid w:val="00C94DB3"/>
    <w:rsid w:val="00C953C4"/>
    <w:rsid w:val="00C97D78"/>
    <w:rsid w:val="00CA16F8"/>
    <w:rsid w:val="00CA1D02"/>
    <w:rsid w:val="00CA52AC"/>
    <w:rsid w:val="00CA6AD8"/>
    <w:rsid w:val="00CB2FBE"/>
    <w:rsid w:val="00CB3B70"/>
    <w:rsid w:val="00CB3D7D"/>
    <w:rsid w:val="00CB3E0F"/>
    <w:rsid w:val="00CB43C6"/>
    <w:rsid w:val="00CD22D0"/>
    <w:rsid w:val="00CD42F3"/>
    <w:rsid w:val="00CE51FB"/>
    <w:rsid w:val="00CE710A"/>
    <w:rsid w:val="00CF1272"/>
    <w:rsid w:val="00CF326C"/>
    <w:rsid w:val="00CF4339"/>
    <w:rsid w:val="00CF4434"/>
    <w:rsid w:val="00D0327E"/>
    <w:rsid w:val="00D04D11"/>
    <w:rsid w:val="00D12937"/>
    <w:rsid w:val="00D1736C"/>
    <w:rsid w:val="00D20A68"/>
    <w:rsid w:val="00D21307"/>
    <w:rsid w:val="00D2239C"/>
    <w:rsid w:val="00D23625"/>
    <w:rsid w:val="00D27849"/>
    <w:rsid w:val="00D33294"/>
    <w:rsid w:val="00D346D5"/>
    <w:rsid w:val="00D46637"/>
    <w:rsid w:val="00D526D2"/>
    <w:rsid w:val="00D53DA8"/>
    <w:rsid w:val="00D55D9E"/>
    <w:rsid w:val="00D55FC5"/>
    <w:rsid w:val="00D5601F"/>
    <w:rsid w:val="00D56475"/>
    <w:rsid w:val="00D61544"/>
    <w:rsid w:val="00D61803"/>
    <w:rsid w:val="00D64943"/>
    <w:rsid w:val="00D66B32"/>
    <w:rsid w:val="00D70F4C"/>
    <w:rsid w:val="00D7652A"/>
    <w:rsid w:val="00D7717F"/>
    <w:rsid w:val="00D82EEA"/>
    <w:rsid w:val="00D8415C"/>
    <w:rsid w:val="00D84ADB"/>
    <w:rsid w:val="00D8649E"/>
    <w:rsid w:val="00D865A8"/>
    <w:rsid w:val="00D906EA"/>
    <w:rsid w:val="00DA07E4"/>
    <w:rsid w:val="00DB0912"/>
    <w:rsid w:val="00DB28A0"/>
    <w:rsid w:val="00DB3052"/>
    <w:rsid w:val="00DB44AF"/>
    <w:rsid w:val="00DC0B8D"/>
    <w:rsid w:val="00DC0EAF"/>
    <w:rsid w:val="00DD13A3"/>
    <w:rsid w:val="00DD1FAC"/>
    <w:rsid w:val="00DD37B3"/>
    <w:rsid w:val="00DD6BA7"/>
    <w:rsid w:val="00DD7871"/>
    <w:rsid w:val="00DE1BB3"/>
    <w:rsid w:val="00DE26E3"/>
    <w:rsid w:val="00DE54EE"/>
    <w:rsid w:val="00DE5F65"/>
    <w:rsid w:val="00DF0E15"/>
    <w:rsid w:val="00DF400B"/>
    <w:rsid w:val="00DF4744"/>
    <w:rsid w:val="00E01675"/>
    <w:rsid w:val="00E0463B"/>
    <w:rsid w:val="00E0750B"/>
    <w:rsid w:val="00E07BCE"/>
    <w:rsid w:val="00E07D06"/>
    <w:rsid w:val="00E10370"/>
    <w:rsid w:val="00E1047A"/>
    <w:rsid w:val="00E14852"/>
    <w:rsid w:val="00E24D53"/>
    <w:rsid w:val="00E24E0C"/>
    <w:rsid w:val="00E25969"/>
    <w:rsid w:val="00E273EF"/>
    <w:rsid w:val="00E30E77"/>
    <w:rsid w:val="00E31184"/>
    <w:rsid w:val="00E328B5"/>
    <w:rsid w:val="00E32ED6"/>
    <w:rsid w:val="00E3484A"/>
    <w:rsid w:val="00E44713"/>
    <w:rsid w:val="00E450AB"/>
    <w:rsid w:val="00E464C0"/>
    <w:rsid w:val="00E51E19"/>
    <w:rsid w:val="00E54AC1"/>
    <w:rsid w:val="00E56074"/>
    <w:rsid w:val="00E566F3"/>
    <w:rsid w:val="00E56A6A"/>
    <w:rsid w:val="00E574F1"/>
    <w:rsid w:val="00E608B4"/>
    <w:rsid w:val="00E61234"/>
    <w:rsid w:val="00E632D6"/>
    <w:rsid w:val="00E64D96"/>
    <w:rsid w:val="00E77325"/>
    <w:rsid w:val="00E9145D"/>
    <w:rsid w:val="00E92B45"/>
    <w:rsid w:val="00E934F3"/>
    <w:rsid w:val="00E94E89"/>
    <w:rsid w:val="00E96BB2"/>
    <w:rsid w:val="00EA0E9F"/>
    <w:rsid w:val="00EA229F"/>
    <w:rsid w:val="00EA42E1"/>
    <w:rsid w:val="00EB25FC"/>
    <w:rsid w:val="00EB3434"/>
    <w:rsid w:val="00EC73C8"/>
    <w:rsid w:val="00ED3CEF"/>
    <w:rsid w:val="00EE0859"/>
    <w:rsid w:val="00EE45FA"/>
    <w:rsid w:val="00EE4BB3"/>
    <w:rsid w:val="00EE7931"/>
    <w:rsid w:val="00EF131E"/>
    <w:rsid w:val="00EF176F"/>
    <w:rsid w:val="00EF35D8"/>
    <w:rsid w:val="00EF4799"/>
    <w:rsid w:val="00EF5EEC"/>
    <w:rsid w:val="00F00222"/>
    <w:rsid w:val="00F00CDB"/>
    <w:rsid w:val="00F02311"/>
    <w:rsid w:val="00F07CE7"/>
    <w:rsid w:val="00F10B2F"/>
    <w:rsid w:val="00F136CF"/>
    <w:rsid w:val="00F13770"/>
    <w:rsid w:val="00F13EBE"/>
    <w:rsid w:val="00F16FB2"/>
    <w:rsid w:val="00F3234D"/>
    <w:rsid w:val="00F32463"/>
    <w:rsid w:val="00F40618"/>
    <w:rsid w:val="00F41B1B"/>
    <w:rsid w:val="00F46138"/>
    <w:rsid w:val="00F46558"/>
    <w:rsid w:val="00F5206E"/>
    <w:rsid w:val="00F70FE5"/>
    <w:rsid w:val="00F80282"/>
    <w:rsid w:val="00F81368"/>
    <w:rsid w:val="00F84A6A"/>
    <w:rsid w:val="00F86790"/>
    <w:rsid w:val="00F90DE5"/>
    <w:rsid w:val="00F930DA"/>
    <w:rsid w:val="00F954BF"/>
    <w:rsid w:val="00F95BD3"/>
    <w:rsid w:val="00F96850"/>
    <w:rsid w:val="00FA2900"/>
    <w:rsid w:val="00FA6471"/>
    <w:rsid w:val="00FA6598"/>
    <w:rsid w:val="00FA669B"/>
    <w:rsid w:val="00FA6924"/>
    <w:rsid w:val="00FA7D4A"/>
    <w:rsid w:val="00FB1B81"/>
    <w:rsid w:val="00FB30D7"/>
    <w:rsid w:val="00FB5979"/>
    <w:rsid w:val="00FB7AF4"/>
    <w:rsid w:val="00FC0FC2"/>
    <w:rsid w:val="00FC2040"/>
    <w:rsid w:val="00FC5BEE"/>
    <w:rsid w:val="00FC6DEA"/>
    <w:rsid w:val="00FD3AAA"/>
    <w:rsid w:val="00FD3FD1"/>
    <w:rsid w:val="00FE1437"/>
    <w:rsid w:val="00FE16D0"/>
    <w:rsid w:val="00FE3A13"/>
    <w:rsid w:val="00FE5B53"/>
    <w:rsid w:val="00FE73D5"/>
    <w:rsid w:val="00FE7F22"/>
    <w:rsid w:val="00FF299E"/>
    <w:rsid w:val="00FF338B"/>
    <w:rsid w:val="00FF53EB"/>
    <w:rsid w:val="00FF6D51"/>
    <w:rsid w:val="00FF738B"/>
    <w:rsid w:val="0104311B"/>
    <w:rsid w:val="011F2947"/>
    <w:rsid w:val="012D6FB9"/>
    <w:rsid w:val="01390A04"/>
    <w:rsid w:val="0140555E"/>
    <w:rsid w:val="014A3A3E"/>
    <w:rsid w:val="014E0B74"/>
    <w:rsid w:val="01544154"/>
    <w:rsid w:val="01592EDB"/>
    <w:rsid w:val="015C76D5"/>
    <w:rsid w:val="01715409"/>
    <w:rsid w:val="018F787A"/>
    <w:rsid w:val="0193245F"/>
    <w:rsid w:val="0195387D"/>
    <w:rsid w:val="019A4983"/>
    <w:rsid w:val="01AB74D8"/>
    <w:rsid w:val="01CB2ADE"/>
    <w:rsid w:val="01E15A1B"/>
    <w:rsid w:val="0201439F"/>
    <w:rsid w:val="020A2C1C"/>
    <w:rsid w:val="0212794D"/>
    <w:rsid w:val="022A0BF5"/>
    <w:rsid w:val="022A7B83"/>
    <w:rsid w:val="0233573A"/>
    <w:rsid w:val="02425274"/>
    <w:rsid w:val="025F0240"/>
    <w:rsid w:val="0262764D"/>
    <w:rsid w:val="026A3EEA"/>
    <w:rsid w:val="02931DD2"/>
    <w:rsid w:val="02994E52"/>
    <w:rsid w:val="029B1784"/>
    <w:rsid w:val="02B14AD2"/>
    <w:rsid w:val="02D1681E"/>
    <w:rsid w:val="02D56AEC"/>
    <w:rsid w:val="02EC6F31"/>
    <w:rsid w:val="032B6185"/>
    <w:rsid w:val="032E1A86"/>
    <w:rsid w:val="03372BDE"/>
    <w:rsid w:val="03376903"/>
    <w:rsid w:val="03480898"/>
    <w:rsid w:val="03495CF0"/>
    <w:rsid w:val="036B579D"/>
    <w:rsid w:val="036B743E"/>
    <w:rsid w:val="0379637C"/>
    <w:rsid w:val="037E32E3"/>
    <w:rsid w:val="038B7B56"/>
    <w:rsid w:val="039C7E49"/>
    <w:rsid w:val="03B103BD"/>
    <w:rsid w:val="03B37961"/>
    <w:rsid w:val="03C535F4"/>
    <w:rsid w:val="03C92A9B"/>
    <w:rsid w:val="04045643"/>
    <w:rsid w:val="040976E3"/>
    <w:rsid w:val="040C4E1A"/>
    <w:rsid w:val="0410357E"/>
    <w:rsid w:val="041F08B2"/>
    <w:rsid w:val="04363373"/>
    <w:rsid w:val="04417763"/>
    <w:rsid w:val="044241F2"/>
    <w:rsid w:val="04425122"/>
    <w:rsid w:val="0447423B"/>
    <w:rsid w:val="044D642A"/>
    <w:rsid w:val="04696102"/>
    <w:rsid w:val="047A1EFE"/>
    <w:rsid w:val="048F3874"/>
    <w:rsid w:val="04AF00EF"/>
    <w:rsid w:val="04B04930"/>
    <w:rsid w:val="04DB50A1"/>
    <w:rsid w:val="04F518E6"/>
    <w:rsid w:val="05176FE7"/>
    <w:rsid w:val="05336F1C"/>
    <w:rsid w:val="05575AC4"/>
    <w:rsid w:val="056749BD"/>
    <w:rsid w:val="056838F8"/>
    <w:rsid w:val="056B23DD"/>
    <w:rsid w:val="059B4A80"/>
    <w:rsid w:val="059C3DC4"/>
    <w:rsid w:val="059C53F7"/>
    <w:rsid w:val="05BF46DA"/>
    <w:rsid w:val="05DF11B8"/>
    <w:rsid w:val="05DF6764"/>
    <w:rsid w:val="05EB1E26"/>
    <w:rsid w:val="060C15C6"/>
    <w:rsid w:val="0618371C"/>
    <w:rsid w:val="06242341"/>
    <w:rsid w:val="062E4DD7"/>
    <w:rsid w:val="0634002D"/>
    <w:rsid w:val="063C14E7"/>
    <w:rsid w:val="06436978"/>
    <w:rsid w:val="064A2E0A"/>
    <w:rsid w:val="0650256C"/>
    <w:rsid w:val="06862A9D"/>
    <w:rsid w:val="06876D6E"/>
    <w:rsid w:val="06A10D2D"/>
    <w:rsid w:val="06B235C9"/>
    <w:rsid w:val="06B239D1"/>
    <w:rsid w:val="06B57C5A"/>
    <w:rsid w:val="06C8444B"/>
    <w:rsid w:val="06D51316"/>
    <w:rsid w:val="06F2767A"/>
    <w:rsid w:val="06F91E50"/>
    <w:rsid w:val="07017FF9"/>
    <w:rsid w:val="070B5FF4"/>
    <w:rsid w:val="07125F97"/>
    <w:rsid w:val="072E2714"/>
    <w:rsid w:val="07321C3C"/>
    <w:rsid w:val="074C4C41"/>
    <w:rsid w:val="07542420"/>
    <w:rsid w:val="076028C5"/>
    <w:rsid w:val="076406C5"/>
    <w:rsid w:val="07762B38"/>
    <w:rsid w:val="077E0023"/>
    <w:rsid w:val="07825BFD"/>
    <w:rsid w:val="078B0B00"/>
    <w:rsid w:val="079B3631"/>
    <w:rsid w:val="07A60031"/>
    <w:rsid w:val="07AB1440"/>
    <w:rsid w:val="07AC1178"/>
    <w:rsid w:val="07B14334"/>
    <w:rsid w:val="07D25039"/>
    <w:rsid w:val="07D32CC1"/>
    <w:rsid w:val="080B4A4E"/>
    <w:rsid w:val="082B1684"/>
    <w:rsid w:val="082F5622"/>
    <w:rsid w:val="08371558"/>
    <w:rsid w:val="083A37E4"/>
    <w:rsid w:val="083B5F67"/>
    <w:rsid w:val="083D7D2F"/>
    <w:rsid w:val="08457FEF"/>
    <w:rsid w:val="08504E13"/>
    <w:rsid w:val="085D4F44"/>
    <w:rsid w:val="08675217"/>
    <w:rsid w:val="086C5FC1"/>
    <w:rsid w:val="088B4B8B"/>
    <w:rsid w:val="08BE0A53"/>
    <w:rsid w:val="08C72661"/>
    <w:rsid w:val="08FC50DA"/>
    <w:rsid w:val="09135B41"/>
    <w:rsid w:val="09291E16"/>
    <w:rsid w:val="09363656"/>
    <w:rsid w:val="093F3412"/>
    <w:rsid w:val="09441ACD"/>
    <w:rsid w:val="0944356A"/>
    <w:rsid w:val="09452E68"/>
    <w:rsid w:val="096206F4"/>
    <w:rsid w:val="09785D8F"/>
    <w:rsid w:val="097D1FBA"/>
    <w:rsid w:val="098A0328"/>
    <w:rsid w:val="09945AB1"/>
    <w:rsid w:val="099C3230"/>
    <w:rsid w:val="099C4EFD"/>
    <w:rsid w:val="09A1122A"/>
    <w:rsid w:val="09B51E26"/>
    <w:rsid w:val="09B54C00"/>
    <w:rsid w:val="09D02614"/>
    <w:rsid w:val="09D112A0"/>
    <w:rsid w:val="09D40D7C"/>
    <w:rsid w:val="09D9153A"/>
    <w:rsid w:val="0A1B3EE5"/>
    <w:rsid w:val="0A384F4A"/>
    <w:rsid w:val="0A387468"/>
    <w:rsid w:val="0A391954"/>
    <w:rsid w:val="0A48563C"/>
    <w:rsid w:val="0A562AC7"/>
    <w:rsid w:val="0A6E4EDF"/>
    <w:rsid w:val="0A775027"/>
    <w:rsid w:val="0A857B36"/>
    <w:rsid w:val="0A8A2C7F"/>
    <w:rsid w:val="0A9E0261"/>
    <w:rsid w:val="0AA362EE"/>
    <w:rsid w:val="0ABB7CBC"/>
    <w:rsid w:val="0AE37032"/>
    <w:rsid w:val="0AEA2F2E"/>
    <w:rsid w:val="0AF15735"/>
    <w:rsid w:val="0B0B6E58"/>
    <w:rsid w:val="0B1D2998"/>
    <w:rsid w:val="0B2715D2"/>
    <w:rsid w:val="0B291D55"/>
    <w:rsid w:val="0B344E0C"/>
    <w:rsid w:val="0B4E726D"/>
    <w:rsid w:val="0B6934B3"/>
    <w:rsid w:val="0B6B4B5B"/>
    <w:rsid w:val="0B6D152C"/>
    <w:rsid w:val="0B790418"/>
    <w:rsid w:val="0B865CBA"/>
    <w:rsid w:val="0B883090"/>
    <w:rsid w:val="0B9867F4"/>
    <w:rsid w:val="0BA15F22"/>
    <w:rsid w:val="0BA30903"/>
    <w:rsid w:val="0BD8401E"/>
    <w:rsid w:val="0BDE72E1"/>
    <w:rsid w:val="0BF04063"/>
    <w:rsid w:val="0BFC4DD9"/>
    <w:rsid w:val="0C3412D7"/>
    <w:rsid w:val="0C3B7049"/>
    <w:rsid w:val="0C466E73"/>
    <w:rsid w:val="0C5F46F1"/>
    <w:rsid w:val="0C7E087C"/>
    <w:rsid w:val="0C7E3093"/>
    <w:rsid w:val="0C984E5A"/>
    <w:rsid w:val="0CD442FB"/>
    <w:rsid w:val="0CDF1775"/>
    <w:rsid w:val="0CEF51C8"/>
    <w:rsid w:val="0CFF5538"/>
    <w:rsid w:val="0D066F1B"/>
    <w:rsid w:val="0D072C63"/>
    <w:rsid w:val="0D101B12"/>
    <w:rsid w:val="0D122859"/>
    <w:rsid w:val="0D316439"/>
    <w:rsid w:val="0D3549DE"/>
    <w:rsid w:val="0D3A7A64"/>
    <w:rsid w:val="0D5821D6"/>
    <w:rsid w:val="0D6950EF"/>
    <w:rsid w:val="0D793601"/>
    <w:rsid w:val="0D9545E0"/>
    <w:rsid w:val="0DAD203C"/>
    <w:rsid w:val="0DAD77B0"/>
    <w:rsid w:val="0DD158B7"/>
    <w:rsid w:val="0DD45212"/>
    <w:rsid w:val="0DE2754C"/>
    <w:rsid w:val="0DE30DF9"/>
    <w:rsid w:val="0DEB2B8A"/>
    <w:rsid w:val="0DF82AF0"/>
    <w:rsid w:val="0DF94539"/>
    <w:rsid w:val="0E03144F"/>
    <w:rsid w:val="0E093E8B"/>
    <w:rsid w:val="0E124253"/>
    <w:rsid w:val="0E144ABE"/>
    <w:rsid w:val="0E196111"/>
    <w:rsid w:val="0E2D358D"/>
    <w:rsid w:val="0E3C1565"/>
    <w:rsid w:val="0E4C35D1"/>
    <w:rsid w:val="0E537B30"/>
    <w:rsid w:val="0E5D6FB7"/>
    <w:rsid w:val="0E724E1B"/>
    <w:rsid w:val="0E7C2363"/>
    <w:rsid w:val="0E8D2A39"/>
    <w:rsid w:val="0E942502"/>
    <w:rsid w:val="0EA065EB"/>
    <w:rsid w:val="0EAD1759"/>
    <w:rsid w:val="0EAD26AC"/>
    <w:rsid w:val="0EB952F8"/>
    <w:rsid w:val="0EBA42F4"/>
    <w:rsid w:val="0EC97034"/>
    <w:rsid w:val="0EE23AFE"/>
    <w:rsid w:val="0F144B98"/>
    <w:rsid w:val="0F1C443F"/>
    <w:rsid w:val="0F5F7F79"/>
    <w:rsid w:val="0F606762"/>
    <w:rsid w:val="0F755E68"/>
    <w:rsid w:val="0F7E37AF"/>
    <w:rsid w:val="0FC43065"/>
    <w:rsid w:val="0FE834C4"/>
    <w:rsid w:val="0FE84D39"/>
    <w:rsid w:val="10074690"/>
    <w:rsid w:val="100977A2"/>
    <w:rsid w:val="10115898"/>
    <w:rsid w:val="10131C57"/>
    <w:rsid w:val="10304852"/>
    <w:rsid w:val="10380942"/>
    <w:rsid w:val="107A6B6F"/>
    <w:rsid w:val="10810A9A"/>
    <w:rsid w:val="10995295"/>
    <w:rsid w:val="10AC3F9F"/>
    <w:rsid w:val="10D932D8"/>
    <w:rsid w:val="10F14BFD"/>
    <w:rsid w:val="10F23E77"/>
    <w:rsid w:val="10FB06B8"/>
    <w:rsid w:val="111C7C1C"/>
    <w:rsid w:val="1125441A"/>
    <w:rsid w:val="11305E98"/>
    <w:rsid w:val="1144003C"/>
    <w:rsid w:val="11520A00"/>
    <w:rsid w:val="116A2DA4"/>
    <w:rsid w:val="11804FB5"/>
    <w:rsid w:val="1183437B"/>
    <w:rsid w:val="119219EE"/>
    <w:rsid w:val="119245E1"/>
    <w:rsid w:val="119B0C4D"/>
    <w:rsid w:val="11B6721C"/>
    <w:rsid w:val="11BD1629"/>
    <w:rsid w:val="11C43645"/>
    <w:rsid w:val="11DA5BF3"/>
    <w:rsid w:val="11F17E1E"/>
    <w:rsid w:val="11FA4E16"/>
    <w:rsid w:val="12385002"/>
    <w:rsid w:val="12455559"/>
    <w:rsid w:val="125158EC"/>
    <w:rsid w:val="12564C79"/>
    <w:rsid w:val="125F31D3"/>
    <w:rsid w:val="126229C3"/>
    <w:rsid w:val="128E2CFE"/>
    <w:rsid w:val="129D160D"/>
    <w:rsid w:val="129E6FE8"/>
    <w:rsid w:val="129F479A"/>
    <w:rsid w:val="12A42E6A"/>
    <w:rsid w:val="12BA087D"/>
    <w:rsid w:val="12C07E84"/>
    <w:rsid w:val="12FE449C"/>
    <w:rsid w:val="13233139"/>
    <w:rsid w:val="1349713D"/>
    <w:rsid w:val="13524E02"/>
    <w:rsid w:val="135E24D0"/>
    <w:rsid w:val="135E2E7C"/>
    <w:rsid w:val="135E7D79"/>
    <w:rsid w:val="13830F49"/>
    <w:rsid w:val="138B4B4F"/>
    <w:rsid w:val="13927442"/>
    <w:rsid w:val="13A71216"/>
    <w:rsid w:val="13AC255D"/>
    <w:rsid w:val="13CB719C"/>
    <w:rsid w:val="13DA134A"/>
    <w:rsid w:val="13F601C1"/>
    <w:rsid w:val="14131750"/>
    <w:rsid w:val="14226559"/>
    <w:rsid w:val="143036BE"/>
    <w:rsid w:val="14303CCE"/>
    <w:rsid w:val="143F52D5"/>
    <w:rsid w:val="143F7EA4"/>
    <w:rsid w:val="14472AFF"/>
    <w:rsid w:val="146773B2"/>
    <w:rsid w:val="146B5343"/>
    <w:rsid w:val="1478787A"/>
    <w:rsid w:val="147B2ED0"/>
    <w:rsid w:val="14950B7B"/>
    <w:rsid w:val="1495656B"/>
    <w:rsid w:val="14976A19"/>
    <w:rsid w:val="14A03675"/>
    <w:rsid w:val="14B10CA6"/>
    <w:rsid w:val="14BC5838"/>
    <w:rsid w:val="14BD69CE"/>
    <w:rsid w:val="14E95634"/>
    <w:rsid w:val="14F378EA"/>
    <w:rsid w:val="152E58C8"/>
    <w:rsid w:val="153F6B1B"/>
    <w:rsid w:val="156A030B"/>
    <w:rsid w:val="156D4E90"/>
    <w:rsid w:val="158C3568"/>
    <w:rsid w:val="15A317C5"/>
    <w:rsid w:val="15B0587F"/>
    <w:rsid w:val="15B53A8E"/>
    <w:rsid w:val="15BA2DF8"/>
    <w:rsid w:val="15DB5A05"/>
    <w:rsid w:val="15DE408C"/>
    <w:rsid w:val="15E36EEC"/>
    <w:rsid w:val="15E815C1"/>
    <w:rsid w:val="15EB7426"/>
    <w:rsid w:val="15F864FC"/>
    <w:rsid w:val="15FA7195"/>
    <w:rsid w:val="160D0619"/>
    <w:rsid w:val="161812A0"/>
    <w:rsid w:val="161D7183"/>
    <w:rsid w:val="161F148D"/>
    <w:rsid w:val="1641011C"/>
    <w:rsid w:val="165B4E45"/>
    <w:rsid w:val="165C4A76"/>
    <w:rsid w:val="16753646"/>
    <w:rsid w:val="16753F93"/>
    <w:rsid w:val="16881D90"/>
    <w:rsid w:val="16C43AFE"/>
    <w:rsid w:val="16CD11FF"/>
    <w:rsid w:val="16DB1946"/>
    <w:rsid w:val="16E904AD"/>
    <w:rsid w:val="16F54996"/>
    <w:rsid w:val="16F743B6"/>
    <w:rsid w:val="170B3C5F"/>
    <w:rsid w:val="171F3EAB"/>
    <w:rsid w:val="172C33A3"/>
    <w:rsid w:val="17435BDF"/>
    <w:rsid w:val="17553B8E"/>
    <w:rsid w:val="176B768F"/>
    <w:rsid w:val="177D3300"/>
    <w:rsid w:val="17845EC7"/>
    <w:rsid w:val="17895DBB"/>
    <w:rsid w:val="17981230"/>
    <w:rsid w:val="179817BA"/>
    <w:rsid w:val="17AB68B5"/>
    <w:rsid w:val="17AF3A8D"/>
    <w:rsid w:val="17C25272"/>
    <w:rsid w:val="17DF33EC"/>
    <w:rsid w:val="17DF623B"/>
    <w:rsid w:val="17ED6BD5"/>
    <w:rsid w:val="17F32338"/>
    <w:rsid w:val="180311F2"/>
    <w:rsid w:val="180631A4"/>
    <w:rsid w:val="18081C9C"/>
    <w:rsid w:val="18090E55"/>
    <w:rsid w:val="180F3F33"/>
    <w:rsid w:val="1820398E"/>
    <w:rsid w:val="18271FD2"/>
    <w:rsid w:val="18274B89"/>
    <w:rsid w:val="185C14AB"/>
    <w:rsid w:val="1872707D"/>
    <w:rsid w:val="18846DD6"/>
    <w:rsid w:val="188568A2"/>
    <w:rsid w:val="1887374F"/>
    <w:rsid w:val="188A2B9F"/>
    <w:rsid w:val="18A02089"/>
    <w:rsid w:val="18A2189A"/>
    <w:rsid w:val="18BD02CC"/>
    <w:rsid w:val="18D164D6"/>
    <w:rsid w:val="18D76CFB"/>
    <w:rsid w:val="18DA5D83"/>
    <w:rsid w:val="18F55073"/>
    <w:rsid w:val="19124407"/>
    <w:rsid w:val="1913681C"/>
    <w:rsid w:val="19233CB8"/>
    <w:rsid w:val="1925436C"/>
    <w:rsid w:val="1951740A"/>
    <w:rsid w:val="19771B51"/>
    <w:rsid w:val="1997786E"/>
    <w:rsid w:val="19A5662F"/>
    <w:rsid w:val="19B51B11"/>
    <w:rsid w:val="19D001C6"/>
    <w:rsid w:val="19F857F7"/>
    <w:rsid w:val="1A0108BD"/>
    <w:rsid w:val="1A0C13E5"/>
    <w:rsid w:val="1A3C193B"/>
    <w:rsid w:val="1A3E4EB1"/>
    <w:rsid w:val="1A4B0DA3"/>
    <w:rsid w:val="1A802C0E"/>
    <w:rsid w:val="1A921A29"/>
    <w:rsid w:val="1A945B72"/>
    <w:rsid w:val="1A955054"/>
    <w:rsid w:val="1A981608"/>
    <w:rsid w:val="1A9C50FE"/>
    <w:rsid w:val="1A9F7843"/>
    <w:rsid w:val="1AA054AD"/>
    <w:rsid w:val="1AA66759"/>
    <w:rsid w:val="1AAA13DD"/>
    <w:rsid w:val="1AB25224"/>
    <w:rsid w:val="1AB83549"/>
    <w:rsid w:val="1AC0348F"/>
    <w:rsid w:val="1AC6142A"/>
    <w:rsid w:val="1AC663BF"/>
    <w:rsid w:val="1AD21D03"/>
    <w:rsid w:val="1ADB1FDD"/>
    <w:rsid w:val="1ADB7DE9"/>
    <w:rsid w:val="1AF44C7F"/>
    <w:rsid w:val="1AF77282"/>
    <w:rsid w:val="1B0759BA"/>
    <w:rsid w:val="1B12687D"/>
    <w:rsid w:val="1B205147"/>
    <w:rsid w:val="1B3D0FC0"/>
    <w:rsid w:val="1B40161F"/>
    <w:rsid w:val="1B491A9A"/>
    <w:rsid w:val="1B497910"/>
    <w:rsid w:val="1B4A32CD"/>
    <w:rsid w:val="1B4E11D5"/>
    <w:rsid w:val="1B4E4F4F"/>
    <w:rsid w:val="1B5259D4"/>
    <w:rsid w:val="1B7A2104"/>
    <w:rsid w:val="1B8A7063"/>
    <w:rsid w:val="1B9F5D86"/>
    <w:rsid w:val="1BA909DD"/>
    <w:rsid w:val="1BBE1EB0"/>
    <w:rsid w:val="1BC2172D"/>
    <w:rsid w:val="1BC322E9"/>
    <w:rsid w:val="1BC37B7A"/>
    <w:rsid w:val="1BC5446C"/>
    <w:rsid w:val="1BC7372A"/>
    <w:rsid w:val="1BCD2575"/>
    <w:rsid w:val="1BD57C91"/>
    <w:rsid w:val="1C067481"/>
    <w:rsid w:val="1C155416"/>
    <w:rsid w:val="1C1D0BF0"/>
    <w:rsid w:val="1C2311F7"/>
    <w:rsid w:val="1C290AB8"/>
    <w:rsid w:val="1C2D1094"/>
    <w:rsid w:val="1C2F68D2"/>
    <w:rsid w:val="1C472EFA"/>
    <w:rsid w:val="1C5032E0"/>
    <w:rsid w:val="1C537FCD"/>
    <w:rsid w:val="1C56657F"/>
    <w:rsid w:val="1C8E3352"/>
    <w:rsid w:val="1C9E296D"/>
    <w:rsid w:val="1CA93FF3"/>
    <w:rsid w:val="1CC10D90"/>
    <w:rsid w:val="1CC81239"/>
    <w:rsid w:val="1CC81C25"/>
    <w:rsid w:val="1CCB37D1"/>
    <w:rsid w:val="1CCE25DE"/>
    <w:rsid w:val="1CEB1055"/>
    <w:rsid w:val="1CF60393"/>
    <w:rsid w:val="1CF92621"/>
    <w:rsid w:val="1CF97934"/>
    <w:rsid w:val="1D037822"/>
    <w:rsid w:val="1D221C6D"/>
    <w:rsid w:val="1D374FD7"/>
    <w:rsid w:val="1D4C4A41"/>
    <w:rsid w:val="1D5602BD"/>
    <w:rsid w:val="1D5D7725"/>
    <w:rsid w:val="1D663CE2"/>
    <w:rsid w:val="1D8813FF"/>
    <w:rsid w:val="1D8F46EA"/>
    <w:rsid w:val="1D997E96"/>
    <w:rsid w:val="1D9E3213"/>
    <w:rsid w:val="1DAB3F4D"/>
    <w:rsid w:val="1DAF111D"/>
    <w:rsid w:val="1DE44336"/>
    <w:rsid w:val="1DF02754"/>
    <w:rsid w:val="1DF24900"/>
    <w:rsid w:val="1E055C2C"/>
    <w:rsid w:val="1E2D4513"/>
    <w:rsid w:val="1E3C6326"/>
    <w:rsid w:val="1E47635A"/>
    <w:rsid w:val="1E555EF2"/>
    <w:rsid w:val="1E582082"/>
    <w:rsid w:val="1E675D6C"/>
    <w:rsid w:val="1E795D10"/>
    <w:rsid w:val="1EB74194"/>
    <w:rsid w:val="1EBC134E"/>
    <w:rsid w:val="1EC30C45"/>
    <w:rsid w:val="1ECF15EB"/>
    <w:rsid w:val="1ECF73E5"/>
    <w:rsid w:val="1ED462AF"/>
    <w:rsid w:val="1EE57117"/>
    <w:rsid w:val="1EF453BE"/>
    <w:rsid w:val="1F052FB4"/>
    <w:rsid w:val="1F1038BB"/>
    <w:rsid w:val="1F211115"/>
    <w:rsid w:val="1F22471F"/>
    <w:rsid w:val="1F290373"/>
    <w:rsid w:val="1F3313B3"/>
    <w:rsid w:val="1F492B8D"/>
    <w:rsid w:val="1F5E0366"/>
    <w:rsid w:val="1F7D7E28"/>
    <w:rsid w:val="1F9F2276"/>
    <w:rsid w:val="1FA13A50"/>
    <w:rsid w:val="1FB07F1B"/>
    <w:rsid w:val="1FB35C72"/>
    <w:rsid w:val="1FBB216F"/>
    <w:rsid w:val="1FF37E8E"/>
    <w:rsid w:val="201F396D"/>
    <w:rsid w:val="20206913"/>
    <w:rsid w:val="202B7748"/>
    <w:rsid w:val="20374F72"/>
    <w:rsid w:val="20473A4B"/>
    <w:rsid w:val="204958B0"/>
    <w:rsid w:val="204A7F77"/>
    <w:rsid w:val="205169CA"/>
    <w:rsid w:val="20911CF8"/>
    <w:rsid w:val="20927C44"/>
    <w:rsid w:val="2093504B"/>
    <w:rsid w:val="20B44677"/>
    <w:rsid w:val="20C80D7F"/>
    <w:rsid w:val="20E83E19"/>
    <w:rsid w:val="20F30662"/>
    <w:rsid w:val="20F7735F"/>
    <w:rsid w:val="20F97FD5"/>
    <w:rsid w:val="21047EE3"/>
    <w:rsid w:val="21106587"/>
    <w:rsid w:val="21111F5D"/>
    <w:rsid w:val="21377F8C"/>
    <w:rsid w:val="21403280"/>
    <w:rsid w:val="21427268"/>
    <w:rsid w:val="217A26BB"/>
    <w:rsid w:val="217B5DCC"/>
    <w:rsid w:val="2183581E"/>
    <w:rsid w:val="21F53102"/>
    <w:rsid w:val="22067D2A"/>
    <w:rsid w:val="22084D15"/>
    <w:rsid w:val="22126BDA"/>
    <w:rsid w:val="22146DBF"/>
    <w:rsid w:val="22191547"/>
    <w:rsid w:val="222F4D71"/>
    <w:rsid w:val="22411B2F"/>
    <w:rsid w:val="22436655"/>
    <w:rsid w:val="224A78B5"/>
    <w:rsid w:val="22653B32"/>
    <w:rsid w:val="227678E8"/>
    <w:rsid w:val="22840C08"/>
    <w:rsid w:val="2284212D"/>
    <w:rsid w:val="228E76A0"/>
    <w:rsid w:val="229842D5"/>
    <w:rsid w:val="229D6DB5"/>
    <w:rsid w:val="22B57567"/>
    <w:rsid w:val="22C60596"/>
    <w:rsid w:val="22CD09E5"/>
    <w:rsid w:val="22D31463"/>
    <w:rsid w:val="22E45960"/>
    <w:rsid w:val="22F05D0C"/>
    <w:rsid w:val="22F46207"/>
    <w:rsid w:val="22F541FE"/>
    <w:rsid w:val="234E6301"/>
    <w:rsid w:val="236951CB"/>
    <w:rsid w:val="237C4863"/>
    <w:rsid w:val="2391373E"/>
    <w:rsid w:val="239A3288"/>
    <w:rsid w:val="23AA6451"/>
    <w:rsid w:val="23CF5EB8"/>
    <w:rsid w:val="23D7609F"/>
    <w:rsid w:val="23EE286E"/>
    <w:rsid w:val="23F46350"/>
    <w:rsid w:val="23F56D44"/>
    <w:rsid w:val="24037431"/>
    <w:rsid w:val="240A7E97"/>
    <w:rsid w:val="2411132B"/>
    <w:rsid w:val="24262897"/>
    <w:rsid w:val="242A096B"/>
    <w:rsid w:val="244D0AB5"/>
    <w:rsid w:val="24534E46"/>
    <w:rsid w:val="245758DC"/>
    <w:rsid w:val="245F1498"/>
    <w:rsid w:val="246F7801"/>
    <w:rsid w:val="2470298F"/>
    <w:rsid w:val="24871626"/>
    <w:rsid w:val="24912FB7"/>
    <w:rsid w:val="251D7583"/>
    <w:rsid w:val="25311999"/>
    <w:rsid w:val="25325CAE"/>
    <w:rsid w:val="253308B1"/>
    <w:rsid w:val="253C7296"/>
    <w:rsid w:val="254759AB"/>
    <w:rsid w:val="25502211"/>
    <w:rsid w:val="255848C8"/>
    <w:rsid w:val="256076EB"/>
    <w:rsid w:val="25696263"/>
    <w:rsid w:val="2577075C"/>
    <w:rsid w:val="2589134C"/>
    <w:rsid w:val="258917D4"/>
    <w:rsid w:val="258B3D0B"/>
    <w:rsid w:val="25900A56"/>
    <w:rsid w:val="25902DAE"/>
    <w:rsid w:val="25CC57E2"/>
    <w:rsid w:val="25D05A69"/>
    <w:rsid w:val="25D15E62"/>
    <w:rsid w:val="25E01A3E"/>
    <w:rsid w:val="25E037F9"/>
    <w:rsid w:val="25E55F07"/>
    <w:rsid w:val="25F000C7"/>
    <w:rsid w:val="25F63173"/>
    <w:rsid w:val="25F805AA"/>
    <w:rsid w:val="260278BA"/>
    <w:rsid w:val="260B7803"/>
    <w:rsid w:val="260F5622"/>
    <w:rsid w:val="261B2D31"/>
    <w:rsid w:val="26433DC4"/>
    <w:rsid w:val="26446EB2"/>
    <w:rsid w:val="264A1723"/>
    <w:rsid w:val="265664DB"/>
    <w:rsid w:val="267848B2"/>
    <w:rsid w:val="267C4C51"/>
    <w:rsid w:val="268A6495"/>
    <w:rsid w:val="26D27DE7"/>
    <w:rsid w:val="26D353B0"/>
    <w:rsid w:val="26E565C8"/>
    <w:rsid w:val="26E650C9"/>
    <w:rsid w:val="26ED5857"/>
    <w:rsid w:val="26F268A0"/>
    <w:rsid w:val="26FD6343"/>
    <w:rsid w:val="271F4FC5"/>
    <w:rsid w:val="27237873"/>
    <w:rsid w:val="272C767F"/>
    <w:rsid w:val="27394F2D"/>
    <w:rsid w:val="277D38D9"/>
    <w:rsid w:val="277F13AB"/>
    <w:rsid w:val="27910A11"/>
    <w:rsid w:val="279A6B1E"/>
    <w:rsid w:val="279E57E5"/>
    <w:rsid w:val="27AE1B1E"/>
    <w:rsid w:val="27B54D67"/>
    <w:rsid w:val="27D53522"/>
    <w:rsid w:val="27EA276A"/>
    <w:rsid w:val="27FA68D1"/>
    <w:rsid w:val="28073B18"/>
    <w:rsid w:val="28074257"/>
    <w:rsid w:val="281140C5"/>
    <w:rsid w:val="281660F5"/>
    <w:rsid w:val="282B2A9B"/>
    <w:rsid w:val="28374B53"/>
    <w:rsid w:val="285731AB"/>
    <w:rsid w:val="285F76F6"/>
    <w:rsid w:val="286A0AD2"/>
    <w:rsid w:val="286F4404"/>
    <w:rsid w:val="288152F7"/>
    <w:rsid w:val="28931BE8"/>
    <w:rsid w:val="28933EF0"/>
    <w:rsid w:val="28A729CA"/>
    <w:rsid w:val="28B11375"/>
    <w:rsid w:val="28B261A9"/>
    <w:rsid w:val="28BF54ED"/>
    <w:rsid w:val="28D91CA1"/>
    <w:rsid w:val="28E150CC"/>
    <w:rsid w:val="28E36A2B"/>
    <w:rsid w:val="28E42CB9"/>
    <w:rsid w:val="28EA4BBE"/>
    <w:rsid w:val="28F16EF1"/>
    <w:rsid w:val="292A665D"/>
    <w:rsid w:val="293463D1"/>
    <w:rsid w:val="29462087"/>
    <w:rsid w:val="298F172B"/>
    <w:rsid w:val="29BF482A"/>
    <w:rsid w:val="29CC1BF3"/>
    <w:rsid w:val="29E5173A"/>
    <w:rsid w:val="29EF6DDC"/>
    <w:rsid w:val="29EF763F"/>
    <w:rsid w:val="29F7449B"/>
    <w:rsid w:val="29F84908"/>
    <w:rsid w:val="29FB77A0"/>
    <w:rsid w:val="29FE0626"/>
    <w:rsid w:val="2A13476D"/>
    <w:rsid w:val="2A2221E2"/>
    <w:rsid w:val="2A2762C4"/>
    <w:rsid w:val="2A2C0F80"/>
    <w:rsid w:val="2A5327CF"/>
    <w:rsid w:val="2A576D80"/>
    <w:rsid w:val="2A5D6C4E"/>
    <w:rsid w:val="2A5F04FA"/>
    <w:rsid w:val="2A6851C4"/>
    <w:rsid w:val="2A781266"/>
    <w:rsid w:val="2A8379F2"/>
    <w:rsid w:val="2AA13AC7"/>
    <w:rsid w:val="2AC90D37"/>
    <w:rsid w:val="2AE632C1"/>
    <w:rsid w:val="2AEE7713"/>
    <w:rsid w:val="2B1F1E57"/>
    <w:rsid w:val="2B2616AF"/>
    <w:rsid w:val="2B385185"/>
    <w:rsid w:val="2B612B30"/>
    <w:rsid w:val="2B6238EA"/>
    <w:rsid w:val="2B630EE9"/>
    <w:rsid w:val="2B801309"/>
    <w:rsid w:val="2B861D12"/>
    <w:rsid w:val="2B9D17E5"/>
    <w:rsid w:val="2BA62214"/>
    <w:rsid w:val="2BB018F9"/>
    <w:rsid w:val="2BB05646"/>
    <w:rsid w:val="2BBE7ED5"/>
    <w:rsid w:val="2BE33479"/>
    <w:rsid w:val="2BF57146"/>
    <w:rsid w:val="2BF61B8E"/>
    <w:rsid w:val="2C200C1F"/>
    <w:rsid w:val="2C3225F0"/>
    <w:rsid w:val="2C3A2553"/>
    <w:rsid w:val="2C674760"/>
    <w:rsid w:val="2C680F22"/>
    <w:rsid w:val="2C7C21A5"/>
    <w:rsid w:val="2C801123"/>
    <w:rsid w:val="2C833AE0"/>
    <w:rsid w:val="2C8A5817"/>
    <w:rsid w:val="2CA67349"/>
    <w:rsid w:val="2CA76987"/>
    <w:rsid w:val="2CBB4721"/>
    <w:rsid w:val="2CC814D6"/>
    <w:rsid w:val="2CD4535C"/>
    <w:rsid w:val="2CE64BA5"/>
    <w:rsid w:val="2CFE1A5D"/>
    <w:rsid w:val="2D044A49"/>
    <w:rsid w:val="2D150B3C"/>
    <w:rsid w:val="2D1B358B"/>
    <w:rsid w:val="2D2E617F"/>
    <w:rsid w:val="2D443BC0"/>
    <w:rsid w:val="2D4937E1"/>
    <w:rsid w:val="2D5201FE"/>
    <w:rsid w:val="2D533224"/>
    <w:rsid w:val="2D5A7AE5"/>
    <w:rsid w:val="2D5B4772"/>
    <w:rsid w:val="2D655D3B"/>
    <w:rsid w:val="2D742FAF"/>
    <w:rsid w:val="2D827B50"/>
    <w:rsid w:val="2D8A1E64"/>
    <w:rsid w:val="2D8C48D5"/>
    <w:rsid w:val="2D8D3ECA"/>
    <w:rsid w:val="2D8E1D99"/>
    <w:rsid w:val="2DA25210"/>
    <w:rsid w:val="2DA93BDB"/>
    <w:rsid w:val="2DC146E1"/>
    <w:rsid w:val="2DF33A53"/>
    <w:rsid w:val="2DFE2F0C"/>
    <w:rsid w:val="2E1226FA"/>
    <w:rsid w:val="2E19750B"/>
    <w:rsid w:val="2E210AC9"/>
    <w:rsid w:val="2E2C0E18"/>
    <w:rsid w:val="2E450300"/>
    <w:rsid w:val="2E6B2E24"/>
    <w:rsid w:val="2E6C0018"/>
    <w:rsid w:val="2E71768E"/>
    <w:rsid w:val="2E7D4132"/>
    <w:rsid w:val="2E7F3690"/>
    <w:rsid w:val="2E9E4F4A"/>
    <w:rsid w:val="2EA17F50"/>
    <w:rsid w:val="2EAB4607"/>
    <w:rsid w:val="2EAF6831"/>
    <w:rsid w:val="2EB47FCC"/>
    <w:rsid w:val="2EC573F3"/>
    <w:rsid w:val="2ED460DF"/>
    <w:rsid w:val="2EFE6BF1"/>
    <w:rsid w:val="2F0E5493"/>
    <w:rsid w:val="2F1536A4"/>
    <w:rsid w:val="2F215FFC"/>
    <w:rsid w:val="2F314482"/>
    <w:rsid w:val="2F457358"/>
    <w:rsid w:val="2F5B33CD"/>
    <w:rsid w:val="2F5D7AFF"/>
    <w:rsid w:val="2F650F96"/>
    <w:rsid w:val="2F8C178D"/>
    <w:rsid w:val="2F913DF8"/>
    <w:rsid w:val="2F9E6849"/>
    <w:rsid w:val="2FA768C2"/>
    <w:rsid w:val="2FA83CAA"/>
    <w:rsid w:val="2FB427A2"/>
    <w:rsid w:val="2FBB3457"/>
    <w:rsid w:val="2FCF07D0"/>
    <w:rsid w:val="301A730D"/>
    <w:rsid w:val="30275C11"/>
    <w:rsid w:val="30276695"/>
    <w:rsid w:val="30354E79"/>
    <w:rsid w:val="304E7C62"/>
    <w:rsid w:val="30521105"/>
    <w:rsid w:val="305B75D2"/>
    <w:rsid w:val="307A2582"/>
    <w:rsid w:val="308708FA"/>
    <w:rsid w:val="30871655"/>
    <w:rsid w:val="3092593C"/>
    <w:rsid w:val="309D1E67"/>
    <w:rsid w:val="30A05F3D"/>
    <w:rsid w:val="30A33E01"/>
    <w:rsid w:val="30A8166A"/>
    <w:rsid w:val="30AC5FE7"/>
    <w:rsid w:val="30B342A1"/>
    <w:rsid w:val="30B823A2"/>
    <w:rsid w:val="30B959A4"/>
    <w:rsid w:val="31165231"/>
    <w:rsid w:val="311A0FEE"/>
    <w:rsid w:val="31207874"/>
    <w:rsid w:val="31237CBA"/>
    <w:rsid w:val="3127284F"/>
    <w:rsid w:val="312C5931"/>
    <w:rsid w:val="315645C2"/>
    <w:rsid w:val="318E09E1"/>
    <w:rsid w:val="31962073"/>
    <w:rsid w:val="31AF34CE"/>
    <w:rsid w:val="31B61996"/>
    <w:rsid w:val="31B70B19"/>
    <w:rsid w:val="31D01B40"/>
    <w:rsid w:val="31E979C5"/>
    <w:rsid w:val="321A4EE5"/>
    <w:rsid w:val="324E26D4"/>
    <w:rsid w:val="325C0AB8"/>
    <w:rsid w:val="3267395B"/>
    <w:rsid w:val="327502E0"/>
    <w:rsid w:val="327862B8"/>
    <w:rsid w:val="32C522F4"/>
    <w:rsid w:val="32C52344"/>
    <w:rsid w:val="32C57DC2"/>
    <w:rsid w:val="3308650A"/>
    <w:rsid w:val="33096112"/>
    <w:rsid w:val="330D6468"/>
    <w:rsid w:val="33103C12"/>
    <w:rsid w:val="33204F56"/>
    <w:rsid w:val="3326304F"/>
    <w:rsid w:val="332A064E"/>
    <w:rsid w:val="33347E13"/>
    <w:rsid w:val="334A6174"/>
    <w:rsid w:val="334F798B"/>
    <w:rsid w:val="33675B61"/>
    <w:rsid w:val="33B8461A"/>
    <w:rsid w:val="33EA0786"/>
    <w:rsid w:val="34013401"/>
    <w:rsid w:val="34052C25"/>
    <w:rsid w:val="340C23B3"/>
    <w:rsid w:val="34201F53"/>
    <w:rsid w:val="3420623A"/>
    <w:rsid w:val="342921D8"/>
    <w:rsid w:val="344276FC"/>
    <w:rsid w:val="34466B5D"/>
    <w:rsid w:val="3449261A"/>
    <w:rsid w:val="34613F1E"/>
    <w:rsid w:val="346A256C"/>
    <w:rsid w:val="34790D04"/>
    <w:rsid w:val="347F5504"/>
    <w:rsid w:val="34851685"/>
    <w:rsid w:val="34A47E2D"/>
    <w:rsid w:val="34AF488D"/>
    <w:rsid w:val="34B77E92"/>
    <w:rsid w:val="34B9362D"/>
    <w:rsid w:val="34BD6BB0"/>
    <w:rsid w:val="34DB7418"/>
    <w:rsid w:val="34DC19CA"/>
    <w:rsid w:val="34E309D7"/>
    <w:rsid w:val="34F5795E"/>
    <w:rsid w:val="35077A67"/>
    <w:rsid w:val="35215C76"/>
    <w:rsid w:val="354F7CEC"/>
    <w:rsid w:val="357C233A"/>
    <w:rsid w:val="35874B59"/>
    <w:rsid w:val="35A80A1E"/>
    <w:rsid w:val="35A8668C"/>
    <w:rsid w:val="35BF40F6"/>
    <w:rsid w:val="35BF7E99"/>
    <w:rsid w:val="35E73BB9"/>
    <w:rsid w:val="35F4052D"/>
    <w:rsid w:val="35F54B6B"/>
    <w:rsid w:val="35F9561B"/>
    <w:rsid w:val="360316FD"/>
    <w:rsid w:val="360904ED"/>
    <w:rsid w:val="363418F9"/>
    <w:rsid w:val="36343725"/>
    <w:rsid w:val="364A5381"/>
    <w:rsid w:val="368A528F"/>
    <w:rsid w:val="36907991"/>
    <w:rsid w:val="3699402C"/>
    <w:rsid w:val="369A4325"/>
    <w:rsid w:val="36B22222"/>
    <w:rsid w:val="36C2585D"/>
    <w:rsid w:val="36C32EFF"/>
    <w:rsid w:val="36CF5F38"/>
    <w:rsid w:val="36CF6AF6"/>
    <w:rsid w:val="36E87AF9"/>
    <w:rsid w:val="36FC03AB"/>
    <w:rsid w:val="37226C31"/>
    <w:rsid w:val="37244934"/>
    <w:rsid w:val="373E7E7F"/>
    <w:rsid w:val="374D5382"/>
    <w:rsid w:val="375621DB"/>
    <w:rsid w:val="3778056C"/>
    <w:rsid w:val="37A00C6C"/>
    <w:rsid w:val="37AD5CE2"/>
    <w:rsid w:val="37DB657E"/>
    <w:rsid w:val="37E04DE4"/>
    <w:rsid w:val="381D4C63"/>
    <w:rsid w:val="381E07E6"/>
    <w:rsid w:val="381E1DC2"/>
    <w:rsid w:val="38371F61"/>
    <w:rsid w:val="38446713"/>
    <w:rsid w:val="384A0C2C"/>
    <w:rsid w:val="38603D4F"/>
    <w:rsid w:val="386F301B"/>
    <w:rsid w:val="38800D38"/>
    <w:rsid w:val="38824766"/>
    <w:rsid w:val="38854661"/>
    <w:rsid w:val="38871CA8"/>
    <w:rsid w:val="388C584A"/>
    <w:rsid w:val="38A14374"/>
    <w:rsid w:val="38AD728D"/>
    <w:rsid w:val="38C16AC8"/>
    <w:rsid w:val="38C74B4F"/>
    <w:rsid w:val="38D01D86"/>
    <w:rsid w:val="38DE1419"/>
    <w:rsid w:val="38DE7895"/>
    <w:rsid w:val="39205E1E"/>
    <w:rsid w:val="39261E85"/>
    <w:rsid w:val="392C264C"/>
    <w:rsid w:val="3951000A"/>
    <w:rsid w:val="3964176A"/>
    <w:rsid w:val="39755272"/>
    <w:rsid w:val="39AC705B"/>
    <w:rsid w:val="39DF6B88"/>
    <w:rsid w:val="3A0218C3"/>
    <w:rsid w:val="3A041553"/>
    <w:rsid w:val="3A08071A"/>
    <w:rsid w:val="3A1A627E"/>
    <w:rsid w:val="3A2C297C"/>
    <w:rsid w:val="3A3A4904"/>
    <w:rsid w:val="3A3F0B48"/>
    <w:rsid w:val="3A5A08F7"/>
    <w:rsid w:val="3A643DE2"/>
    <w:rsid w:val="3A651F42"/>
    <w:rsid w:val="3A777AD4"/>
    <w:rsid w:val="3A78430D"/>
    <w:rsid w:val="3AA3694A"/>
    <w:rsid w:val="3AA40475"/>
    <w:rsid w:val="3AAE7421"/>
    <w:rsid w:val="3AB66839"/>
    <w:rsid w:val="3AB852E8"/>
    <w:rsid w:val="3ABB4203"/>
    <w:rsid w:val="3AE1747E"/>
    <w:rsid w:val="3B004389"/>
    <w:rsid w:val="3B194788"/>
    <w:rsid w:val="3B2055F5"/>
    <w:rsid w:val="3B2F55C8"/>
    <w:rsid w:val="3B353249"/>
    <w:rsid w:val="3B370857"/>
    <w:rsid w:val="3B3A3222"/>
    <w:rsid w:val="3B3A5D3A"/>
    <w:rsid w:val="3B3A7529"/>
    <w:rsid w:val="3B6C6420"/>
    <w:rsid w:val="3B757990"/>
    <w:rsid w:val="3B8503BA"/>
    <w:rsid w:val="3B9766E5"/>
    <w:rsid w:val="3B9D6066"/>
    <w:rsid w:val="3BA64196"/>
    <w:rsid w:val="3BAA1AE6"/>
    <w:rsid w:val="3BB81097"/>
    <w:rsid w:val="3BBE7A8F"/>
    <w:rsid w:val="3C0E6036"/>
    <w:rsid w:val="3C17553D"/>
    <w:rsid w:val="3C323728"/>
    <w:rsid w:val="3C431EAF"/>
    <w:rsid w:val="3C4C0380"/>
    <w:rsid w:val="3C513BE9"/>
    <w:rsid w:val="3C52197B"/>
    <w:rsid w:val="3C527F2B"/>
    <w:rsid w:val="3C5821E0"/>
    <w:rsid w:val="3C796CC0"/>
    <w:rsid w:val="3C7C7DC4"/>
    <w:rsid w:val="3C8500C7"/>
    <w:rsid w:val="3C8522F8"/>
    <w:rsid w:val="3CA11904"/>
    <w:rsid w:val="3CB26D72"/>
    <w:rsid w:val="3CBC6856"/>
    <w:rsid w:val="3D18276D"/>
    <w:rsid w:val="3D841A10"/>
    <w:rsid w:val="3DA25BD7"/>
    <w:rsid w:val="3DB174A9"/>
    <w:rsid w:val="3DBA2405"/>
    <w:rsid w:val="3DC750BA"/>
    <w:rsid w:val="3DC877C2"/>
    <w:rsid w:val="3DE557AA"/>
    <w:rsid w:val="3DEC6655"/>
    <w:rsid w:val="3E1E27AB"/>
    <w:rsid w:val="3E375C1B"/>
    <w:rsid w:val="3E421419"/>
    <w:rsid w:val="3E455E29"/>
    <w:rsid w:val="3E4A321B"/>
    <w:rsid w:val="3E511173"/>
    <w:rsid w:val="3E5C14E2"/>
    <w:rsid w:val="3E7A4062"/>
    <w:rsid w:val="3E7A6331"/>
    <w:rsid w:val="3ED00CD1"/>
    <w:rsid w:val="3EE73D15"/>
    <w:rsid w:val="3EF1492D"/>
    <w:rsid w:val="3EF24221"/>
    <w:rsid w:val="3F034B65"/>
    <w:rsid w:val="3F070FCA"/>
    <w:rsid w:val="3F1141D0"/>
    <w:rsid w:val="3F22478D"/>
    <w:rsid w:val="3F226487"/>
    <w:rsid w:val="3F2E0BB1"/>
    <w:rsid w:val="3F2E65FA"/>
    <w:rsid w:val="3F307F97"/>
    <w:rsid w:val="3F403B1D"/>
    <w:rsid w:val="3F541D52"/>
    <w:rsid w:val="3F624B21"/>
    <w:rsid w:val="3F7D4E92"/>
    <w:rsid w:val="3F7F41A4"/>
    <w:rsid w:val="3FA50381"/>
    <w:rsid w:val="3FAF0C80"/>
    <w:rsid w:val="3FC90053"/>
    <w:rsid w:val="3FCB17F3"/>
    <w:rsid w:val="3FCD5EE7"/>
    <w:rsid w:val="3FCF03A7"/>
    <w:rsid w:val="3FD406B0"/>
    <w:rsid w:val="3FD55611"/>
    <w:rsid w:val="3FD562A8"/>
    <w:rsid w:val="3FE50BAB"/>
    <w:rsid w:val="3FE65265"/>
    <w:rsid w:val="4008392A"/>
    <w:rsid w:val="40163C3F"/>
    <w:rsid w:val="401802FA"/>
    <w:rsid w:val="40221384"/>
    <w:rsid w:val="4022261E"/>
    <w:rsid w:val="40477925"/>
    <w:rsid w:val="404B43E5"/>
    <w:rsid w:val="405153F3"/>
    <w:rsid w:val="40552AA5"/>
    <w:rsid w:val="40754996"/>
    <w:rsid w:val="40A11341"/>
    <w:rsid w:val="40A30F15"/>
    <w:rsid w:val="40D00603"/>
    <w:rsid w:val="40D7355D"/>
    <w:rsid w:val="40DC3556"/>
    <w:rsid w:val="40E666FB"/>
    <w:rsid w:val="40EC7B1A"/>
    <w:rsid w:val="4100407F"/>
    <w:rsid w:val="41005F1F"/>
    <w:rsid w:val="41450918"/>
    <w:rsid w:val="414C1AD5"/>
    <w:rsid w:val="418B031D"/>
    <w:rsid w:val="418C6161"/>
    <w:rsid w:val="41940DAD"/>
    <w:rsid w:val="41954B05"/>
    <w:rsid w:val="41A1144E"/>
    <w:rsid w:val="41A34AE4"/>
    <w:rsid w:val="41B2036F"/>
    <w:rsid w:val="41C06DC3"/>
    <w:rsid w:val="41CF52CB"/>
    <w:rsid w:val="41D05414"/>
    <w:rsid w:val="41D30171"/>
    <w:rsid w:val="41D52AF9"/>
    <w:rsid w:val="41FB6733"/>
    <w:rsid w:val="41FE53A7"/>
    <w:rsid w:val="421A24A5"/>
    <w:rsid w:val="422660C6"/>
    <w:rsid w:val="422F5929"/>
    <w:rsid w:val="42491B03"/>
    <w:rsid w:val="42507548"/>
    <w:rsid w:val="42573C6D"/>
    <w:rsid w:val="426146AE"/>
    <w:rsid w:val="42770F5C"/>
    <w:rsid w:val="428F39EC"/>
    <w:rsid w:val="429278AF"/>
    <w:rsid w:val="42A1363D"/>
    <w:rsid w:val="42B16834"/>
    <w:rsid w:val="42C26EE2"/>
    <w:rsid w:val="42C82902"/>
    <w:rsid w:val="42D50CDB"/>
    <w:rsid w:val="42E42EDC"/>
    <w:rsid w:val="42E7652C"/>
    <w:rsid w:val="42F37F85"/>
    <w:rsid w:val="430E6277"/>
    <w:rsid w:val="43111B26"/>
    <w:rsid w:val="43166F37"/>
    <w:rsid w:val="431744F3"/>
    <w:rsid w:val="43205DC3"/>
    <w:rsid w:val="4325743C"/>
    <w:rsid w:val="4326376E"/>
    <w:rsid w:val="43455A1F"/>
    <w:rsid w:val="43583D7F"/>
    <w:rsid w:val="435B324E"/>
    <w:rsid w:val="435D6836"/>
    <w:rsid w:val="436D64F7"/>
    <w:rsid w:val="43725EE8"/>
    <w:rsid w:val="43751BE3"/>
    <w:rsid w:val="43840662"/>
    <w:rsid w:val="43C627F5"/>
    <w:rsid w:val="43C851AA"/>
    <w:rsid w:val="43D8772C"/>
    <w:rsid w:val="43DC3082"/>
    <w:rsid w:val="43DD10D8"/>
    <w:rsid w:val="43DD1719"/>
    <w:rsid w:val="43E835EC"/>
    <w:rsid w:val="43F4625E"/>
    <w:rsid w:val="441E4DA1"/>
    <w:rsid w:val="44290613"/>
    <w:rsid w:val="442D4116"/>
    <w:rsid w:val="443439AC"/>
    <w:rsid w:val="444835FF"/>
    <w:rsid w:val="44591B86"/>
    <w:rsid w:val="445A536D"/>
    <w:rsid w:val="44625068"/>
    <w:rsid w:val="4462562B"/>
    <w:rsid w:val="4468244D"/>
    <w:rsid w:val="44875162"/>
    <w:rsid w:val="449B4D7C"/>
    <w:rsid w:val="44AD7589"/>
    <w:rsid w:val="44B7675C"/>
    <w:rsid w:val="44BD7226"/>
    <w:rsid w:val="44D42440"/>
    <w:rsid w:val="44E862F3"/>
    <w:rsid w:val="45082636"/>
    <w:rsid w:val="45145840"/>
    <w:rsid w:val="451E3FA1"/>
    <w:rsid w:val="45207050"/>
    <w:rsid w:val="45386B5B"/>
    <w:rsid w:val="453C5ACB"/>
    <w:rsid w:val="454A5C74"/>
    <w:rsid w:val="45670823"/>
    <w:rsid w:val="458264C7"/>
    <w:rsid w:val="458B0195"/>
    <w:rsid w:val="45C26510"/>
    <w:rsid w:val="45DF2C0C"/>
    <w:rsid w:val="45E003C2"/>
    <w:rsid w:val="45FE05C4"/>
    <w:rsid w:val="46136C8C"/>
    <w:rsid w:val="462B0DE5"/>
    <w:rsid w:val="46323271"/>
    <w:rsid w:val="464907F4"/>
    <w:rsid w:val="466342E2"/>
    <w:rsid w:val="467C2410"/>
    <w:rsid w:val="46827FF2"/>
    <w:rsid w:val="46CD321D"/>
    <w:rsid w:val="46D73F31"/>
    <w:rsid w:val="46DA075C"/>
    <w:rsid w:val="46F47A95"/>
    <w:rsid w:val="470E600B"/>
    <w:rsid w:val="47155026"/>
    <w:rsid w:val="4724382A"/>
    <w:rsid w:val="472C144A"/>
    <w:rsid w:val="473476F0"/>
    <w:rsid w:val="473F5D67"/>
    <w:rsid w:val="475B66BF"/>
    <w:rsid w:val="47655F10"/>
    <w:rsid w:val="476B62EC"/>
    <w:rsid w:val="479D41B0"/>
    <w:rsid w:val="47AF6218"/>
    <w:rsid w:val="47BA4005"/>
    <w:rsid w:val="47BE69FA"/>
    <w:rsid w:val="47CA5542"/>
    <w:rsid w:val="47D90497"/>
    <w:rsid w:val="47F56934"/>
    <w:rsid w:val="48111A40"/>
    <w:rsid w:val="48211B93"/>
    <w:rsid w:val="4828027C"/>
    <w:rsid w:val="485D090E"/>
    <w:rsid w:val="48702BD6"/>
    <w:rsid w:val="4872697E"/>
    <w:rsid w:val="487368A6"/>
    <w:rsid w:val="488C4244"/>
    <w:rsid w:val="48A00CBB"/>
    <w:rsid w:val="48CB7A92"/>
    <w:rsid w:val="48CC6C60"/>
    <w:rsid w:val="48DB76C9"/>
    <w:rsid w:val="48DF111F"/>
    <w:rsid w:val="48E44564"/>
    <w:rsid w:val="48E63968"/>
    <w:rsid w:val="48EB11F6"/>
    <w:rsid w:val="49061AC6"/>
    <w:rsid w:val="490A02AD"/>
    <w:rsid w:val="49133F5A"/>
    <w:rsid w:val="491C10B8"/>
    <w:rsid w:val="492551B0"/>
    <w:rsid w:val="492A0430"/>
    <w:rsid w:val="492C5205"/>
    <w:rsid w:val="494113BD"/>
    <w:rsid w:val="49473731"/>
    <w:rsid w:val="49494CF1"/>
    <w:rsid w:val="4957624D"/>
    <w:rsid w:val="497C32C0"/>
    <w:rsid w:val="49B0229B"/>
    <w:rsid w:val="49D44D94"/>
    <w:rsid w:val="49D60D4C"/>
    <w:rsid w:val="49DA2C9D"/>
    <w:rsid w:val="4A045772"/>
    <w:rsid w:val="4A2451A5"/>
    <w:rsid w:val="4A323A5C"/>
    <w:rsid w:val="4A400255"/>
    <w:rsid w:val="4A462E1D"/>
    <w:rsid w:val="4A497EFD"/>
    <w:rsid w:val="4A810000"/>
    <w:rsid w:val="4A915A7A"/>
    <w:rsid w:val="4A9B7ED2"/>
    <w:rsid w:val="4A9E4398"/>
    <w:rsid w:val="4A9F21D0"/>
    <w:rsid w:val="4AB07C09"/>
    <w:rsid w:val="4AB50397"/>
    <w:rsid w:val="4AB95CEE"/>
    <w:rsid w:val="4ABE0145"/>
    <w:rsid w:val="4AC42BBB"/>
    <w:rsid w:val="4AD95FB4"/>
    <w:rsid w:val="4ADA7D2A"/>
    <w:rsid w:val="4AE36289"/>
    <w:rsid w:val="4B056ECA"/>
    <w:rsid w:val="4B0E76E6"/>
    <w:rsid w:val="4B16655D"/>
    <w:rsid w:val="4B335FF5"/>
    <w:rsid w:val="4B777523"/>
    <w:rsid w:val="4B9A232E"/>
    <w:rsid w:val="4BB23427"/>
    <w:rsid w:val="4BDA5E4A"/>
    <w:rsid w:val="4C2060EB"/>
    <w:rsid w:val="4C6321F5"/>
    <w:rsid w:val="4C871DB8"/>
    <w:rsid w:val="4C9C2BF7"/>
    <w:rsid w:val="4CA34F7E"/>
    <w:rsid w:val="4CD32344"/>
    <w:rsid w:val="4CE1577F"/>
    <w:rsid w:val="4CEF7693"/>
    <w:rsid w:val="4CF4116C"/>
    <w:rsid w:val="4CFF4ABF"/>
    <w:rsid w:val="4D0855B6"/>
    <w:rsid w:val="4D0E714F"/>
    <w:rsid w:val="4D1437D5"/>
    <w:rsid w:val="4D200F39"/>
    <w:rsid w:val="4D2D3386"/>
    <w:rsid w:val="4D342701"/>
    <w:rsid w:val="4D38541A"/>
    <w:rsid w:val="4D4974A1"/>
    <w:rsid w:val="4D722B3A"/>
    <w:rsid w:val="4D7C38E7"/>
    <w:rsid w:val="4D8B3289"/>
    <w:rsid w:val="4D8E32BC"/>
    <w:rsid w:val="4D931CC3"/>
    <w:rsid w:val="4D9D72AB"/>
    <w:rsid w:val="4DA33FD5"/>
    <w:rsid w:val="4DAD6BE8"/>
    <w:rsid w:val="4DE35CA6"/>
    <w:rsid w:val="4DE7527E"/>
    <w:rsid w:val="4DEB2FB0"/>
    <w:rsid w:val="4DF02A52"/>
    <w:rsid w:val="4E0106F7"/>
    <w:rsid w:val="4E1842B0"/>
    <w:rsid w:val="4E2B015B"/>
    <w:rsid w:val="4E3F302E"/>
    <w:rsid w:val="4E691F1A"/>
    <w:rsid w:val="4E8B1CA3"/>
    <w:rsid w:val="4E922DCE"/>
    <w:rsid w:val="4E96706A"/>
    <w:rsid w:val="4EA83900"/>
    <w:rsid w:val="4EC1662C"/>
    <w:rsid w:val="4EDE7C6D"/>
    <w:rsid w:val="4EE04580"/>
    <w:rsid w:val="4EE95F88"/>
    <w:rsid w:val="4EEC6757"/>
    <w:rsid w:val="4F097813"/>
    <w:rsid w:val="4F0B18FA"/>
    <w:rsid w:val="4F345136"/>
    <w:rsid w:val="4F386D7D"/>
    <w:rsid w:val="4F390023"/>
    <w:rsid w:val="4F3A5EFA"/>
    <w:rsid w:val="4F432962"/>
    <w:rsid w:val="4F464644"/>
    <w:rsid w:val="4F5175BC"/>
    <w:rsid w:val="4F563C27"/>
    <w:rsid w:val="4F5C2289"/>
    <w:rsid w:val="4F5D6705"/>
    <w:rsid w:val="4F5E66B4"/>
    <w:rsid w:val="4F6712AE"/>
    <w:rsid w:val="4F6E3C1A"/>
    <w:rsid w:val="4F8F5C41"/>
    <w:rsid w:val="4F9400DD"/>
    <w:rsid w:val="4FB619D4"/>
    <w:rsid w:val="4FC44931"/>
    <w:rsid w:val="4FD97A0C"/>
    <w:rsid w:val="4FE439C5"/>
    <w:rsid w:val="4FE629EF"/>
    <w:rsid w:val="4FF12B01"/>
    <w:rsid w:val="4FF87CD1"/>
    <w:rsid w:val="50000266"/>
    <w:rsid w:val="50177A42"/>
    <w:rsid w:val="501C7A3D"/>
    <w:rsid w:val="503A5538"/>
    <w:rsid w:val="504503ED"/>
    <w:rsid w:val="50472F91"/>
    <w:rsid w:val="504D7ED8"/>
    <w:rsid w:val="505829A2"/>
    <w:rsid w:val="505D3D85"/>
    <w:rsid w:val="506904B2"/>
    <w:rsid w:val="508A58C1"/>
    <w:rsid w:val="508C4530"/>
    <w:rsid w:val="509537CC"/>
    <w:rsid w:val="509F2A45"/>
    <w:rsid w:val="50A90CA5"/>
    <w:rsid w:val="50AE1894"/>
    <w:rsid w:val="50AE614E"/>
    <w:rsid w:val="50B113AB"/>
    <w:rsid w:val="50CD6F52"/>
    <w:rsid w:val="50D25B31"/>
    <w:rsid w:val="50DF0B78"/>
    <w:rsid w:val="50F25362"/>
    <w:rsid w:val="510170AF"/>
    <w:rsid w:val="5105790A"/>
    <w:rsid w:val="510826BF"/>
    <w:rsid w:val="51110B1D"/>
    <w:rsid w:val="511145A2"/>
    <w:rsid w:val="511E0A6C"/>
    <w:rsid w:val="51231859"/>
    <w:rsid w:val="512E40AB"/>
    <w:rsid w:val="51346D48"/>
    <w:rsid w:val="513E6144"/>
    <w:rsid w:val="5140421E"/>
    <w:rsid w:val="51435559"/>
    <w:rsid w:val="51557F5A"/>
    <w:rsid w:val="5160286C"/>
    <w:rsid w:val="51650D07"/>
    <w:rsid w:val="5172577F"/>
    <w:rsid w:val="517D7F10"/>
    <w:rsid w:val="518D00C6"/>
    <w:rsid w:val="51AC2BF4"/>
    <w:rsid w:val="51B40458"/>
    <w:rsid w:val="51C27F29"/>
    <w:rsid w:val="51C472DC"/>
    <w:rsid w:val="51DD16E8"/>
    <w:rsid w:val="51E27393"/>
    <w:rsid w:val="51F66E40"/>
    <w:rsid w:val="51FB5A2E"/>
    <w:rsid w:val="51FC51C7"/>
    <w:rsid w:val="51FE58FD"/>
    <w:rsid w:val="520B4930"/>
    <w:rsid w:val="5214272F"/>
    <w:rsid w:val="52452862"/>
    <w:rsid w:val="526338D1"/>
    <w:rsid w:val="527268C2"/>
    <w:rsid w:val="52753C23"/>
    <w:rsid w:val="52811040"/>
    <w:rsid w:val="5281106A"/>
    <w:rsid w:val="52AC28AB"/>
    <w:rsid w:val="52B273E0"/>
    <w:rsid w:val="52C11C3A"/>
    <w:rsid w:val="52D3636A"/>
    <w:rsid w:val="52DE444B"/>
    <w:rsid w:val="52F21DD1"/>
    <w:rsid w:val="52FC337A"/>
    <w:rsid w:val="530454F7"/>
    <w:rsid w:val="53095410"/>
    <w:rsid w:val="53135E4B"/>
    <w:rsid w:val="53265A58"/>
    <w:rsid w:val="53273F19"/>
    <w:rsid w:val="532D3196"/>
    <w:rsid w:val="53317B87"/>
    <w:rsid w:val="53481098"/>
    <w:rsid w:val="534B152E"/>
    <w:rsid w:val="5366623F"/>
    <w:rsid w:val="536C4A84"/>
    <w:rsid w:val="537A02FD"/>
    <w:rsid w:val="53801BCD"/>
    <w:rsid w:val="53811D42"/>
    <w:rsid w:val="53A017CD"/>
    <w:rsid w:val="53A03DB8"/>
    <w:rsid w:val="53A326F7"/>
    <w:rsid w:val="53A36EA2"/>
    <w:rsid w:val="53B72654"/>
    <w:rsid w:val="53B829FE"/>
    <w:rsid w:val="53C37720"/>
    <w:rsid w:val="53DD389A"/>
    <w:rsid w:val="53E4077E"/>
    <w:rsid w:val="53F11EA3"/>
    <w:rsid w:val="540A7020"/>
    <w:rsid w:val="542D48B3"/>
    <w:rsid w:val="5433615A"/>
    <w:rsid w:val="54670107"/>
    <w:rsid w:val="54792C79"/>
    <w:rsid w:val="548C0B16"/>
    <w:rsid w:val="548D35C7"/>
    <w:rsid w:val="549B6A3E"/>
    <w:rsid w:val="54A52388"/>
    <w:rsid w:val="54AC3134"/>
    <w:rsid w:val="54C47921"/>
    <w:rsid w:val="54C93F76"/>
    <w:rsid w:val="54CB0A2A"/>
    <w:rsid w:val="54CB20EB"/>
    <w:rsid w:val="54D1146C"/>
    <w:rsid w:val="54D14A7E"/>
    <w:rsid w:val="54D3366B"/>
    <w:rsid w:val="54D8253A"/>
    <w:rsid w:val="54E06F0A"/>
    <w:rsid w:val="54E177B5"/>
    <w:rsid w:val="54ED599A"/>
    <w:rsid w:val="54F926D2"/>
    <w:rsid w:val="55066723"/>
    <w:rsid w:val="552467E7"/>
    <w:rsid w:val="553527E7"/>
    <w:rsid w:val="554354A5"/>
    <w:rsid w:val="55463EFF"/>
    <w:rsid w:val="556229DA"/>
    <w:rsid w:val="556553AD"/>
    <w:rsid w:val="556D6DC0"/>
    <w:rsid w:val="558F59D0"/>
    <w:rsid w:val="55CB4849"/>
    <w:rsid w:val="55EE22A4"/>
    <w:rsid w:val="55FE55D1"/>
    <w:rsid w:val="56065CE8"/>
    <w:rsid w:val="56165ECE"/>
    <w:rsid w:val="561C6E03"/>
    <w:rsid w:val="56456967"/>
    <w:rsid w:val="566F6526"/>
    <w:rsid w:val="568652F4"/>
    <w:rsid w:val="569B4B7B"/>
    <w:rsid w:val="56B90C4A"/>
    <w:rsid w:val="571902F6"/>
    <w:rsid w:val="571F42F5"/>
    <w:rsid w:val="5723159D"/>
    <w:rsid w:val="573C1D5D"/>
    <w:rsid w:val="574A3411"/>
    <w:rsid w:val="57556A6C"/>
    <w:rsid w:val="575E2C9C"/>
    <w:rsid w:val="57604DAE"/>
    <w:rsid w:val="5761288E"/>
    <w:rsid w:val="577D4D6F"/>
    <w:rsid w:val="57891BE4"/>
    <w:rsid w:val="57920C66"/>
    <w:rsid w:val="57931FF7"/>
    <w:rsid w:val="57962933"/>
    <w:rsid w:val="57A6358B"/>
    <w:rsid w:val="57C50A07"/>
    <w:rsid w:val="57C64509"/>
    <w:rsid w:val="57E61801"/>
    <w:rsid w:val="57F209DB"/>
    <w:rsid w:val="57F21A52"/>
    <w:rsid w:val="58167F2B"/>
    <w:rsid w:val="581D5874"/>
    <w:rsid w:val="58282268"/>
    <w:rsid w:val="58293F96"/>
    <w:rsid w:val="582E4BFE"/>
    <w:rsid w:val="583E0C20"/>
    <w:rsid w:val="583E34C1"/>
    <w:rsid w:val="58445A2E"/>
    <w:rsid w:val="58532F3A"/>
    <w:rsid w:val="58895207"/>
    <w:rsid w:val="588D2F20"/>
    <w:rsid w:val="589B1340"/>
    <w:rsid w:val="58A2445C"/>
    <w:rsid w:val="58A8205C"/>
    <w:rsid w:val="58B0171A"/>
    <w:rsid w:val="58BA7390"/>
    <w:rsid w:val="58C30D4B"/>
    <w:rsid w:val="58C779E0"/>
    <w:rsid w:val="58D7329B"/>
    <w:rsid w:val="58DE1A4C"/>
    <w:rsid w:val="58E2384E"/>
    <w:rsid w:val="58E42E7F"/>
    <w:rsid w:val="58F90854"/>
    <w:rsid w:val="591D10CF"/>
    <w:rsid w:val="594262FC"/>
    <w:rsid w:val="59444F16"/>
    <w:rsid w:val="59497A9C"/>
    <w:rsid w:val="59512B19"/>
    <w:rsid w:val="59711E8E"/>
    <w:rsid w:val="597B2361"/>
    <w:rsid w:val="597C73B6"/>
    <w:rsid w:val="598D4BC9"/>
    <w:rsid w:val="59B16BC3"/>
    <w:rsid w:val="59C548FA"/>
    <w:rsid w:val="59D81BB9"/>
    <w:rsid w:val="59D92BEC"/>
    <w:rsid w:val="59E0776C"/>
    <w:rsid w:val="59EC7FDD"/>
    <w:rsid w:val="59EF0FE1"/>
    <w:rsid w:val="59FD6E33"/>
    <w:rsid w:val="5A0C028E"/>
    <w:rsid w:val="5A0E1A74"/>
    <w:rsid w:val="5A0F46F0"/>
    <w:rsid w:val="5A21074E"/>
    <w:rsid w:val="5A2C0DA7"/>
    <w:rsid w:val="5A3B5A61"/>
    <w:rsid w:val="5A5959CB"/>
    <w:rsid w:val="5A64295C"/>
    <w:rsid w:val="5A7D34FA"/>
    <w:rsid w:val="5A8200B8"/>
    <w:rsid w:val="5A8A3BCE"/>
    <w:rsid w:val="5A8C2FDB"/>
    <w:rsid w:val="5A910A4C"/>
    <w:rsid w:val="5A9301F3"/>
    <w:rsid w:val="5A9653FD"/>
    <w:rsid w:val="5A9B22EC"/>
    <w:rsid w:val="5AB05A17"/>
    <w:rsid w:val="5AB84BF4"/>
    <w:rsid w:val="5AC32E37"/>
    <w:rsid w:val="5AC4574F"/>
    <w:rsid w:val="5ACF35D9"/>
    <w:rsid w:val="5AE53CCF"/>
    <w:rsid w:val="5AF8389A"/>
    <w:rsid w:val="5AFE6CA3"/>
    <w:rsid w:val="5AFF75DA"/>
    <w:rsid w:val="5B001E91"/>
    <w:rsid w:val="5B0D6BB0"/>
    <w:rsid w:val="5B4C63BE"/>
    <w:rsid w:val="5B6D37D1"/>
    <w:rsid w:val="5B721826"/>
    <w:rsid w:val="5B7D54D0"/>
    <w:rsid w:val="5B804DEF"/>
    <w:rsid w:val="5B8B0657"/>
    <w:rsid w:val="5B921571"/>
    <w:rsid w:val="5B951D0E"/>
    <w:rsid w:val="5B975D34"/>
    <w:rsid w:val="5B9E4F35"/>
    <w:rsid w:val="5BDE2832"/>
    <w:rsid w:val="5BE82620"/>
    <w:rsid w:val="5BEC42F7"/>
    <w:rsid w:val="5C077E0E"/>
    <w:rsid w:val="5C1B6264"/>
    <w:rsid w:val="5C302333"/>
    <w:rsid w:val="5C3C4DD5"/>
    <w:rsid w:val="5C42496A"/>
    <w:rsid w:val="5C4A4032"/>
    <w:rsid w:val="5C4D6F64"/>
    <w:rsid w:val="5C5455FB"/>
    <w:rsid w:val="5C5570C3"/>
    <w:rsid w:val="5C8B014F"/>
    <w:rsid w:val="5CB14B2C"/>
    <w:rsid w:val="5CBE0CA8"/>
    <w:rsid w:val="5CCB7D52"/>
    <w:rsid w:val="5CD252D1"/>
    <w:rsid w:val="5CE72874"/>
    <w:rsid w:val="5CFA339A"/>
    <w:rsid w:val="5CFF0EB8"/>
    <w:rsid w:val="5D025EF0"/>
    <w:rsid w:val="5D027900"/>
    <w:rsid w:val="5D1D4C2D"/>
    <w:rsid w:val="5D2A1BCB"/>
    <w:rsid w:val="5D6319D7"/>
    <w:rsid w:val="5D651B92"/>
    <w:rsid w:val="5D6E724D"/>
    <w:rsid w:val="5D7510A2"/>
    <w:rsid w:val="5D7754B7"/>
    <w:rsid w:val="5D9C58DF"/>
    <w:rsid w:val="5DA82B13"/>
    <w:rsid w:val="5DB1606D"/>
    <w:rsid w:val="5DBB54EE"/>
    <w:rsid w:val="5DDA7CDE"/>
    <w:rsid w:val="5DE410A9"/>
    <w:rsid w:val="5DEE642C"/>
    <w:rsid w:val="5DFD70F3"/>
    <w:rsid w:val="5E0469AE"/>
    <w:rsid w:val="5E1A4FD1"/>
    <w:rsid w:val="5E1A583B"/>
    <w:rsid w:val="5E257542"/>
    <w:rsid w:val="5E28416D"/>
    <w:rsid w:val="5E314BB3"/>
    <w:rsid w:val="5E3B082E"/>
    <w:rsid w:val="5E3D6029"/>
    <w:rsid w:val="5E416F83"/>
    <w:rsid w:val="5E52529C"/>
    <w:rsid w:val="5EA069F6"/>
    <w:rsid w:val="5EA32CC4"/>
    <w:rsid w:val="5EAA0704"/>
    <w:rsid w:val="5EBD047F"/>
    <w:rsid w:val="5EC079C5"/>
    <w:rsid w:val="5EF67FBA"/>
    <w:rsid w:val="5F1514A5"/>
    <w:rsid w:val="5F154399"/>
    <w:rsid w:val="5F314ECC"/>
    <w:rsid w:val="5F3A64DD"/>
    <w:rsid w:val="5F454644"/>
    <w:rsid w:val="5F4A1088"/>
    <w:rsid w:val="5F56699B"/>
    <w:rsid w:val="5F732C1C"/>
    <w:rsid w:val="5F7B7807"/>
    <w:rsid w:val="5F7D79EE"/>
    <w:rsid w:val="5F7E2DD2"/>
    <w:rsid w:val="5FB72634"/>
    <w:rsid w:val="5FD67AB3"/>
    <w:rsid w:val="5FEF2654"/>
    <w:rsid w:val="602E5208"/>
    <w:rsid w:val="604B7B41"/>
    <w:rsid w:val="60533462"/>
    <w:rsid w:val="606A469D"/>
    <w:rsid w:val="608C0184"/>
    <w:rsid w:val="60B07778"/>
    <w:rsid w:val="60B64453"/>
    <w:rsid w:val="60C82DAA"/>
    <w:rsid w:val="60C91B53"/>
    <w:rsid w:val="60CC2C82"/>
    <w:rsid w:val="60CF4373"/>
    <w:rsid w:val="60DB08D2"/>
    <w:rsid w:val="60E63FAF"/>
    <w:rsid w:val="60F9299B"/>
    <w:rsid w:val="610D395F"/>
    <w:rsid w:val="6128485A"/>
    <w:rsid w:val="61337CBE"/>
    <w:rsid w:val="613E281E"/>
    <w:rsid w:val="61436CA9"/>
    <w:rsid w:val="61534C81"/>
    <w:rsid w:val="61555D4B"/>
    <w:rsid w:val="616F18FC"/>
    <w:rsid w:val="617B7394"/>
    <w:rsid w:val="618A4843"/>
    <w:rsid w:val="618C6EDC"/>
    <w:rsid w:val="61A41B5D"/>
    <w:rsid w:val="61AE5A0B"/>
    <w:rsid w:val="61B15A4B"/>
    <w:rsid w:val="61B427E8"/>
    <w:rsid w:val="61B70928"/>
    <w:rsid w:val="61B9140C"/>
    <w:rsid w:val="61C44A09"/>
    <w:rsid w:val="61D427A7"/>
    <w:rsid w:val="61D75BEF"/>
    <w:rsid w:val="61D86BE2"/>
    <w:rsid w:val="61EA204F"/>
    <w:rsid w:val="61EA6E44"/>
    <w:rsid w:val="6201553B"/>
    <w:rsid w:val="620B7C39"/>
    <w:rsid w:val="620E17E5"/>
    <w:rsid w:val="62216A51"/>
    <w:rsid w:val="62263AD2"/>
    <w:rsid w:val="622F2E78"/>
    <w:rsid w:val="623E5E46"/>
    <w:rsid w:val="624C1DCC"/>
    <w:rsid w:val="625F0EFF"/>
    <w:rsid w:val="62672507"/>
    <w:rsid w:val="629614E6"/>
    <w:rsid w:val="629E7043"/>
    <w:rsid w:val="62AA2B72"/>
    <w:rsid w:val="62AD02BB"/>
    <w:rsid w:val="62AD3523"/>
    <w:rsid w:val="62CA37A2"/>
    <w:rsid w:val="62D05DED"/>
    <w:rsid w:val="62D82537"/>
    <w:rsid w:val="62D86894"/>
    <w:rsid w:val="62FF6782"/>
    <w:rsid w:val="63001C42"/>
    <w:rsid w:val="63187B69"/>
    <w:rsid w:val="63232510"/>
    <w:rsid w:val="633751EE"/>
    <w:rsid w:val="6353770F"/>
    <w:rsid w:val="63807044"/>
    <w:rsid w:val="63B153C1"/>
    <w:rsid w:val="63CB448A"/>
    <w:rsid w:val="63CE55AC"/>
    <w:rsid w:val="63E728B6"/>
    <w:rsid w:val="64266F22"/>
    <w:rsid w:val="643A1E34"/>
    <w:rsid w:val="643A4EDE"/>
    <w:rsid w:val="643B43EB"/>
    <w:rsid w:val="644156FF"/>
    <w:rsid w:val="64443BAD"/>
    <w:rsid w:val="646A2B57"/>
    <w:rsid w:val="646B29AE"/>
    <w:rsid w:val="646B4CD8"/>
    <w:rsid w:val="647F2C57"/>
    <w:rsid w:val="64830237"/>
    <w:rsid w:val="648A6492"/>
    <w:rsid w:val="64964D04"/>
    <w:rsid w:val="64CB7BAE"/>
    <w:rsid w:val="64CE7353"/>
    <w:rsid w:val="64D06CF4"/>
    <w:rsid w:val="64D83DBB"/>
    <w:rsid w:val="64E6327D"/>
    <w:rsid w:val="65090EC8"/>
    <w:rsid w:val="650B33FF"/>
    <w:rsid w:val="650D48F4"/>
    <w:rsid w:val="65192B16"/>
    <w:rsid w:val="654F56DF"/>
    <w:rsid w:val="65502BFC"/>
    <w:rsid w:val="656B1F70"/>
    <w:rsid w:val="656F474D"/>
    <w:rsid w:val="657E7E06"/>
    <w:rsid w:val="65806AE5"/>
    <w:rsid w:val="658944D1"/>
    <w:rsid w:val="65A01D03"/>
    <w:rsid w:val="65B7710D"/>
    <w:rsid w:val="65C807F2"/>
    <w:rsid w:val="65DE15D9"/>
    <w:rsid w:val="65EB565E"/>
    <w:rsid w:val="65F61747"/>
    <w:rsid w:val="66067595"/>
    <w:rsid w:val="66070AAC"/>
    <w:rsid w:val="66072C43"/>
    <w:rsid w:val="66073383"/>
    <w:rsid w:val="66090BC3"/>
    <w:rsid w:val="660B4ED2"/>
    <w:rsid w:val="662D66B6"/>
    <w:rsid w:val="66367229"/>
    <w:rsid w:val="664C4892"/>
    <w:rsid w:val="66527440"/>
    <w:rsid w:val="665A0E68"/>
    <w:rsid w:val="665B18CD"/>
    <w:rsid w:val="66603359"/>
    <w:rsid w:val="666C56FA"/>
    <w:rsid w:val="66990C0E"/>
    <w:rsid w:val="66C5579B"/>
    <w:rsid w:val="66C5709B"/>
    <w:rsid w:val="66C926DF"/>
    <w:rsid w:val="66F0476C"/>
    <w:rsid w:val="67042676"/>
    <w:rsid w:val="67253C4B"/>
    <w:rsid w:val="67327275"/>
    <w:rsid w:val="675A0427"/>
    <w:rsid w:val="677247D9"/>
    <w:rsid w:val="67815114"/>
    <w:rsid w:val="67840EC4"/>
    <w:rsid w:val="67874F0A"/>
    <w:rsid w:val="67892F65"/>
    <w:rsid w:val="67CD2FCA"/>
    <w:rsid w:val="67D92C0E"/>
    <w:rsid w:val="67E81182"/>
    <w:rsid w:val="67F76A44"/>
    <w:rsid w:val="68100B08"/>
    <w:rsid w:val="682374D9"/>
    <w:rsid w:val="683B081E"/>
    <w:rsid w:val="684A42CF"/>
    <w:rsid w:val="685B704E"/>
    <w:rsid w:val="68690DD9"/>
    <w:rsid w:val="686F68D7"/>
    <w:rsid w:val="686F6DE1"/>
    <w:rsid w:val="687B5418"/>
    <w:rsid w:val="68BC2BD7"/>
    <w:rsid w:val="68D208EE"/>
    <w:rsid w:val="68DA0D59"/>
    <w:rsid w:val="68EE131B"/>
    <w:rsid w:val="68F16353"/>
    <w:rsid w:val="68F86D1F"/>
    <w:rsid w:val="68FD274C"/>
    <w:rsid w:val="68FF1F0C"/>
    <w:rsid w:val="69020F96"/>
    <w:rsid w:val="69026935"/>
    <w:rsid w:val="69182CAF"/>
    <w:rsid w:val="691A3968"/>
    <w:rsid w:val="69285F27"/>
    <w:rsid w:val="69357A28"/>
    <w:rsid w:val="69535063"/>
    <w:rsid w:val="696B6C54"/>
    <w:rsid w:val="69A61825"/>
    <w:rsid w:val="69B509B6"/>
    <w:rsid w:val="69B82818"/>
    <w:rsid w:val="69BC5357"/>
    <w:rsid w:val="69D17186"/>
    <w:rsid w:val="69E00902"/>
    <w:rsid w:val="69FD7D56"/>
    <w:rsid w:val="6A03665E"/>
    <w:rsid w:val="6A0B379A"/>
    <w:rsid w:val="6A0D59D0"/>
    <w:rsid w:val="6A192064"/>
    <w:rsid w:val="6A252FA6"/>
    <w:rsid w:val="6A33271D"/>
    <w:rsid w:val="6A3A1C26"/>
    <w:rsid w:val="6A4627A3"/>
    <w:rsid w:val="6A4A63DE"/>
    <w:rsid w:val="6A690EC5"/>
    <w:rsid w:val="6A725721"/>
    <w:rsid w:val="6A825911"/>
    <w:rsid w:val="6A900C61"/>
    <w:rsid w:val="6A9D77F8"/>
    <w:rsid w:val="6AA469BD"/>
    <w:rsid w:val="6AA60BEB"/>
    <w:rsid w:val="6AB13CCF"/>
    <w:rsid w:val="6ADA0BD8"/>
    <w:rsid w:val="6AE30E03"/>
    <w:rsid w:val="6AE35151"/>
    <w:rsid w:val="6B085109"/>
    <w:rsid w:val="6B1A1C62"/>
    <w:rsid w:val="6B3C3614"/>
    <w:rsid w:val="6B4F5570"/>
    <w:rsid w:val="6B7548CF"/>
    <w:rsid w:val="6B7B2F1E"/>
    <w:rsid w:val="6B7D00C3"/>
    <w:rsid w:val="6B810443"/>
    <w:rsid w:val="6B891A0A"/>
    <w:rsid w:val="6B92675E"/>
    <w:rsid w:val="6B9B6A45"/>
    <w:rsid w:val="6B9F3A79"/>
    <w:rsid w:val="6BB3671C"/>
    <w:rsid w:val="6BBD22FE"/>
    <w:rsid w:val="6BCB5CD5"/>
    <w:rsid w:val="6BCD3836"/>
    <w:rsid w:val="6BCE72F6"/>
    <w:rsid w:val="6BD97184"/>
    <w:rsid w:val="6BDB16E9"/>
    <w:rsid w:val="6BDB3032"/>
    <w:rsid w:val="6BFC37A9"/>
    <w:rsid w:val="6C007A51"/>
    <w:rsid w:val="6C291C4E"/>
    <w:rsid w:val="6C3E2F5C"/>
    <w:rsid w:val="6C52415B"/>
    <w:rsid w:val="6C5E472C"/>
    <w:rsid w:val="6C5E5525"/>
    <w:rsid w:val="6C69027E"/>
    <w:rsid w:val="6C770B05"/>
    <w:rsid w:val="6C7922D4"/>
    <w:rsid w:val="6C797178"/>
    <w:rsid w:val="6C844612"/>
    <w:rsid w:val="6C846728"/>
    <w:rsid w:val="6CA415C3"/>
    <w:rsid w:val="6CA562C4"/>
    <w:rsid w:val="6CAD20CD"/>
    <w:rsid w:val="6CB02EC7"/>
    <w:rsid w:val="6CB6249F"/>
    <w:rsid w:val="6CBF65FB"/>
    <w:rsid w:val="6CDD77B6"/>
    <w:rsid w:val="6CE34595"/>
    <w:rsid w:val="6CFB5BB6"/>
    <w:rsid w:val="6CFC3539"/>
    <w:rsid w:val="6D034E3F"/>
    <w:rsid w:val="6D226857"/>
    <w:rsid w:val="6D280121"/>
    <w:rsid w:val="6D29154A"/>
    <w:rsid w:val="6D325918"/>
    <w:rsid w:val="6D3B210B"/>
    <w:rsid w:val="6D4423E8"/>
    <w:rsid w:val="6D4E403E"/>
    <w:rsid w:val="6D5312B7"/>
    <w:rsid w:val="6D7432CD"/>
    <w:rsid w:val="6D7619B9"/>
    <w:rsid w:val="6DAB6D86"/>
    <w:rsid w:val="6DC57CC9"/>
    <w:rsid w:val="6DD9113D"/>
    <w:rsid w:val="6DDE3367"/>
    <w:rsid w:val="6DE00329"/>
    <w:rsid w:val="6DE95BFD"/>
    <w:rsid w:val="6E0D1233"/>
    <w:rsid w:val="6E232BD9"/>
    <w:rsid w:val="6E242E2E"/>
    <w:rsid w:val="6E2C27D8"/>
    <w:rsid w:val="6E451517"/>
    <w:rsid w:val="6E4828F1"/>
    <w:rsid w:val="6E491206"/>
    <w:rsid w:val="6E5234E7"/>
    <w:rsid w:val="6E714253"/>
    <w:rsid w:val="6E877823"/>
    <w:rsid w:val="6E960CE7"/>
    <w:rsid w:val="6E964F4C"/>
    <w:rsid w:val="6E9F174F"/>
    <w:rsid w:val="6EC62082"/>
    <w:rsid w:val="6ED34B33"/>
    <w:rsid w:val="6ED60047"/>
    <w:rsid w:val="6EDC76D8"/>
    <w:rsid w:val="6EF16898"/>
    <w:rsid w:val="6EF1798C"/>
    <w:rsid w:val="6F031AB3"/>
    <w:rsid w:val="6F133A89"/>
    <w:rsid w:val="6F33080C"/>
    <w:rsid w:val="6F3A27D6"/>
    <w:rsid w:val="6F3F2E86"/>
    <w:rsid w:val="6F421B0F"/>
    <w:rsid w:val="6F563096"/>
    <w:rsid w:val="6F5F32BB"/>
    <w:rsid w:val="6F6E0187"/>
    <w:rsid w:val="6F853AE1"/>
    <w:rsid w:val="6FAC0B83"/>
    <w:rsid w:val="6FB34BE4"/>
    <w:rsid w:val="6FBB7663"/>
    <w:rsid w:val="6FD746A0"/>
    <w:rsid w:val="6FD9299E"/>
    <w:rsid w:val="6FE64EFC"/>
    <w:rsid w:val="70095D9A"/>
    <w:rsid w:val="700A0706"/>
    <w:rsid w:val="70246F32"/>
    <w:rsid w:val="7026616C"/>
    <w:rsid w:val="704119E5"/>
    <w:rsid w:val="70457007"/>
    <w:rsid w:val="704941A3"/>
    <w:rsid w:val="7051465A"/>
    <w:rsid w:val="706236B8"/>
    <w:rsid w:val="70641166"/>
    <w:rsid w:val="709C34B5"/>
    <w:rsid w:val="70A87E9C"/>
    <w:rsid w:val="70B45988"/>
    <w:rsid w:val="70B75B8C"/>
    <w:rsid w:val="70BF01FF"/>
    <w:rsid w:val="70D154FC"/>
    <w:rsid w:val="70D75640"/>
    <w:rsid w:val="70D93C40"/>
    <w:rsid w:val="70DC43D8"/>
    <w:rsid w:val="70E25F2B"/>
    <w:rsid w:val="70E84535"/>
    <w:rsid w:val="70F52E1E"/>
    <w:rsid w:val="710B1DFE"/>
    <w:rsid w:val="710E4C35"/>
    <w:rsid w:val="711C3BFE"/>
    <w:rsid w:val="711F45FB"/>
    <w:rsid w:val="712224C0"/>
    <w:rsid w:val="71321F19"/>
    <w:rsid w:val="71617E5D"/>
    <w:rsid w:val="716A5681"/>
    <w:rsid w:val="716B689B"/>
    <w:rsid w:val="717E43D1"/>
    <w:rsid w:val="717F6ECA"/>
    <w:rsid w:val="718B5DFA"/>
    <w:rsid w:val="719B03C0"/>
    <w:rsid w:val="72210DAF"/>
    <w:rsid w:val="722A2557"/>
    <w:rsid w:val="726A7902"/>
    <w:rsid w:val="727B61E8"/>
    <w:rsid w:val="728D0DE4"/>
    <w:rsid w:val="728E6845"/>
    <w:rsid w:val="72973F4F"/>
    <w:rsid w:val="72A611AA"/>
    <w:rsid w:val="72AF5747"/>
    <w:rsid w:val="72E32632"/>
    <w:rsid w:val="73026C77"/>
    <w:rsid w:val="730940E4"/>
    <w:rsid w:val="73407D34"/>
    <w:rsid w:val="73B54AA2"/>
    <w:rsid w:val="73C428F9"/>
    <w:rsid w:val="73CA19D2"/>
    <w:rsid w:val="73CE02EF"/>
    <w:rsid w:val="73D61B50"/>
    <w:rsid w:val="73F04BB3"/>
    <w:rsid w:val="74105BB7"/>
    <w:rsid w:val="741B7603"/>
    <w:rsid w:val="741E7B1F"/>
    <w:rsid w:val="7423629E"/>
    <w:rsid w:val="742A728E"/>
    <w:rsid w:val="74306EA7"/>
    <w:rsid w:val="744065FB"/>
    <w:rsid w:val="744150B6"/>
    <w:rsid w:val="74436F8D"/>
    <w:rsid w:val="744A676C"/>
    <w:rsid w:val="746464B2"/>
    <w:rsid w:val="74A850BC"/>
    <w:rsid w:val="74AD2856"/>
    <w:rsid w:val="74B17ED9"/>
    <w:rsid w:val="74B968B6"/>
    <w:rsid w:val="74C838DF"/>
    <w:rsid w:val="74C9104E"/>
    <w:rsid w:val="74CA693D"/>
    <w:rsid w:val="74D55507"/>
    <w:rsid w:val="74F33EE6"/>
    <w:rsid w:val="74F87199"/>
    <w:rsid w:val="75022D82"/>
    <w:rsid w:val="75066D00"/>
    <w:rsid w:val="75091DB1"/>
    <w:rsid w:val="75105205"/>
    <w:rsid w:val="75344979"/>
    <w:rsid w:val="7537770A"/>
    <w:rsid w:val="75575E22"/>
    <w:rsid w:val="755F524D"/>
    <w:rsid w:val="758B1255"/>
    <w:rsid w:val="758F5EC3"/>
    <w:rsid w:val="75955EFA"/>
    <w:rsid w:val="75BA6FE1"/>
    <w:rsid w:val="75CC0825"/>
    <w:rsid w:val="75D55EAC"/>
    <w:rsid w:val="75DA5906"/>
    <w:rsid w:val="75E460C0"/>
    <w:rsid w:val="75F6473C"/>
    <w:rsid w:val="75F758B1"/>
    <w:rsid w:val="75FC6C52"/>
    <w:rsid w:val="76156A6F"/>
    <w:rsid w:val="76445A4C"/>
    <w:rsid w:val="764B241C"/>
    <w:rsid w:val="76830B59"/>
    <w:rsid w:val="76B34C28"/>
    <w:rsid w:val="76BB4A38"/>
    <w:rsid w:val="76C20B27"/>
    <w:rsid w:val="76C4068D"/>
    <w:rsid w:val="76DE1068"/>
    <w:rsid w:val="76E37DAA"/>
    <w:rsid w:val="77106F2F"/>
    <w:rsid w:val="771322D1"/>
    <w:rsid w:val="771F381E"/>
    <w:rsid w:val="77264BBA"/>
    <w:rsid w:val="774174AD"/>
    <w:rsid w:val="774D7938"/>
    <w:rsid w:val="77632637"/>
    <w:rsid w:val="777B477A"/>
    <w:rsid w:val="778A5BD7"/>
    <w:rsid w:val="7791565C"/>
    <w:rsid w:val="77A024C9"/>
    <w:rsid w:val="77AB24CD"/>
    <w:rsid w:val="77CA3684"/>
    <w:rsid w:val="77E152DA"/>
    <w:rsid w:val="77E511E1"/>
    <w:rsid w:val="77F51FE5"/>
    <w:rsid w:val="77FA68A9"/>
    <w:rsid w:val="781B3F63"/>
    <w:rsid w:val="78225D08"/>
    <w:rsid w:val="782831F5"/>
    <w:rsid w:val="78284D91"/>
    <w:rsid w:val="78295A66"/>
    <w:rsid w:val="7836248C"/>
    <w:rsid w:val="783A6949"/>
    <w:rsid w:val="783B3515"/>
    <w:rsid w:val="785B688B"/>
    <w:rsid w:val="785C761F"/>
    <w:rsid w:val="78613B4A"/>
    <w:rsid w:val="787D68D1"/>
    <w:rsid w:val="7883636D"/>
    <w:rsid w:val="788807E2"/>
    <w:rsid w:val="78AE2484"/>
    <w:rsid w:val="78CD6696"/>
    <w:rsid w:val="78D6367A"/>
    <w:rsid w:val="78D828AD"/>
    <w:rsid w:val="78FB7857"/>
    <w:rsid w:val="78FE5D2F"/>
    <w:rsid w:val="79017612"/>
    <w:rsid w:val="791041EB"/>
    <w:rsid w:val="79175895"/>
    <w:rsid w:val="79225CD8"/>
    <w:rsid w:val="792C719B"/>
    <w:rsid w:val="79341A21"/>
    <w:rsid w:val="7937131D"/>
    <w:rsid w:val="793D3F7F"/>
    <w:rsid w:val="793F7A2C"/>
    <w:rsid w:val="79494824"/>
    <w:rsid w:val="7952761A"/>
    <w:rsid w:val="796005D8"/>
    <w:rsid w:val="797E0059"/>
    <w:rsid w:val="797F38DC"/>
    <w:rsid w:val="79877B6F"/>
    <w:rsid w:val="798F31B3"/>
    <w:rsid w:val="799968BD"/>
    <w:rsid w:val="79A570A9"/>
    <w:rsid w:val="79C06CD7"/>
    <w:rsid w:val="79CE69C9"/>
    <w:rsid w:val="79CE71A1"/>
    <w:rsid w:val="79D610B6"/>
    <w:rsid w:val="79E2366E"/>
    <w:rsid w:val="79EB6B35"/>
    <w:rsid w:val="79F45869"/>
    <w:rsid w:val="7A366D15"/>
    <w:rsid w:val="7A37201E"/>
    <w:rsid w:val="7A3F373A"/>
    <w:rsid w:val="7A405787"/>
    <w:rsid w:val="7A573A08"/>
    <w:rsid w:val="7A6A6F28"/>
    <w:rsid w:val="7A992B1D"/>
    <w:rsid w:val="7AB06C92"/>
    <w:rsid w:val="7AB86855"/>
    <w:rsid w:val="7AB93BE4"/>
    <w:rsid w:val="7AE47FBD"/>
    <w:rsid w:val="7AEE5B34"/>
    <w:rsid w:val="7AF50F3D"/>
    <w:rsid w:val="7AF973C0"/>
    <w:rsid w:val="7AFA35E1"/>
    <w:rsid w:val="7B072753"/>
    <w:rsid w:val="7B1E77A8"/>
    <w:rsid w:val="7B235CE0"/>
    <w:rsid w:val="7B250028"/>
    <w:rsid w:val="7B2F52B4"/>
    <w:rsid w:val="7B503E26"/>
    <w:rsid w:val="7B616F76"/>
    <w:rsid w:val="7B6C1457"/>
    <w:rsid w:val="7B6D439F"/>
    <w:rsid w:val="7B91529D"/>
    <w:rsid w:val="7B9157F5"/>
    <w:rsid w:val="7BCE4506"/>
    <w:rsid w:val="7BDA15F8"/>
    <w:rsid w:val="7C0247C4"/>
    <w:rsid w:val="7C252C7E"/>
    <w:rsid w:val="7C374F81"/>
    <w:rsid w:val="7C504EBA"/>
    <w:rsid w:val="7C7331B4"/>
    <w:rsid w:val="7C9C733D"/>
    <w:rsid w:val="7CAC4355"/>
    <w:rsid w:val="7CE81E85"/>
    <w:rsid w:val="7CE8200C"/>
    <w:rsid w:val="7CEB0B2E"/>
    <w:rsid w:val="7CF729DE"/>
    <w:rsid w:val="7CFD7A0D"/>
    <w:rsid w:val="7D073337"/>
    <w:rsid w:val="7D155C96"/>
    <w:rsid w:val="7D1B06E6"/>
    <w:rsid w:val="7D1D7F36"/>
    <w:rsid w:val="7D22240A"/>
    <w:rsid w:val="7D2B6728"/>
    <w:rsid w:val="7D422A88"/>
    <w:rsid w:val="7D425B18"/>
    <w:rsid w:val="7D5427A3"/>
    <w:rsid w:val="7D5A2A9E"/>
    <w:rsid w:val="7D6100FC"/>
    <w:rsid w:val="7D802F85"/>
    <w:rsid w:val="7D8137DE"/>
    <w:rsid w:val="7D855184"/>
    <w:rsid w:val="7D8E34DC"/>
    <w:rsid w:val="7D955817"/>
    <w:rsid w:val="7D9E4DCA"/>
    <w:rsid w:val="7DDF1211"/>
    <w:rsid w:val="7DE05EFA"/>
    <w:rsid w:val="7DF37C32"/>
    <w:rsid w:val="7DFA6D61"/>
    <w:rsid w:val="7E177058"/>
    <w:rsid w:val="7E3124A6"/>
    <w:rsid w:val="7E42053C"/>
    <w:rsid w:val="7E4A25FD"/>
    <w:rsid w:val="7E677525"/>
    <w:rsid w:val="7E7F401E"/>
    <w:rsid w:val="7E7F5398"/>
    <w:rsid w:val="7E88508F"/>
    <w:rsid w:val="7E935FB9"/>
    <w:rsid w:val="7ECB0D6E"/>
    <w:rsid w:val="7ECB4ADE"/>
    <w:rsid w:val="7EE56A7E"/>
    <w:rsid w:val="7EF22D8F"/>
    <w:rsid w:val="7EF342EC"/>
    <w:rsid w:val="7EFA49E8"/>
    <w:rsid w:val="7EFC6059"/>
    <w:rsid w:val="7EFE7DC7"/>
    <w:rsid w:val="7F0E71B0"/>
    <w:rsid w:val="7F2A345C"/>
    <w:rsid w:val="7F2D4C6B"/>
    <w:rsid w:val="7F537BEF"/>
    <w:rsid w:val="7F6169AD"/>
    <w:rsid w:val="7F6A4B88"/>
    <w:rsid w:val="7F7D3296"/>
    <w:rsid w:val="7F821B39"/>
    <w:rsid w:val="7F86563D"/>
    <w:rsid w:val="7F88526B"/>
    <w:rsid w:val="7F8960C1"/>
    <w:rsid w:val="7F95335B"/>
    <w:rsid w:val="7F9A5650"/>
    <w:rsid w:val="7FA25FE8"/>
    <w:rsid w:val="7FB32894"/>
    <w:rsid w:val="7FB70B44"/>
    <w:rsid w:val="7FBD3AA1"/>
    <w:rsid w:val="7FC31875"/>
    <w:rsid w:val="7FD60385"/>
    <w:rsid w:val="7FE52607"/>
    <w:rsid w:val="7FEE2B8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qFormat="1" w:uiPriority="99" w:semiHidden="0"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nhideWhenUsed="0" w:uiPriority="99" w:semiHidden="0" w:name="Balloon Text"/>
    <w:lsdException w:qFormat="1" w:unhideWhenUsed="0" w:uiPriority="59" w:semiHidden="0" w:name="Table Grid"/>
    <w:lsdException w:uiPriority="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32"/>
      <w:szCs w:val="32"/>
      <w:lang w:val="en-US" w:eastAsia="zh-CN" w:bidi="ar-SA"/>
    </w:rPr>
  </w:style>
  <w:style w:type="paragraph" w:styleId="3">
    <w:name w:val="heading 1"/>
    <w:basedOn w:val="1"/>
    <w:next w:val="1"/>
    <w:link w:val="45"/>
    <w:qFormat/>
    <w:locked/>
    <w:uiPriority w:val="0"/>
    <w:pPr>
      <w:keepNext/>
      <w:keepLines/>
      <w:spacing w:before="340" w:after="330" w:line="578" w:lineRule="auto"/>
      <w:outlineLvl w:val="0"/>
    </w:pPr>
    <w:rPr>
      <w:b/>
      <w:bCs/>
      <w:kern w:val="44"/>
      <w:sz w:val="44"/>
      <w:szCs w:val="44"/>
    </w:rPr>
  </w:style>
  <w:style w:type="paragraph" w:styleId="4">
    <w:name w:val="heading 2"/>
    <w:basedOn w:val="1"/>
    <w:next w:val="1"/>
    <w:link w:val="44"/>
    <w:qFormat/>
    <w:locked/>
    <w:uiPriority w:val="9"/>
    <w:pPr>
      <w:keepNext/>
      <w:keepLines/>
      <w:spacing w:before="260" w:after="260" w:line="416" w:lineRule="atLeast"/>
      <w:ind w:firstLine="640" w:firstLineChars="200"/>
      <w:outlineLvl w:val="1"/>
    </w:pPr>
    <w:rPr>
      <w:rFonts w:ascii="Cambria" w:hAnsi="Cambria" w:cs="宋体"/>
      <w:b/>
      <w:bCs/>
    </w:rPr>
  </w:style>
  <w:style w:type="paragraph" w:styleId="5">
    <w:name w:val="heading 3"/>
    <w:basedOn w:val="1"/>
    <w:next w:val="1"/>
    <w:qFormat/>
    <w:locked/>
    <w:uiPriority w:val="0"/>
    <w:pPr>
      <w:keepNext/>
      <w:keepLines/>
      <w:outlineLvl w:val="2"/>
    </w:pPr>
    <w:rPr>
      <w:rFonts w:eastAsia="楷体"/>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方正仿宋简体" w:hAnsi="方正仿宋简体" w:eastAsia="方正仿宋简体" w:cs="方正仿宋简体"/>
      <w:color w:val="000000"/>
      <w:sz w:val="24"/>
      <w:szCs w:val="24"/>
      <w:lang w:val="en-US" w:eastAsia="zh-CN" w:bidi="ar-SA"/>
    </w:rPr>
  </w:style>
  <w:style w:type="paragraph" w:styleId="6">
    <w:name w:val="Normal Indent"/>
    <w:basedOn w:val="1"/>
    <w:next w:val="1"/>
    <w:qFormat/>
    <w:uiPriority w:val="99"/>
    <w:pPr>
      <w:ind w:firstLine="420" w:firstLineChars="200"/>
    </w:pPr>
  </w:style>
  <w:style w:type="paragraph" w:styleId="7">
    <w:name w:val="annotation text"/>
    <w:basedOn w:val="1"/>
    <w:link w:val="38"/>
    <w:unhideWhenUsed/>
    <w:qFormat/>
    <w:uiPriority w:val="99"/>
    <w:pPr>
      <w:jc w:val="left"/>
    </w:pPr>
  </w:style>
  <w:style w:type="paragraph" w:styleId="8">
    <w:name w:val="index 6"/>
    <w:basedOn w:val="1"/>
    <w:next w:val="1"/>
    <w:unhideWhenUsed/>
    <w:qFormat/>
    <w:uiPriority w:val="99"/>
    <w:pPr>
      <w:ind w:left="1000" w:leftChars="1000"/>
    </w:pPr>
  </w:style>
  <w:style w:type="paragraph" w:styleId="9">
    <w:name w:val="Body Text"/>
    <w:basedOn w:val="1"/>
    <w:next w:val="1"/>
    <w:qFormat/>
    <w:uiPriority w:val="0"/>
    <w:rPr>
      <w:rFonts w:ascii="宋体"/>
      <w:color w:val="000000"/>
      <w:sz w:val="24"/>
      <w:szCs w:val="20"/>
    </w:rPr>
  </w:style>
  <w:style w:type="paragraph" w:styleId="10">
    <w:name w:val="Body Text Indent"/>
    <w:basedOn w:val="1"/>
    <w:qFormat/>
    <w:uiPriority w:val="0"/>
    <w:pPr>
      <w:ind w:firstLine="570"/>
    </w:pPr>
    <w:rPr>
      <w:rFonts w:ascii="宋体" w:hAnsi="宋体"/>
      <w:sz w:val="28"/>
    </w:rPr>
  </w:style>
  <w:style w:type="paragraph" w:styleId="11">
    <w:name w:val="toc 3"/>
    <w:basedOn w:val="1"/>
    <w:next w:val="1"/>
    <w:unhideWhenUsed/>
    <w:qFormat/>
    <w:uiPriority w:val="39"/>
    <w:pPr>
      <w:ind w:left="420"/>
      <w:jc w:val="left"/>
    </w:pPr>
    <w:rPr>
      <w:i/>
      <w:iCs/>
      <w:sz w:val="20"/>
      <w:szCs w:val="20"/>
    </w:rPr>
  </w:style>
  <w:style w:type="paragraph" w:styleId="12">
    <w:name w:val="Plain Text"/>
    <w:basedOn w:val="1"/>
    <w:qFormat/>
    <w:uiPriority w:val="0"/>
    <w:rPr>
      <w:rFonts w:ascii="宋体" w:hAnsi="Courier New"/>
    </w:rPr>
  </w:style>
  <w:style w:type="paragraph" w:styleId="13">
    <w:name w:val="Date"/>
    <w:basedOn w:val="1"/>
    <w:next w:val="1"/>
    <w:link w:val="36"/>
    <w:unhideWhenUsed/>
    <w:qFormat/>
    <w:uiPriority w:val="99"/>
    <w:pPr>
      <w:ind w:left="100" w:leftChars="2500"/>
    </w:pPr>
  </w:style>
  <w:style w:type="paragraph" w:styleId="14">
    <w:name w:val="Balloon Text"/>
    <w:basedOn w:val="1"/>
    <w:link w:val="32"/>
    <w:qFormat/>
    <w:uiPriority w:val="99"/>
    <w:rPr>
      <w:sz w:val="18"/>
      <w:szCs w:val="18"/>
    </w:rPr>
  </w:style>
  <w:style w:type="paragraph" w:styleId="15">
    <w:name w:val="footer"/>
    <w:basedOn w:val="1"/>
    <w:link w:val="33"/>
    <w:qFormat/>
    <w:uiPriority w:val="99"/>
    <w:pPr>
      <w:tabs>
        <w:tab w:val="center" w:pos="4153"/>
        <w:tab w:val="right" w:pos="8306"/>
      </w:tabs>
      <w:snapToGrid w:val="0"/>
      <w:jc w:val="left"/>
    </w:pPr>
    <w:rPr>
      <w:sz w:val="18"/>
      <w:szCs w:val="18"/>
    </w:rPr>
  </w:style>
  <w:style w:type="paragraph" w:styleId="16">
    <w:name w:val="header"/>
    <w:basedOn w:val="1"/>
    <w:link w:val="34"/>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style>
  <w:style w:type="paragraph" w:styleId="18">
    <w:name w:val="toc 2"/>
    <w:basedOn w:val="1"/>
    <w:next w:val="1"/>
    <w:unhideWhenUsed/>
    <w:qFormat/>
    <w:uiPriority w:val="39"/>
    <w:pPr>
      <w:ind w:left="420" w:leftChars="200"/>
    </w:pPr>
  </w:style>
  <w:style w:type="paragraph" w:styleId="19">
    <w:name w:val="Body Text 2"/>
    <w:basedOn w:val="1"/>
    <w:qFormat/>
    <w:uiPriority w:val="0"/>
    <w:pPr>
      <w:spacing w:after="120" w:afterLines="0" w:line="480" w:lineRule="auto"/>
    </w:pPr>
    <w:rPr>
      <w:rFonts w:ascii="Times New Roman" w:hAnsi="Times New Roman" w:eastAsia="宋体" w:cs="Times New Roman"/>
    </w:rPr>
  </w:style>
  <w:style w:type="paragraph" w:styleId="20">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1">
    <w:name w:val="annotation subject"/>
    <w:basedOn w:val="7"/>
    <w:next w:val="7"/>
    <w:link w:val="39"/>
    <w:unhideWhenUsed/>
    <w:qFormat/>
    <w:uiPriority w:val="99"/>
    <w:rPr>
      <w:b/>
      <w:bCs/>
    </w:rPr>
  </w:style>
  <w:style w:type="paragraph" w:styleId="22">
    <w:name w:val="Body Text First Indent 2"/>
    <w:basedOn w:val="10"/>
    <w:qFormat/>
    <w:uiPriority w:val="0"/>
    <w:pPr>
      <w:ind w:firstLine="420" w:firstLineChars="200"/>
    </w:pPr>
    <w:rPr>
      <w:rFonts w:ascii="Times New Roman" w:hAnsi="Times New Roman" w:eastAsia="宋?" w:cs="Times New Roman"/>
      <w:sz w:val="32"/>
      <w:szCs w:val="32"/>
    </w:r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basedOn w:val="25"/>
    <w:qFormat/>
    <w:uiPriority w:val="99"/>
    <w:rPr>
      <w:rFonts w:cs="Times New Roman"/>
    </w:rPr>
  </w:style>
  <w:style w:type="character" w:styleId="27">
    <w:name w:val="FollowedHyperlink"/>
    <w:basedOn w:val="25"/>
    <w:semiHidden/>
    <w:unhideWhenUsed/>
    <w:uiPriority w:val="99"/>
    <w:rPr>
      <w:color w:val="800080"/>
      <w:u w:val="single"/>
    </w:rPr>
  </w:style>
  <w:style w:type="character" w:styleId="28">
    <w:name w:val="Emphasis"/>
    <w:qFormat/>
    <w:uiPriority w:val="20"/>
    <w:rPr>
      <w:rFonts w:cs="Times New Roman"/>
      <w:i/>
      <w:iCs/>
    </w:rPr>
  </w:style>
  <w:style w:type="character" w:styleId="29">
    <w:name w:val="Hyperlink"/>
    <w:basedOn w:val="25"/>
    <w:qFormat/>
    <w:uiPriority w:val="99"/>
    <w:rPr>
      <w:rFonts w:cs="Times New Roman"/>
      <w:color w:val="0000FF"/>
      <w:u w:val="single"/>
    </w:rPr>
  </w:style>
  <w:style w:type="character" w:styleId="30">
    <w:name w:val="annotation reference"/>
    <w:unhideWhenUsed/>
    <w:qFormat/>
    <w:uiPriority w:val="99"/>
    <w:rPr>
      <w:sz w:val="21"/>
      <w:szCs w:val="21"/>
    </w:rPr>
  </w:style>
  <w:style w:type="paragraph" w:customStyle="1" w:styleId="31">
    <w:name w:val="Char"/>
    <w:basedOn w:val="1"/>
    <w:qFormat/>
    <w:uiPriority w:val="99"/>
    <w:pPr>
      <w:widowControl/>
      <w:spacing w:after="160" w:line="240" w:lineRule="exact"/>
      <w:jc w:val="left"/>
    </w:pPr>
  </w:style>
  <w:style w:type="character" w:customStyle="1" w:styleId="32">
    <w:name w:val="批注框文本 Char"/>
    <w:link w:val="14"/>
    <w:qFormat/>
    <w:locked/>
    <w:uiPriority w:val="99"/>
    <w:rPr>
      <w:rFonts w:eastAsia="Times New Roman" w:cs="Times New Roman"/>
      <w:kern w:val="2"/>
      <w:sz w:val="18"/>
      <w:szCs w:val="18"/>
    </w:rPr>
  </w:style>
  <w:style w:type="character" w:customStyle="1" w:styleId="33">
    <w:name w:val="页脚 Char"/>
    <w:link w:val="15"/>
    <w:qFormat/>
    <w:uiPriority w:val="99"/>
    <w:rPr>
      <w:rFonts w:ascii="Times New Roman" w:hAnsi="Times New Roman"/>
      <w:sz w:val="18"/>
      <w:szCs w:val="18"/>
    </w:rPr>
  </w:style>
  <w:style w:type="character" w:customStyle="1" w:styleId="34">
    <w:name w:val="页眉 Char"/>
    <w:link w:val="16"/>
    <w:qFormat/>
    <w:locked/>
    <w:uiPriority w:val="99"/>
    <w:rPr>
      <w:rFonts w:eastAsia="Times New Roman" w:cs="Times New Roman"/>
      <w:kern w:val="2"/>
      <w:sz w:val="18"/>
      <w:szCs w:val="18"/>
    </w:rPr>
  </w:style>
  <w:style w:type="paragraph" w:customStyle="1" w:styleId="35">
    <w:name w:val="列出段落1"/>
    <w:basedOn w:val="1"/>
    <w:qFormat/>
    <w:uiPriority w:val="99"/>
    <w:pPr>
      <w:ind w:firstLine="420" w:firstLineChars="200"/>
    </w:pPr>
  </w:style>
  <w:style w:type="character" w:customStyle="1" w:styleId="36">
    <w:name w:val="日期 Char"/>
    <w:link w:val="13"/>
    <w:semiHidden/>
    <w:qFormat/>
    <w:uiPriority w:val="99"/>
    <w:rPr>
      <w:rFonts w:ascii="Times New Roman" w:hAnsi="Times New Roman"/>
      <w:kern w:val="2"/>
      <w:sz w:val="32"/>
      <w:szCs w:val="32"/>
    </w:rPr>
  </w:style>
  <w:style w:type="paragraph" w:customStyle="1" w:styleId="37">
    <w:name w:val="修订1"/>
    <w:hidden/>
    <w:semiHidden/>
    <w:qFormat/>
    <w:uiPriority w:val="99"/>
    <w:rPr>
      <w:rFonts w:ascii="Times New Roman" w:hAnsi="Times New Roman" w:eastAsia="宋体" w:cs="Times New Roman"/>
      <w:kern w:val="2"/>
      <w:sz w:val="32"/>
      <w:szCs w:val="32"/>
      <w:lang w:val="en-US" w:eastAsia="zh-CN" w:bidi="ar-SA"/>
    </w:rPr>
  </w:style>
  <w:style w:type="character" w:customStyle="1" w:styleId="38">
    <w:name w:val="批注文字 Char"/>
    <w:link w:val="7"/>
    <w:qFormat/>
    <w:uiPriority w:val="99"/>
    <w:rPr>
      <w:rFonts w:ascii="Times New Roman" w:hAnsi="Times New Roman"/>
      <w:kern w:val="2"/>
      <w:sz w:val="32"/>
      <w:szCs w:val="32"/>
    </w:rPr>
  </w:style>
  <w:style w:type="character" w:customStyle="1" w:styleId="39">
    <w:name w:val="批注主题 Char"/>
    <w:link w:val="21"/>
    <w:semiHidden/>
    <w:qFormat/>
    <w:uiPriority w:val="99"/>
    <w:rPr>
      <w:rFonts w:ascii="Times New Roman" w:hAnsi="Times New Roman"/>
      <w:b/>
      <w:bCs/>
      <w:kern w:val="2"/>
      <w:sz w:val="32"/>
      <w:szCs w:val="32"/>
    </w:rPr>
  </w:style>
  <w:style w:type="character" w:customStyle="1" w:styleId="40">
    <w:name w:val="未处理的提及1"/>
    <w:unhideWhenUsed/>
    <w:qFormat/>
    <w:uiPriority w:val="99"/>
    <w:rPr>
      <w:color w:val="605E5C"/>
      <w:shd w:val="clear" w:color="auto" w:fill="E1DFDD"/>
    </w:rPr>
  </w:style>
  <w:style w:type="paragraph" w:customStyle="1" w:styleId="41">
    <w:name w:val="正文1"/>
    <w:qFormat/>
    <w:uiPriority w:val="0"/>
    <w:pPr>
      <w:jc w:val="both"/>
    </w:pPr>
    <w:rPr>
      <w:rFonts w:ascii="等线" w:hAnsi="等线" w:eastAsia="宋体" w:cs="宋体"/>
      <w:kern w:val="2"/>
      <w:sz w:val="21"/>
      <w:szCs w:val="21"/>
      <w:lang w:val="en-US" w:eastAsia="zh-CN" w:bidi="ar-SA"/>
    </w:rPr>
  </w:style>
  <w:style w:type="paragraph" w:customStyle="1" w:styleId="42">
    <w:name w:val="目录 11"/>
    <w:basedOn w:val="1"/>
    <w:next w:val="1"/>
    <w:unhideWhenUsed/>
    <w:qFormat/>
    <w:uiPriority w:val="39"/>
  </w:style>
  <w:style w:type="paragraph" w:customStyle="1" w:styleId="43">
    <w:name w:val="目录 21"/>
    <w:basedOn w:val="1"/>
    <w:next w:val="1"/>
    <w:unhideWhenUsed/>
    <w:qFormat/>
    <w:uiPriority w:val="39"/>
    <w:pPr>
      <w:ind w:left="420" w:leftChars="200"/>
      <w:jc w:val="left"/>
    </w:pPr>
  </w:style>
  <w:style w:type="character" w:customStyle="1" w:styleId="44">
    <w:name w:val="标题 2 Char"/>
    <w:basedOn w:val="25"/>
    <w:link w:val="4"/>
    <w:qFormat/>
    <w:uiPriority w:val="9"/>
    <w:rPr>
      <w:rFonts w:ascii="Cambria" w:hAnsi="Cambria" w:eastAsia="宋体" w:cs="宋体"/>
      <w:b/>
      <w:bCs/>
      <w:kern w:val="2"/>
      <w:sz w:val="32"/>
      <w:szCs w:val="32"/>
    </w:rPr>
  </w:style>
  <w:style w:type="character" w:customStyle="1" w:styleId="45">
    <w:name w:val="标题 1 Char"/>
    <w:basedOn w:val="25"/>
    <w:link w:val="3"/>
    <w:qFormat/>
    <w:uiPriority w:val="9"/>
    <w:rPr>
      <w:rFonts w:ascii="Times New Roman" w:hAnsi="Times New Roman" w:eastAsia="宋体" w:cs="Times New Roman"/>
      <w:b/>
      <w:bCs/>
      <w:kern w:val="44"/>
      <w:sz w:val="44"/>
      <w:szCs w:val="44"/>
    </w:rPr>
  </w:style>
  <w:style w:type="character" w:customStyle="1" w:styleId="46">
    <w:name w:val="占位符文本1"/>
    <w:basedOn w:val="25"/>
    <w:unhideWhenUsed/>
    <w:qFormat/>
    <w:uiPriority w:val="99"/>
    <w:rPr>
      <w:color w:val="808080"/>
    </w:rPr>
  </w:style>
  <w:style w:type="paragraph" w:customStyle="1" w:styleId="47">
    <w:name w:val="Table Paragraph"/>
    <w:basedOn w:val="1"/>
    <w:qFormat/>
    <w:uiPriority w:val="1"/>
    <w:rPr>
      <w:rFonts w:ascii="仿宋" w:hAnsi="仿宋" w:eastAsia="仿宋" w:cs="仿宋"/>
      <w:lang w:val="zh-CN" w:bidi="zh-CN"/>
    </w:rPr>
  </w:style>
  <w:style w:type="character" w:customStyle="1" w:styleId="48">
    <w:name w:val="font21"/>
    <w:basedOn w:val="25"/>
    <w:qFormat/>
    <w:uiPriority w:val="0"/>
    <w:rPr>
      <w:rFonts w:hint="eastAsia" w:ascii="宋体" w:hAnsi="宋体" w:eastAsia="宋体" w:cs="宋体"/>
      <w:b/>
      <w:bCs/>
      <w:color w:val="000000"/>
      <w:sz w:val="21"/>
      <w:szCs w:val="21"/>
      <w:u w:val="none"/>
    </w:rPr>
  </w:style>
  <w:style w:type="character" w:customStyle="1" w:styleId="49">
    <w:name w:val="font91"/>
    <w:basedOn w:val="25"/>
    <w:qFormat/>
    <w:uiPriority w:val="0"/>
    <w:rPr>
      <w:rFonts w:ascii="仿宋_GB2312" w:eastAsia="仿宋_GB2312" w:cs="仿宋_GB2312"/>
      <w:color w:val="000000"/>
      <w:sz w:val="24"/>
      <w:szCs w:val="24"/>
      <w:u w:val="none"/>
    </w:rPr>
  </w:style>
  <w:style w:type="character" w:customStyle="1" w:styleId="50">
    <w:name w:val="font61"/>
    <w:basedOn w:val="25"/>
    <w:qFormat/>
    <w:uiPriority w:val="0"/>
    <w:rPr>
      <w:rFonts w:hint="default" w:ascii="Times New Roman" w:hAnsi="Times New Roman" w:cs="Times New Roman"/>
      <w:color w:val="000000"/>
      <w:sz w:val="24"/>
      <w:szCs w:val="24"/>
      <w:u w:val="none"/>
    </w:rPr>
  </w:style>
  <w:style w:type="character" w:customStyle="1" w:styleId="51">
    <w:name w:val="font101"/>
    <w:basedOn w:val="25"/>
    <w:qFormat/>
    <w:uiPriority w:val="0"/>
    <w:rPr>
      <w:rFonts w:hint="eastAsia" w:ascii="仿宋_GB2312" w:eastAsia="仿宋_GB2312" w:cs="仿宋_GB2312"/>
      <w:color w:val="000000"/>
      <w:sz w:val="28"/>
      <w:szCs w:val="28"/>
      <w:u w:val="none"/>
    </w:rPr>
  </w:style>
  <w:style w:type="paragraph" w:customStyle="1" w:styleId="52">
    <w:name w:val="Body text|1"/>
    <w:basedOn w:val="1"/>
    <w:qFormat/>
    <w:uiPriority w:val="0"/>
    <w:pPr>
      <w:widowControl w:val="0"/>
      <w:shd w:val="clear" w:color="auto" w:fill="auto"/>
      <w:spacing w:line="401" w:lineRule="auto"/>
      <w:ind w:firstLine="400"/>
    </w:pPr>
    <w:rPr>
      <w:rFonts w:ascii="宋体" w:hAnsi="宋体" w:eastAsia="宋体" w:cs="宋体"/>
      <w:sz w:val="30"/>
      <w:szCs w:val="30"/>
      <w:u w:val="none"/>
      <w:shd w:val="clear" w:color="auto" w:fill="auto"/>
      <w:lang w:val="zh-TW" w:eastAsia="zh-TW" w:bidi="zh-TW"/>
    </w:rPr>
  </w:style>
  <w:style w:type="paragraph" w:customStyle="1" w:styleId="53">
    <w:name w:val="表格"/>
    <w:basedOn w:val="1"/>
    <w:qFormat/>
    <w:uiPriority w:val="0"/>
    <w:pPr>
      <w:spacing w:line="360" w:lineRule="auto"/>
    </w:pPr>
    <w:rPr>
      <w:rFonts w:ascii="Arial" w:hAnsi="Arial"/>
      <w:sz w:val="24"/>
    </w:rPr>
  </w:style>
  <w:style w:type="paragraph" w:customStyle="1" w:styleId="54">
    <w:name w:val="xl51"/>
    <w:basedOn w:val="1"/>
    <w:qFormat/>
    <w:uiPriority w:val="0"/>
    <w:pPr>
      <w:widowControl/>
      <w:spacing w:before="100" w:beforeLines="0" w:beforeAutospacing="1" w:after="100" w:afterLines="0" w:afterAutospacing="1"/>
      <w:jc w:val="center"/>
    </w:pPr>
    <w:rPr>
      <w:rFonts w:eastAsia="Arial Unicode MS"/>
      <w:b/>
      <w:kern w:val="0"/>
      <w:sz w:val="36"/>
    </w:rPr>
  </w:style>
  <w:style w:type="paragraph" w:customStyle="1" w:styleId="55">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6">
    <w:name w:val="WPSOffice手动目录 1"/>
    <w:qFormat/>
    <w:uiPriority w:val="0"/>
    <w:pPr>
      <w:ind w:leftChars="0"/>
    </w:pPr>
    <w:rPr>
      <w:rFonts w:ascii="Times New Roman" w:hAnsi="Times New Roman" w:eastAsia="宋体" w:cs="Times New Roman"/>
      <w:sz w:val="20"/>
      <w:szCs w:val="20"/>
    </w:rPr>
  </w:style>
  <w:style w:type="paragraph" w:customStyle="1" w:styleId="57">
    <w:name w:val="WPSOffice手动目录 2"/>
    <w:qFormat/>
    <w:uiPriority w:val="0"/>
    <w:pPr>
      <w:ind w:leftChars="200"/>
    </w:pPr>
    <w:rPr>
      <w:rFonts w:ascii="Times New Roman" w:hAnsi="Times New Roman" w:eastAsia="宋体" w:cs="Times New Roman"/>
      <w:sz w:val="20"/>
      <w:szCs w:val="20"/>
    </w:rPr>
  </w:style>
  <w:style w:type="paragraph" w:customStyle="1" w:styleId="58">
    <w:name w:val="WPSOffice手动目录 3"/>
    <w:qFormat/>
    <w:uiPriority w:val="0"/>
    <w:pPr>
      <w:ind w:leftChars="400"/>
    </w:pPr>
    <w:rPr>
      <w:rFonts w:ascii="Times New Roman" w:hAnsi="Times New Roman" w:eastAsia="宋体" w:cs="Times New Roman"/>
      <w:sz w:val="20"/>
      <w:szCs w:val="20"/>
    </w:rPr>
  </w:style>
  <w:style w:type="character" w:customStyle="1" w:styleId="59">
    <w:name w:val="not([class*=suffix])"/>
    <w:basedOn w:val="25"/>
    <w:qFormat/>
    <w:uiPriority w:val="0"/>
  </w:style>
  <w:style w:type="character" w:customStyle="1" w:styleId="60">
    <w:name w:val="not([class*=suffix])1"/>
    <w:basedOn w:val="25"/>
    <w:qFormat/>
    <w:uiPriority w:val="0"/>
    <w:rPr>
      <w:sz w:val="13"/>
      <w:szCs w:val="13"/>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0B9D6E-42AE-4136-9551-A59D3B513819}">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28</Pages>
  <Words>12703</Words>
  <Characters>13911</Characters>
  <Lines>134</Lines>
  <Paragraphs>37</Paragraphs>
  <TotalTime>3</TotalTime>
  <ScaleCrop>false</ScaleCrop>
  <LinksUpToDate>false</LinksUpToDate>
  <CharactersWithSpaces>14364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2021-04-26T17:51:00Z</dcterms:created>
  <dc:creator>摩尼</dc:creator>
  <cp:lastModifiedBy>陈小俞</cp:lastModifiedBy>
  <cp:lastPrinted>2023-05-04T02:49:00Z</cp:lastPrinted>
  <dcterms:modified xsi:type="dcterms:W3CDTF">2023-05-05T18:54:39Z</dcterms:modified>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KSOSaveFontToCloudKey">
    <vt:lpwstr>411517382_cloud</vt:lpwstr>
  </property>
  <property fmtid="{D5CDD505-2E9C-101B-9397-08002B2CF9AE}" pid="4" name="ICV">
    <vt:lpwstr>0C715BCB2DD442ADBCB94D21256E3B5E_13</vt:lpwstr>
  </property>
</Properties>
</file>