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sz w:val="28"/>
        </w:rPr>
      </w:pPr>
      <w:r>
        <w:rPr>
          <w:rFonts w:hint="eastAsia" w:ascii="宋体" w:hAnsi="宋体" w:eastAsia="宋体" w:cs="宋体"/>
          <w:b/>
          <w:bCs w:val="0"/>
          <w:kern w:val="0"/>
          <w:sz w:val="44"/>
          <w:szCs w:val="44"/>
          <w:lang w:val="en-US" w:eastAsia="zh-CN" w:bidi="ar-SA"/>
        </w:rPr>
        <w:t>东莞市南城专职消防队东莞市南城街道火灾隐患评估项目遴选公告</w:t>
      </w:r>
    </w:p>
    <w:p>
      <w:pPr>
        <w:snapToGrid w:val="0"/>
        <w:spacing w:line="360" w:lineRule="auto"/>
        <w:ind w:firstLine="420" w:firstLineChars="200"/>
        <w:rPr>
          <w:rFonts w:ascii="宋体" w:hAnsi="宋体" w:cs="宋体"/>
          <w:bCs/>
          <w:sz w:val="21"/>
          <w:szCs w:val="21"/>
        </w:rPr>
      </w:pPr>
      <w:r>
        <w:rPr>
          <w:rFonts w:hint="eastAsia" w:ascii="宋体" w:hAnsi="宋体" w:cs="宋体"/>
          <w:bCs/>
          <w:sz w:val="21"/>
          <w:szCs w:val="21"/>
        </w:rPr>
        <w:t>广东宏大招标有限公司受</w:t>
      </w:r>
      <w:r>
        <w:rPr>
          <w:rFonts w:hint="eastAsia" w:ascii="宋体" w:hAnsi="宋体" w:cs="宋体"/>
          <w:bCs/>
          <w:sz w:val="21"/>
          <w:szCs w:val="21"/>
          <w:lang w:eastAsia="zh-CN"/>
        </w:rPr>
        <w:t>东莞市南城专职消防队</w:t>
      </w:r>
      <w:r>
        <w:rPr>
          <w:rFonts w:hint="eastAsia" w:ascii="宋体" w:hAnsi="宋体" w:cs="宋体"/>
          <w:bCs/>
          <w:sz w:val="21"/>
          <w:szCs w:val="21"/>
        </w:rPr>
        <w:t>的委托，对</w:t>
      </w:r>
      <w:r>
        <w:rPr>
          <w:rFonts w:hint="eastAsia" w:ascii="宋体" w:hAnsi="宋体"/>
          <w:sz w:val="21"/>
          <w:szCs w:val="21"/>
          <w:lang w:eastAsia="zh-CN"/>
        </w:rPr>
        <w:t>东莞市南城街道火灾隐患评估项目</w:t>
      </w:r>
      <w:r>
        <w:rPr>
          <w:rFonts w:hint="eastAsia" w:ascii="宋体" w:hAnsi="宋体"/>
          <w:sz w:val="21"/>
          <w:szCs w:val="21"/>
        </w:rPr>
        <w:t>进行遴选采购</w:t>
      </w:r>
      <w:r>
        <w:rPr>
          <w:rFonts w:hint="eastAsia" w:ascii="宋体" w:hAnsi="宋体" w:cs="宋体"/>
          <w:bCs/>
          <w:sz w:val="21"/>
          <w:szCs w:val="21"/>
        </w:rPr>
        <w:t>。欢迎符合资格条件的供应商参加。</w:t>
      </w:r>
    </w:p>
    <w:p>
      <w:pPr>
        <w:numPr>
          <w:ilvl w:val="0"/>
          <w:numId w:val="1"/>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项目名称：</w:t>
      </w:r>
      <w:r>
        <w:rPr>
          <w:rFonts w:hint="eastAsia" w:ascii="宋体" w:hAnsi="宋体"/>
          <w:bCs/>
          <w:sz w:val="21"/>
          <w:szCs w:val="21"/>
          <w:lang w:eastAsia="zh-CN"/>
        </w:rPr>
        <w:t>东莞市南城街道火灾隐患评估项目</w:t>
      </w:r>
    </w:p>
    <w:p>
      <w:pPr>
        <w:numPr>
          <w:ilvl w:val="0"/>
          <w:numId w:val="1"/>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采购编号：</w:t>
      </w:r>
      <w:r>
        <w:rPr>
          <w:rFonts w:hint="eastAsia" w:ascii="宋体" w:hAnsi="宋体"/>
          <w:bCs/>
          <w:sz w:val="21"/>
          <w:szCs w:val="21"/>
          <w:lang w:eastAsia="zh-CN"/>
        </w:rPr>
        <w:t>GDHD-2024-071</w:t>
      </w:r>
    </w:p>
    <w:p>
      <w:pPr>
        <w:numPr>
          <w:ilvl w:val="0"/>
          <w:numId w:val="1"/>
        </w:numPr>
        <w:tabs>
          <w:tab w:val="left" w:pos="480"/>
          <w:tab w:val="clear" w:pos="425"/>
        </w:tabs>
        <w:snapToGrid w:val="0"/>
        <w:spacing w:line="360" w:lineRule="auto"/>
        <w:ind w:left="482" w:hanging="482"/>
        <w:rPr>
          <w:rFonts w:ascii="宋体" w:hAnsi="宋体"/>
          <w:b/>
          <w:bCs/>
          <w:sz w:val="21"/>
          <w:szCs w:val="21"/>
        </w:rPr>
      </w:pPr>
      <w:r>
        <w:rPr>
          <w:rFonts w:ascii="宋体" w:hAnsi="宋体"/>
          <w:b/>
          <w:sz w:val="21"/>
          <w:szCs w:val="21"/>
        </w:rPr>
        <w:t>项目预算金额：</w:t>
      </w:r>
      <w:r>
        <w:rPr>
          <w:rFonts w:hint="eastAsia" w:ascii="宋体" w:hAnsi="宋体"/>
          <w:bCs/>
          <w:sz w:val="21"/>
          <w:szCs w:val="21"/>
          <w:highlight w:val="none"/>
        </w:rPr>
        <w:t>¥</w:t>
      </w:r>
      <w:r>
        <w:rPr>
          <w:rFonts w:hint="eastAsia" w:ascii="宋体" w:hAnsi="宋体"/>
          <w:bCs/>
          <w:sz w:val="21"/>
          <w:szCs w:val="21"/>
          <w:highlight w:val="none"/>
          <w:lang w:val="en-US" w:eastAsia="zh-CN"/>
        </w:rPr>
        <w:t>298,000.00</w:t>
      </w:r>
      <w:r>
        <w:rPr>
          <w:rFonts w:hint="eastAsia" w:ascii="宋体" w:hAnsi="宋体"/>
          <w:bCs/>
          <w:sz w:val="21"/>
          <w:szCs w:val="21"/>
          <w:highlight w:val="none"/>
        </w:rPr>
        <w:t>元</w:t>
      </w:r>
    </w:p>
    <w:p>
      <w:pPr>
        <w:numPr>
          <w:ilvl w:val="0"/>
          <w:numId w:val="1"/>
        </w:numPr>
        <w:tabs>
          <w:tab w:val="left" w:pos="480"/>
          <w:tab w:val="clear" w:pos="425"/>
        </w:tabs>
        <w:snapToGrid w:val="0"/>
        <w:spacing w:line="360" w:lineRule="auto"/>
        <w:ind w:left="482" w:hanging="482"/>
        <w:rPr>
          <w:rFonts w:ascii="宋体" w:hAnsi="宋体"/>
          <w:b/>
          <w:sz w:val="21"/>
          <w:szCs w:val="21"/>
        </w:rPr>
      </w:pPr>
      <w:r>
        <w:rPr>
          <w:rFonts w:ascii="宋体" w:hAnsi="宋体"/>
          <w:b/>
          <w:sz w:val="21"/>
          <w:szCs w:val="21"/>
        </w:rPr>
        <w:t>采购内容：</w:t>
      </w:r>
    </w:p>
    <w:tbl>
      <w:tblPr>
        <w:tblStyle w:val="6"/>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9"/>
        <w:gridCol w:w="5139"/>
        <w:gridCol w:w="25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8" w:type="pct"/>
            <w:noWrap w:val="0"/>
            <w:vAlign w:val="center"/>
          </w:tcPr>
          <w:p>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090" w:type="pct"/>
            <w:noWrap w:val="0"/>
            <w:vAlign w:val="center"/>
          </w:tcPr>
          <w:p>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采购标的</w:t>
            </w:r>
          </w:p>
        </w:tc>
        <w:tc>
          <w:tcPr>
            <w:tcW w:w="1530" w:type="pct"/>
            <w:noWrap w:val="0"/>
            <w:vAlign w:val="center"/>
          </w:tcPr>
          <w:p>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技术规格、参数及要求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8" w:type="pct"/>
            <w:noWrap w:val="0"/>
            <w:vAlign w:val="center"/>
          </w:tcPr>
          <w:p>
            <w:pPr>
              <w:tabs>
                <w:tab w:val="left" w:pos="425"/>
              </w:tabs>
              <w:adjustRightInd w:val="0"/>
              <w:snapToGrid w:val="0"/>
              <w:spacing w:line="360" w:lineRule="auto"/>
              <w:jc w:val="center"/>
              <w:rPr>
                <w:rFonts w:hint="eastAsia" w:ascii="宋体" w:hAnsi="宋体" w:cs="宋体"/>
                <w:sz w:val="21"/>
                <w:szCs w:val="21"/>
              </w:rPr>
            </w:pPr>
            <w:r>
              <w:rPr>
                <w:rFonts w:hint="eastAsia" w:ascii="宋体" w:hAnsi="宋体" w:cs="宋体"/>
                <w:sz w:val="21"/>
                <w:szCs w:val="21"/>
              </w:rPr>
              <w:t>1</w:t>
            </w:r>
          </w:p>
        </w:tc>
        <w:tc>
          <w:tcPr>
            <w:tcW w:w="3090" w:type="pct"/>
            <w:noWrap w:val="0"/>
            <w:vAlign w:val="center"/>
          </w:tcPr>
          <w:p>
            <w:pPr>
              <w:tabs>
                <w:tab w:val="left" w:pos="425"/>
              </w:tabs>
              <w:adjustRightInd w:val="0"/>
              <w:snapToGrid w:val="0"/>
              <w:spacing w:line="360" w:lineRule="auto"/>
              <w:jc w:val="center"/>
              <w:rPr>
                <w:rFonts w:hint="eastAsia" w:ascii="宋体" w:hAnsi="宋体" w:eastAsia="宋体" w:cs="宋体"/>
                <w:sz w:val="21"/>
                <w:szCs w:val="21"/>
                <w:lang w:eastAsia="zh-CN"/>
              </w:rPr>
            </w:pPr>
            <w:r>
              <w:rPr>
                <w:rFonts w:hint="eastAsia" w:ascii="宋体" w:hAnsi="宋体"/>
                <w:bCs/>
                <w:sz w:val="21"/>
                <w:szCs w:val="21"/>
                <w:lang w:eastAsia="zh-CN"/>
              </w:rPr>
              <w:t>东莞市南城街道火灾隐患评估项目</w:t>
            </w:r>
          </w:p>
        </w:tc>
        <w:tc>
          <w:tcPr>
            <w:tcW w:w="1530" w:type="pct"/>
            <w:noWrap w:val="0"/>
            <w:vAlign w:val="center"/>
          </w:tcPr>
          <w:p>
            <w:pPr>
              <w:tabs>
                <w:tab w:val="left" w:pos="425"/>
              </w:tabs>
              <w:adjustRightInd w:val="0"/>
              <w:snapToGrid w:val="0"/>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rPr>
              <w:t>详见</w:t>
            </w:r>
            <w:r>
              <w:rPr>
                <w:rFonts w:hint="eastAsia" w:ascii="宋体" w:hAnsi="宋体" w:cs="宋体"/>
                <w:sz w:val="21"/>
                <w:szCs w:val="21"/>
                <w:lang w:val="en-US" w:eastAsia="zh-CN"/>
              </w:rPr>
              <w:t>遴选文件</w:t>
            </w:r>
          </w:p>
        </w:tc>
      </w:tr>
    </w:tbl>
    <w:p>
      <w:pPr>
        <w:pStyle w:val="3"/>
        <w:spacing w:after="0" w:line="360" w:lineRule="auto"/>
        <w:ind w:firstLine="400" w:firstLineChars="200"/>
        <w:rPr>
          <w:rFonts w:hint="eastAsia" w:ascii="宋体" w:hAnsi="宋体"/>
          <w:bCs/>
          <w:szCs w:val="21"/>
        </w:rPr>
      </w:pPr>
      <w:r>
        <w:rPr>
          <w:rFonts w:hint="eastAsia" w:ascii="宋体" w:hAnsi="宋体"/>
          <w:bCs/>
          <w:szCs w:val="21"/>
        </w:rPr>
        <w:t>本项目不接受联合体遴选。</w:t>
      </w:r>
    </w:p>
    <w:p>
      <w:pPr>
        <w:tabs>
          <w:tab w:val="left" w:pos="425"/>
        </w:tabs>
        <w:adjustRightInd w:val="0"/>
        <w:snapToGrid w:val="0"/>
        <w:spacing w:line="360" w:lineRule="auto"/>
        <w:ind w:firstLine="420" w:firstLineChars="200"/>
      </w:pPr>
      <w:r>
        <w:rPr>
          <w:rFonts w:hint="eastAsia" w:ascii="宋体" w:hAnsi="宋体"/>
          <w:bCs/>
          <w:sz w:val="21"/>
          <w:szCs w:val="21"/>
        </w:rPr>
        <w:t>合同履行期限：</w:t>
      </w:r>
      <w:r>
        <w:rPr>
          <w:rFonts w:hint="eastAsia" w:ascii="宋体" w:hAnsi="宋体"/>
          <w:bCs/>
          <w:color w:val="auto"/>
          <w:sz w:val="21"/>
          <w:szCs w:val="21"/>
          <w:highlight w:val="none"/>
        </w:rPr>
        <w:t>合同签订之日起</w:t>
      </w:r>
      <w:r>
        <w:rPr>
          <w:rFonts w:hint="eastAsia" w:ascii="宋体" w:hAnsi="宋体"/>
          <w:bCs/>
          <w:color w:val="auto"/>
          <w:sz w:val="21"/>
          <w:szCs w:val="21"/>
          <w:highlight w:val="none"/>
          <w:lang w:val="en-US" w:eastAsia="zh-CN"/>
        </w:rPr>
        <w:t>3个月内完成评估工作</w:t>
      </w:r>
      <w:r>
        <w:rPr>
          <w:rFonts w:hint="eastAsia" w:ascii="宋体" w:hAnsi="宋体"/>
          <w:bCs/>
          <w:sz w:val="21"/>
          <w:szCs w:val="21"/>
        </w:rPr>
        <w:t>。</w:t>
      </w:r>
    </w:p>
    <w:p>
      <w:pPr>
        <w:numPr>
          <w:ilvl w:val="0"/>
          <w:numId w:val="1"/>
        </w:numPr>
        <w:tabs>
          <w:tab w:val="left" w:pos="480"/>
          <w:tab w:val="clear" w:pos="425"/>
        </w:tabs>
        <w:snapToGrid w:val="0"/>
        <w:spacing w:line="360" w:lineRule="auto"/>
        <w:ind w:left="480" w:hanging="480"/>
        <w:rPr>
          <w:rFonts w:ascii="宋体" w:hAnsi="宋体"/>
          <w:b/>
          <w:sz w:val="21"/>
          <w:szCs w:val="21"/>
        </w:rPr>
      </w:pPr>
      <w:r>
        <w:rPr>
          <w:rFonts w:hint="eastAsia" w:ascii="宋体" w:hAnsi="宋体"/>
          <w:b/>
          <w:sz w:val="21"/>
          <w:szCs w:val="21"/>
        </w:rPr>
        <w:t>供应商</w:t>
      </w:r>
      <w:r>
        <w:rPr>
          <w:rFonts w:ascii="宋体" w:hAnsi="宋体"/>
          <w:b/>
          <w:sz w:val="21"/>
          <w:szCs w:val="21"/>
        </w:rPr>
        <w:t>资格要求</w:t>
      </w:r>
    </w:p>
    <w:p>
      <w:pPr>
        <w:numPr>
          <w:ilvl w:val="0"/>
          <w:numId w:val="2"/>
        </w:numPr>
        <w:tabs>
          <w:tab w:val="left" w:pos="425"/>
        </w:tabs>
        <w:adjustRightInd w:val="0"/>
        <w:snapToGrid w:val="0"/>
        <w:spacing w:line="360" w:lineRule="auto"/>
        <w:rPr>
          <w:rFonts w:ascii="宋体" w:hAnsi="宋体" w:cs="宋体"/>
          <w:sz w:val="21"/>
          <w:szCs w:val="21"/>
        </w:rPr>
      </w:pPr>
      <w:r>
        <w:rPr>
          <w:rFonts w:hint="eastAsia" w:ascii="宋体" w:hAnsi="宋体" w:cs="宋体"/>
          <w:sz w:val="21"/>
          <w:szCs w:val="21"/>
        </w:rPr>
        <w:t>供应商必须符合《中华人民共和国政府采购法》第二十二条规定，并提供以下证明资料：</w:t>
      </w:r>
    </w:p>
    <w:p>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①具有独立承担民事责任的能力：在中华人民共和国境内注册的法人或其他组织或自然人或分支机构，投标（响应）时提交有效的营业执照（或事业法人登记证或身份证等相关证明）副本复印件。</w:t>
      </w:r>
    </w:p>
    <w:p>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②有依法缴纳税收和社会保障资金的良好记录：提供响应截止日前6个月内任意1个月依法缴纳税收和社会保障资金的相关材料或相关承诺。如依法免税或不需要缴纳社会保障资金的，提供相应证明材料。</w:t>
      </w:r>
    </w:p>
    <w:p>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 xml:space="preserve">③具有良好的商业信誉和健全的财务会计制度：供应商必须具有良好的商业信誉和健全的财务会计制度。（提供2023年度财务状况报告或基本开户行出具的资信证明；2024年注册或注册未满一年的供应商提供响应截止日前6个月内任意1个月的财务状况报告或者基本户开户银行出具的资信证明或提供相关承诺。） </w:t>
      </w:r>
    </w:p>
    <w:p>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④履行合同所必需的设备和专业技术能力：按投标（响应）文件格式填报设备及专业技术能力情况或提供相关承诺。</w:t>
      </w:r>
    </w:p>
    <w:p>
      <w:pPr>
        <w:tabs>
          <w:tab w:val="left" w:pos="425"/>
        </w:tabs>
        <w:adjustRightInd w:val="0"/>
        <w:snapToGrid w:val="0"/>
        <w:spacing w:line="360" w:lineRule="auto"/>
        <w:ind w:left="425"/>
        <w:rPr>
          <w:rFonts w:ascii="宋体" w:cs="宋体"/>
          <w:color w:val="auto"/>
          <w:sz w:val="21"/>
          <w:szCs w:val="21"/>
          <w:highlight w:val="none"/>
        </w:rPr>
      </w:pPr>
      <w:r>
        <w:rPr>
          <w:rFonts w:hint="eastAsia" w:ascii="宋体" w:hAnsi="宋体" w:cs="宋体"/>
          <w:bCs/>
          <w:sz w:val="21"/>
          <w:szCs w:val="21"/>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w:t>
      </w:r>
      <w:r>
        <w:rPr>
          <w:rFonts w:hint="eastAsia" w:ascii="宋体" w:hAnsi="宋体" w:cs="宋体"/>
          <w:bCs/>
          <w:color w:val="auto"/>
          <w:sz w:val="21"/>
          <w:szCs w:val="21"/>
          <w:highlight w:val="none"/>
        </w:rPr>
        <w:t>数额罚款”标准高于200万元的，从其规定）</w:t>
      </w:r>
    </w:p>
    <w:p>
      <w:pPr>
        <w:numPr>
          <w:ilvl w:val="0"/>
          <w:numId w:val="2"/>
        </w:numPr>
        <w:tabs>
          <w:tab w:val="left" w:pos="425"/>
        </w:tabs>
        <w:adjustRightInd w:val="0"/>
        <w:snapToGrid w:val="0"/>
        <w:spacing w:line="360" w:lineRule="auto"/>
        <w:rPr>
          <w:rFonts w:hint="eastAsia" w:ascii="宋体" w:hAnsi="宋体" w:cs="宋体"/>
          <w:color w:val="auto"/>
          <w:sz w:val="21"/>
          <w:szCs w:val="21"/>
          <w:highlight w:val="none"/>
        </w:rPr>
      </w:pPr>
      <w:r>
        <w:rPr>
          <w:rFonts w:hint="eastAsia" w:ascii="宋体"/>
          <w:color w:val="auto"/>
          <w:sz w:val="21"/>
          <w:szCs w:val="21"/>
          <w:highlight w:val="none"/>
        </w:rPr>
        <w:t>落实采购政策需满足的资格要求：</w:t>
      </w:r>
      <w:r>
        <w:rPr>
          <w:rFonts w:hint="eastAsia"/>
          <w:color w:val="auto"/>
          <w:sz w:val="21"/>
          <w:szCs w:val="21"/>
          <w:highlight w:val="none"/>
        </w:rPr>
        <w:t>本项目专门面向中小企业采购，</w:t>
      </w:r>
      <w:r>
        <w:rPr>
          <w:rFonts w:hint="eastAsia" w:ascii="宋体" w:hAnsi="宋体" w:cs="宋体"/>
          <w:color w:val="auto"/>
          <w:sz w:val="21"/>
          <w:szCs w:val="21"/>
          <w:highlight w:val="none"/>
        </w:rPr>
        <w:t>本项目中小企业划分标准所属行业为：其他未列明行业。</w:t>
      </w:r>
    </w:p>
    <w:p>
      <w:pPr>
        <w:numPr>
          <w:ilvl w:val="0"/>
          <w:numId w:val="2"/>
        </w:numPr>
        <w:tabs>
          <w:tab w:val="left" w:pos="425"/>
        </w:tabs>
        <w:adjustRightInd w:val="0"/>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本项目的特定资格要求：</w:t>
      </w:r>
    </w:p>
    <w:p>
      <w:pPr>
        <w:tabs>
          <w:tab w:val="left" w:pos="425"/>
        </w:tabs>
        <w:adjustRightInd w:val="0"/>
        <w:snapToGrid w:val="0"/>
        <w:spacing w:line="360" w:lineRule="auto"/>
        <w:ind w:left="424" w:leftChars="212"/>
        <w:rPr>
          <w:rFonts w:hint="eastAsia" w:ascii="宋体" w:hAnsi="宋体" w:cs="宋体"/>
          <w:color w:val="auto"/>
          <w:sz w:val="21"/>
          <w:szCs w:val="21"/>
          <w:highlight w:val="none"/>
        </w:rPr>
      </w:pPr>
      <w:r>
        <w:rPr>
          <w:rFonts w:hint="eastAsia" w:ascii="宋体" w:hAnsi="宋体" w:cs="宋体"/>
          <w:color w:val="auto"/>
          <w:sz w:val="21"/>
          <w:szCs w:val="21"/>
          <w:highlight w:val="none"/>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pPr>
        <w:tabs>
          <w:tab w:val="left" w:pos="425"/>
        </w:tabs>
        <w:adjustRightInd w:val="0"/>
        <w:snapToGrid w:val="0"/>
        <w:spacing w:line="360" w:lineRule="auto"/>
        <w:ind w:left="424" w:leftChars="212"/>
        <w:rPr>
          <w:rFonts w:hint="eastAsia" w:ascii="宋体" w:hAnsi="宋体" w:cs="宋体"/>
          <w:color w:val="auto"/>
          <w:sz w:val="21"/>
          <w:szCs w:val="21"/>
          <w:highlight w:val="none"/>
        </w:rPr>
      </w:pPr>
      <w:r>
        <w:rPr>
          <w:rFonts w:hint="eastAsia" w:ascii="宋体" w:hAnsi="宋体" w:cs="宋体"/>
          <w:color w:val="auto"/>
          <w:sz w:val="21"/>
          <w:szCs w:val="21"/>
          <w:highlight w:val="none"/>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pPr>
        <w:numPr>
          <w:ilvl w:val="0"/>
          <w:numId w:val="1"/>
        </w:numPr>
        <w:tabs>
          <w:tab w:val="left" w:pos="480"/>
          <w:tab w:val="clear" w:pos="425"/>
        </w:tabs>
        <w:snapToGrid w:val="0"/>
        <w:spacing w:line="360" w:lineRule="auto"/>
        <w:ind w:left="480" w:hanging="480"/>
        <w:rPr>
          <w:rFonts w:ascii="宋体" w:hAnsi="宋体"/>
          <w:sz w:val="21"/>
          <w:szCs w:val="21"/>
        </w:rPr>
      </w:pPr>
      <w:r>
        <w:rPr>
          <w:rFonts w:hint="eastAsia" w:ascii="宋体" w:hAnsi="宋体"/>
          <w:b/>
          <w:bCs/>
          <w:sz w:val="21"/>
          <w:szCs w:val="21"/>
        </w:rPr>
        <w:t>获取遴选文件</w:t>
      </w:r>
    </w:p>
    <w:p>
      <w:pPr>
        <w:numPr>
          <w:ilvl w:val="0"/>
          <w:numId w:val="3"/>
        </w:numPr>
        <w:tabs>
          <w:tab w:val="left" w:pos="480"/>
        </w:tabs>
        <w:snapToGrid w:val="0"/>
        <w:spacing w:line="360" w:lineRule="auto"/>
        <w:rPr>
          <w:rFonts w:ascii="宋体" w:hAnsi="宋体"/>
          <w:sz w:val="21"/>
          <w:szCs w:val="21"/>
        </w:rPr>
      </w:pPr>
      <w:r>
        <w:rPr>
          <w:rFonts w:hint="eastAsia" w:ascii="宋体" w:hAnsi="宋体"/>
          <w:b/>
          <w:bCs/>
          <w:sz w:val="21"/>
          <w:szCs w:val="21"/>
        </w:rPr>
        <w:t>时间：</w:t>
      </w: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29</w:t>
      </w:r>
      <w:r>
        <w:rPr>
          <w:rFonts w:hint="eastAsia" w:ascii="宋体" w:hAnsi="宋体"/>
          <w:bCs/>
          <w:sz w:val="21"/>
          <w:szCs w:val="21"/>
        </w:rPr>
        <w:t>日至2024年</w:t>
      </w:r>
      <w:r>
        <w:rPr>
          <w:rFonts w:hint="eastAsia" w:ascii="宋体" w:hAnsi="宋体"/>
          <w:bCs/>
          <w:sz w:val="21"/>
          <w:szCs w:val="21"/>
          <w:lang w:val="en-US" w:eastAsia="zh-CN"/>
        </w:rPr>
        <w:t>09</w:t>
      </w:r>
      <w:r>
        <w:rPr>
          <w:rFonts w:hint="eastAsia" w:ascii="宋体" w:hAnsi="宋体"/>
          <w:bCs/>
          <w:sz w:val="21"/>
          <w:szCs w:val="21"/>
        </w:rPr>
        <w:t>月</w:t>
      </w:r>
      <w:r>
        <w:rPr>
          <w:rFonts w:hint="eastAsia" w:ascii="宋体" w:hAnsi="宋体"/>
          <w:bCs/>
          <w:sz w:val="21"/>
          <w:szCs w:val="21"/>
          <w:lang w:val="en-US" w:eastAsia="zh-CN"/>
        </w:rPr>
        <w:t>05</w:t>
      </w:r>
      <w:r>
        <w:rPr>
          <w:rFonts w:hint="eastAsia" w:ascii="宋体" w:hAnsi="宋体"/>
          <w:bCs/>
          <w:sz w:val="21"/>
          <w:szCs w:val="21"/>
        </w:rPr>
        <w:t>日</w:t>
      </w:r>
      <w:r>
        <w:rPr>
          <w:rFonts w:hint="eastAsia" w:ascii="宋体" w:hAnsi="宋体"/>
          <w:sz w:val="21"/>
          <w:szCs w:val="21"/>
        </w:rPr>
        <w:t>，上午09:00-12:00，下午14:30-17</w:t>
      </w:r>
      <w:r>
        <w:rPr>
          <w:rFonts w:ascii="宋体" w:hAnsi="宋体"/>
          <w:bCs/>
          <w:sz w:val="21"/>
          <w:szCs w:val="21"/>
        </w:rPr>
        <w:t>:</w:t>
      </w:r>
      <w:r>
        <w:rPr>
          <w:rFonts w:hint="eastAsia" w:ascii="宋体" w:hAnsi="宋体"/>
          <w:sz w:val="21"/>
          <w:szCs w:val="21"/>
        </w:rPr>
        <w:t>30（法定节假日除外）。</w:t>
      </w:r>
    </w:p>
    <w:p>
      <w:pPr>
        <w:numPr>
          <w:ilvl w:val="0"/>
          <w:numId w:val="3"/>
        </w:numPr>
        <w:tabs>
          <w:tab w:val="left" w:pos="480"/>
        </w:tabs>
        <w:snapToGrid w:val="0"/>
        <w:spacing w:line="360" w:lineRule="auto"/>
        <w:rPr>
          <w:rFonts w:ascii="宋体" w:hAnsi="宋体"/>
          <w:sz w:val="21"/>
          <w:szCs w:val="21"/>
        </w:rPr>
      </w:pPr>
      <w:r>
        <w:rPr>
          <w:rFonts w:hint="eastAsia" w:ascii="宋体" w:hAnsi="宋体"/>
          <w:b/>
          <w:bCs/>
          <w:sz w:val="21"/>
          <w:szCs w:val="21"/>
        </w:rPr>
        <w:t>地点：</w:t>
      </w:r>
      <w:r>
        <w:rPr>
          <w:rFonts w:hint="eastAsia" w:ascii="宋体" w:hAnsi="宋体"/>
          <w:sz w:val="21"/>
          <w:szCs w:val="21"/>
        </w:rPr>
        <w:t>东莞市南城街道宏图路86号南信产业国际D栋</w:t>
      </w:r>
      <w:r>
        <w:rPr>
          <w:rFonts w:ascii="宋体" w:hAnsi="宋体"/>
          <w:sz w:val="21"/>
          <w:szCs w:val="21"/>
        </w:rPr>
        <w:t>1015-1017</w:t>
      </w:r>
      <w:r>
        <w:rPr>
          <w:rFonts w:hint="eastAsia" w:ascii="宋体" w:hAnsi="宋体"/>
          <w:sz w:val="21"/>
          <w:szCs w:val="21"/>
        </w:rPr>
        <w:t>室。</w:t>
      </w:r>
    </w:p>
    <w:p>
      <w:pPr>
        <w:numPr>
          <w:ilvl w:val="0"/>
          <w:numId w:val="3"/>
        </w:numPr>
        <w:tabs>
          <w:tab w:val="left" w:pos="480"/>
        </w:tabs>
        <w:snapToGrid w:val="0"/>
        <w:spacing w:line="360" w:lineRule="auto"/>
        <w:jc w:val="left"/>
        <w:rPr>
          <w:rFonts w:hint="eastAsia" w:ascii="宋体" w:hAnsi="宋体" w:cs="宋体"/>
          <w:sz w:val="21"/>
          <w:szCs w:val="21"/>
        </w:rPr>
      </w:pPr>
      <w:r>
        <w:rPr>
          <w:rFonts w:hint="eastAsia" w:ascii="宋体" w:hAnsi="宋体" w:cs="宋体"/>
          <w:b/>
          <w:bCs/>
          <w:sz w:val="21"/>
          <w:szCs w:val="21"/>
        </w:rPr>
        <w:t>获取方式：</w:t>
      </w:r>
      <w:r>
        <w:rPr>
          <w:rFonts w:hint="eastAsia" w:ascii="宋体" w:hAnsi="宋体" w:cs="宋体"/>
          <w:sz w:val="21"/>
          <w:szCs w:val="21"/>
        </w:rPr>
        <w:t>规定时间内现场获取，供应商获取遴选文件时须提供《营业执照》或《事业单位法人证书》复印件（加盖公章）或自然人的身份证复印件。</w:t>
      </w:r>
    </w:p>
    <w:p>
      <w:pPr>
        <w:numPr>
          <w:ilvl w:val="0"/>
          <w:numId w:val="3"/>
        </w:numPr>
        <w:tabs>
          <w:tab w:val="left" w:pos="480"/>
        </w:tabs>
        <w:snapToGrid w:val="0"/>
        <w:spacing w:line="360" w:lineRule="auto"/>
        <w:jc w:val="left"/>
        <w:rPr>
          <w:rFonts w:ascii="宋体" w:hAnsi="宋体"/>
          <w:sz w:val="21"/>
          <w:szCs w:val="21"/>
        </w:rPr>
      </w:pPr>
      <w:r>
        <w:rPr>
          <w:rFonts w:hint="eastAsia" w:ascii="宋体" w:hAnsi="宋体" w:cs="宋体"/>
          <w:b/>
          <w:bCs/>
          <w:sz w:val="21"/>
          <w:szCs w:val="21"/>
        </w:rPr>
        <w:t>售价：</w:t>
      </w:r>
      <w:r>
        <w:rPr>
          <w:rFonts w:hint="eastAsia" w:ascii="宋体" w:hAnsi="宋体" w:cs="宋体"/>
          <w:sz w:val="21"/>
          <w:szCs w:val="21"/>
        </w:rPr>
        <w:t>免费获取。</w:t>
      </w:r>
    </w:p>
    <w:p>
      <w:pPr>
        <w:numPr>
          <w:ilvl w:val="0"/>
          <w:numId w:val="1"/>
        </w:numPr>
        <w:tabs>
          <w:tab w:val="left" w:pos="480"/>
          <w:tab w:val="clear" w:pos="425"/>
        </w:tabs>
        <w:snapToGrid w:val="0"/>
        <w:spacing w:line="360" w:lineRule="auto"/>
        <w:ind w:left="480" w:hanging="480"/>
        <w:rPr>
          <w:rFonts w:ascii="宋体" w:hAnsi="宋体"/>
          <w:sz w:val="21"/>
          <w:szCs w:val="21"/>
        </w:rPr>
      </w:pPr>
      <w:r>
        <w:rPr>
          <w:rFonts w:hint="eastAsia" w:ascii="宋体" w:hAnsi="宋体"/>
          <w:sz w:val="21"/>
          <w:szCs w:val="21"/>
        </w:rPr>
        <w:t>拟参加本项目遴选的潜在供应商须按要求获取遴选文件后方可参与本项目的遴选。获取了遴选文件而不参加遴选的潜在供应商，请在开标日期三日前以书面形式通知采购代理机构。</w:t>
      </w:r>
    </w:p>
    <w:p>
      <w:pPr>
        <w:numPr>
          <w:ilvl w:val="0"/>
          <w:numId w:val="1"/>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提交响应文件</w:t>
      </w:r>
      <w:r>
        <w:rPr>
          <w:rFonts w:ascii="宋体" w:hAnsi="宋体"/>
          <w:b/>
          <w:sz w:val="21"/>
          <w:szCs w:val="21"/>
        </w:rPr>
        <w:t>截止时间</w:t>
      </w:r>
      <w:r>
        <w:rPr>
          <w:rFonts w:hint="eastAsia" w:ascii="宋体" w:hAnsi="宋体"/>
          <w:b/>
          <w:sz w:val="21"/>
          <w:szCs w:val="21"/>
        </w:rPr>
        <w:t>、开标时间及地点</w:t>
      </w:r>
    </w:p>
    <w:p>
      <w:pPr>
        <w:numPr>
          <w:ilvl w:val="0"/>
          <w:numId w:val="4"/>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时间：</w:t>
      </w:r>
      <w:r>
        <w:rPr>
          <w:rFonts w:hint="eastAsia" w:ascii="宋体" w:hAnsi="宋体"/>
          <w:bCs/>
          <w:sz w:val="21"/>
          <w:szCs w:val="21"/>
        </w:rPr>
        <w:t>2024年</w:t>
      </w:r>
      <w:r>
        <w:rPr>
          <w:rFonts w:hint="eastAsia" w:ascii="宋体" w:hAnsi="宋体"/>
          <w:bCs/>
          <w:sz w:val="21"/>
          <w:szCs w:val="21"/>
          <w:lang w:val="en-US" w:eastAsia="zh-CN"/>
        </w:rPr>
        <w:t>09</w:t>
      </w:r>
      <w:r>
        <w:rPr>
          <w:rFonts w:hint="eastAsia" w:ascii="宋体" w:hAnsi="宋体"/>
          <w:bCs/>
          <w:sz w:val="21"/>
          <w:szCs w:val="21"/>
        </w:rPr>
        <w:t>月</w:t>
      </w:r>
      <w:r>
        <w:rPr>
          <w:rFonts w:hint="eastAsia" w:ascii="宋体" w:hAnsi="宋体"/>
          <w:bCs/>
          <w:sz w:val="21"/>
          <w:szCs w:val="21"/>
          <w:lang w:val="en-US" w:eastAsia="zh-CN"/>
        </w:rPr>
        <w:t>09</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00-09</w:t>
      </w:r>
      <w:r>
        <w:rPr>
          <w:rFonts w:ascii="宋体" w:hAnsi="宋体"/>
          <w:bCs/>
          <w:sz w:val="21"/>
          <w:szCs w:val="21"/>
        </w:rPr>
        <w:t>:</w:t>
      </w:r>
      <w:r>
        <w:rPr>
          <w:rFonts w:hint="eastAsia" w:ascii="宋体" w:hAnsi="宋体"/>
          <w:bCs/>
          <w:sz w:val="21"/>
          <w:szCs w:val="21"/>
        </w:rPr>
        <w:t>30。</w:t>
      </w:r>
    </w:p>
    <w:p>
      <w:pPr>
        <w:numPr>
          <w:ilvl w:val="0"/>
          <w:numId w:val="4"/>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截止及开标时间：</w:t>
      </w:r>
      <w:r>
        <w:rPr>
          <w:rFonts w:hint="eastAsia" w:ascii="宋体" w:hAnsi="宋体"/>
          <w:bCs/>
          <w:sz w:val="21"/>
          <w:szCs w:val="21"/>
        </w:rPr>
        <w:t>2024年</w:t>
      </w:r>
      <w:r>
        <w:rPr>
          <w:rFonts w:hint="eastAsia" w:ascii="宋体" w:hAnsi="宋体"/>
          <w:bCs/>
          <w:sz w:val="21"/>
          <w:szCs w:val="21"/>
          <w:lang w:val="en-US" w:eastAsia="zh-CN"/>
        </w:rPr>
        <w:t>09</w:t>
      </w:r>
      <w:r>
        <w:rPr>
          <w:rFonts w:hint="eastAsia" w:ascii="宋体" w:hAnsi="宋体"/>
          <w:bCs/>
          <w:sz w:val="21"/>
          <w:szCs w:val="21"/>
        </w:rPr>
        <w:t>月</w:t>
      </w:r>
      <w:r>
        <w:rPr>
          <w:rFonts w:hint="eastAsia" w:ascii="宋体" w:hAnsi="宋体"/>
          <w:bCs/>
          <w:sz w:val="21"/>
          <w:szCs w:val="21"/>
          <w:lang w:val="en-US" w:eastAsia="zh-CN"/>
        </w:rPr>
        <w:t>09</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30。</w:t>
      </w:r>
    </w:p>
    <w:p>
      <w:pPr>
        <w:numPr>
          <w:ilvl w:val="0"/>
          <w:numId w:val="4"/>
        </w:numPr>
        <w:tabs>
          <w:tab w:val="left" w:pos="480"/>
        </w:tabs>
        <w:snapToGrid w:val="0"/>
        <w:spacing w:line="360" w:lineRule="auto"/>
        <w:rPr>
          <w:rFonts w:ascii="宋体" w:hAnsi="宋体"/>
          <w:bCs/>
          <w:sz w:val="21"/>
          <w:szCs w:val="21"/>
        </w:rPr>
      </w:pPr>
      <w:r>
        <w:rPr>
          <w:rFonts w:ascii="宋体" w:hAnsi="宋体"/>
          <w:b/>
          <w:sz w:val="21"/>
          <w:szCs w:val="21"/>
        </w:rPr>
        <w:t>开标地点：</w:t>
      </w:r>
      <w:r>
        <w:rPr>
          <w:rFonts w:hint="eastAsia" w:ascii="宋体" w:hAnsi="宋体"/>
          <w:bCs/>
          <w:sz w:val="21"/>
          <w:szCs w:val="21"/>
        </w:rPr>
        <w:t>东莞市南城街道宏图路86号南信产业国际D栋1015-1017室</w:t>
      </w:r>
      <w:r>
        <w:rPr>
          <w:rFonts w:ascii="宋体" w:hAnsi="宋体"/>
          <w:bCs/>
          <w:sz w:val="21"/>
          <w:szCs w:val="21"/>
        </w:rPr>
        <w:t>。</w:t>
      </w:r>
    </w:p>
    <w:p>
      <w:pPr>
        <w:numPr>
          <w:ilvl w:val="0"/>
          <w:numId w:val="1"/>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开标事宜：</w:t>
      </w:r>
      <w:r>
        <w:rPr>
          <w:rFonts w:hint="eastAsia" w:ascii="宋体" w:hAnsi="宋体"/>
          <w:bCs/>
          <w:sz w:val="21"/>
          <w:szCs w:val="21"/>
        </w:rPr>
        <w:t>届时请各供应商的法定代表人或其正式授权代表务必携带有效身份证明签名报到，以证明其出席。</w:t>
      </w:r>
      <w:r>
        <w:rPr>
          <w:rFonts w:hint="eastAsia" w:ascii="宋体" w:hAnsi="宋体"/>
          <w:b/>
          <w:sz w:val="21"/>
          <w:szCs w:val="21"/>
        </w:rPr>
        <w:t>供应商未参加开标会议的，视同认可开标结果。</w:t>
      </w:r>
    </w:p>
    <w:p>
      <w:pPr>
        <w:numPr>
          <w:ilvl w:val="0"/>
          <w:numId w:val="1"/>
        </w:numPr>
        <w:tabs>
          <w:tab w:val="left" w:pos="480"/>
          <w:tab w:val="clear" w:pos="425"/>
        </w:tabs>
        <w:snapToGrid w:val="0"/>
        <w:spacing w:line="360" w:lineRule="auto"/>
        <w:ind w:left="482" w:hanging="482"/>
        <w:rPr>
          <w:rFonts w:ascii="宋体" w:hAnsi="宋体"/>
          <w:bCs/>
          <w:sz w:val="21"/>
          <w:szCs w:val="21"/>
        </w:rPr>
      </w:pPr>
      <w:r>
        <w:rPr>
          <w:rFonts w:hint="eastAsia" w:ascii="宋体" w:hAnsi="宋体"/>
          <w:b/>
          <w:bCs/>
          <w:sz w:val="21"/>
          <w:szCs w:val="21"/>
        </w:rPr>
        <w:t>公告期限、发布公告的媒介</w:t>
      </w:r>
    </w:p>
    <w:p>
      <w:pPr>
        <w:numPr>
          <w:ilvl w:val="0"/>
          <w:numId w:val="5"/>
        </w:numPr>
        <w:tabs>
          <w:tab w:val="left" w:pos="480"/>
        </w:tabs>
        <w:snapToGrid w:val="0"/>
        <w:spacing w:line="360" w:lineRule="auto"/>
        <w:rPr>
          <w:rFonts w:hint="eastAsia" w:ascii="宋体" w:hAnsi="宋体"/>
          <w:sz w:val="21"/>
          <w:szCs w:val="21"/>
        </w:rPr>
      </w:pPr>
      <w:r>
        <w:rPr>
          <w:rFonts w:hint="eastAsia"/>
          <w:b/>
          <w:bCs/>
          <w:sz w:val="21"/>
          <w:szCs w:val="21"/>
        </w:rPr>
        <w:t>公告期限：</w:t>
      </w:r>
      <w:r>
        <w:rPr>
          <w:rFonts w:hint="eastAsia"/>
          <w:sz w:val="21"/>
          <w:szCs w:val="21"/>
        </w:rPr>
        <w:t>自公告发布</w:t>
      </w:r>
      <w:r>
        <w:rPr>
          <w:rFonts w:hint="eastAsia" w:ascii="宋体" w:hAnsi="宋体" w:cs="宋体"/>
          <w:sz w:val="21"/>
          <w:szCs w:val="21"/>
        </w:rPr>
        <w:t>之日起5个工作日</w:t>
      </w:r>
      <w:r>
        <w:rPr>
          <w:rFonts w:hint="eastAsia"/>
          <w:sz w:val="21"/>
          <w:szCs w:val="21"/>
        </w:rPr>
        <w:t>。</w:t>
      </w:r>
    </w:p>
    <w:p>
      <w:pPr>
        <w:numPr>
          <w:ilvl w:val="0"/>
          <w:numId w:val="5"/>
        </w:numPr>
        <w:tabs>
          <w:tab w:val="left" w:pos="480"/>
        </w:tabs>
        <w:snapToGrid w:val="0"/>
        <w:spacing w:line="360" w:lineRule="auto"/>
        <w:rPr>
          <w:rFonts w:ascii="宋体" w:hAnsi="宋体"/>
          <w:sz w:val="21"/>
          <w:szCs w:val="21"/>
        </w:rPr>
      </w:pPr>
      <w:r>
        <w:rPr>
          <w:rFonts w:hint="eastAsia" w:ascii="宋体" w:hAnsi="宋体"/>
          <w:b/>
          <w:bCs/>
          <w:sz w:val="21"/>
          <w:szCs w:val="21"/>
        </w:rPr>
        <w:t>发布公告的媒介：</w:t>
      </w:r>
      <w:r>
        <w:rPr>
          <w:rFonts w:hint="eastAsia" w:ascii="宋体" w:hAnsi="宋体"/>
          <w:sz w:val="21"/>
          <w:szCs w:val="21"/>
        </w:rPr>
        <w:t>中国政府采购网（http://www.ccgp.gov.cn/）、广东宏大招标有限公司网站（</w:t>
      </w:r>
      <w:r>
        <w:rPr>
          <w:rFonts w:hint="eastAsia" w:ascii="宋体" w:hAnsi="宋体"/>
          <w:sz w:val="21"/>
          <w:szCs w:val="21"/>
        </w:rPr>
        <w:fldChar w:fldCharType="begin"/>
      </w:r>
      <w:r>
        <w:rPr>
          <w:rFonts w:hint="eastAsia" w:ascii="宋体" w:hAnsi="宋体"/>
          <w:sz w:val="21"/>
          <w:szCs w:val="21"/>
        </w:rPr>
        <w:instrText xml:space="preserve"> HYPERLINK "http://gdhdzb.com.cn/" </w:instrText>
      </w:r>
      <w:r>
        <w:rPr>
          <w:rFonts w:hint="eastAsia" w:ascii="宋体" w:hAnsi="宋体"/>
          <w:sz w:val="21"/>
          <w:szCs w:val="21"/>
        </w:rPr>
        <w:fldChar w:fldCharType="separate"/>
      </w:r>
      <w:r>
        <w:rPr>
          <w:rFonts w:hint="eastAsia" w:ascii="宋体" w:hAnsi="宋体"/>
          <w:sz w:val="21"/>
          <w:szCs w:val="21"/>
        </w:rPr>
        <w:t>http://gdhdzb.com.cn/</w:t>
      </w:r>
      <w:r>
        <w:rPr>
          <w:rFonts w:hint="eastAsia" w:ascii="宋体" w:hAnsi="宋体"/>
          <w:sz w:val="21"/>
          <w:szCs w:val="21"/>
        </w:rPr>
        <w:fldChar w:fldCharType="end"/>
      </w:r>
      <w:r>
        <w:rPr>
          <w:rFonts w:hint="eastAsia" w:ascii="宋体" w:hAnsi="宋体"/>
          <w:sz w:val="21"/>
          <w:szCs w:val="21"/>
        </w:rPr>
        <w:t>）。</w:t>
      </w:r>
    </w:p>
    <w:p>
      <w:pPr>
        <w:numPr>
          <w:ilvl w:val="0"/>
          <w:numId w:val="1"/>
        </w:numPr>
        <w:tabs>
          <w:tab w:val="left" w:pos="480"/>
          <w:tab w:val="clear" w:pos="425"/>
        </w:tabs>
        <w:snapToGrid w:val="0"/>
        <w:spacing w:line="360" w:lineRule="auto"/>
        <w:ind w:left="482" w:hanging="482"/>
        <w:rPr>
          <w:rFonts w:ascii="宋体" w:hAnsi="宋体"/>
          <w:bCs/>
          <w:sz w:val="21"/>
          <w:szCs w:val="21"/>
        </w:rPr>
      </w:pPr>
      <w:r>
        <w:rPr>
          <w:rFonts w:hint="eastAsia" w:ascii="宋体" w:hAnsi="宋体"/>
          <w:b/>
          <w:sz w:val="21"/>
          <w:szCs w:val="21"/>
        </w:rPr>
        <w:t>本项目联系方式</w:t>
      </w:r>
      <w:r>
        <w:rPr>
          <w:rFonts w:ascii="宋体" w:hAnsi="宋体"/>
          <w:bCs/>
          <w:sz w:val="21"/>
          <w:szCs w:val="21"/>
        </w:rPr>
        <w:t xml:space="preserve"> </w:t>
      </w:r>
    </w:p>
    <w:p>
      <w:pPr>
        <w:numPr>
          <w:ilvl w:val="0"/>
          <w:numId w:val="6"/>
        </w:numPr>
        <w:snapToGrid w:val="0"/>
        <w:spacing w:line="360" w:lineRule="auto"/>
        <w:rPr>
          <w:rFonts w:hint="eastAsia" w:ascii="宋体" w:hAnsi="宋体"/>
          <w:bCs/>
          <w:sz w:val="21"/>
          <w:szCs w:val="21"/>
        </w:rPr>
      </w:pPr>
      <w:r>
        <w:rPr>
          <w:rFonts w:hint="eastAsia" w:ascii="宋体" w:hAnsi="宋体"/>
          <w:bCs/>
          <w:sz w:val="21"/>
          <w:szCs w:val="21"/>
        </w:rPr>
        <w:t>采购人信息</w:t>
      </w:r>
    </w:p>
    <w:p>
      <w:pPr>
        <w:snapToGrid w:val="0"/>
        <w:spacing w:line="360" w:lineRule="auto"/>
        <w:ind w:firstLine="424" w:firstLineChars="202"/>
        <w:rPr>
          <w:rFonts w:hint="eastAsia" w:ascii="宋体" w:hAnsi="宋体" w:eastAsia="宋体" w:cs="Times New Roman"/>
          <w:bCs/>
          <w:sz w:val="21"/>
          <w:szCs w:val="21"/>
          <w:lang w:eastAsia="zh-CN"/>
        </w:rPr>
      </w:pPr>
      <w:r>
        <w:rPr>
          <w:rFonts w:hint="eastAsia" w:ascii="宋体" w:hAnsi="宋体"/>
          <w:bCs/>
          <w:sz w:val="21"/>
          <w:szCs w:val="21"/>
        </w:rPr>
        <w:t>名</w:t>
      </w:r>
      <w:r>
        <w:rPr>
          <w:rFonts w:hint="eastAsia" w:ascii="宋体" w:hAnsi="宋体" w:eastAsia="宋体" w:cs="Times New Roman"/>
          <w:bCs/>
          <w:sz w:val="21"/>
          <w:szCs w:val="21"/>
          <w:lang w:eastAsia="zh-CN"/>
        </w:rPr>
        <w:t>称：东莞市南城专职消防队</w:t>
      </w:r>
    </w:p>
    <w:p>
      <w:pPr>
        <w:snapToGrid w:val="0"/>
        <w:spacing w:line="360" w:lineRule="auto"/>
        <w:ind w:firstLine="424" w:firstLineChars="202"/>
        <w:rPr>
          <w:rFonts w:hint="eastAsia" w:ascii="宋体" w:hAnsi="宋体" w:eastAsia="宋体" w:cs="Times New Roman"/>
          <w:bCs/>
          <w:sz w:val="21"/>
          <w:szCs w:val="21"/>
          <w:lang w:eastAsia="zh-CN"/>
        </w:rPr>
      </w:pPr>
      <w:r>
        <w:rPr>
          <w:rFonts w:hint="eastAsia" w:ascii="宋体" w:hAnsi="宋体" w:eastAsia="宋体" w:cs="Times New Roman"/>
          <w:bCs/>
          <w:sz w:val="21"/>
          <w:szCs w:val="21"/>
          <w:lang w:eastAsia="zh-CN"/>
        </w:rPr>
        <w:t>地址：东莞市南城街道西平平安路南城专职消防队</w:t>
      </w:r>
    </w:p>
    <w:p>
      <w:pPr>
        <w:snapToGrid w:val="0"/>
        <w:spacing w:line="360" w:lineRule="auto"/>
        <w:ind w:firstLine="424" w:firstLineChars="202"/>
        <w:rPr>
          <w:rFonts w:hint="eastAsia" w:ascii="宋体" w:hAnsi="宋体" w:eastAsia="宋体" w:cs="Times New Roman"/>
          <w:bCs/>
          <w:sz w:val="21"/>
          <w:szCs w:val="21"/>
          <w:lang w:eastAsia="zh-CN"/>
        </w:rPr>
      </w:pPr>
      <w:r>
        <w:rPr>
          <w:rFonts w:hint="eastAsia" w:ascii="宋体" w:hAnsi="宋体" w:eastAsia="宋体" w:cs="Times New Roman"/>
          <w:bCs/>
          <w:sz w:val="21"/>
          <w:szCs w:val="21"/>
          <w:lang w:eastAsia="zh-CN"/>
        </w:rPr>
        <w:t>联系方式：0769-21687438</w:t>
      </w:r>
    </w:p>
    <w:p>
      <w:pPr>
        <w:numPr>
          <w:ilvl w:val="0"/>
          <w:numId w:val="6"/>
        </w:numPr>
        <w:snapToGrid w:val="0"/>
        <w:spacing w:line="360" w:lineRule="auto"/>
        <w:rPr>
          <w:rFonts w:hint="eastAsia" w:ascii="宋体" w:hAnsi="宋体"/>
          <w:bCs/>
          <w:sz w:val="21"/>
          <w:szCs w:val="21"/>
        </w:rPr>
      </w:pPr>
      <w:r>
        <w:rPr>
          <w:rFonts w:hint="eastAsia" w:ascii="宋体" w:hAnsi="宋体"/>
          <w:bCs/>
          <w:sz w:val="21"/>
          <w:szCs w:val="21"/>
        </w:rPr>
        <w:t>采购代理机构信息</w:t>
      </w:r>
    </w:p>
    <w:p>
      <w:pPr>
        <w:snapToGrid w:val="0"/>
        <w:spacing w:line="360" w:lineRule="auto"/>
        <w:ind w:left="426" w:leftChars="213"/>
        <w:rPr>
          <w:rFonts w:hint="eastAsia" w:ascii="宋体" w:hAnsi="宋体"/>
          <w:bCs/>
          <w:sz w:val="21"/>
          <w:szCs w:val="21"/>
        </w:rPr>
      </w:pPr>
      <w:r>
        <w:rPr>
          <w:rFonts w:hint="eastAsia" w:ascii="宋体" w:hAnsi="宋体"/>
          <w:bCs/>
          <w:sz w:val="21"/>
          <w:szCs w:val="21"/>
        </w:rPr>
        <w:t>名称：广东宏大招标有限公司</w:t>
      </w:r>
    </w:p>
    <w:p>
      <w:pPr>
        <w:snapToGrid w:val="0"/>
        <w:spacing w:line="360" w:lineRule="auto"/>
        <w:ind w:left="426" w:leftChars="213"/>
        <w:rPr>
          <w:rFonts w:hint="eastAsia" w:ascii="宋体" w:hAnsi="宋体"/>
          <w:bCs/>
          <w:sz w:val="21"/>
          <w:szCs w:val="21"/>
        </w:rPr>
      </w:pPr>
      <w:r>
        <w:rPr>
          <w:rFonts w:hint="eastAsia" w:ascii="宋体" w:hAnsi="宋体"/>
          <w:bCs/>
          <w:sz w:val="21"/>
          <w:szCs w:val="21"/>
        </w:rPr>
        <w:t>地址：东莞市南城街道宏图路86号南信产业国际D栋1015-1017室</w:t>
      </w:r>
    </w:p>
    <w:p>
      <w:pPr>
        <w:snapToGrid w:val="0"/>
        <w:spacing w:line="360" w:lineRule="auto"/>
        <w:ind w:left="426" w:leftChars="213"/>
        <w:rPr>
          <w:rFonts w:ascii="宋体" w:hAnsi="宋体"/>
          <w:bCs/>
          <w:sz w:val="21"/>
          <w:szCs w:val="21"/>
        </w:rPr>
      </w:pPr>
      <w:r>
        <w:rPr>
          <w:rFonts w:hint="eastAsia" w:ascii="宋体" w:hAnsi="宋体"/>
          <w:bCs/>
          <w:sz w:val="21"/>
          <w:szCs w:val="21"/>
        </w:rPr>
        <w:t>联系方式：0769-22812060</w:t>
      </w:r>
    </w:p>
    <w:p>
      <w:pPr>
        <w:numPr>
          <w:ilvl w:val="0"/>
          <w:numId w:val="6"/>
        </w:numPr>
        <w:snapToGrid w:val="0"/>
        <w:spacing w:line="360" w:lineRule="auto"/>
        <w:rPr>
          <w:rFonts w:hint="eastAsia" w:ascii="宋体" w:hAnsi="宋体"/>
          <w:bCs/>
          <w:sz w:val="21"/>
          <w:szCs w:val="21"/>
        </w:rPr>
      </w:pPr>
      <w:r>
        <w:rPr>
          <w:rFonts w:hint="eastAsia" w:ascii="宋体" w:hAnsi="宋体"/>
          <w:bCs/>
          <w:sz w:val="21"/>
          <w:szCs w:val="21"/>
        </w:rPr>
        <w:t>项目联系方式</w:t>
      </w:r>
    </w:p>
    <w:p>
      <w:pPr>
        <w:snapToGrid w:val="0"/>
        <w:spacing w:line="360" w:lineRule="auto"/>
        <w:ind w:firstLine="420" w:firstLineChars="200"/>
        <w:rPr>
          <w:rFonts w:ascii="宋体" w:hAnsi="宋体"/>
          <w:bCs/>
          <w:sz w:val="21"/>
          <w:szCs w:val="21"/>
        </w:rPr>
      </w:pPr>
      <w:r>
        <w:rPr>
          <w:rFonts w:hint="eastAsia" w:ascii="宋体" w:hAnsi="宋体"/>
          <w:bCs/>
          <w:sz w:val="21"/>
          <w:szCs w:val="21"/>
        </w:rPr>
        <w:t>项目联系人：李小姐</w:t>
      </w:r>
    </w:p>
    <w:p>
      <w:pPr>
        <w:snapToGrid w:val="0"/>
        <w:spacing w:line="360" w:lineRule="auto"/>
        <w:ind w:firstLine="420" w:firstLineChars="200"/>
        <w:rPr>
          <w:rFonts w:ascii="宋体" w:hAnsi="宋体"/>
          <w:bCs/>
          <w:sz w:val="21"/>
          <w:szCs w:val="21"/>
        </w:rPr>
      </w:pPr>
      <w:r>
        <w:rPr>
          <w:rFonts w:hint="eastAsia" w:ascii="宋体" w:hAnsi="宋体"/>
          <w:bCs/>
          <w:sz w:val="21"/>
          <w:szCs w:val="21"/>
        </w:rPr>
        <w:t>电话：0769-22812060</w:t>
      </w:r>
      <w:bookmarkStart w:id="0" w:name="_GoBack"/>
      <w:bookmarkEnd w:id="0"/>
    </w:p>
    <w:p>
      <w:pPr>
        <w:tabs>
          <w:tab w:val="left" w:pos="480"/>
        </w:tabs>
        <w:snapToGrid w:val="0"/>
        <w:spacing w:line="360" w:lineRule="auto"/>
        <w:ind w:left="480"/>
        <w:rPr>
          <w:rFonts w:ascii="宋体" w:hAnsi="宋体"/>
          <w:bCs/>
          <w:sz w:val="21"/>
          <w:szCs w:val="21"/>
        </w:rPr>
      </w:pPr>
    </w:p>
    <w:p>
      <w:pPr>
        <w:tabs>
          <w:tab w:val="left" w:pos="480"/>
        </w:tabs>
        <w:snapToGrid w:val="0"/>
        <w:spacing w:line="360" w:lineRule="auto"/>
        <w:ind w:left="480"/>
        <w:rPr>
          <w:rFonts w:ascii="宋体" w:hAnsi="宋体"/>
          <w:bCs/>
          <w:sz w:val="21"/>
          <w:szCs w:val="21"/>
        </w:rPr>
      </w:pPr>
    </w:p>
    <w:p>
      <w:pPr>
        <w:tabs>
          <w:tab w:val="left" w:pos="480"/>
        </w:tabs>
        <w:snapToGrid w:val="0"/>
        <w:spacing w:line="360" w:lineRule="auto"/>
        <w:ind w:left="458" w:leftChars="229" w:firstLine="5670" w:firstLineChars="2700"/>
        <w:jc w:val="right"/>
        <w:rPr>
          <w:rFonts w:ascii="宋体" w:hAnsi="宋体"/>
          <w:bCs/>
          <w:sz w:val="21"/>
          <w:szCs w:val="21"/>
          <w:u w:val="single"/>
        </w:rPr>
      </w:pPr>
      <w:r>
        <w:rPr>
          <w:rFonts w:hint="eastAsia" w:ascii="宋体" w:hAnsi="宋体"/>
          <w:bCs/>
          <w:sz w:val="21"/>
          <w:szCs w:val="21"/>
        </w:rPr>
        <w:t>广东宏大招标有限公司</w:t>
      </w:r>
    </w:p>
    <w:p>
      <w:pPr>
        <w:jc w:val="right"/>
      </w:pP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29</w:t>
      </w:r>
      <w:r>
        <w:rPr>
          <w:rFonts w:hint="eastAsia" w:ascii="宋体" w:hAnsi="宋体"/>
          <w:bCs/>
          <w:sz w:val="21"/>
          <w:szCs w:val="21"/>
        </w:rPr>
        <w:t>日</w:t>
      </w:r>
    </w:p>
    <w:sectPr>
      <w:type w:val="nextColumn"/>
      <w:pgSz w:w="11905" w:h="16838"/>
      <w:pgMar w:top="1440" w:right="1803" w:bottom="1440" w:left="1803" w:header="935" w:footer="1185" w:gutter="0"/>
      <w:cols w:space="0" w:num="1"/>
      <w:rtlGutter w:val="0"/>
      <w:docGrid w:linePitch="5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57BE6FA5"/>
    <w:multiLevelType w:val="singleLevel"/>
    <w:tmpl w:val="57BE6FA5"/>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NzhiYjdjNWZiNjIyMWVlN2E1ZGY4OTMwNThkZjAifQ=="/>
  </w:docVars>
  <w:rsids>
    <w:rsidRoot w:val="40590E05"/>
    <w:rsid w:val="02787D18"/>
    <w:rsid w:val="065100E0"/>
    <w:rsid w:val="0B6F7BE4"/>
    <w:rsid w:val="0C8C286E"/>
    <w:rsid w:val="0FA551DD"/>
    <w:rsid w:val="18D14E89"/>
    <w:rsid w:val="1960732F"/>
    <w:rsid w:val="1B276D9A"/>
    <w:rsid w:val="22DA515D"/>
    <w:rsid w:val="2726766F"/>
    <w:rsid w:val="2B984738"/>
    <w:rsid w:val="32C0066E"/>
    <w:rsid w:val="37390D83"/>
    <w:rsid w:val="40590E05"/>
    <w:rsid w:val="453B2643"/>
    <w:rsid w:val="49CF07CE"/>
    <w:rsid w:val="4E7273AC"/>
    <w:rsid w:val="4F902524"/>
    <w:rsid w:val="5D711586"/>
    <w:rsid w:val="5E5A675C"/>
    <w:rsid w:val="6AF36818"/>
    <w:rsid w:val="6B4B274C"/>
    <w:rsid w:val="6C476E0D"/>
    <w:rsid w:val="769B5CAA"/>
    <w:rsid w:val="7CAA1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2"/>
    <w:basedOn w:val="1"/>
    <w:next w:val="1"/>
    <w:qFormat/>
    <w:uiPriority w:val="99"/>
    <w:pPr>
      <w:keepNext/>
      <w:keepLines/>
      <w:spacing w:before="260" w:after="260" w:line="1200" w:lineRule="exact"/>
      <w:jc w:val="center"/>
      <w:outlineLvl w:val="1"/>
    </w:pPr>
    <w:rPr>
      <w:rFonts w:ascii="Arial" w:hAnsi="Arial"/>
      <w:b/>
      <w:kern w:val="2"/>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footer"/>
    <w:basedOn w:val="1"/>
    <w:qFormat/>
    <w:uiPriority w:val="99"/>
    <w:pPr>
      <w:tabs>
        <w:tab w:val="center" w:pos="4153"/>
        <w:tab w:val="right" w:pos="8306"/>
      </w:tabs>
      <w:snapToGrid w:val="0"/>
      <w:jc w:val="left"/>
    </w:pPr>
    <w:rPr>
      <w:kern w:val="2"/>
      <w:sz w:val="18"/>
    </w:rPr>
  </w:style>
  <w:style w:type="paragraph" w:styleId="5">
    <w:name w:val="Title"/>
    <w:basedOn w:val="1"/>
    <w:next w:val="1"/>
    <w:qFormat/>
    <w:uiPriority w:val="0"/>
    <w:pPr>
      <w:spacing w:before="240" w:after="60"/>
      <w:jc w:val="center"/>
      <w:outlineLvl w:val="0"/>
    </w:pPr>
    <w:rPr>
      <w:rFonts w:ascii="Calibri Light" w:hAnsi="Calibri Light"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2024-08-29T09:20:00Z</dcterms:created>
  <dc:creator>Xing</dc:creator>
  <cp:lastModifiedBy>Xing</cp:lastModifiedBy>
  <dcterms:modified xsi:type="dcterms:W3CDTF">2024-08-29T09:27:01Z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770BA0968E6A4B52B92194D61FB0CE2A_11</vt:lpwstr>
  </property>
</Properties>
</file>