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98B108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kern w:val="44"/>
          <w:sz w:val="48"/>
          <w:szCs w:val="20"/>
          <w:highlight w:val="none"/>
        </w:rPr>
      </w:pPr>
      <w:bookmarkStart w:id="3" w:name="_GoBack"/>
      <w:bookmarkEnd w:id="3"/>
      <w:bookmarkStart w:id="0" w:name="_Toc129880039"/>
      <w:bookmarkStart w:id="1" w:name="_Toc512937852"/>
      <w:r>
        <w:rPr>
          <w:rFonts w:hint="eastAsia" w:ascii="宋体" w:hAnsi="宋体"/>
          <w:b/>
          <w:sz w:val="30"/>
          <w:szCs w:val="30"/>
          <w:highlight w:val="none"/>
        </w:rPr>
        <w:t>第八部分 采购需求</w:t>
      </w:r>
      <w:bookmarkEnd w:id="0"/>
    </w:p>
    <w:bookmarkEnd w:id="1"/>
    <w:p w14:paraId="19F43182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货物需求一览表</w:t>
      </w:r>
    </w:p>
    <w:p w14:paraId="1EC66DDE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  <w:highlight w:val="none"/>
        </w:rPr>
      </w:pPr>
    </w:p>
    <w:tbl>
      <w:tblPr>
        <w:tblStyle w:val="39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 w14:paraId="6DEDA0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vAlign w:val="center"/>
          </w:tcPr>
          <w:p w14:paraId="01768844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包号</w:t>
            </w:r>
          </w:p>
        </w:tc>
        <w:tc>
          <w:tcPr>
            <w:tcW w:w="2357" w:type="dxa"/>
            <w:vAlign w:val="center"/>
          </w:tcPr>
          <w:p w14:paraId="328E30CA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货物名称</w:t>
            </w:r>
          </w:p>
        </w:tc>
        <w:tc>
          <w:tcPr>
            <w:tcW w:w="1329" w:type="dxa"/>
            <w:vAlign w:val="center"/>
          </w:tcPr>
          <w:p w14:paraId="5DD5F5EB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数量</w:t>
            </w:r>
          </w:p>
        </w:tc>
        <w:tc>
          <w:tcPr>
            <w:tcW w:w="2470" w:type="dxa"/>
            <w:vAlign w:val="center"/>
          </w:tcPr>
          <w:p w14:paraId="78E88F8C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是否接受进口</w:t>
            </w:r>
          </w:p>
        </w:tc>
      </w:tr>
      <w:tr w14:paraId="788082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vAlign w:val="center"/>
          </w:tcPr>
          <w:p w14:paraId="41831463">
            <w:pPr>
              <w:jc w:val="center"/>
              <w:rPr>
                <w:rFonts w:ascii="宋体"/>
                <w:sz w:val="24"/>
                <w:highlight w:val="none"/>
              </w:rPr>
            </w:pPr>
            <w:r>
              <w:rPr>
                <w:rFonts w:hint="eastAsia" w:ascii="宋体"/>
                <w:sz w:val="24"/>
                <w:highlight w:val="none"/>
              </w:rPr>
              <w:t>1</w:t>
            </w:r>
          </w:p>
        </w:tc>
        <w:tc>
          <w:tcPr>
            <w:tcW w:w="2357" w:type="dxa"/>
            <w:vAlign w:val="center"/>
          </w:tcPr>
          <w:p w14:paraId="7B45CD4B">
            <w:pPr>
              <w:jc w:val="center"/>
              <w:rPr>
                <w:rFonts w:ascii="Bookman Old Style" w:hAnsi="Bookman Old Style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sz w:val="24"/>
                <w:highlight w:val="none"/>
              </w:rPr>
              <w:t>环形离子淌度液质联用仪</w:t>
            </w:r>
          </w:p>
        </w:tc>
        <w:tc>
          <w:tcPr>
            <w:tcW w:w="1329" w:type="dxa"/>
            <w:vAlign w:val="center"/>
          </w:tcPr>
          <w:p w14:paraId="4CECFBFD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1套</w:t>
            </w:r>
          </w:p>
        </w:tc>
        <w:tc>
          <w:tcPr>
            <w:tcW w:w="2470" w:type="dxa"/>
            <w:vAlign w:val="center"/>
          </w:tcPr>
          <w:p w14:paraId="52F7DC81">
            <w:pPr>
              <w:jc w:val="center"/>
              <w:rPr>
                <w:rFonts w:ascii="宋体" w:hAnsi="Bookman Old Style"/>
                <w:sz w:val="24"/>
                <w:highlight w:val="none"/>
              </w:rPr>
            </w:pPr>
            <w:r>
              <w:rPr>
                <w:rFonts w:hint="eastAsia" w:ascii="宋体" w:hAnsi="Bookman Old Style"/>
                <w:sz w:val="24"/>
                <w:highlight w:val="none"/>
              </w:rPr>
              <w:t>是</w:t>
            </w:r>
          </w:p>
        </w:tc>
      </w:tr>
    </w:tbl>
    <w:p w14:paraId="796956C9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  <w:highlight w:val="none"/>
        </w:rPr>
      </w:pPr>
    </w:p>
    <w:p w14:paraId="7D3421B6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  <w:highlight w:val="none"/>
        </w:rPr>
      </w:pPr>
    </w:p>
    <w:p w14:paraId="476C6486">
      <w:pPr>
        <w:rPr>
          <w:rFonts w:ascii="Bookman Old Style" w:hAnsi="Bookman Old Style"/>
          <w:sz w:val="24"/>
          <w:highlight w:val="none"/>
        </w:rPr>
      </w:pPr>
      <w:r>
        <w:rPr>
          <w:rFonts w:hint="eastAsia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  <w:highlight w:val="none"/>
        </w:rPr>
        <w:t>不完整的投标将视为非响应性投标予以拒绝。</w:t>
      </w:r>
    </w:p>
    <w:p w14:paraId="37DAB94C">
      <w:pPr>
        <w:adjustRightInd w:val="0"/>
        <w:snapToGrid w:val="0"/>
        <w:rPr>
          <w:rFonts w:hint="eastAsia" w:ascii="宋体" w:hAnsi="宋体"/>
          <w:szCs w:val="21"/>
          <w:highlight w:val="none"/>
        </w:rPr>
      </w:pPr>
    </w:p>
    <w:p w14:paraId="2496BE27">
      <w:pPr>
        <w:adjustRightInd w:val="0"/>
        <w:snapToGrid w:val="0"/>
        <w:rPr>
          <w:rFonts w:hint="eastAsia" w:ascii="宋体" w:hAnsi="宋体"/>
          <w:szCs w:val="21"/>
          <w:highlight w:val="none"/>
        </w:rPr>
      </w:pPr>
    </w:p>
    <w:p w14:paraId="0701C604">
      <w:pPr>
        <w:adjustRightInd w:val="0"/>
        <w:snapToGrid w:val="0"/>
        <w:rPr>
          <w:rFonts w:hint="eastAsia" w:ascii="宋体" w:hAnsi="宋体"/>
          <w:szCs w:val="21"/>
          <w:highlight w:val="none"/>
        </w:rPr>
      </w:pPr>
    </w:p>
    <w:p w14:paraId="1823FBB9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30"/>
          <w:szCs w:val="30"/>
          <w:highlight w:val="none"/>
        </w:rPr>
        <w:br w:type="page"/>
      </w:r>
      <w:r>
        <w:rPr>
          <w:rFonts w:hint="eastAsia" w:ascii="宋体" w:hAnsi="宋体"/>
          <w:b/>
          <w:sz w:val="28"/>
          <w:szCs w:val="28"/>
          <w:highlight w:val="none"/>
        </w:rPr>
        <w:t>一、总则</w:t>
      </w:r>
    </w:p>
    <w:p w14:paraId="58D72762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28"/>
          <w:szCs w:val="28"/>
          <w:highlight w:val="none"/>
        </w:rPr>
        <w:t>1</w:t>
      </w:r>
      <w:r>
        <w:rPr>
          <w:rFonts w:hint="eastAsia" w:ascii="宋体" w:hAnsi="宋体"/>
          <w:b/>
          <w:sz w:val="28"/>
          <w:szCs w:val="28"/>
          <w:highlight w:val="none"/>
        </w:rPr>
        <w:t>、投标要求</w:t>
      </w:r>
    </w:p>
    <w:p w14:paraId="62B7C779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 xml:space="preserve">1.1 </w:t>
      </w:r>
      <w:r>
        <w:rPr>
          <w:rFonts w:hint="eastAsia" w:ascii="宋体" w:hAnsi="宋体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 w14:paraId="4DF7C440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35FC794A">
      <w:pPr>
        <w:spacing w:line="360" w:lineRule="auto"/>
        <w:ind w:left="554" w:hanging="554" w:hangingChars="231"/>
        <w:rPr>
          <w:rFonts w:asci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1.3  </w:t>
      </w:r>
      <w:r>
        <w:rPr>
          <w:rFonts w:hint="eastAsia"/>
          <w:sz w:val="24"/>
          <w:highlight w:val="none"/>
        </w:rPr>
        <w:t>投标人提供的</w:t>
      </w:r>
      <w:r>
        <w:rPr>
          <w:rFonts w:hint="eastAsia" w:ascii="宋体"/>
          <w:sz w:val="24"/>
          <w:highlight w:val="none"/>
        </w:rPr>
        <w:t>产品</w:t>
      </w:r>
      <w:r>
        <w:rPr>
          <w:rFonts w:hint="eastAsia"/>
          <w:sz w:val="24"/>
          <w:highlight w:val="none"/>
        </w:rPr>
        <w:t>样本，必须是“原件”而非复印件，</w:t>
      </w:r>
      <w:r>
        <w:rPr>
          <w:rFonts w:hint="eastAsia" w:ascii="宋体"/>
          <w:sz w:val="24"/>
          <w:highlight w:val="none"/>
        </w:rPr>
        <w:t>图表、简图、电路图以及印刷电路板图等都应</w:t>
      </w:r>
      <w:r>
        <w:rPr>
          <w:rFonts w:hint="eastAsia"/>
          <w:sz w:val="24"/>
          <w:highlight w:val="none"/>
        </w:rPr>
        <w:t>清晰易读。</w:t>
      </w:r>
    </w:p>
    <w:p w14:paraId="2DBB80F6">
      <w:pPr>
        <w:spacing w:line="360" w:lineRule="auto"/>
        <w:ind w:left="554" w:hanging="554" w:hangingChars="231"/>
        <w:rPr>
          <w:rFonts w:ascii="宋体"/>
          <w:sz w:val="24"/>
          <w:highlight w:val="none"/>
        </w:rPr>
      </w:pPr>
      <w:r>
        <w:rPr>
          <w:rFonts w:hint="eastAsia" w:ascii="宋体"/>
          <w:sz w:val="24"/>
          <w:highlight w:val="none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01EE3475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2、评标标准</w:t>
      </w:r>
    </w:p>
    <w:p w14:paraId="79981878">
      <w:pPr>
        <w:spacing w:line="360" w:lineRule="auto"/>
        <w:ind w:left="554" w:hanging="554" w:hangingChars="231"/>
        <w:rPr>
          <w:rFonts w:asci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 xml:space="preserve">1  </w:t>
      </w:r>
      <w:r>
        <w:rPr>
          <w:rFonts w:hint="eastAsia"/>
          <w:sz w:val="24"/>
          <w:highlight w:val="none"/>
        </w:rPr>
        <w:t>除招标文件中指定的附件和专用工具外，</w:t>
      </w:r>
      <w:r>
        <w:rPr>
          <w:rFonts w:hint="eastAsia" w:ascii="宋体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sz w:val="24"/>
          <w:highlight w:val="none"/>
        </w:rPr>
        <w:t>和消耗品</w:t>
      </w:r>
      <w:r>
        <w:rPr>
          <w:rFonts w:hint="eastAsia" w:ascii="宋体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 w14:paraId="2CB547CB">
      <w:pPr>
        <w:spacing w:line="360" w:lineRule="auto"/>
        <w:ind w:left="554" w:hanging="554" w:hangingChars="231"/>
        <w:rPr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2.2  </w:t>
      </w:r>
      <w:r>
        <w:rPr>
          <w:rFonts w:hint="eastAsia"/>
          <w:sz w:val="24"/>
          <w:highlight w:val="none"/>
        </w:rPr>
        <w:t>对于标书</w:t>
      </w:r>
      <w:r>
        <w:rPr>
          <w:rFonts w:hint="eastAsia" w:ascii="宋体"/>
          <w:sz w:val="24"/>
          <w:highlight w:val="none"/>
        </w:rPr>
        <w:t>技术规范中已列</w:t>
      </w:r>
      <w:r>
        <w:rPr>
          <w:rFonts w:hint="eastAsia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69692818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  <w:highlight w:val="none"/>
        </w:rPr>
        <w:t>60</w:t>
      </w:r>
      <w:r>
        <w:rPr>
          <w:rFonts w:hint="eastAsia" w:ascii="宋体" w:hAnsi="宋体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02CED703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</w:t>
      </w:r>
      <w:r>
        <w:rPr>
          <w:rFonts w:ascii="宋体" w:hAnsi="宋体"/>
          <w:sz w:val="24"/>
          <w:highlight w:val="none"/>
        </w:rPr>
        <w:t>.</w:t>
      </w:r>
      <w:r>
        <w:rPr>
          <w:rFonts w:hint="eastAsia" w:ascii="宋体" w:hAnsi="宋体"/>
          <w:sz w:val="24"/>
          <w:highlight w:val="none"/>
        </w:rPr>
        <w:t>4</w:t>
      </w:r>
      <w:r>
        <w:rPr>
          <w:rFonts w:ascii="宋体" w:hAnsi="宋体"/>
          <w:sz w:val="24"/>
          <w:highlight w:val="none"/>
        </w:rPr>
        <w:t xml:space="preserve"> </w:t>
      </w:r>
      <w:r>
        <w:rPr>
          <w:rFonts w:hint="eastAsia" w:ascii="宋体" w:hAnsi="宋体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2476428F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2.</w:t>
      </w:r>
      <w:r>
        <w:rPr>
          <w:rFonts w:hint="eastAsia" w:ascii="宋体" w:hAnsi="宋体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5E2DEF4E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3、工作条件</w:t>
      </w:r>
    </w:p>
    <w:p w14:paraId="13ADBD6D">
      <w:pPr>
        <w:spacing w:after="312" w:afterLines="100"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sz w:val="24"/>
          <w:highlight w:val="none"/>
        </w:rPr>
        <w:t xml:space="preserve"> </w:t>
      </w:r>
    </w:p>
    <w:p w14:paraId="6B7D2A9D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3.1  适于在气温为摄氏</w:t>
      </w:r>
      <w:r>
        <w:rPr>
          <w:rFonts w:ascii="宋体" w:hAnsi="宋体"/>
          <w:b/>
          <w:sz w:val="24"/>
          <w:highlight w:val="none"/>
        </w:rPr>
        <w:t>-40</w:t>
      </w:r>
      <w:r>
        <w:rPr>
          <w:rFonts w:hint="eastAsia" w:ascii="宋体" w:hAnsi="宋体"/>
          <w:b/>
          <w:sz w:val="24"/>
          <w:highlight w:val="none"/>
        </w:rPr>
        <w:t>℃～＋</w:t>
      </w:r>
      <w:r>
        <w:rPr>
          <w:rFonts w:ascii="宋体" w:hAnsi="宋体"/>
          <w:b/>
          <w:sz w:val="24"/>
          <w:highlight w:val="none"/>
        </w:rPr>
        <w:t>50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和相对湿度为</w:t>
      </w:r>
      <w:r>
        <w:rPr>
          <w:rFonts w:ascii="宋体" w:hAnsi="宋体"/>
          <w:b/>
          <w:sz w:val="24"/>
          <w:highlight w:val="none"/>
        </w:rPr>
        <w:t>90</w:t>
      </w:r>
      <w:r>
        <w:rPr>
          <w:rFonts w:hint="eastAsia" w:ascii="宋体" w:hAnsi="宋体"/>
          <w:b/>
          <w:sz w:val="24"/>
          <w:highlight w:val="none"/>
        </w:rPr>
        <w:t>％</w:t>
      </w:r>
      <w:r>
        <w:rPr>
          <w:rFonts w:hint="eastAsia" w:ascii="宋体" w:hAnsi="宋体"/>
          <w:sz w:val="24"/>
          <w:highlight w:val="none"/>
        </w:rPr>
        <w:t>的环境条件下运输和贮存。</w:t>
      </w:r>
    </w:p>
    <w:p w14:paraId="53466140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3.2  适于在电源</w:t>
      </w:r>
      <w:r>
        <w:rPr>
          <w:rFonts w:ascii="宋体" w:hAnsi="宋体"/>
          <w:b/>
          <w:sz w:val="24"/>
          <w:highlight w:val="none"/>
        </w:rPr>
        <w:t>220V</w:t>
      </w:r>
      <w:r>
        <w:rPr>
          <w:rFonts w:hint="eastAsia" w:ascii="宋体" w:hAnsi="宋体"/>
          <w:b/>
          <w:sz w:val="24"/>
          <w:highlight w:val="none"/>
        </w:rPr>
        <w:t>（</w:t>
      </w:r>
      <w:r>
        <w:rPr>
          <w:rFonts w:ascii="宋体" w:hAnsi="宋体"/>
          <w:b/>
          <w:sz w:val="24"/>
          <w:highlight w:val="none"/>
        </w:rPr>
        <w:sym w:font="Symbol" w:char="F0B1"/>
      </w:r>
      <w:r>
        <w:rPr>
          <w:rFonts w:ascii="宋体" w:hAnsi="宋体"/>
          <w:b/>
          <w:sz w:val="24"/>
          <w:highlight w:val="none"/>
        </w:rPr>
        <w:t>10</w:t>
      </w:r>
      <w:r>
        <w:rPr>
          <w:rFonts w:hint="eastAsia" w:ascii="宋体" w:hAnsi="宋体"/>
          <w:b/>
          <w:sz w:val="24"/>
          <w:highlight w:val="none"/>
        </w:rPr>
        <w:t>％）</w:t>
      </w:r>
      <w:r>
        <w:rPr>
          <w:rFonts w:ascii="宋体" w:hAnsi="宋体"/>
          <w:b/>
          <w:sz w:val="24"/>
          <w:highlight w:val="none"/>
        </w:rPr>
        <w:t>/50Hz</w:t>
      </w:r>
      <w:r>
        <w:rPr>
          <w:rFonts w:hint="eastAsia" w:ascii="宋体" w:hAnsi="宋体"/>
          <w:sz w:val="24"/>
          <w:highlight w:val="none"/>
        </w:rPr>
        <w:t>、气温摄氏</w:t>
      </w:r>
      <w:r>
        <w:rPr>
          <w:rFonts w:hint="eastAsia" w:ascii="宋体" w:hAnsi="宋体"/>
          <w:b/>
          <w:sz w:val="24"/>
          <w:highlight w:val="none"/>
        </w:rPr>
        <w:t>+1</w:t>
      </w:r>
      <w:r>
        <w:rPr>
          <w:rFonts w:ascii="宋体" w:hAnsi="宋体"/>
          <w:b/>
          <w:sz w:val="24"/>
          <w:highlight w:val="none"/>
        </w:rPr>
        <w:t>5</w:t>
      </w:r>
      <w:r>
        <w:rPr>
          <w:rFonts w:hint="eastAsia" w:ascii="宋体" w:hAnsi="宋体"/>
          <w:b/>
          <w:sz w:val="24"/>
          <w:highlight w:val="none"/>
        </w:rPr>
        <w:t>℃～＋3</w:t>
      </w:r>
      <w:r>
        <w:rPr>
          <w:rFonts w:ascii="宋体" w:hAnsi="宋体"/>
          <w:b/>
          <w:sz w:val="24"/>
          <w:highlight w:val="none"/>
        </w:rPr>
        <w:t>0</w:t>
      </w:r>
      <w:r>
        <w:rPr>
          <w:rFonts w:hint="eastAsia" w:ascii="宋体" w:hAnsi="宋体"/>
          <w:b/>
          <w:sz w:val="24"/>
          <w:highlight w:val="none"/>
        </w:rPr>
        <w:t>℃</w:t>
      </w:r>
      <w:r>
        <w:rPr>
          <w:rFonts w:hint="eastAsia" w:ascii="宋体" w:hAnsi="宋体"/>
          <w:sz w:val="24"/>
          <w:highlight w:val="none"/>
        </w:rPr>
        <w:t>和相对湿度小于</w:t>
      </w:r>
      <w:r>
        <w:rPr>
          <w:rFonts w:ascii="宋体" w:hAnsi="宋体"/>
          <w:b/>
          <w:sz w:val="24"/>
          <w:highlight w:val="none"/>
        </w:rPr>
        <w:t>8</w:t>
      </w:r>
      <w:r>
        <w:rPr>
          <w:rFonts w:hint="eastAsia" w:ascii="宋体" w:hAnsi="宋体"/>
          <w:b/>
          <w:sz w:val="24"/>
          <w:highlight w:val="none"/>
        </w:rPr>
        <w:t>0％</w:t>
      </w:r>
      <w:r>
        <w:rPr>
          <w:rFonts w:hint="eastAsia" w:ascii="宋体" w:hAnsi="宋体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sz w:val="24"/>
          <w:highlight w:val="none"/>
        </w:rPr>
        <w:t>能够连续正常工作。</w:t>
      </w:r>
    </w:p>
    <w:p w14:paraId="686FA10A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sz w:val="24"/>
          <w:highlight w:val="none"/>
        </w:rPr>
        <w:t>提供适当的转</w:t>
      </w:r>
      <w:r>
        <w:rPr>
          <w:rFonts w:hint="eastAsia" w:ascii="宋体" w:hAnsi="宋体"/>
          <w:sz w:val="24"/>
          <w:highlight w:val="none"/>
        </w:rPr>
        <w:t>换插座。</w:t>
      </w:r>
    </w:p>
    <w:p w14:paraId="78D5665B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5D5C78C3">
      <w:pPr>
        <w:rPr>
          <w:rFonts w:eastAsia="黑体"/>
          <w:b/>
          <w:bCs/>
          <w:kern w:val="44"/>
          <w:sz w:val="24"/>
          <w:highlight w:val="none"/>
        </w:rPr>
      </w:pPr>
    </w:p>
    <w:p w14:paraId="2C71F67F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hint="eastAsia" w:ascii="宋体" w:hAnsi="宋体"/>
          <w:b/>
          <w:sz w:val="28"/>
          <w:szCs w:val="28"/>
          <w:highlight w:val="none"/>
        </w:rPr>
        <w:t>4、验收标准</w:t>
      </w:r>
    </w:p>
    <w:p w14:paraId="73C9F9B9">
      <w:pPr>
        <w:spacing w:after="312" w:afterLines="100" w:line="360" w:lineRule="auto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sz w:val="24"/>
          <w:highlight w:val="none"/>
        </w:rPr>
        <w:t xml:space="preserve"> </w:t>
      </w:r>
    </w:p>
    <w:p w14:paraId="701591A6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如卖方届时不派人来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sz w:val="24"/>
          <w:highlight w:val="none"/>
        </w:rPr>
        <w:t xml:space="preserve">, </w:t>
      </w:r>
      <w:r>
        <w:rPr>
          <w:rFonts w:hint="eastAsia" w:ascii="宋体" w:hAnsi="宋体"/>
          <w:sz w:val="24"/>
          <w:highlight w:val="none"/>
        </w:rPr>
        <w:t>买方有权要求卖方负责更换。</w:t>
      </w:r>
    </w:p>
    <w:p w14:paraId="10B4A468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4.2  </w:t>
      </w:r>
      <w:r>
        <w:rPr>
          <w:rFonts w:hint="eastAsia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25453691">
      <w:pPr>
        <w:spacing w:line="360" w:lineRule="auto"/>
        <w:ind w:left="554" w:hanging="554" w:hangingChars="231"/>
        <w:rPr>
          <w:rFonts w:hint="eastAsia"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 xml:space="preserve">4.3  </w:t>
      </w:r>
      <w:r>
        <w:rPr>
          <w:rFonts w:ascii="宋体" w:hAnsi="宋体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 w14:paraId="575C620E">
      <w:pPr>
        <w:pStyle w:val="21"/>
        <w:spacing w:line="360" w:lineRule="auto"/>
        <w:ind w:left="410" w:hanging="410" w:hangingChars="170"/>
        <w:rPr>
          <w:rFonts w:hint="eastAsia" w:hAnsi="宋体"/>
          <w:b/>
          <w:sz w:val="24"/>
          <w:szCs w:val="24"/>
          <w:highlight w:val="none"/>
        </w:rPr>
      </w:pPr>
    </w:p>
    <w:p w14:paraId="73FB83B2">
      <w:pPr>
        <w:adjustRightInd w:val="0"/>
        <w:snapToGrid w:val="0"/>
        <w:spacing w:line="360" w:lineRule="auto"/>
        <w:rPr>
          <w:rFonts w:hint="eastAsia" w:hAnsi="宋体"/>
          <w:b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5、本采购需求书中标注“★”号技术条款的为实质性要求，不满足其投标将视为无效投标被拒绝。</w:t>
      </w:r>
    </w:p>
    <w:p w14:paraId="5BD25159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  <w:highlight w:val="none"/>
        </w:rPr>
      </w:pPr>
    </w:p>
    <w:p w14:paraId="674B859A">
      <w:pPr>
        <w:adjustRightInd w:val="0"/>
        <w:snapToGrid w:val="0"/>
        <w:spacing w:line="360" w:lineRule="auto"/>
        <w:rPr>
          <w:rFonts w:hint="eastAsia" w:ascii="宋体" w:hAnsi="宋体"/>
          <w:b/>
          <w:sz w:val="24"/>
          <w:highlight w:val="none"/>
        </w:rPr>
      </w:pPr>
      <w:r>
        <w:rPr>
          <w:rFonts w:hint="eastAsia" w:ascii="宋体" w:hAnsi="宋体"/>
          <w:b/>
          <w:sz w:val="24"/>
          <w:highlight w:val="none"/>
        </w:rPr>
        <w:t>6、如在具体技术规格中有本总则不一致之处，以具体技术规格中的要求为准。</w:t>
      </w:r>
    </w:p>
    <w:p w14:paraId="18B30220">
      <w:pPr>
        <w:adjustRightInd w:val="0"/>
        <w:snapToGrid w:val="0"/>
        <w:spacing w:line="360" w:lineRule="auto"/>
        <w:rPr>
          <w:rFonts w:hint="eastAsia" w:ascii="宋体" w:hAnsi="宋体"/>
          <w:b/>
          <w:sz w:val="28"/>
          <w:szCs w:val="28"/>
          <w:highlight w:val="none"/>
        </w:rPr>
      </w:pPr>
      <w:r>
        <w:rPr>
          <w:rFonts w:ascii="宋体" w:hAnsi="宋体"/>
          <w:b/>
          <w:sz w:val="28"/>
          <w:highlight w:val="none"/>
        </w:rPr>
        <w:br w:type="page"/>
      </w:r>
      <w:r>
        <w:rPr>
          <w:rFonts w:hint="eastAsia" w:ascii="宋体" w:hAnsi="宋体"/>
          <w:b/>
          <w:sz w:val="28"/>
          <w:szCs w:val="28"/>
          <w:highlight w:val="none"/>
        </w:rPr>
        <w:t>二、具体技术规格</w:t>
      </w:r>
    </w:p>
    <w:p w14:paraId="499CD354">
      <w:pPr>
        <w:jc w:val="center"/>
        <w:rPr>
          <w:b/>
          <w:sz w:val="24"/>
          <w:highlight w:val="none"/>
        </w:rPr>
      </w:pPr>
      <w:r>
        <w:rPr>
          <w:b/>
          <w:sz w:val="24"/>
          <w:highlight w:val="none"/>
        </w:rPr>
        <w:t xml:space="preserve">第1包 </w:t>
      </w:r>
      <w:r>
        <w:rPr>
          <w:rFonts w:hint="eastAsia"/>
          <w:b/>
          <w:sz w:val="24"/>
          <w:highlight w:val="none"/>
        </w:rPr>
        <w:t>环形离子淌度液质联用仪</w:t>
      </w:r>
    </w:p>
    <w:p w14:paraId="6B82DD8E">
      <w:pPr>
        <w:rPr>
          <w:b/>
          <w:sz w:val="24"/>
          <w:highlight w:val="none"/>
        </w:rPr>
      </w:pPr>
    </w:p>
    <w:p w14:paraId="30338303">
      <w:pPr>
        <w:rPr>
          <w:b/>
          <w:sz w:val="24"/>
          <w:highlight w:val="none"/>
        </w:rPr>
      </w:pPr>
    </w:p>
    <w:p w14:paraId="58E6D1DB">
      <w:pPr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（一）技术要求：</w:t>
      </w:r>
    </w:p>
    <w:p w14:paraId="1AB34944">
      <w:pPr>
        <w:spacing w:line="360" w:lineRule="auto"/>
        <w:ind w:left="360" w:hanging="360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1. 工作条件：</w:t>
      </w:r>
    </w:p>
    <w:p w14:paraId="4B8470A8">
      <w:pPr>
        <w:spacing w:line="360" w:lineRule="auto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1.1 工作电压：220V，50Hz</w:t>
      </w:r>
      <w:r>
        <w:rPr>
          <w:rFonts w:hint="eastAsia"/>
          <w:sz w:val="24"/>
          <w:highlight w:val="none"/>
        </w:rPr>
        <w:cr/>
      </w:r>
      <w:r>
        <w:rPr>
          <w:rFonts w:hint="eastAsia"/>
          <w:sz w:val="24"/>
          <w:highlight w:val="none"/>
        </w:rPr>
        <w:t>1.2 温度：15～35 ℃</w:t>
      </w:r>
    </w:p>
    <w:p w14:paraId="0D886750">
      <w:pPr>
        <w:spacing w:line="360" w:lineRule="auto"/>
        <w:rPr>
          <w:position w:val="-14"/>
          <w:sz w:val="24"/>
          <w:highlight w:val="none"/>
        </w:rPr>
      </w:pPr>
      <w:r>
        <w:rPr>
          <w:rFonts w:hint="eastAsia"/>
          <w:sz w:val="24"/>
          <w:highlight w:val="none"/>
        </w:rPr>
        <w:t>1.3 湿度：35～85% RH</w:t>
      </w:r>
    </w:p>
    <w:p w14:paraId="19686559">
      <w:pPr>
        <w:spacing w:line="360" w:lineRule="auto"/>
        <w:rPr>
          <w:sz w:val="24"/>
          <w:highlight w:val="none"/>
        </w:rPr>
      </w:pPr>
    </w:p>
    <w:p w14:paraId="02CF21D9">
      <w:pPr>
        <w:spacing w:line="360" w:lineRule="auto"/>
        <w:ind w:left="360" w:hanging="360"/>
        <w:rPr>
          <w:b/>
          <w:sz w:val="24"/>
          <w:highlight w:val="none"/>
        </w:rPr>
      </w:pPr>
      <w:r>
        <w:rPr>
          <w:rFonts w:hint="eastAsia"/>
          <w:b/>
          <w:sz w:val="24"/>
          <w:highlight w:val="none"/>
        </w:rPr>
        <w:t>3. 技术规格：</w:t>
      </w:r>
    </w:p>
    <w:p w14:paraId="2B284D14">
      <w:pPr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3.1 质谱性能指标</w:t>
      </w:r>
    </w:p>
    <w:p w14:paraId="4421CFB5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★3.1.1 质谱类型：四极杆-飞行时间串联高分辨质谱仪；</w:t>
      </w:r>
    </w:p>
    <w:p w14:paraId="602A2B9E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3.1.2 四极杆质量范围(m/z)：20～4000；</w:t>
      </w:r>
    </w:p>
    <w:p w14:paraId="4CD83692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#3.1.3</w:t>
      </w:r>
      <w:r>
        <w:rPr>
          <w:rFonts w:hint="eastAsia" w:ascii="宋体" w:hAnsi="宋体" w:cs="宋体"/>
          <w:sz w:val="24"/>
          <w:highlight w:val="none"/>
        </w:rPr>
        <w:t xml:space="preserve"> </w:t>
      </w:r>
      <w:r>
        <w:rPr>
          <w:rFonts w:hint="eastAsia"/>
          <w:sz w:val="24"/>
          <w:highlight w:val="none"/>
        </w:rPr>
        <w:t>TOF质量范围(m/z)：20～64000（需提供软件截图作为技术证明文件）；</w:t>
      </w:r>
    </w:p>
    <w:p w14:paraId="1DB267A4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#3.1.4 分辨率：≥100000FWHM，且分辨率不受采样速率影响（</w:t>
      </w:r>
      <w:r>
        <w:rPr>
          <w:rFonts w:hint="eastAsia"/>
          <w:b/>
          <w:bCs/>
          <w:sz w:val="24"/>
          <w:highlight w:val="none"/>
        </w:rPr>
        <w:t>如投标产品为进口产品须提供厂家盖章的承诺函</w:t>
      </w:r>
      <w:r>
        <w:rPr>
          <w:rFonts w:hint="eastAsia"/>
          <w:sz w:val="24"/>
          <w:highlight w:val="none"/>
        </w:rPr>
        <w:t>）；</w:t>
      </w:r>
    </w:p>
    <w:p w14:paraId="603EC7EE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#3.1.5 灵敏度：1 pg利血平，柱上进样，MS模式下，S/N≥3000:1；MS/MS模式下，S/N≥5000：1，且为原始数据，无平滑；</w:t>
      </w:r>
    </w:p>
    <w:p w14:paraId="6388EEFE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3.1.6 质量精度：MS及MS/MS模式达到≤0.8 ppm；</w:t>
      </w:r>
    </w:p>
    <w:p w14:paraId="174577F1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#3.1.7 长期质量稳定性：内标模式下连续5天测试亮氨酸脑啡肽，质量偏差≤1ppm（提供实际样品测试结果作为证明文件）；</w:t>
      </w:r>
    </w:p>
    <w:p w14:paraId="155CF5E1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3.1.8 采样速率：≥45张谱图/秒；</w:t>
      </w:r>
    </w:p>
    <w:p w14:paraId="2A5164A6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#3.1.9 样品分析一次进样，可对全质量数范围自动进行MS和MS/MS操作，无质量数分段切换过程（需提供彩页或应用文献说明）；</w:t>
      </w:r>
    </w:p>
    <w:p w14:paraId="0F8EF8B8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3.1.10 系统处于待机状态时，离子源不消耗氮气；</w:t>
      </w:r>
    </w:p>
    <w:p w14:paraId="3E88AC32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#3.1.11 离子源需具有双控温区域，离子源可加热温度≥150℃，脱溶剂温度≥650℃。（需提供软件截图作为技术证明文件）；</w:t>
      </w:r>
    </w:p>
    <w:p w14:paraId="1C42D069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★3.1.12 需配备同时具有电喷雾电离(ESI)和大气压化学电离(APCI)功能的复合离子源，无需解除真空更换硬件，即可快速实现ESI或APCI的数据采集；</w:t>
      </w:r>
    </w:p>
    <w:p w14:paraId="4A42023E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#3.1.13 内置全自动注射泵和直接进样瓶≥3个，实现质谱的自动调谐和校正（需提供仪器照片作为技术证明文件）；</w:t>
      </w:r>
    </w:p>
    <w:p w14:paraId="615CE3E8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#3.1.14 具有表面诱导解离功能，可实现通过单次碰撞完成完整离子解离，支持非共价复合物和高级组装体的结构解析；</w:t>
      </w:r>
    </w:p>
    <w:p w14:paraId="43A01DE3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3.1.15 检测器：复合ADC检测器采样频率：≥6G Hz；</w:t>
      </w:r>
    </w:p>
    <w:p w14:paraId="70A768CD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★3.1.16 必须具有离子淌度功能，可测定碰撞横截面积CCS值（</w:t>
      </w:r>
      <w:r>
        <w:rPr>
          <w:rFonts w:hint="eastAsia"/>
          <w:b/>
          <w:bCs/>
          <w:sz w:val="24"/>
          <w:highlight w:val="none"/>
        </w:rPr>
        <w:t>如投标产品为进口产品须提供厂家盖章的承诺函</w:t>
      </w:r>
      <w:r>
        <w:rPr>
          <w:rFonts w:hint="eastAsia"/>
          <w:sz w:val="24"/>
          <w:highlight w:val="none"/>
        </w:rPr>
        <w:t>）</w:t>
      </w:r>
    </w:p>
    <w:p w14:paraId="616C6A6B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3.1.17 离子淌度室应位于碰撞室部位，需具备多级离子环型淌度分离能力，可获得MS及MS/MS淌度分离能力,无需任何预先标准品优化方法；</w:t>
      </w:r>
    </w:p>
    <w:p w14:paraId="173B8515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#3.1.18 离子淌度分辨率≥ 400 （</w:t>
      </w:r>
      <w:r>
        <w:rPr>
          <w:rFonts w:hint="eastAsia"/>
          <w:b/>
          <w:bCs/>
          <w:sz w:val="24"/>
          <w:highlight w:val="none"/>
        </w:rPr>
        <w:t>如投标产品为进口产品须提供厂家盖章的承诺函</w:t>
      </w:r>
      <w:r>
        <w:rPr>
          <w:rFonts w:hint="eastAsia"/>
          <w:sz w:val="24"/>
          <w:highlight w:val="none"/>
        </w:rPr>
        <w:t>）；</w:t>
      </w:r>
    </w:p>
    <w:p w14:paraId="616D33EB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#3.1.19 监测8个化合物组成的混合溶液，能测得每个检测到离子的CCS值，连续测试3天，CCS的重现性RSD≤0.5%（提供实际样品测试结果作为证明文件）；</w:t>
      </w:r>
    </w:p>
    <w:p w14:paraId="356DAE8A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 xml:space="preserve">#3.1.20 提供具有CCS值的数据库； </w:t>
      </w:r>
    </w:p>
    <w:p w14:paraId="4BCDBAC0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#3.1.21 具有MS多级碎裂功能，≥3级（</w:t>
      </w:r>
      <w:r>
        <w:rPr>
          <w:rFonts w:hint="eastAsia"/>
          <w:b/>
          <w:bCs/>
          <w:sz w:val="24"/>
          <w:highlight w:val="none"/>
        </w:rPr>
        <w:t>如投标产品为进口产品须提供厂家盖章的承诺函</w:t>
      </w:r>
      <w:r>
        <w:rPr>
          <w:rFonts w:hint="eastAsia"/>
          <w:sz w:val="24"/>
          <w:highlight w:val="none"/>
        </w:rPr>
        <w:t>）；</w:t>
      </w:r>
    </w:p>
    <w:p w14:paraId="2E8230B1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★3.1.22 配备可视化成像离子源；</w:t>
      </w:r>
    </w:p>
    <w:p w14:paraId="5392C114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#3.1.22.1成像离子源空间分辨率5μm*5μm（</w:t>
      </w:r>
      <w:r>
        <w:rPr>
          <w:rFonts w:hint="eastAsia"/>
          <w:b/>
          <w:bCs/>
          <w:sz w:val="24"/>
          <w:highlight w:val="none"/>
        </w:rPr>
        <w:t>如投标产品为进口产品须提供厂家盖章的承诺函</w:t>
      </w:r>
      <w:r>
        <w:rPr>
          <w:rFonts w:hint="eastAsia"/>
          <w:sz w:val="24"/>
          <w:highlight w:val="none"/>
        </w:rPr>
        <w:t>）；</w:t>
      </w:r>
    </w:p>
    <w:p w14:paraId="400600BF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3.1.22.2 离子源采用常压敞开式设计，无需泄真空即可实现不同离子源之间的切换；</w:t>
      </w:r>
    </w:p>
    <w:p w14:paraId="4157691E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3.1.22.3 可同时拥有最多2个全方位影像或1个96孔板的全方位影像；</w:t>
      </w:r>
    </w:p>
    <w:p w14:paraId="5168738C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3.1.22.4 待检测样品切片后直接放置成像源处进行检测，无需事先进行衍生化或使用基质处理；</w:t>
      </w:r>
    </w:p>
    <w:p w14:paraId="2F259EEC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3.1.22.5 离子入口传输管带有加热功能（加热温度设置最高不小于450度）；</w:t>
      </w:r>
    </w:p>
    <w:p w14:paraId="514E8E23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#3.1.22.6离子源配有高清摄像机以便更好的调节喷针位置，定焦镜头（提供软件截图作为证明文件）；</w:t>
      </w:r>
    </w:p>
    <w:p w14:paraId="4DAFBCB7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#3.1.22.7 可视化成像离子源与质谱为同一品牌，保证设备联机稳定性。</w:t>
      </w:r>
    </w:p>
    <w:p w14:paraId="69E796D0">
      <w:pPr>
        <w:spacing w:line="360" w:lineRule="auto"/>
        <w:rPr>
          <w:sz w:val="24"/>
          <w:highlight w:val="none"/>
        </w:rPr>
      </w:pPr>
    </w:p>
    <w:p w14:paraId="74919DB3">
      <w:pPr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3.2 超高效液相色谱性能指标</w:t>
      </w:r>
    </w:p>
    <w:p w14:paraId="115BCAB3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3.2.1 二元高压泵：一体式独立柱塞，数控刚性直线驱动色谱泵技术，双压力传感器反馈回路，无需阻尼器，泵压力传感器反馈回路：≥2路（提供仪器结构图作为技术证明文件）；</w:t>
      </w:r>
    </w:p>
    <w:p w14:paraId="097BF372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3.2.2 流量：0.0100～2.000 mL/min，可调精度：≤0.001mL/min；</w:t>
      </w:r>
    </w:p>
    <w:p w14:paraId="73371BA7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3.2.3 最大操作压力：≥ 15000 psi；</w:t>
      </w:r>
    </w:p>
    <w:p w14:paraId="242CBB33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 3.2.4梯度模式：预置梯度曲线≥10种 (需提供软件截图作为技术支持文件)；</w:t>
      </w:r>
    </w:p>
    <w:p w14:paraId="63164BCC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 xml:space="preserve">3.2.5 进样精度：RSD≤0.25%； </w:t>
      </w:r>
    </w:p>
    <w:p w14:paraId="6966BAC2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 xml:space="preserve">3.2.6 </w:t>
      </w:r>
      <w:bookmarkStart w:id="2" w:name="_Hlk177031994"/>
      <w:r>
        <w:rPr>
          <w:rFonts w:hint="eastAsia"/>
          <w:sz w:val="24"/>
          <w:highlight w:val="none"/>
        </w:rPr>
        <w:t>样品交叉污染度：≤ 0.002%</w:t>
      </w:r>
      <w:bookmarkEnd w:id="2"/>
      <w:r>
        <w:rPr>
          <w:rFonts w:hint="eastAsia"/>
          <w:sz w:val="24"/>
          <w:highlight w:val="none"/>
        </w:rPr>
        <w:t>；</w:t>
      </w:r>
    </w:p>
    <w:p w14:paraId="251782AA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3.2.7 样品室温度范围：4～40℃，可编程，可控精度：≤1℃；</w:t>
      </w:r>
    </w:p>
    <w:p w14:paraId="11FC739A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 3.2.8 色谱柱可历史追踪：每一根色谱柱都有独立的智能芯片连接口，色谱柱信息管理功能追踪并存档色谱柱的使用历史（提供色谱柱的芯片照片以及记录50次色谱柱使用记录的电脑截屏作为证明文件）；</w:t>
      </w:r>
    </w:p>
    <w:p w14:paraId="1CEB8522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3.2.9 二极管阵列检测器：单一光源下波长范围：190-800nm；</w:t>
      </w:r>
    </w:p>
    <w:p w14:paraId="125F26F2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# 3.2.10 液相色谱系统不经过高浓度硝酸和磷酸等措施钝化（流动相仅为甲酸水或水/乙腈等常规试剂，流动相不添加EDTA等预处理试剂）测试三磷酸腺苷（ATP），6针重复进样，峰面积RSD≤5%（</w:t>
      </w:r>
      <w:r>
        <w:rPr>
          <w:rFonts w:hint="eastAsia"/>
          <w:b/>
          <w:bCs/>
          <w:sz w:val="24"/>
          <w:highlight w:val="none"/>
        </w:rPr>
        <w:t>如投标产品为进口产品须提供第三方证明材料或承诺书或测试报告</w:t>
      </w:r>
      <w:r>
        <w:rPr>
          <w:rFonts w:hint="eastAsia"/>
          <w:sz w:val="24"/>
          <w:highlight w:val="none"/>
        </w:rPr>
        <w:t>）。</w:t>
      </w:r>
    </w:p>
    <w:p w14:paraId="6765D13A">
      <w:pPr>
        <w:spacing w:line="360" w:lineRule="auto"/>
        <w:rPr>
          <w:sz w:val="24"/>
          <w:highlight w:val="none"/>
        </w:rPr>
      </w:pPr>
    </w:p>
    <w:p w14:paraId="48188A91">
      <w:pPr>
        <w:spacing w:line="360" w:lineRule="auto"/>
        <w:rPr>
          <w:b/>
          <w:bCs/>
          <w:sz w:val="24"/>
          <w:highlight w:val="none"/>
        </w:rPr>
      </w:pPr>
      <w:r>
        <w:rPr>
          <w:rFonts w:hint="eastAsia"/>
          <w:b/>
          <w:bCs/>
          <w:sz w:val="24"/>
          <w:highlight w:val="none"/>
        </w:rPr>
        <w:t>3.3 纳升液相色谱性能指标</w:t>
      </w:r>
    </w:p>
    <w:p w14:paraId="7088B71D">
      <w:pPr>
        <w:spacing w:line="360" w:lineRule="auto"/>
        <w:ind w:firstLine="480" w:firstLineChars="200"/>
        <w:rPr>
          <w:sz w:val="24"/>
          <w:highlight w:val="none"/>
        </w:rPr>
      </w:pPr>
      <w:r>
        <w:rPr>
          <w:rFonts w:hint="eastAsia"/>
          <w:sz w:val="24"/>
          <w:highlight w:val="none"/>
        </w:rPr>
        <w:t>3.3.1 色谱泵：一体式独立柱塞，独立数控直线驱动色谱泵技术，双压力传感器反馈回路（提供两个独立泵的柱塞运动模式示意图，及色谱泵结构图作为技术证明文件）；</w:t>
      </w:r>
    </w:p>
    <w:p w14:paraId="47E5B69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  <w:highlight w:val="none"/>
        </w:rPr>
        <w:t>#3.3.2 流量：不分流，实现200 nL/min-100μL/min，以</w:t>
      </w:r>
      <w:r>
        <w:rPr>
          <w:rFonts w:hint="eastAsia"/>
          <w:sz w:val="24"/>
        </w:rPr>
        <w:t>1nL/min为增量；</w:t>
      </w:r>
    </w:p>
    <w:p w14:paraId="529A9DCA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3.3.3 延迟体积≤1μL，不随反压变化；</w:t>
      </w:r>
    </w:p>
    <w:p w14:paraId="10A42D8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3.3.4 梯度曲线：预编≥10种梯度曲线(需提供软件截图作为技术支持文件)；</w:t>
      </w:r>
    </w:p>
    <w:p w14:paraId="0573FB33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#3.3.5 最大操作压力 ≥15000psi；</w:t>
      </w:r>
    </w:p>
    <w:p w14:paraId="4D7894D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3.3.6 样品位数≥96位（2ml）；</w:t>
      </w:r>
    </w:p>
    <w:p w14:paraId="25F3CB1D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 xml:space="preserve">3.3.7 进样体积：0.1-100μL； </w:t>
      </w:r>
    </w:p>
    <w:p w14:paraId="14C3CF6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3.3.8 样品室温度范围：4℃-40℃，可编程，增量：≤1℃。</w:t>
      </w:r>
    </w:p>
    <w:p w14:paraId="36F99C22">
      <w:pPr>
        <w:spacing w:line="360" w:lineRule="auto"/>
        <w:rPr>
          <w:sz w:val="24"/>
        </w:rPr>
      </w:pPr>
    </w:p>
    <w:p w14:paraId="20E790C8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3.4 数据采集软件</w:t>
      </w:r>
    </w:p>
    <w:p w14:paraId="6EAA069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3.4.1数据采集软件：可用于控制整套系统，包括仪器调节、数据采集、数据处理、分析和报告；</w:t>
      </w:r>
    </w:p>
    <w:p w14:paraId="0BCCE3EC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3.4.2 软件应具有控制仪器、采集数据、数据处理和生成报告功能；可进行数据处理并生成统一格式的实验报告；</w:t>
      </w:r>
    </w:p>
    <w:p w14:paraId="4E508669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3.4.3 高性能工作站：CPU性能六核心以上，主流通用兼容性强正版操作系统，64位，不小于64G内存，不小于10TB硬盘，显示器不小于27寸。</w:t>
      </w:r>
    </w:p>
    <w:p w14:paraId="02415466">
      <w:pPr>
        <w:spacing w:line="360" w:lineRule="auto"/>
        <w:rPr>
          <w:sz w:val="24"/>
        </w:rPr>
      </w:pPr>
    </w:p>
    <w:p w14:paraId="1F4F6FE6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3.5 数据处理软件</w:t>
      </w:r>
    </w:p>
    <w:p w14:paraId="45848FCA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3.5.1 数据筛查软件：具有独立的数据库管理平台，在需要重新分析数据时，可以直接在软件界面进行再处理，方便进行样本差异性比较。含未知物结构分析软件、多种同位素匹配软件；软件具有数据处理和生成报告功能；可以处理数据并生成简洁和一致的实验报告</w:t>
      </w:r>
    </w:p>
    <w:p w14:paraId="098D22EF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#3.5.2 代谢组学软件：可导入仪器采集的原始数据；可以自建带有保留时间判定的数据库；归属信号的加合离子；</w:t>
      </w:r>
    </w:p>
    <w:p w14:paraId="0681E98B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3.5.3 配代谢物数据库；</w:t>
      </w:r>
    </w:p>
    <w:p w14:paraId="52C182E7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3.5.4 高性能工作站：CPU性能 六核心以上，主流通用兼容性强正版操作系统，64位，不小于64G内存，不小于10TB硬盘，显示器不小于27寸。</w:t>
      </w:r>
    </w:p>
    <w:p w14:paraId="26D31BA8">
      <w:pPr>
        <w:spacing w:line="360" w:lineRule="auto"/>
        <w:rPr>
          <w:sz w:val="24"/>
        </w:rPr>
      </w:pPr>
    </w:p>
    <w:p w14:paraId="6E7E6DFB">
      <w:pPr>
        <w:spacing w:line="360" w:lineRule="auto"/>
        <w:ind w:left="360" w:hanging="360"/>
        <w:rPr>
          <w:b/>
          <w:sz w:val="24"/>
        </w:rPr>
      </w:pPr>
      <w:r>
        <w:rPr>
          <w:rFonts w:hint="eastAsia"/>
          <w:b/>
          <w:sz w:val="24"/>
        </w:rPr>
        <w:t>4. 产品配置要求</w:t>
      </w:r>
    </w:p>
    <w:p w14:paraId="6CE07F2F">
      <w:pPr>
        <w:spacing w:line="360" w:lineRule="auto"/>
        <w:rPr>
          <w:sz w:val="24"/>
        </w:rPr>
      </w:pPr>
      <w:r>
        <w:rPr>
          <w:rFonts w:hint="eastAsia"/>
          <w:sz w:val="24"/>
        </w:rPr>
        <w:t>环形离子淌度质谱（包含低流速ESI探头）  1套</w:t>
      </w:r>
    </w:p>
    <w:p w14:paraId="7B7C3085">
      <w:pPr>
        <w:spacing w:line="360" w:lineRule="auto"/>
        <w:rPr>
          <w:sz w:val="24"/>
        </w:rPr>
      </w:pPr>
      <w:r>
        <w:rPr>
          <w:rFonts w:hint="eastAsia"/>
          <w:sz w:val="24"/>
        </w:rPr>
        <w:t>超高效液相色谱                          1套</w:t>
      </w:r>
    </w:p>
    <w:p w14:paraId="665E67A8">
      <w:pPr>
        <w:spacing w:line="360" w:lineRule="auto"/>
        <w:rPr>
          <w:sz w:val="24"/>
        </w:rPr>
      </w:pPr>
      <w:r>
        <w:rPr>
          <w:rFonts w:hint="eastAsia"/>
          <w:sz w:val="24"/>
        </w:rPr>
        <w:t>纳升液相色谱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 xml:space="preserve">                          1套                                         </w:t>
      </w:r>
    </w:p>
    <w:p w14:paraId="4EBB9649">
      <w:pPr>
        <w:spacing w:line="360" w:lineRule="auto"/>
        <w:rPr>
          <w:sz w:val="24"/>
        </w:rPr>
      </w:pPr>
      <w:r>
        <w:rPr>
          <w:rFonts w:hint="eastAsia"/>
          <w:sz w:val="24"/>
        </w:rPr>
        <w:t>可视化成像离子源</w:t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 xml:space="preserve">                      1套</w:t>
      </w:r>
    </w:p>
    <w:p w14:paraId="0D814AD6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质谱控制系统及相关数据处理软件          1套  </w:t>
      </w:r>
    </w:p>
    <w:p w14:paraId="34209ED4">
      <w:pPr>
        <w:spacing w:line="360" w:lineRule="auto"/>
        <w:rPr>
          <w:sz w:val="24"/>
        </w:rPr>
      </w:pPr>
      <w:r>
        <w:rPr>
          <w:rFonts w:hint="eastAsia"/>
          <w:sz w:val="24"/>
        </w:rPr>
        <w:t>可视化质谱数据分析软件                  1套</w:t>
      </w:r>
    </w:p>
    <w:p w14:paraId="6279EF80">
      <w:pPr>
        <w:spacing w:line="360" w:lineRule="auto"/>
        <w:rPr>
          <w:sz w:val="24"/>
        </w:rPr>
      </w:pPr>
      <w:r>
        <w:rPr>
          <w:rFonts w:hint="eastAsia"/>
          <w:sz w:val="24"/>
        </w:rPr>
        <w:t>氮气发生器、不间断电源等仪器配套设备    1套</w:t>
      </w:r>
    </w:p>
    <w:p w14:paraId="2EE62217">
      <w:pPr>
        <w:spacing w:line="360" w:lineRule="auto"/>
        <w:rPr>
          <w:sz w:val="24"/>
        </w:rPr>
      </w:pPr>
      <w:r>
        <w:rPr>
          <w:rFonts w:hint="eastAsia"/>
          <w:sz w:val="24"/>
        </w:rPr>
        <w:t>液相色谱易损件维护包                    1套</w:t>
      </w:r>
    </w:p>
    <w:p w14:paraId="47723A70">
      <w:pPr>
        <w:spacing w:line="360" w:lineRule="auto"/>
        <w:rPr>
          <w:sz w:val="24"/>
        </w:rPr>
      </w:pPr>
      <w:r>
        <w:rPr>
          <w:rFonts w:hint="eastAsia"/>
          <w:sz w:val="24"/>
        </w:rPr>
        <w:t>备品备件，包含ESI喷针、成像离子源喷针  1批</w:t>
      </w:r>
    </w:p>
    <w:p w14:paraId="745EC183">
      <w:pPr>
        <w:spacing w:line="360" w:lineRule="auto"/>
        <w:rPr>
          <w:sz w:val="24"/>
        </w:rPr>
      </w:pPr>
    </w:p>
    <w:p w14:paraId="6F42D6CC">
      <w:pPr>
        <w:tabs>
          <w:tab w:val="left" w:pos="540"/>
        </w:tabs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5. 技术文件：</w:t>
      </w:r>
    </w:p>
    <w:p w14:paraId="2D39FEDA">
      <w:pPr>
        <w:spacing w:line="360" w:lineRule="auto"/>
        <w:rPr>
          <w:sz w:val="24"/>
        </w:rPr>
      </w:pPr>
      <w:r>
        <w:rPr>
          <w:rFonts w:hint="eastAsia"/>
          <w:sz w:val="24"/>
        </w:rPr>
        <w:t>5.1随机文件资料：免费提供设备全套、完整的技术资料。</w:t>
      </w:r>
    </w:p>
    <w:p w14:paraId="34C10BA3">
      <w:pPr>
        <w:spacing w:line="360" w:lineRule="auto"/>
        <w:rPr>
          <w:sz w:val="24"/>
        </w:rPr>
      </w:pPr>
      <w:r>
        <w:rPr>
          <w:rFonts w:hint="eastAsia"/>
          <w:sz w:val="24"/>
        </w:rPr>
        <w:t>5.2设备操作使用说明书：包含详细的仪器说明书、操作指南以及仪器日常维护指南。</w:t>
      </w:r>
    </w:p>
    <w:p w14:paraId="0AF31525">
      <w:pPr>
        <w:spacing w:line="360" w:lineRule="auto"/>
        <w:rPr>
          <w:sz w:val="24"/>
        </w:rPr>
      </w:pPr>
    </w:p>
    <w:p w14:paraId="59838061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（二）质保及售后服务：</w:t>
      </w:r>
    </w:p>
    <w:p w14:paraId="56A81653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1. 设备安装调试：</w:t>
      </w:r>
    </w:p>
    <w:p w14:paraId="190AA660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卖方应在仪器到达用户所在地后，在接到用户通知后2周内派原厂工程师进行安装调试，直至设备能够正常使用。</w:t>
      </w:r>
    </w:p>
    <w:p w14:paraId="3FFFDEE1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2. 技术培训：</w:t>
      </w:r>
    </w:p>
    <w:p w14:paraId="5E3A3050">
      <w:pPr>
        <w:spacing w:line="360" w:lineRule="auto"/>
        <w:ind w:firstLine="420"/>
      </w:pPr>
      <w:r>
        <w:rPr>
          <w:rFonts w:hint="eastAsia"/>
          <w:sz w:val="24"/>
        </w:rPr>
        <w:t>提供设备操作培训、实验操作培训、软件应用培训等现场免费培训，培训时间不少于5天。使用半年之后再次提供免费强化培训一次</w:t>
      </w:r>
    </w:p>
    <w:p w14:paraId="3369A73F">
      <w:pPr>
        <w:spacing w:line="440" w:lineRule="exact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3. 质保期：</w:t>
      </w:r>
    </w:p>
    <w:p w14:paraId="1B9D1DBF">
      <w:pPr>
        <w:spacing w:line="440" w:lineRule="exact"/>
        <w:ind w:firstLine="420"/>
        <w:rPr>
          <w:sz w:val="24"/>
        </w:rPr>
      </w:pPr>
      <w:r>
        <w:rPr>
          <w:rFonts w:hint="eastAsia"/>
          <w:sz w:val="24"/>
        </w:rPr>
        <w:t>质保期安装调试后36个月。在质保期内，免费上门维修。质保期外，供应商负责终身维护。</w:t>
      </w:r>
    </w:p>
    <w:p w14:paraId="7A96B936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4. 维修响应时间：</w:t>
      </w:r>
    </w:p>
    <w:p w14:paraId="0B36F080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工程师24小时内远程响应，72小时内上门服务。</w:t>
      </w:r>
    </w:p>
    <w:p w14:paraId="57A2F480">
      <w:pPr>
        <w:spacing w:line="360" w:lineRule="auto"/>
        <w:rPr>
          <w:rFonts w:hint="eastAsia" w:eastAsia="宋体"/>
          <w:b/>
          <w:bCs/>
          <w:sz w:val="24"/>
          <w:lang w:eastAsia="zh-CN"/>
        </w:rPr>
      </w:pPr>
      <w:r>
        <w:rPr>
          <w:rFonts w:hint="eastAsia"/>
          <w:b/>
          <w:bCs/>
          <w:sz w:val="24"/>
        </w:rPr>
        <w:t>5. 要求卖方提供的其它技术服务内容</w:t>
      </w:r>
      <w:r>
        <w:rPr>
          <w:rFonts w:hint="eastAsia"/>
          <w:b/>
          <w:bCs/>
          <w:sz w:val="24"/>
          <w:lang w:eastAsia="zh-CN"/>
        </w:rPr>
        <w:t>：</w:t>
      </w:r>
    </w:p>
    <w:p w14:paraId="3E87EA03">
      <w:pPr>
        <w:spacing w:line="360" w:lineRule="auto"/>
        <w:ind w:firstLine="420"/>
        <w:rPr>
          <w:b/>
          <w:bCs/>
          <w:sz w:val="24"/>
        </w:rPr>
      </w:pPr>
      <w:r>
        <w:rPr>
          <w:rFonts w:hint="eastAsia"/>
          <w:b w:val="0"/>
          <w:bCs w:val="0"/>
          <w:sz w:val="24"/>
        </w:rPr>
        <w:t>要求终身软件免费升级。</w:t>
      </w:r>
    </w:p>
    <w:p w14:paraId="4ADC2879">
      <w:pPr>
        <w:spacing w:line="360" w:lineRule="auto"/>
        <w:rPr>
          <w:b/>
          <w:sz w:val="24"/>
        </w:rPr>
      </w:pPr>
    </w:p>
    <w:p w14:paraId="030A7F1C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（三） 订货数量：</w:t>
      </w:r>
    </w:p>
    <w:p w14:paraId="5D5367F0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1套</w:t>
      </w:r>
    </w:p>
    <w:p w14:paraId="249B78AD">
      <w:pPr>
        <w:spacing w:line="360" w:lineRule="auto"/>
        <w:rPr>
          <w:sz w:val="24"/>
        </w:rPr>
      </w:pPr>
    </w:p>
    <w:p w14:paraId="1CDAFFA1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（四）交货日期和交货地点（项目现场）：</w:t>
      </w:r>
    </w:p>
    <w:p w14:paraId="3209CB39">
      <w:pPr>
        <w:spacing w:line="440" w:lineRule="exact"/>
        <w:ind w:firstLine="420"/>
        <w:rPr>
          <w:sz w:val="24"/>
        </w:rPr>
      </w:pPr>
      <w:r>
        <w:rPr>
          <w:sz w:val="24"/>
        </w:rPr>
        <w:t>交货日期：</w:t>
      </w:r>
      <w:r>
        <w:rPr>
          <w:rFonts w:hint="eastAsia"/>
          <w:sz w:val="24"/>
        </w:rPr>
        <w:t>自合同签订后3个月内</w:t>
      </w:r>
    </w:p>
    <w:p w14:paraId="0E59B75A">
      <w:pPr>
        <w:spacing w:line="440" w:lineRule="exact"/>
        <w:ind w:firstLine="420"/>
        <w:rPr>
          <w:sz w:val="24"/>
        </w:rPr>
      </w:pPr>
      <w:r>
        <w:rPr>
          <w:sz w:val="24"/>
        </w:rPr>
        <w:t>交货地点：</w:t>
      </w:r>
      <w:r>
        <w:rPr>
          <w:rFonts w:hint="eastAsia"/>
          <w:sz w:val="24"/>
        </w:rPr>
        <w:t>中国科学院化学研究所。</w:t>
      </w:r>
    </w:p>
    <w:p w14:paraId="5660A635">
      <w:pPr>
        <w:spacing w:line="360" w:lineRule="auto"/>
        <w:rPr>
          <w:sz w:val="24"/>
        </w:rPr>
      </w:pPr>
    </w:p>
    <w:p w14:paraId="5C68D38B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（五）付款方式：</w:t>
      </w:r>
    </w:p>
    <w:p w14:paraId="716C0134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进口产品：合同签订后，开具100%即期不可撤消信用证，其中90%凭合同要求单据支付；10%凭用户代表签字的验收报告支付。</w:t>
      </w:r>
    </w:p>
    <w:p w14:paraId="13EE1C3C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国产产品：货到验收合格后，付100%的货款</w:t>
      </w:r>
    </w:p>
    <w:p w14:paraId="3BAD66A7">
      <w:pPr>
        <w:spacing w:line="360" w:lineRule="auto"/>
        <w:rPr>
          <w:b/>
          <w:sz w:val="24"/>
        </w:rPr>
      </w:pPr>
    </w:p>
    <w:p w14:paraId="1F70264F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（六）执行的相关标准</w:t>
      </w:r>
    </w:p>
    <w:p w14:paraId="0FA4DDE2">
      <w:pPr>
        <w:spacing w:line="360" w:lineRule="auto"/>
        <w:ind w:firstLine="420"/>
        <w:rPr>
          <w:rFonts w:hint="eastAsia" w:ascii="宋体" w:hAnsi="宋体"/>
          <w:b/>
          <w:sz w:val="30"/>
          <w:szCs w:val="30"/>
        </w:rPr>
      </w:pPr>
      <w:r>
        <w:rPr>
          <w:rFonts w:hint="eastAsia" w:ascii="inherit" w:hAnsi="inherit" w:cs="宋体"/>
          <w:kern w:val="0"/>
          <w:sz w:val="24"/>
        </w:rPr>
        <w:t>产品应满足相关国家标准及行业标准。</w:t>
      </w:r>
    </w:p>
    <w:sectPr>
      <w:headerReference r:id="rId3" w:type="first"/>
      <w:footerReference r:id="rId5" w:type="first"/>
      <w:footerReference r:id="rId4" w:type="default"/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长城仿宋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FZShuSong-Z01">
    <w:altName w:val="宋体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DejaVuSans-Bold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swiss"/>
    <w:pitch w:val="default"/>
    <w:sig w:usb0="00000000" w:usb1="00000000" w:usb2="00000001" w:usb3="00000000" w:csb0="400001BF" w:csb1="DFF70000"/>
  </w:font>
  <w:font w:name="DejaVuSans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ZSONGS--GB1-5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time of new roman">
    <w:altName w:val="宋体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inherit">
    <w:altName w:val="宋体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C086A6">
    <w:pPr>
      <w:pStyle w:val="2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86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E047A7">
    <w:pPr>
      <w:pStyle w:val="2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62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8A9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Q2ODBlYzc0NjRkMTZiZDAzOTQwZmVlNGQ5MmQwMDMifQ=="/>
  </w:docVars>
  <w:rsids>
    <w:rsidRoot w:val="00FA3835"/>
    <w:rsid w:val="0000486F"/>
    <w:rsid w:val="000050A2"/>
    <w:rsid w:val="00017CDA"/>
    <w:rsid w:val="00027C8D"/>
    <w:rsid w:val="00040005"/>
    <w:rsid w:val="00052634"/>
    <w:rsid w:val="000543E7"/>
    <w:rsid w:val="0006010D"/>
    <w:rsid w:val="000668DC"/>
    <w:rsid w:val="00067661"/>
    <w:rsid w:val="00081ADD"/>
    <w:rsid w:val="000969BB"/>
    <w:rsid w:val="000973D2"/>
    <w:rsid w:val="000A1A64"/>
    <w:rsid w:val="000B0E40"/>
    <w:rsid w:val="000B12EC"/>
    <w:rsid w:val="000B636A"/>
    <w:rsid w:val="000C1F98"/>
    <w:rsid w:val="000C325D"/>
    <w:rsid w:val="000C505C"/>
    <w:rsid w:val="000D1A3C"/>
    <w:rsid w:val="000E0B0C"/>
    <w:rsid w:val="000E17D4"/>
    <w:rsid w:val="000E4DA9"/>
    <w:rsid w:val="000F0512"/>
    <w:rsid w:val="000F4571"/>
    <w:rsid w:val="00103352"/>
    <w:rsid w:val="00105333"/>
    <w:rsid w:val="00107AF4"/>
    <w:rsid w:val="001140D0"/>
    <w:rsid w:val="001235CA"/>
    <w:rsid w:val="00130EDF"/>
    <w:rsid w:val="00136F3B"/>
    <w:rsid w:val="00137D93"/>
    <w:rsid w:val="00141D35"/>
    <w:rsid w:val="001437EA"/>
    <w:rsid w:val="001444BD"/>
    <w:rsid w:val="00144505"/>
    <w:rsid w:val="00144DDA"/>
    <w:rsid w:val="0014761F"/>
    <w:rsid w:val="00153F11"/>
    <w:rsid w:val="00154444"/>
    <w:rsid w:val="00154F47"/>
    <w:rsid w:val="00155A34"/>
    <w:rsid w:val="00164E27"/>
    <w:rsid w:val="001839A0"/>
    <w:rsid w:val="00183E6E"/>
    <w:rsid w:val="0018672D"/>
    <w:rsid w:val="001921CA"/>
    <w:rsid w:val="00194900"/>
    <w:rsid w:val="001A0E56"/>
    <w:rsid w:val="001A53B6"/>
    <w:rsid w:val="001A6E63"/>
    <w:rsid w:val="001B195C"/>
    <w:rsid w:val="001B62CC"/>
    <w:rsid w:val="001B66E1"/>
    <w:rsid w:val="001B6E57"/>
    <w:rsid w:val="001C22AC"/>
    <w:rsid w:val="001D7301"/>
    <w:rsid w:val="001E1467"/>
    <w:rsid w:val="001E152C"/>
    <w:rsid w:val="001E3480"/>
    <w:rsid w:val="001E5FC5"/>
    <w:rsid w:val="001F18B7"/>
    <w:rsid w:val="001F1D2B"/>
    <w:rsid w:val="001F2249"/>
    <w:rsid w:val="001F5FAD"/>
    <w:rsid w:val="001F79B6"/>
    <w:rsid w:val="002024C7"/>
    <w:rsid w:val="00206639"/>
    <w:rsid w:val="00206D30"/>
    <w:rsid w:val="0021259E"/>
    <w:rsid w:val="00213C28"/>
    <w:rsid w:val="00224FE7"/>
    <w:rsid w:val="0023232E"/>
    <w:rsid w:val="00233C8A"/>
    <w:rsid w:val="00240E7B"/>
    <w:rsid w:val="00247ED0"/>
    <w:rsid w:val="00251DB7"/>
    <w:rsid w:val="002630C9"/>
    <w:rsid w:val="002672D1"/>
    <w:rsid w:val="00275598"/>
    <w:rsid w:val="002761A3"/>
    <w:rsid w:val="0028124D"/>
    <w:rsid w:val="00282A80"/>
    <w:rsid w:val="00282F14"/>
    <w:rsid w:val="002872A9"/>
    <w:rsid w:val="00292E0B"/>
    <w:rsid w:val="002A4938"/>
    <w:rsid w:val="002B44BD"/>
    <w:rsid w:val="002B6E7A"/>
    <w:rsid w:val="002B7380"/>
    <w:rsid w:val="002C47B5"/>
    <w:rsid w:val="002C728F"/>
    <w:rsid w:val="002D5C47"/>
    <w:rsid w:val="002D6107"/>
    <w:rsid w:val="002E03AA"/>
    <w:rsid w:val="002E34AD"/>
    <w:rsid w:val="002E5F65"/>
    <w:rsid w:val="002E6A76"/>
    <w:rsid w:val="002F1704"/>
    <w:rsid w:val="002F6DE0"/>
    <w:rsid w:val="002F6FCA"/>
    <w:rsid w:val="002F7EF8"/>
    <w:rsid w:val="002F7F80"/>
    <w:rsid w:val="00301191"/>
    <w:rsid w:val="00322611"/>
    <w:rsid w:val="003248D5"/>
    <w:rsid w:val="00326910"/>
    <w:rsid w:val="00326D72"/>
    <w:rsid w:val="0033189B"/>
    <w:rsid w:val="00334AA9"/>
    <w:rsid w:val="00344003"/>
    <w:rsid w:val="003442AE"/>
    <w:rsid w:val="0034443A"/>
    <w:rsid w:val="003474B8"/>
    <w:rsid w:val="003478B8"/>
    <w:rsid w:val="00351CB8"/>
    <w:rsid w:val="00353E66"/>
    <w:rsid w:val="00357C16"/>
    <w:rsid w:val="003637C6"/>
    <w:rsid w:val="003732CC"/>
    <w:rsid w:val="00373B63"/>
    <w:rsid w:val="00374F9A"/>
    <w:rsid w:val="00382C0C"/>
    <w:rsid w:val="003933B5"/>
    <w:rsid w:val="003944C7"/>
    <w:rsid w:val="00397F24"/>
    <w:rsid w:val="003A298A"/>
    <w:rsid w:val="003B4F45"/>
    <w:rsid w:val="003B6193"/>
    <w:rsid w:val="003C172D"/>
    <w:rsid w:val="003C7092"/>
    <w:rsid w:val="003C785A"/>
    <w:rsid w:val="003D2B81"/>
    <w:rsid w:val="003F5F7A"/>
    <w:rsid w:val="004043A2"/>
    <w:rsid w:val="00404EA5"/>
    <w:rsid w:val="00407D88"/>
    <w:rsid w:val="00415144"/>
    <w:rsid w:val="0041594D"/>
    <w:rsid w:val="004203CD"/>
    <w:rsid w:val="00420D92"/>
    <w:rsid w:val="00421F2C"/>
    <w:rsid w:val="0042297A"/>
    <w:rsid w:val="00424FBA"/>
    <w:rsid w:val="00433C0B"/>
    <w:rsid w:val="00434216"/>
    <w:rsid w:val="004362C7"/>
    <w:rsid w:val="00440D11"/>
    <w:rsid w:val="0044106E"/>
    <w:rsid w:val="00446E68"/>
    <w:rsid w:val="00447503"/>
    <w:rsid w:val="00457522"/>
    <w:rsid w:val="0046038A"/>
    <w:rsid w:val="00470041"/>
    <w:rsid w:val="00471176"/>
    <w:rsid w:val="004749DA"/>
    <w:rsid w:val="00484FF8"/>
    <w:rsid w:val="004A0EB1"/>
    <w:rsid w:val="004A3B49"/>
    <w:rsid w:val="004A5C14"/>
    <w:rsid w:val="004B3476"/>
    <w:rsid w:val="004B36B8"/>
    <w:rsid w:val="004C387C"/>
    <w:rsid w:val="004D0AB9"/>
    <w:rsid w:val="004E042A"/>
    <w:rsid w:val="004E4504"/>
    <w:rsid w:val="004F0FDE"/>
    <w:rsid w:val="004F191B"/>
    <w:rsid w:val="004F3E07"/>
    <w:rsid w:val="005023D6"/>
    <w:rsid w:val="00503A84"/>
    <w:rsid w:val="00504FD3"/>
    <w:rsid w:val="00512882"/>
    <w:rsid w:val="005143FF"/>
    <w:rsid w:val="00516FEB"/>
    <w:rsid w:val="005244F5"/>
    <w:rsid w:val="00524665"/>
    <w:rsid w:val="00543C0A"/>
    <w:rsid w:val="0054416E"/>
    <w:rsid w:val="0054699B"/>
    <w:rsid w:val="00546BA1"/>
    <w:rsid w:val="005515EB"/>
    <w:rsid w:val="0055226E"/>
    <w:rsid w:val="00552E7C"/>
    <w:rsid w:val="005601D0"/>
    <w:rsid w:val="00560FEA"/>
    <w:rsid w:val="005613B2"/>
    <w:rsid w:val="0056304A"/>
    <w:rsid w:val="0057066D"/>
    <w:rsid w:val="00572671"/>
    <w:rsid w:val="00591688"/>
    <w:rsid w:val="005916DF"/>
    <w:rsid w:val="00595627"/>
    <w:rsid w:val="00595D3F"/>
    <w:rsid w:val="00595EAC"/>
    <w:rsid w:val="005A2F5B"/>
    <w:rsid w:val="005A3EB6"/>
    <w:rsid w:val="005A52D6"/>
    <w:rsid w:val="005C574A"/>
    <w:rsid w:val="005D09A0"/>
    <w:rsid w:val="005D479D"/>
    <w:rsid w:val="005E416B"/>
    <w:rsid w:val="005E7A21"/>
    <w:rsid w:val="005F24B2"/>
    <w:rsid w:val="0060103A"/>
    <w:rsid w:val="00601910"/>
    <w:rsid w:val="00602911"/>
    <w:rsid w:val="00602A7A"/>
    <w:rsid w:val="0060509A"/>
    <w:rsid w:val="006125F5"/>
    <w:rsid w:val="00612A9B"/>
    <w:rsid w:val="00614D00"/>
    <w:rsid w:val="0061681D"/>
    <w:rsid w:val="006225E2"/>
    <w:rsid w:val="00626587"/>
    <w:rsid w:val="0062676A"/>
    <w:rsid w:val="0063309D"/>
    <w:rsid w:val="00640DB1"/>
    <w:rsid w:val="006416E9"/>
    <w:rsid w:val="0064545D"/>
    <w:rsid w:val="00646C82"/>
    <w:rsid w:val="00647CD5"/>
    <w:rsid w:val="006548A6"/>
    <w:rsid w:val="00655478"/>
    <w:rsid w:val="00664D7F"/>
    <w:rsid w:val="00673641"/>
    <w:rsid w:val="006858B6"/>
    <w:rsid w:val="0069730F"/>
    <w:rsid w:val="006A377B"/>
    <w:rsid w:val="006B0930"/>
    <w:rsid w:val="006B41E0"/>
    <w:rsid w:val="006C4384"/>
    <w:rsid w:val="006C5135"/>
    <w:rsid w:val="006C546E"/>
    <w:rsid w:val="006D29F2"/>
    <w:rsid w:val="006E2DE0"/>
    <w:rsid w:val="006E5A8E"/>
    <w:rsid w:val="0070081C"/>
    <w:rsid w:val="0071653B"/>
    <w:rsid w:val="00721985"/>
    <w:rsid w:val="00724C84"/>
    <w:rsid w:val="007252A8"/>
    <w:rsid w:val="00725C0A"/>
    <w:rsid w:val="0073119D"/>
    <w:rsid w:val="0073199C"/>
    <w:rsid w:val="007376B0"/>
    <w:rsid w:val="00740508"/>
    <w:rsid w:val="007411A3"/>
    <w:rsid w:val="00743776"/>
    <w:rsid w:val="00751428"/>
    <w:rsid w:val="00752FEF"/>
    <w:rsid w:val="0075674B"/>
    <w:rsid w:val="0075751D"/>
    <w:rsid w:val="00761F2B"/>
    <w:rsid w:val="00763B74"/>
    <w:rsid w:val="007731D0"/>
    <w:rsid w:val="00775B16"/>
    <w:rsid w:val="00785A0A"/>
    <w:rsid w:val="00787CED"/>
    <w:rsid w:val="007967F8"/>
    <w:rsid w:val="007A2F93"/>
    <w:rsid w:val="007A3772"/>
    <w:rsid w:val="007B6DFC"/>
    <w:rsid w:val="007C2696"/>
    <w:rsid w:val="007C4C31"/>
    <w:rsid w:val="007C5EA5"/>
    <w:rsid w:val="007D381E"/>
    <w:rsid w:val="007D3EE2"/>
    <w:rsid w:val="007E03CA"/>
    <w:rsid w:val="007E1D29"/>
    <w:rsid w:val="007E6193"/>
    <w:rsid w:val="007F2F97"/>
    <w:rsid w:val="007F30CC"/>
    <w:rsid w:val="007F387D"/>
    <w:rsid w:val="007F7152"/>
    <w:rsid w:val="00803A7F"/>
    <w:rsid w:val="00807BBF"/>
    <w:rsid w:val="008156CB"/>
    <w:rsid w:val="008203E6"/>
    <w:rsid w:val="00822633"/>
    <w:rsid w:val="00830107"/>
    <w:rsid w:val="00831B02"/>
    <w:rsid w:val="00833174"/>
    <w:rsid w:val="00835158"/>
    <w:rsid w:val="00846609"/>
    <w:rsid w:val="00847089"/>
    <w:rsid w:val="00852958"/>
    <w:rsid w:val="0085467F"/>
    <w:rsid w:val="00856507"/>
    <w:rsid w:val="00864F77"/>
    <w:rsid w:val="008661F8"/>
    <w:rsid w:val="008712FA"/>
    <w:rsid w:val="00876AA9"/>
    <w:rsid w:val="00876EFF"/>
    <w:rsid w:val="00882892"/>
    <w:rsid w:val="00883AB2"/>
    <w:rsid w:val="00884824"/>
    <w:rsid w:val="008861B2"/>
    <w:rsid w:val="00887A5A"/>
    <w:rsid w:val="00896377"/>
    <w:rsid w:val="008A09F5"/>
    <w:rsid w:val="008A4B18"/>
    <w:rsid w:val="008A738C"/>
    <w:rsid w:val="008B2645"/>
    <w:rsid w:val="008C20FE"/>
    <w:rsid w:val="008C36D3"/>
    <w:rsid w:val="008D0675"/>
    <w:rsid w:val="008D1425"/>
    <w:rsid w:val="008D2736"/>
    <w:rsid w:val="008D3BC8"/>
    <w:rsid w:val="008D6F23"/>
    <w:rsid w:val="008E5EB5"/>
    <w:rsid w:val="008F04C7"/>
    <w:rsid w:val="008F21A5"/>
    <w:rsid w:val="008F2440"/>
    <w:rsid w:val="00914619"/>
    <w:rsid w:val="00920267"/>
    <w:rsid w:val="009202C8"/>
    <w:rsid w:val="009213DF"/>
    <w:rsid w:val="009246BA"/>
    <w:rsid w:val="00930CDE"/>
    <w:rsid w:val="00935AA1"/>
    <w:rsid w:val="00942B35"/>
    <w:rsid w:val="009451DC"/>
    <w:rsid w:val="009464BE"/>
    <w:rsid w:val="009467F2"/>
    <w:rsid w:val="00950F44"/>
    <w:rsid w:val="0095655E"/>
    <w:rsid w:val="00956752"/>
    <w:rsid w:val="00966DE4"/>
    <w:rsid w:val="009718ED"/>
    <w:rsid w:val="0097297B"/>
    <w:rsid w:val="0098154C"/>
    <w:rsid w:val="0098549E"/>
    <w:rsid w:val="009857EF"/>
    <w:rsid w:val="009941D8"/>
    <w:rsid w:val="009A2C18"/>
    <w:rsid w:val="009B36A1"/>
    <w:rsid w:val="009B4BFC"/>
    <w:rsid w:val="009C0A0B"/>
    <w:rsid w:val="009C14BD"/>
    <w:rsid w:val="009C1D65"/>
    <w:rsid w:val="009D1AF8"/>
    <w:rsid w:val="009D32B1"/>
    <w:rsid w:val="009E1C84"/>
    <w:rsid w:val="009E32D4"/>
    <w:rsid w:val="009E4080"/>
    <w:rsid w:val="009E4DCB"/>
    <w:rsid w:val="009E580F"/>
    <w:rsid w:val="009E7DD1"/>
    <w:rsid w:val="009F5A6A"/>
    <w:rsid w:val="00A01B3A"/>
    <w:rsid w:val="00A0205F"/>
    <w:rsid w:val="00A04E9D"/>
    <w:rsid w:val="00A06893"/>
    <w:rsid w:val="00A14987"/>
    <w:rsid w:val="00A21886"/>
    <w:rsid w:val="00A25682"/>
    <w:rsid w:val="00A2638C"/>
    <w:rsid w:val="00A27417"/>
    <w:rsid w:val="00A27AFD"/>
    <w:rsid w:val="00A31C3C"/>
    <w:rsid w:val="00A354A8"/>
    <w:rsid w:val="00A4031E"/>
    <w:rsid w:val="00A44A2B"/>
    <w:rsid w:val="00A46F60"/>
    <w:rsid w:val="00A53234"/>
    <w:rsid w:val="00A56F9C"/>
    <w:rsid w:val="00A5733B"/>
    <w:rsid w:val="00A57F47"/>
    <w:rsid w:val="00A8225A"/>
    <w:rsid w:val="00A94577"/>
    <w:rsid w:val="00AA029F"/>
    <w:rsid w:val="00AA58EB"/>
    <w:rsid w:val="00AA7A0D"/>
    <w:rsid w:val="00AB113B"/>
    <w:rsid w:val="00AD2FD2"/>
    <w:rsid w:val="00AD41E6"/>
    <w:rsid w:val="00AD4ECF"/>
    <w:rsid w:val="00AD64D1"/>
    <w:rsid w:val="00AD70C8"/>
    <w:rsid w:val="00AE094D"/>
    <w:rsid w:val="00AF6067"/>
    <w:rsid w:val="00B04039"/>
    <w:rsid w:val="00B07AAD"/>
    <w:rsid w:val="00B14B8B"/>
    <w:rsid w:val="00B15273"/>
    <w:rsid w:val="00B16887"/>
    <w:rsid w:val="00B1746F"/>
    <w:rsid w:val="00B26A8C"/>
    <w:rsid w:val="00B27A2B"/>
    <w:rsid w:val="00B31F00"/>
    <w:rsid w:val="00B32EF4"/>
    <w:rsid w:val="00B351A2"/>
    <w:rsid w:val="00B41959"/>
    <w:rsid w:val="00B42C18"/>
    <w:rsid w:val="00B43CF7"/>
    <w:rsid w:val="00B44327"/>
    <w:rsid w:val="00B53944"/>
    <w:rsid w:val="00B61FDD"/>
    <w:rsid w:val="00B758E7"/>
    <w:rsid w:val="00B75B80"/>
    <w:rsid w:val="00B81149"/>
    <w:rsid w:val="00B8672D"/>
    <w:rsid w:val="00B94FB1"/>
    <w:rsid w:val="00BA32B7"/>
    <w:rsid w:val="00BC7FBC"/>
    <w:rsid w:val="00BD11D6"/>
    <w:rsid w:val="00BD2A3B"/>
    <w:rsid w:val="00BD646D"/>
    <w:rsid w:val="00BD6A33"/>
    <w:rsid w:val="00BD7ED0"/>
    <w:rsid w:val="00BE5E06"/>
    <w:rsid w:val="00BE63C4"/>
    <w:rsid w:val="00BE643E"/>
    <w:rsid w:val="00BE7CED"/>
    <w:rsid w:val="00BF59BF"/>
    <w:rsid w:val="00C056B5"/>
    <w:rsid w:val="00C10630"/>
    <w:rsid w:val="00C12939"/>
    <w:rsid w:val="00C14E3B"/>
    <w:rsid w:val="00C23BA4"/>
    <w:rsid w:val="00C241B2"/>
    <w:rsid w:val="00C24609"/>
    <w:rsid w:val="00C27A10"/>
    <w:rsid w:val="00C34485"/>
    <w:rsid w:val="00C40AB3"/>
    <w:rsid w:val="00C42827"/>
    <w:rsid w:val="00C43805"/>
    <w:rsid w:val="00C43E24"/>
    <w:rsid w:val="00C45235"/>
    <w:rsid w:val="00C54174"/>
    <w:rsid w:val="00C60EF2"/>
    <w:rsid w:val="00C615B2"/>
    <w:rsid w:val="00C702F0"/>
    <w:rsid w:val="00C74553"/>
    <w:rsid w:val="00C8112C"/>
    <w:rsid w:val="00C84C38"/>
    <w:rsid w:val="00C87EF4"/>
    <w:rsid w:val="00CA0EA5"/>
    <w:rsid w:val="00CA623E"/>
    <w:rsid w:val="00CA630F"/>
    <w:rsid w:val="00CB4EB2"/>
    <w:rsid w:val="00CB7A41"/>
    <w:rsid w:val="00CC50EC"/>
    <w:rsid w:val="00CC7A0B"/>
    <w:rsid w:val="00CD0A52"/>
    <w:rsid w:val="00CD0EEF"/>
    <w:rsid w:val="00CD558B"/>
    <w:rsid w:val="00CD64CD"/>
    <w:rsid w:val="00CE2041"/>
    <w:rsid w:val="00CE3059"/>
    <w:rsid w:val="00CE4960"/>
    <w:rsid w:val="00CE56FA"/>
    <w:rsid w:val="00CE5B6F"/>
    <w:rsid w:val="00CE7480"/>
    <w:rsid w:val="00CF0912"/>
    <w:rsid w:val="00D0060C"/>
    <w:rsid w:val="00D027B8"/>
    <w:rsid w:val="00D04134"/>
    <w:rsid w:val="00D054E3"/>
    <w:rsid w:val="00D0571C"/>
    <w:rsid w:val="00D0679B"/>
    <w:rsid w:val="00D11879"/>
    <w:rsid w:val="00D12547"/>
    <w:rsid w:val="00D14285"/>
    <w:rsid w:val="00D22D44"/>
    <w:rsid w:val="00D378BA"/>
    <w:rsid w:val="00D40668"/>
    <w:rsid w:val="00D60794"/>
    <w:rsid w:val="00D6263A"/>
    <w:rsid w:val="00D6312E"/>
    <w:rsid w:val="00D75701"/>
    <w:rsid w:val="00D778D7"/>
    <w:rsid w:val="00D80BB4"/>
    <w:rsid w:val="00D83934"/>
    <w:rsid w:val="00D861C3"/>
    <w:rsid w:val="00D862C1"/>
    <w:rsid w:val="00D91A0C"/>
    <w:rsid w:val="00D9239C"/>
    <w:rsid w:val="00D95955"/>
    <w:rsid w:val="00D979AB"/>
    <w:rsid w:val="00DA1F36"/>
    <w:rsid w:val="00DA590C"/>
    <w:rsid w:val="00DA703D"/>
    <w:rsid w:val="00DB54CF"/>
    <w:rsid w:val="00DC1546"/>
    <w:rsid w:val="00DC69B8"/>
    <w:rsid w:val="00DD2172"/>
    <w:rsid w:val="00DD4A09"/>
    <w:rsid w:val="00DD4C25"/>
    <w:rsid w:val="00DD6A1F"/>
    <w:rsid w:val="00DE4C00"/>
    <w:rsid w:val="00DE5C67"/>
    <w:rsid w:val="00DF2449"/>
    <w:rsid w:val="00DF7ACF"/>
    <w:rsid w:val="00E004CA"/>
    <w:rsid w:val="00E03391"/>
    <w:rsid w:val="00E0373B"/>
    <w:rsid w:val="00E07308"/>
    <w:rsid w:val="00E14474"/>
    <w:rsid w:val="00E179B5"/>
    <w:rsid w:val="00E26286"/>
    <w:rsid w:val="00E30AC2"/>
    <w:rsid w:val="00E33D84"/>
    <w:rsid w:val="00E34813"/>
    <w:rsid w:val="00E356D2"/>
    <w:rsid w:val="00E401B3"/>
    <w:rsid w:val="00E458DA"/>
    <w:rsid w:val="00E5687E"/>
    <w:rsid w:val="00E639CC"/>
    <w:rsid w:val="00E63D5B"/>
    <w:rsid w:val="00E671AD"/>
    <w:rsid w:val="00E7497D"/>
    <w:rsid w:val="00E83E40"/>
    <w:rsid w:val="00E857B8"/>
    <w:rsid w:val="00E907E5"/>
    <w:rsid w:val="00E943B8"/>
    <w:rsid w:val="00EA11F7"/>
    <w:rsid w:val="00EA20B9"/>
    <w:rsid w:val="00EA43B4"/>
    <w:rsid w:val="00EA4549"/>
    <w:rsid w:val="00EB59D7"/>
    <w:rsid w:val="00EC1A0F"/>
    <w:rsid w:val="00ED0B37"/>
    <w:rsid w:val="00ED22DF"/>
    <w:rsid w:val="00ED4C66"/>
    <w:rsid w:val="00ED6781"/>
    <w:rsid w:val="00EE485B"/>
    <w:rsid w:val="00EE4BD8"/>
    <w:rsid w:val="00EF3685"/>
    <w:rsid w:val="00EF5BA0"/>
    <w:rsid w:val="00F13600"/>
    <w:rsid w:val="00F15FC0"/>
    <w:rsid w:val="00F17042"/>
    <w:rsid w:val="00F175D1"/>
    <w:rsid w:val="00F2168D"/>
    <w:rsid w:val="00F21DA9"/>
    <w:rsid w:val="00F22A75"/>
    <w:rsid w:val="00F3059E"/>
    <w:rsid w:val="00F30C1E"/>
    <w:rsid w:val="00F3185D"/>
    <w:rsid w:val="00F35217"/>
    <w:rsid w:val="00F35C50"/>
    <w:rsid w:val="00F37B8F"/>
    <w:rsid w:val="00F42D68"/>
    <w:rsid w:val="00F436FE"/>
    <w:rsid w:val="00F500D2"/>
    <w:rsid w:val="00F51A9D"/>
    <w:rsid w:val="00F56311"/>
    <w:rsid w:val="00F57792"/>
    <w:rsid w:val="00F60048"/>
    <w:rsid w:val="00F6185A"/>
    <w:rsid w:val="00F70A2F"/>
    <w:rsid w:val="00F73FE2"/>
    <w:rsid w:val="00F74944"/>
    <w:rsid w:val="00F77370"/>
    <w:rsid w:val="00F8497C"/>
    <w:rsid w:val="00F91E41"/>
    <w:rsid w:val="00FA238D"/>
    <w:rsid w:val="00FA3835"/>
    <w:rsid w:val="00FA6816"/>
    <w:rsid w:val="00FB5D79"/>
    <w:rsid w:val="00FE3D91"/>
    <w:rsid w:val="00FE55D2"/>
    <w:rsid w:val="00FF5179"/>
    <w:rsid w:val="00FF728E"/>
    <w:rsid w:val="020B291A"/>
    <w:rsid w:val="02392A25"/>
    <w:rsid w:val="051B3A05"/>
    <w:rsid w:val="053E2C54"/>
    <w:rsid w:val="062419DF"/>
    <w:rsid w:val="06F02823"/>
    <w:rsid w:val="0762073E"/>
    <w:rsid w:val="079E79DA"/>
    <w:rsid w:val="09120680"/>
    <w:rsid w:val="09A45050"/>
    <w:rsid w:val="09AB1C57"/>
    <w:rsid w:val="09FA1199"/>
    <w:rsid w:val="0A5B05D9"/>
    <w:rsid w:val="0ADF594B"/>
    <w:rsid w:val="0AE0030A"/>
    <w:rsid w:val="0BA90827"/>
    <w:rsid w:val="0C721436"/>
    <w:rsid w:val="0D515D8F"/>
    <w:rsid w:val="0D6B0DE4"/>
    <w:rsid w:val="0D8A6F81"/>
    <w:rsid w:val="0E39045D"/>
    <w:rsid w:val="0E936CC2"/>
    <w:rsid w:val="0EE967FA"/>
    <w:rsid w:val="0F4075C9"/>
    <w:rsid w:val="0F4672D5"/>
    <w:rsid w:val="0F4E40DD"/>
    <w:rsid w:val="0F6F4465"/>
    <w:rsid w:val="10E279BE"/>
    <w:rsid w:val="122264FF"/>
    <w:rsid w:val="122E6778"/>
    <w:rsid w:val="124949E7"/>
    <w:rsid w:val="128B5428"/>
    <w:rsid w:val="13285904"/>
    <w:rsid w:val="13465DF0"/>
    <w:rsid w:val="139D57EB"/>
    <w:rsid w:val="15D708BB"/>
    <w:rsid w:val="15F52619"/>
    <w:rsid w:val="17CB6513"/>
    <w:rsid w:val="17E30CEE"/>
    <w:rsid w:val="185D6BC0"/>
    <w:rsid w:val="18702D70"/>
    <w:rsid w:val="199030D2"/>
    <w:rsid w:val="19AE7309"/>
    <w:rsid w:val="1A18361C"/>
    <w:rsid w:val="1A902BB0"/>
    <w:rsid w:val="1A993654"/>
    <w:rsid w:val="1B9E3D36"/>
    <w:rsid w:val="1BBA3A2F"/>
    <w:rsid w:val="1C686EB5"/>
    <w:rsid w:val="1C746B04"/>
    <w:rsid w:val="1C8F2A04"/>
    <w:rsid w:val="1CFB4A8A"/>
    <w:rsid w:val="1D204B3F"/>
    <w:rsid w:val="1D8B6157"/>
    <w:rsid w:val="1E2D15D7"/>
    <w:rsid w:val="1F6D10F3"/>
    <w:rsid w:val="20365C75"/>
    <w:rsid w:val="20863AF3"/>
    <w:rsid w:val="20FD3BD3"/>
    <w:rsid w:val="218B2C39"/>
    <w:rsid w:val="22597BF6"/>
    <w:rsid w:val="227819CB"/>
    <w:rsid w:val="23256975"/>
    <w:rsid w:val="23423424"/>
    <w:rsid w:val="23EA6B2E"/>
    <w:rsid w:val="240C4724"/>
    <w:rsid w:val="243F7370"/>
    <w:rsid w:val="24E93CA3"/>
    <w:rsid w:val="26053E04"/>
    <w:rsid w:val="266D2F7E"/>
    <w:rsid w:val="26DD3CEE"/>
    <w:rsid w:val="27F05BD9"/>
    <w:rsid w:val="285745BD"/>
    <w:rsid w:val="2A8E004C"/>
    <w:rsid w:val="2B6A1BE2"/>
    <w:rsid w:val="2C083F8D"/>
    <w:rsid w:val="2CB90995"/>
    <w:rsid w:val="2D2D2481"/>
    <w:rsid w:val="2D5179CF"/>
    <w:rsid w:val="2ED5581D"/>
    <w:rsid w:val="2F25260C"/>
    <w:rsid w:val="308A097E"/>
    <w:rsid w:val="319039E6"/>
    <w:rsid w:val="32085AE3"/>
    <w:rsid w:val="327F0D3B"/>
    <w:rsid w:val="32E25230"/>
    <w:rsid w:val="330C2359"/>
    <w:rsid w:val="331A4758"/>
    <w:rsid w:val="3369385E"/>
    <w:rsid w:val="33CA23C6"/>
    <w:rsid w:val="351101A8"/>
    <w:rsid w:val="35C0542C"/>
    <w:rsid w:val="372B2789"/>
    <w:rsid w:val="37CE32A7"/>
    <w:rsid w:val="384F06F9"/>
    <w:rsid w:val="395026E3"/>
    <w:rsid w:val="39A43A9C"/>
    <w:rsid w:val="39E934A2"/>
    <w:rsid w:val="3A8669A4"/>
    <w:rsid w:val="3AC54CA3"/>
    <w:rsid w:val="3AE72E6B"/>
    <w:rsid w:val="3AFF33E8"/>
    <w:rsid w:val="3C2D3B80"/>
    <w:rsid w:val="3D476359"/>
    <w:rsid w:val="3D9A658C"/>
    <w:rsid w:val="3DE10046"/>
    <w:rsid w:val="3DEE1D80"/>
    <w:rsid w:val="3DF338D5"/>
    <w:rsid w:val="3EA378DA"/>
    <w:rsid w:val="3EF73899"/>
    <w:rsid w:val="3F651E10"/>
    <w:rsid w:val="3F6F78D3"/>
    <w:rsid w:val="421D2FF5"/>
    <w:rsid w:val="426C16E4"/>
    <w:rsid w:val="43D85920"/>
    <w:rsid w:val="442F62DC"/>
    <w:rsid w:val="443B5FD6"/>
    <w:rsid w:val="459220B9"/>
    <w:rsid w:val="46DB7A17"/>
    <w:rsid w:val="48333FF5"/>
    <w:rsid w:val="485E6BC5"/>
    <w:rsid w:val="48E62910"/>
    <w:rsid w:val="49FA5FEB"/>
    <w:rsid w:val="4A3E0C6F"/>
    <w:rsid w:val="4B914BF5"/>
    <w:rsid w:val="4C2B7286"/>
    <w:rsid w:val="4C7D3400"/>
    <w:rsid w:val="4CB230FF"/>
    <w:rsid w:val="4CE52F83"/>
    <w:rsid w:val="4D413CB4"/>
    <w:rsid w:val="4EE564B0"/>
    <w:rsid w:val="4F3512E0"/>
    <w:rsid w:val="4F8D414D"/>
    <w:rsid w:val="4FFC159D"/>
    <w:rsid w:val="51CD3614"/>
    <w:rsid w:val="522400A9"/>
    <w:rsid w:val="531539E5"/>
    <w:rsid w:val="53434CED"/>
    <w:rsid w:val="53D55AFF"/>
    <w:rsid w:val="53FC6986"/>
    <w:rsid w:val="54A60BE9"/>
    <w:rsid w:val="559A7000"/>
    <w:rsid w:val="56101070"/>
    <w:rsid w:val="5628185A"/>
    <w:rsid w:val="56770AFB"/>
    <w:rsid w:val="573C6F55"/>
    <w:rsid w:val="57D63A28"/>
    <w:rsid w:val="57F95C42"/>
    <w:rsid w:val="581B6CF3"/>
    <w:rsid w:val="582B4142"/>
    <w:rsid w:val="58527420"/>
    <w:rsid w:val="585F0652"/>
    <w:rsid w:val="58743E2D"/>
    <w:rsid w:val="58E701E7"/>
    <w:rsid w:val="591A5625"/>
    <w:rsid w:val="5980136F"/>
    <w:rsid w:val="59DD58A1"/>
    <w:rsid w:val="5ACC2442"/>
    <w:rsid w:val="5AE900E2"/>
    <w:rsid w:val="5C7F1F93"/>
    <w:rsid w:val="5D89084C"/>
    <w:rsid w:val="5E72647F"/>
    <w:rsid w:val="5E834DD9"/>
    <w:rsid w:val="5EFF5A73"/>
    <w:rsid w:val="5F236DE7"/>
    <w:rsid w:val="5FEE7E35"/>
    <w:rsid w:val="608E3660"/>
    <w:rsid w:val="614C50B2"/>
    <w:rsid w:val="61600CEA"/>
    <w:rsid w:val="617B7B59"/>
    <w:rsid w:val="620B4DE2"/>
    <w:rsid w:val="621505DC"/>
    <w:rsid w:val="625D22A8"/>
    <w:rsid w:val="62914838"/>
    <w:rsid w:val="63025693"/>
    <w:rsid w:val="64187FBF"/>
    <w:rsid w:val="648D7D30"/>
    <w:rsid w:val="649A3F22"/>
    <w:rsid w:val="657340D8"/>
    <w:rsid w:val="65C0401D"/>
    <w:rsid w:val="662648F8"/>
    <w:rsid w:val="665F1537"/>
    <w:rsid w:val="67D85B6C"/>
    <w:rsid w:val="68ED6A71"/>
    <w:rsid w:val="69317B0A"/>
    <w:rsid w:val="69F67FAD"/>
    <w:rsid w:val="6A9734A6"/>
    <w:rsid w:val="6BFA67BA"/>
    <w:rsid w:val="6C2C0988"/>
    <w:rsid w:val="6C67192F"/>
    <w:rsid w:val="6CE60189"/>
    <w:rsid w:val="6DF24FA7"/>
    <w:rsid w:val="6E04301E"/>
    <w:rsid w:val="6E0A4F43"/>
    <w:rsid w:val="6E3D2BC1"/>
    <w:rsid w:val="6ECE1688"/>
    <w:rsid w:val="6F135C55"/>
    <w:rsid w:val="6F215C44"/>
    <w:rsid w:val="6F5A2F04"/>
    <w:rsid w:val="6FDA0E9E"/>
    <w:rsid w:val="71575F19"/>
    <w:rsid w:val="72857DC1"/>
    <w:rsid w:val="732820F7"/>
    <w:rsid w:val="734D446A"/>
    <w:rsid w:val="740972B4"/>
    <w:rsid w:val="746B0D64"/>
    <w:rsid w:val="74C80B12"/>
    <w:rsid w:val="7511200C"/>
    <w:rsid w:val="759B0467"/>
    <w:rsid w:val="774A1FD3"/>
    <w:rsid w:val="77FE4FE3"/>
    <w:rsid w:val="78C830A0"/>
    <w:rsid w:val="78D36201"/>
    <w:rsid w:val="792F1A3C"/>
    <w:rsid w:val="793270FF"/>
    <w:rsid w:val="79B5177D"/>
    <w:rsid w:val="79CD520C"/>
    <w:rsid w:val="7A463EB9"/>
    <w:rsid w:val="7A8377B3"/>
    <w:rsid w:val="7AB91175"/>
    <w:rsid w:val="7CD608CD"/>
    <w:rsid w:val="7D9D4043"/>
    <w:rsid w:val="7E9D0BC6"/>
    <w:rsid w:val="7F8942DD"/>
    <w:rsid w:val="7FD20CF9"/>
    <w:rsid w:val="BFF5CD46"/>
    <w:rsid w:val="DBE4F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99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5">
    <w:name w:val="heading 2"/>
    <w:basedOn w:val="1"/>
    <w:next w:val="6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7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8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9">
    <w:name w:val="heading 5"/>
    <w:basedOn w:val="1"/>
    <w:next w:val="6"/>
    <w:qFormat/>
    <w:uiPriority w:val="0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10">
    <w:name w:val="heading 6"/>
    <w:basedOn w:val="1"/>
    <w:next w:val="6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11">
    <w:name w:val="heading 7"/>
    <w:basedOn w:val="1"/>
    <w:next w:val="6"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2">
    <w:name w:val="heading 8"/>
    <w:basedOn w:val="1"/>
    <w:next w:val="6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3">
    <w:name w:val="heading 9"/>
    <w:basedOn w:val="1"/>
    <w:next w:val="6"/>
    <w:qFormat/>
    <w:uiPriority w:val="0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1">
    <w:name w:val="Default Paragraph Font"/>
    <w:semiHidden/>
    <w:unhideWhenUsed/>
    <w:qFormat/>
    <w:uiPriority w:val="1"/>
  </w:style>
  <w:style w:type="table" w:default="1" w:styleId="3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4">
    <w:name w:val="toc 7"/>
    <w:basedOn w:val="1"/>
    <w:next w:val="1"/>
    <w:qFormat/>
    <w:uiPriority w:val="0"/>
    <w:pPr>
      <w:ind w:left="2520" w:leftChars="1200"/>
    </w:pPr>
    <w:rPr>
      <w:rFonts w:ascii="Cambria" w:hAnsi="Cambria"/>
      <w:szCs w:val="21"/>
    </w:rPr>
  </w:style>
  <w:style w:type="paragraph" w:styleId="15">
    <w:name w:val="Document Map"/>
    <w:basedOn w:val="1"/>
    <w:semiHidden/>
    <w:qFormat/>
    <w:uiPriority w:val="0"/>
    <w:pPr>
      <w:shd w:val="clear" w:color="auto" w:fill="000080"/>
    </w:pPr>
  </w:style>
  <w:style w:type="paragraph" w:styleId="16">
    <w:name w:val="annotation text"/>
    <w:basedOn w:val="1"/>
    <w:link w:val="49"/>
    <w:qFormat/>
    <w:uiPriority w:val="99"/>
    <w:pPr>
      <w:jc w:val="left"/>
    </w:pPr>
    <w:rPr>
      <w:rFonts w:ascii="Cambria" w:hAnsi="Cambria"/>
      <w:szCs w:val="21"/>
    </w:rPr>
  </w:style>
  <w:style w:type="paragraph" w:styleId="17">
    <w:name w:val="Body Text 3"/>
    <w:basedOn w:val="1"/>
    <w:qFormat/>
    <w:uiPriority w:val="0"/>
    <w:pPr>
      <w:widowControl/>
      <w:ind w:right="720"/>
      <w:jc w:val="left"/>
    </w:pPr>
    <w:rPr>
      <w:kern w:val="0"/>
      <w:sz w:val="20"/>
      <w:szCs w:val="20"/>
      <w:lang w:eastAsia="en-US"/>
    </w:rPr>
  </w:style>
  <w:style w:type="paragraph" w:styleId="18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19">
    <w:name w:val="toc 5"/>
    <w:basedOn w:val="1"/>
    <w:next w:val="1"/>
    <w:qFormat/>
    <w:uiPriority w:val="0"/>
    <w:pPr>
      <w:ind w:left="1680" w:leftChars="800"/>
    </w:pPr>
    <w:rPr>
      <w:rFonts w:ascii="Cambria" w:hAnsi="Cambria"/>
      <w:szCs w:val="21"/>
    </w:rPr>
  </w:style>
  <w:style w:type="paragraph" w:styleId="20">
    <w:name w:val="toc 3"/>
    <w:basedOn w:val="1"/>
    <w:next w:val="1"/>
    <w:qFormat/>
    <w:uiPriority w:val="0"/>
    <w:pPr>
      <w:ind w:left="840" w:leftChars="400"/>
    </w:pPr>
    <w:rPr>
      <w:rFonts w:ascii="Cambria" w:hAnsi="Cambria"/>
      <w:szCs w:val="21"/>
    </w:rPr>
  </w:style>
  <w:style w:type="paragraph" w:styleId="21">
    <w:name w:val="Plain Text"/>
    <w:basedOn w:val="1"/>
    <w:link w:val="50"/>
    <w:qFormat/>
    <w:uiPriority w:val="99"/>
    <w:rPr>
      <w:rFonts w:ascii="宋体" w:hAnsi="Courier New"/>
      <w:szCs w:val="20"/>
    </w:rPr>
  </w:style>
  <w:style w:type="paragraph" w:styleId="22">
    <w:name w:val="toc 8"/>
    <w:basedOn w:val="1"/>
    <w:next w:val="1"/>
    <w:qFormat/>
    <w:uiPriority w:val="0"/>
    <w:pPr>
      <w:ind w:left="2940" w:leftChars="1400"/>
    </w:pPr>
    <w:rPr>
      <w:rFonts w:ascii="Cambria" w:hAnsi="Cambria"/>
      <w:szCs w:val="21"/>
    </w:rPr>
  </w:style>
  <w:style w:type="paragraph" w:styleId="23">
    <w:name w:val="Date"/>
    <w:basedOn w:val="1"/>
    <w:next w:val="1"/>
    <w:link w:val="51"/>
    <w:qFormat/>
    <w:uiPriority w:val="0"/>
    <w:rPr>
      <w:szCs w:val="20"/>
    </w:rPr>
  </w:style>
  <w:style w:type="paragraph" w:styleId="24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25">
    <w:name w:val="Balloon Text"/>
    <w:basedOn w:val="1"/>
    <w:semiHidden/>
    <w:qFormat/>
    <w:uiPriority w:val="0"/>
    <w:rPr>
      <w:sz w:val="18"/>
      <w:szCs w:val="18"/>
    </w:rPr>
  </w:style>
  <w:style w:type="paragraph" w:styleId="26">
    <w:name w:val="footer"/>
    <w:basedOn w:val="1"/>
    <w:link w:val="5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qFormat/>
    <w:uiPriority w:val="39"/>
    <w:pPr>
      <w:tabs>
        <w:tab w:val="right" w:leader="dot" w:pos="9061"/>
      </w:tabs>
    </w:pPr>
    <w:rPr>
      <w:rFonts w:ascii="仿宋_GB2312" w:hAnsi="宋体" w:eastAsia="仿宋_GB2312" w:cs="仿宋_GB2312"/>
      <w:color w:val="000000"/>
      <w:szCs w:val="21"/>
    </w:rPr>
  </w:style>
  <w:style w:type="paragraph" w:styleId="29">
    <w:name w:val="toc 4"/>
    <w:basedOn w:val="1"/>
    <w:next w:val="1"/>
    <w:qFormat/>
    <w:uiPriority w:val="0"/>
    <w:pPr>
      <w:ind w:left="1260" w:leftChars="600"/>
    </w:pPr>
    <w:rPr>
      <w:rFonts w:ascii="Cambria" w:hAnsi="Cambria"/>
      <w:szCs w:val="21"/>
    </w:rPr>
  </w:style>
  <w:style w:type="paragraph" w:styleId="30">
    <w:name w:val="toc 6"/>
    <w:basedOn w:val="1"/>
    <w:next w:val="1"/>
    <w:qFormat/>
    <w:uiPriority w:val="0"/>
    <w:pPr>
      <w:ind w:left="2100" w:leftChars="1000"/>
    </w:pPr>
    <w:rPr>
      <w:rFonts w:ascii="Cambria" w:hAnsi="Cambria"/>
      <w:szCs w:val="21"/>
    </w:rPr>
  </w:style>
  <w:style w:type="paragraph" w:styleId="31">
    <w:name w:val="Body Text Indent 3"/>
    <w:basedOn w:val="1"/>
    <w:link w:val="54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hAnsi="Cambria" w:cs="宋体"/>
      <w:kern w:val="0"/>
      <w:sz w:val="24"/>
    </w:rPr>
  </w:style>
  <w:style w:type="paragraph" w:styleId="32">
    <w:name w:val="toc 2"/>
    <w:basedOn w:val="1"/>
    <w:next w:val="1"/>
    <w:qFormat/>
    <w:uiPriority w:val="0"/>
    <w:pPr>
      <w:spacing w:before="120" w:line="360" w:lineRule="auto"/>
    </w:pPr>
    <w:rPr>
      <w:rFonts w:ascii="仿宋_GB2312" w:hAnsi="宋体" w:eastAsia="仿宋_GB2312" w:cs="仿宋_GB2312"/>
      <w:b/>
      <w:bCs/>
      <w:sz w:val="24"/>
    </w:rPr>
  </w:style>
  <w:style w:type="paragraph" w:styleId="33">
    <w:name w:val="toc 9"/>
    <w:basedOn w:val="1"/>
    <w:next w:val="1"/>
    <w:qFormat/>
    <w:uiPriority w:val="0"/>
    <w:pPr>
      <w:ind w:left="3360" w:leftChars="1600"/>
    </w:pPr>
    <w:rPr>
      <w:rFonts w:ascii="Cambria" w:hAnsi="Cambria"/>
      <w:szCs w:val="21"/>
    </w:rPr>
  </w:style>
  <w:style w:type="paragraph" w:styleId="34">
    <w:name w:val="Body Text 2"/>
    <w:basedOn w:val="1"/>
    <w:qFormat/>
    <w:uiPriority w:val="0"/>
    <w:pPr>
      <w:widowControl/>
    </w:pPr>
    <w:rPr>
      <w:kern w:val="0"/>
      <w:sz w:val="20"/>
      <w:szCs w:val="20"/>
      <w:lang w:eastAsia="en-US"/>
    </w:rPr>
  </w:style>
  <w:style w:type="paragraph" w:styleId="3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paragraph" w:styleId="36">
    <w:name w:val="index 1"/>
    <w:basedOn w:val="1"/>
    <w:next w:val="1"/>
    <w:qFormat/>
    <w:uiPriority w:val="0"/>
    <w:rPr>
      <w:rFonts w:ascii="Cambria" w:hAnsi="Cambria"/>
      <w:szCs w:val="21"/>
    </w:rPr>
  </w:style>
  <w:style w:type="paragraph" w:styleId="37">
    <w:name w:val="Title"/>
    <w:basedOn w:val="1"/>
    <w:qFormat/>
    <w:uiPriority w:val="0"/>
    <w:pPr>
      <w:jc w:val="center"/>
    </w:pPr>
    <w:rPr>
      <w:sz w:val="30"/>
    </w:rPr>
  </w:style>
  <w:style w:type="paragraph" w:styleId="38">
    <w:name w:val="annotation subject"/>
    <w:basedOn w:val="16"/>
    <w:next w:val="16"/>
    <w:link w:val="55"/>
    <w:qFormat/>
    <w:uiPriority w:val="0"/>
    <w:rPr>
      <w:rFonts w:ascii="Times New Roman" w:hAnsi="Times New Roman"/>
      <w:b/>
      <w:bCs/>
      <w:szCs w:val="24"/>
    </w:rPr>
  </w:style>
  <w:style w:type="table" w:styleId="40">
    <w:name w:val="Table Grid"/>
    <w:basedOn w:val="3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2">
    <w:name w:val="Strong"/>
    <w:qFormat/>
    <w:uiPriority w:val="22"/>
    <w:rPr>
      <w:b/>
      <w:bCs/>
    </w:rPr>
  </w:style>
  <w:style w:type="character" w:styleId="43">
    <w:name w:val="page number"/>
    <w:qFormat/>
    <w:uiPriority w:val="0"/>
  </w:style>
  <w:style w:type="character" w:styleId="44">
    <w:name w:val="FollowedHyperlink"/>
    <w:qFormat/>
    <w:uiPriority w:val="0"/>
    <w:rPr>
      <w:color w:val="800080"/>
      <w:u w:val="single"/>
    </w:rPr>
  </w:style>
  <w:style w:type="character" w:styleId="45">
    <w:name w:val="Emphasis"/>
    <w:qFormat/>
    <w:uiPriority w:val="20"/>
    <w:rPr>
      <w:i/>
      <w:iCs/>
    </w:rPr>
  </w:style>
  <w:style w:type="character" w:styleId="46">
    <w:name w:val="Hyperlink"/>
    <w:qFormat/>
    <w:uiPriority w:val="99"/>
    <w:rPr>
      <w:color w:val="0000FF"/>
      <w:u w:val="single"/>
    </w:rPr>
  </w:style>
  <w:style w:type="character" w:styleId="47">
    <w:name w:val="annotation reference"/>
    <w:qFormat/>
    <w:uiPriority w:val="99"/>
    <w:rPr>
      <w:sz w:val="21"/>
      <w:szCs w:val="21"/>
    </w:rPr>
  </w:style>
  <w:style w:type="paragraph" w:customStyle="1" w:styleId="48">
    <w:name w:val="四级标题"/>
    <w:basedOn w:val="23"/>
    <w:qFormat/>
    <w:uiPriority w:val="99"/>
    <w:rPr>
      <w:rFonts w:eastAsia="黑体"/>
    </w:rPr>
  </w:style>
  <w:style w:type="character" w:customStyle="1" w:styleId="49">
    <w:name w:val="批注文字 字符"/>
    <w:link w:val="16"/>
    <w:qFormat/>
    <w:uiPriority w:val="99"/>
    <w:rPr>
      <w:rFonts w:ascii="Cambria" w:hAnsi="Cambria"/>
      <w:kern w:val="2"/>
      <w:sz w:val="21"/>
      <w:szCs w:val="21"/>
    </w:rPr>
  </w:style>
  <w:style w:type="character" w:customStyle="1" w:styleId="50">
    <w:name w:val="纯文本 字符"/>
    <w:link w:val="21"/>
    <w:qFormat/>
    <w:uiPriority w:val="99"/>
    <w:rPr>
      <w:rFonts w:ascii="宋体" w:hAnsi="Courier New"/>
      <w:kern w:val="2"/>
      <w:sz w:val="21"/>
    </w:rPr>
  </w:style>
  <w:style w:type="character" w:customStyle="1" w:styleId="51">
    <w:name w:val="日期 字符"/>
    <w:link w:val="23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52">
    <w:name w:val="页脚 字符"/>
    <w:link w:val="26"/>
    <w:qFormat/>
    <w:uiPriority w:val="99"/>
    <w:rPr>
      <w:kern w:val="2"/>
      <w:sz w:val="18"/>
      <w:szCs w:val="18"/>
    </w:rPr>
  </w:style>
  <w:style w:type="character" w:customStyle="1" w:styleId="53">
    <w:name w:val="页眉 字符"/>
    <w:link w:val="27"/>
    <w:qFormat/>
    <w:uiPriority w:val="0"/>
    <w:rPr>
      <w:kern w:val="2"/>
      <w:sz w:val="18"/>
      <w:szCs w:val="18"/>
    </w:rPr>
  </w:style>
  <w:style w:type="character" w:customStyle="1" w:styleId="54">
    <w:name w:val="正文文本缩进 3 字符"/>
    <w:link w:val="31"/>
    <w:qFormat/>
    <w:uiPriority w:val="0"/>
    <w:rPr>
      <w:rFonts w:ascii="宋体" w:hAnsi="Cambria" w:cs="宋体"/>
      <w:sz w:val="24"/>
      <w:szCs w:val="24"/>
    </w:rPr>
  </w:style>
  <w:style w:type="character" w:customStyle="1" w:styleId="55">
    <w:name w:val="批注主题 字符"/>
    <w:link w:val="38"/>
    <w:qFormat/>
    <w:uiPriority w:val="0"/>
    <w:rPr>
      <w:rFonts w:ascii="Cambria" w:hAnsi="Cambria"/>
      <w:b/>
      <w:bCs/>
      <w:kern w:val="2"/>
      <w:sz w:val="21"/>
      <w:szCs w:val="24"/>
    </w:rPr>
  </w:style>
  <w:style w:type="character" w:customStyle="1" w:styleId="56">
    <w:name w:val="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paragraph" w:customStyle="1" w:styleId="57">
    <w:name w:val="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58">
    <w:name w:val="彩色列表 - 强调文字颜色 1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59">
    <w:name w:val="正文文本 21"/>
    <w:basedOn w:val="1"/>
    <w:qFormat/>
    <w:uiPriority w:val="0"/>
    <w:pPr>
      <w:adjustRightInd w:val="0"/>
      <w:spacing w:before="120" w:line="360" w:lineRule="auto"/>
      <w:ind w:firstLine="480"/>
      <w:textAlignment w:val="baseline"/>
    </w:pPr>
    <w:rPr>
      <w:sz w:val="24"/>
      <w:szCs w:val="20"/>
    </w:rPr>
  </w:style>
  <w:style w:type="paragraph" w:customStyle="1" w:styleId="60">
    <w:name w:val="文档正文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长城仿宋"/>
      <w:kern w:val="0"/>
      <w:sz w:val="24"/>
      <w:szCs w:val="20"/>
    </w:rPr>
  </w:style>
  <w:style w:type="paragraph" w:customStyle="1" w:styleId="61">
    <w:name w:val="正文文本缩进 21"/>
    <w:basedOn w:val="1"/>
    <w:qFormat/>
    <w:uiPriority w:val="0"/>
    <w:pPr>
      <w:adjustRightInd w:val="0"/>
      <w:spacing w:before="120"/>
      <w:ind w:firstLine="420"/>
      <w:textAlignment w:val="baseline"/>
    </w:pPr>
    <w:rPr>
      <w:sz w:val="24"/>
      <w:szCs w:val="20"/>
    </w:rPr>
  </w:style>
  <w:style w:type="character" w:customStyle="1" w:styleId="62">
    <w:name w:val="Char2"/>
    <w:qFormat/>
    <w:uiPriority w:val="0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customStyle="1" w:styleId="63">
    <w:name w:val="标题1"/>
    <w:basedOn w:val="37"/>
    <w:qFormat/>
    <w:uiPriority w:val="0"/>
    <w:pPr>
      <w:spacing w:before="240" w:after="240"/>
      <w:outlineLvl w:val="0"/>
    </w:pPr>
    <w:rPr>
      <w:rFonts w:ascii="Arial" w:hAnsi="Arial" w:cs="Arial"/>
      <w:b/>
      <w:bCs/>
      <w:spacing w:val="2"/>
      <w:sz w:val="44"/>
      <w:szCs w:val="44"/>
    </w:rPr>
  </w:style>
  <w:style w:type="paragraph" w:customStyle="1" w:styleId="64">
    <w:name w:val="附录标题3"/>
    <w:basedOn w:val="1"/>
    <w:next w:val="6"/>
    <w:qFormat/>
    <w:uiPriority w:val="0"/>
    <w:pPr>
      <w:tabs>
        <w:tab w:val="left" w:pos="1080"/>
        <w:tab w:val="left" w:pos="2880"/>
      </w:tabs>
      <w:ind w:left="2880" w:hanging="720"/>
      <w:outlineLvl w:val="0"/>
    </w:pPr>
    <w:rPr>
      <w:rFonts w:ascii="Arial" w:hAnsi="Arial" w:cs="Arial"/>
      <w:sz w:val="24"/>
    </w:rPr>
  </w:style>
  <w:style w:type="paragraph" w:customStyle="1" w:styleId="65">
    <w:name w:val="样式"/>
    <w:basedOn w:val="1"/>
    <w:next w:val="21"/>
    <w:qFormat/>
    <w:uiPriority w:val="0"/>
    <w:rPr>
      <w:rFonts w:ascii="宋体" w:hAnsi="Courier New" w:cs="宋体"/>
      <w:szCs w:val="21"/>
    </w:rPr>
  </w:style>
  <w:style w:type="paragraph" w:customStyle="1" w:styleId="66">
    <w:name w:val="Char1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67">
    <w:name w:val="Char Char Char Char"/>
    <w:basedOn w:val="1"/>
    <w:qFormat/>
    <w:uiPriority w:val="0"/>
    <w:pPr>
      <w:spacing w:after="160" w:line="240" w:lineRule="exact"/>
    </w:pPr>
    <w:rPr>
      <w:rFonts w:ascii="Cambria" w:hAnsi="Cambria"/>
      <w:szCs w:val="21"/>
    </w:rPr>
  </w:style>
  <w:style w:type="paragraph" w:customStyle="1" w:styleId="68">
    <w:name w:val="trs_edit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69">
    <w:name w:val="List Paragraph"/>
    <w:basedOn w:val="1"/>
    <w:qFormat/>
    <w:uiPriority w:val="34"/>
    <w:pPr>
      <w:ind w:left="205" w:right="169" w:firstLine="655"/>
    </w:pPr>
    <w:rPr>
      <w:rFonts w:ascii="Cambria" w:hAnsi="Cambria"/>
      <w:szCs w:val="21"/>
    </w:rPr>
  </w:style>
  <w:style w:type="table" w:customStyle="1" w:styleId="70">
    <w:name w:val="Table Normal"/>
    <w:unhideWhenUsed/>
    <w:qFormat/>
    <w:uiPriority w:val="2"/>
    <w:pPr>
      <w:widowControl w:val="0"/>
      <w:autoSpaceDE w:val="0"/>
      <w:autoSpaceDN w:val="0"/>
    </w:pPr>
    <w:rPr>
      <w:rFonts w:ascii="Cambria" w:hAnsi="Cambria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1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72">
    <w:name w:val="xl25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Cs w:val="21"/>
    </w:rPr>
  </w:style>
  <w:style w:type="paragraph" w:customStyle="1" w:styleId="73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74">
    <w:name w:val="_Style 71"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5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6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7">
    <w:name w:val="修订3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78">
    <w:name w:val="修订4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8</Pages>
  <Words>8384</Words>
  <Characters>9115</Characters>
  <Lines>1510</Lines>
  <Paragraphs>1460</Paragraphs>
  <TotalTime>17</TotalTime>
  <ScaleCrop>false</ScaleCrop>
  <LinksUpToDate>false</LinksUpToDate>
  <CharactersWithSpaces>9307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2026-07-29T07:14:00Z</dcterms:created>
  <dc:creator>caowuning</dc:creator>
  <cp:lastModifiedBy>C.X.F</cp:lastModifiedBy>
  <cp:lastPrinted>2009-04-21T17:03:00Z</cp:lastPrinted>
  <dcterms:modified xsi:type="dcterms:W3CDTF">2026-07-31T03:03:20Z</dcterms:modified>
  <dc:title>北 京 市 政 府 采 购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56D84E0983F2455A83136B5A01DB79FB_13</vt:lpwstr>
  </property>
  <property fmtid="{D5CDD505-2E9C-101B-9397-08002B2CF9AE}" pid="4" name="KSOTemplateDocerSaveRecord">
    <vt:lpwstr>eyJoZGlkIjoiMjg3MTY3Njg1YTYzNTg5NmFiY2UwNjI5N2Q3MTcyY2MiLCJ1c2VySWQiOiI3MTgzNDAyNjIifQ==</vt:lpwstr>
  </property>
</Properties>
</file>