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numId w:val="0"/>
        </w:numPr>
        <w:jc w:val="both"/>
        <w:rPr>
          <w:color w:val="auto"/>
          <w:highlight w:val="none"/>
        </w:rPr>
      </w:pPr>
    </w:p>
    <w:p>
      <w:pPr>
        <w:pStyle w:val="4"/>
        <w:ind w:firstLine="0"/>
        <w:rPr>
          <w:b/>
          <w:bCs/>
          <w:color w:val="auto"/>
          <w:sz w:val="28"/>
          <w:szCs w:val="28"/>
          <w:highlight w:val="none"/>
        </w:rPr>
      </w:pPr>
      <w:r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  <w:t>第三</w:t>
      </w:r>
      <w:r>
        <w:rPr>
          <w:rFonts w:hint="eastAsia"/>
          <w:b/>
          <w:bCs/>
          <w:color w:val="auto"/>
          <w:sz w:val="28"/>
          <w:szCs w:val="28"/>
          <w:highlight w:val="none"/>
        </w:rPr>
        <w:t>包</w:t>
      </w:r>
    </w:p>
    <w:tbl>
      <w:tblPr>
        <w:tblStyle w:val="6"/>
        <w:tblW w:w="553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2"/>
        <w:gridCol w:w="1100"/>
        <w:gridCol w:w="1417"/>
        <w:gridCol w:w="1179"/>
        <w:gridCol w:w="4667"/>
        <w:gridCol w:w="66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atLeast"/>
        </w:trPr>
        <w:tc>
          <w:tcPr>
            <w:tcW w:w="2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kern w:val="0"/>
                <w:sz w:val="24"/>
                <w:szCs w:val="24"/>
                <w:highlight w:val="none"/>
                <w:lang w:bidi="ar"/>
              </w:rPr>
              <w:t>8</w:t>
            </w:r>
          </w:p>
        </w:tc>
        <w:tc>
          <w:tcPr>
            <w:tcW w:w="58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kern w:val="0"/>
                <w:sz w:val="24"/>
                <w:szCs w:val="24"/>
                <w:highlight w:val="none"/>
                <w:lang w:bidi="ar"/>
              </w:rPr>
              <w:t>3</w:t>
            </w:r>
            <w:r>
              <w:rPr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（</w:t>
            </w:r>
            <w:r>
              <w:rPr>
                <w:color w:val="auto"/>
                <w:kern w:val="0"/>
                <w:sz w:val="24"/>
                <w:szCs w:val="24"/>
                <w:highlight w:val="none"/>
                <w:lang w:bidi="ar"/>
              </w:rPr>
              <w:t>140.84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）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军事毒剂检测仪</w:t>
            </w:r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20</w:t>
            </w:r>
          </w:p>
        </w:tc>
        <w:tc>
          <w:tcPr>
            <w:tcW w:w="2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★1、总体性能符合《化学毒剂报警器通用技术条件》（GB/T32187-2015）标准的要求</w:t>
            </w:r>
          </w:p>
          <w:p>
            <w:pPr>
              <w:widowControl/>
              <w:textAlignment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提供检测报告：按照须知前附表第29条执行；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2、采样方式 ：泵吸式自动进样；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3、电池运行时间：可充电锂电池，连续运行≥10h，充电时间≤4h；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4、低温测试环境≤-20℃的环境持续放置4h候后正常工作；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5、具备声音和图形报警模式，报警声≥80dB(A)；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6、防护等级 ≥IP67；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7、工作温度：-25℃～60℃；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▲8、可检测沙林（ GB )、索曼（ GD )、维埃克斯（ VX )、芥子气（ HD )、光气 等军事毒剂，根据需要可添加检测新样本，分析时间≤5s。</w:t>
            </w:r>
          </w:p>
        </w:tc>
        <w:tc>
          <w:tcPr>
            <w:tcW w:w="3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0" w:hRule="atLeast"/>
        </w:trPr>
        <w:tc>
          <w:tcPr>
            <w:tcW w:w="2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kern w:val="0"/>
                <w:sz w:val="24"/>
                <w:szCs w:val="24"/>
                <w:highlight w:val="none"/>
                <w:lang w:bidi="ar"/>
              </w:rPr>
              <w:t>11</w:t>
            </w:r>
          </w:p>
        </w:tc>
        <w:tc>
          <w:tcPr>
            <w:tcW w:w="58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复合气体检测仪（核心产品）</w:t>
            </w:r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6</w:t>
            </w:r>
          </w:p>
        </w:tc>
        <w:tc>
          <w:tcPr>
            <w:tcW w:w="2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★1、提供检测报告：按照须知前附表第29条执行；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▲2、内置PID挥发性有机物检测模块、可燃气体检测模块、有毒有害气体检测模块、氧气检测模块和X、γ射线检测模块；可监测气体包含可燃气体、硫化氢、二氧化硫、一氧化碳、氨气等不少于10种以上毒有害气体浓度和X、γ射线，具有氧气、可燃气、有毒有害气体、VOC挥发性有机污染物和电离辐射同步、实时监测功能，报警结果同屏显示；可根据实战需求配备不同检测气体的探头，主机气体采样方式为泵吸，具有中文操作界面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▲3、可通过遥控将气体探测仪远程放置在需要探测的区域，后台读取数值；遥控操距离要≥200m，反应时间≤10s，电池持续工作时间≥12h；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4、检测气体不低于以下范围：CO（0～100ppm）、CO</w:t>
            </w:r>
            <w:r>
              <w:rPr>
                <w:color w:val="auto"/>
                <w:kern w:val="0"/>
                <w:sz w:val="24"/>
                <w:szCs w:val="24"/>
                <w:highlight w:val="none"/>
                <w:lang w:bidi="ar"/>
              </w:rPr>
              <w:t>₂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（0～5000ppm）、CH2O（0～10ppm）、O</w:t>
            </w:r>
            <w:r>
              <w:rPr>
                <w:color w:val="auto"/>
                <w:kern w:val="0"/>
                <w:sz w:val="24"/>
                <w:szCs w:val="24"/>
                <w:highlight w:val="none"/>
                <w:lang w:bidi="ar"/>
              </w:rPr>
              <w:t>₃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（0～1ppm）、C6H6（0～10ppm）、TVOC（0～10ppm）；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5、检测气体分辨率不低于以下范围：CO（0.01ppm）、CO</w:t>
            </w:r>
            <w:r>
              <w:rPr>
                <w:color w:val="auto"/>
                <w:kern w:val="0"/>
                <w:sz w:val="24"/>
                <w:szCs w:val="24"/>
                <w:highlight w:val="none"/>
                <w:lang w:bidi="ar"/>
              </w:rPr>
              <w:t>₂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（1ppm）、CH2O（0.01ppm）、O</w:t>
            </w:r>
            <w:r>
              <w:rPr>
                <w:color w:val="auto"/>
                <w:kern w:val="0"/>
                <w:sz w:val="24"/>
                <w:szCs w:val="24"/>
                <w:highlight w:val="none"/>
                <w:lang w:bidi="ar"/>
              </w:rPr>
              <w:t>₃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（0.01ppm）、C6H6（0.01ppm）、TVOC（0.01ppm）；核辐射测量范围： 0.01uSv/h~10mSv/h。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6、检测精度≤±1%（F.S）；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7、带过充、过放、过压、过热、短路保护功能；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8、防爆等级≥Ex ib IIB T4 Gb，防护等级≥IP68（≥1.5米水深、30分钟及以上，不应出现渗水）；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▲9、报警器可接入网络平台或客户端进行数据管理、设备管理、云端数据分析等功能，可在平台实时监测系统运行状况，接收现场报警信息、故障信息及其他参数，实现危险物质的实时监测及传播预测，辅助决策。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▲10、整套系统由接收终端、软件、2套气体报警器及其他配件组成，所有检测数据可通过报警器直接读取，现场声光报警，也可通过无线传输到接收终端。</w:t>
            </w:r>
          </w:p>
        </w:tc>
        <w:tc>
          <w:tcPr>
            <w:tcW w:w="3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kern w:val="0"/>
                <w:sz w:val="24"/>
                <w:szCs w:val="24"/>
                <w:highlight w:val="none"/>
                <w:lang w:bidi="ar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atLeast"/>
        </w:trPr>
        <w:tc>
          <w:tcPr>
            <w:tcW w:w="2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kern w:val="0"/>
                <w:sz w:val="24"/>
                <w:szCs w:val="24"/>
                <w:highlight w:val="none"/>
                <w:lang w:bidi="ar"/>
              </w:rPr>
              <w:t>12</w:t>
            </w:r>
          </w:p>
        </w:tc>
        <w:tc>
          <w:tcPr>
            <w:tcW w:w="58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核辐射探测仪</w:t>
            </w:r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0.8</w:t>
            </w:r>
          </w:p>
        </w:tc>
        <w:tc>
          <w:tcPr>
            <w:tcW w:w="2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★1、提供检测报告：按照须知前附表第29条执行；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2、仪器可以探测现场环境，可远距离测量核射线，避免人体受到伤害设备可通过4G连接到云平台、实现气体、环境数据和定位信息实时上传至云端，便于远程监控现场数据和设备的实时位置；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▲3、设备整机电流≤8mA，设备待机时间≥48h，连续工作时间应≥2h，连续检测≥2000次；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▲4、在有效探测区域内，仪器应能对以下电离辐射发生响应：X射线，γ射线，α射线，β射线；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5、剂量率探测范围0.01μSv/hr-6Sv/hr；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6、温度范围：-20℃～60℃。</w:t>
            </w:r>
          </w:p>
        </w:tc>
        <w:tc>
          <w:tcPr>
            <w:tcW w:w="3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kern w:val="0"/>
                <w:sz w:val="24"/>
                <w:szCs w:val="24"/>
                <w:highlight w:val="none"/>
                <w:lang w:bidi="ar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0" w:hRule="atLeast"/>
        </w:trPr>
        <w:tc>
          <w:tcPr>
            <w:tcW w:w="2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kern w:val="0"/>
                <w:sz w:val="24"/>
                <w:szCs w:val="24"/>
                <w:highlight w:val="none"/>
                <w:lang w:bidi="ar"/>
              </w:rPr>
              <w:t>14</w:t>
            </w:r>
          </w:p>
        </w:tc>
        <w:tc>
          <w:tcPr>
            <w:tcW w:w="58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余震监测仪</w:t>
            </w:r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7.8</w:t>
            </w:r>
          </w:p>
        </w:tc>
        <w:tc>
          <w:tcPr>
            <w:tcW w:w="2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★1、提供检测报告：按照须知前附表第29条执行；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2、设备主要监测倾斜建筑物、玻璃、建筑大梁、混凝土墙体、金属罐体等，具备声光报警功能；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3、设备主机屏幕对角线≥6.5cm，可显示位移、震动实时数值、报警值等内容。可通过三维立体监测 X、Y、Z 三轴显示，分辨率≤0.01 度，精度≤0.1°。具有反向一键搜寻功能，可使各路位移报警器自动报警，反向定位监测仪位置；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▲4、设备具有反向一键搜寻功能，可使各路位移报警器自动报警，反向定位监测仪位置。设备标配4路余震位移监测器；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5、控制终端：≥8英寸液晶显示屏，按键和触摸2种操控方式，可显示角度震动实时数值、各监控器电量、各监控器报警状态、各监控器与主机连接状态、无线传输状态（主机和倾角监测模块开机可通过无线网络自动连接）等信息，并可与倾角监控器实现联动报警监控、监控精度调节等内容。主机能一键录音录像和一键拍照，照片可缩放查看，回放视频可快进快退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▲6、设备配置≥4路倾角监测仪，最大监测距离≥100m（空旷环境下）；具备声光报警功能，声光报警器报警声≥120dB，报警声可开启和关闭；报警阈值采用无极多档设计，可根据需要调节；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7、电池工作时间≥50h。</w:t>
            </w:r>
          </w:p>
        </w:tc>
        <w:tc>
          <w:tcPr>
            <w:tcW w:w="3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color w:val="auto"/>
                <w:kern w:val="0"/>
                <w:sz w:val="24"/>
                <w:szCs w:val="24"/>
                <w:highlight w:val="none"/>
                <w:lang w:bidi="ar"/>
              </w:rPr>
              <w:t>4</w:t>
            </w:r>
          </w:p>
        </w:tc>
      </w:tr>
    </w:tbl>
    <w:p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3" w:bottom="1440" w:left="1803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docGrid w:type="linesAndChars" w:linePitch="319" w:charSpace="57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right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140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HPF6wxAgAAY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xzxes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140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VmOWY4NzIzYTQ1N2FhOWY2MTI2Y2Y2NzVjNDk5OTMifQ=="/>
  </w:docVars>
  <w:rsids>
    <w:rsidRoot w:val="3FFE421B"/>
    <w:rsid w:val="3FFE421B"/>
    <w:rsid w:val="4B986A12"/>
    <w:rsid w:val="729C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4"/>
    <w:qFormat/>
    <w:uiPriority w:val="9"/>
    <w:pPr>
      <w:keepNext/>
      <w:jc w:val="center"/>
      <w:outlineLvl w:val="0"/>
    </w:pPr>
    <w:rPr>
      <w:rFonts w:ascii="楷体_GB2312" w:hAnsi="楷体_GB2312"/>
      <w:b/>
      <w:sz w:val="32"/>
      <w:szCs w:val="32"/>
    </w:rPr>
  </w:style>
  <w:style w:type="paragraph" w:styleId="2">
    <w:name w:val="heading 4"/>
    <w:basedOn w:val="1"/>
    <w:next w:val="1"/>
    <w:qFormat/>
    <w:uiPriority w:val="0"/>
    <w:pPr>
      <w:keepNext/>
      <w:keepLines/>
      <w:ind w:firstLine="420" w:firstLineChars="150"/>
      <w:outlineLvl w:val="3"/>
    </w:pPr>
    <w:rPr>
      <w:rFonts w:ascii="Arial" w:hAnsi="Arial" w:cs="Arial"/>
      <w:b/>
      <w:sz w:val="28"/>
      <w:szCs w:val="28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  <w:pPr>
      <w:ind w:firstLine="420"/>
    </w:p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Symbol"/>
      <w:color w:val="000000" w:themeColor="text1"/>
      <w:sz w:val="18"/>
      <w:szCs w:val="18"/>
      <w14:textFill>
        <w14:solidFill>
          <w14:schemeClr w14:val="tx1"/>
        </w14:solidFill>
      </w14:textFill>
    </w:rPr>
  </w:style>
  <w:style w:type="character" w:customStyle="1" w:styleId="8">
    <w:name w:val="font212"/>
    <w:basedOn w:val="7"/>
    <w:autoRedefine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9">
    <w:name w:val="font181"/>
    <w:basedOn w:val="7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0">
    <w:name w:val="font221"/>
    <w:basedOn w:val="7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1">
    <w:name w:val="font231"/>
    <w:basedOn w:val="7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2024-03-31T07:23:00Z</dcterms:created>
  <dc:creator>王馨悦</dc:creator>
  <cp:lastModifiedBy>王馨悦</cp:lastModifiedBy>
  <dcterms:modified xsi:type="dcterms:W3CDTF">2024-03-31T07:43:16Z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41B3715F012E49C4BBFDBEE162FD00EE_11</vt:lpwstr>
  </property>
</Properties>
</file>