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CE4C03">
      <w:pPr>
        <w:keepNext w:val="0"/>
        <w:keepLines w:val="0"/>
        <w:pageBreakBefore w:val="0"/>
        <w:tabs>
          <w:tab w:val="left" w:pos="1134"/>
          <w:tab w:val="left" w:pos="5481"/>
          <w:tab w:val="left" w:pos="5859"/>
        </w:tabs>
        <w:kinsoku/>
        <w:overflowPunct/>
        <w:autoSpaceDE/>
        <w:autoSpaceDN/>
        <w:bidi w:val="0"/>
        <w:adjustRightInd/>
        <w:snapToGrid/>
        <w:spacing w:line="520" w:lineRule="exact"/>
        <w:jc w:val="center"/>
        <w:textAlignment w:val="auto"/>
        <w:rPr>
          <w:rFonts w:hint="eastAsia" w:ascii="仿宋" w:hAnsi="仿宋" w:eastAsia="仿宋" w:cs="仿宋"/>
          <w:b/>
          <w:bCs/>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eastAsia="zh-CN"/>
        </w:rPr>
        <w:t>深水环境油气</w:t>
      </w:r>
      <w:bookmarkStart w:id="31" w:name="_GoBack"/>
      <w:bookmarkEnd w:id="31"/>
      <w:r>
        <w:rPr>
          <w:rFonts w:hint="eastAsia" w:ascii="仿宋" w:hAnsi="仿宋" w:eastAsia="仿宋" w:cs="仿宋"/>
          <w:snapToGrid w:val="0"/>
          <w:color w:val="000000"/>
          <w:kern w:val="0"/>
          <w:sz w:val="28"/>
          <w:szCs w:val="28"/>
          <w:highlight w:val="none"/>
          <w:lang w:eastAsia="zh-CN"/>
        </w:rPr>
        <w:t>设备泄漏及集成化监测实验系统设备项目</w:t>
      </w:r>
      <w:r>
        <w:rPr>
          <w:rFonts w:hint="eastAsia" w:ascii="仿宋" w:hAnsi="仿宋" w:eastAsia="仿宋" w:cs="仿宋"/>
          <w:bCs/>
          <w:snapToGrid w:val="0"/>
          <w:color w:val="000000"/>
          <w:kern w:val="0"/>
          <w:sz w:val="28"/>
          <w:szCs w:val="28"/>
          <w:highlight w:val="none"/>
          <w:lang w:val="en-US" w:eastAsia="zh-CN"/>
        </w:rPr>
        <w:t>招标</w:t>
      </w:r>
      <w:r>
        <w:rPr>
          <w:rFonts w:hint="eastAsia" w:ascii="仿宋" w:hAnsi="仿宋" w:eastAsia="仿宋" w:cs="仿宋"/>
          <w:bCs/>
          <w:snapToGrid w:val="0"/>
          <w:color w:val="000000"/>
          <w:kern w:val="0"/>
          <w:sz w:val="28"/>
          <w:szCs w:val="28"/>
          <w:highlight w:val="none"/>
        </w:rPr>
        <w:t>公告</w:t>
      </w:r>
    </w:p>
    <w:p w14:paraId="7D4070B1">
      <w:pPr>
        <w:keepNext w:val="0"/>
        <w:keepLines w:val="0"/>
        <w:pageBreakBefore w:val="0"/>
        <w:kinsoku/>
        <w:overflowPunct/>
        <w:autoSpaceDE/>
        <w:autoSpaceDN/>
        <w:bidi w:val="0"/>
        <w:adjustRightInd/>
        <w:snapToGrid/>
        <w:spacing w:line="520" w:lineRule="exact"/>
        <w:textAlignment w:val="auto"/>
        <w:rPr>
          <w:rFonts w:hint="eastAsia"/>
          <w:color w:val="000000"/>
          <w:highlight w:val="none"/>
        </w:rPr>
      </w:pPr>
    </w:p>
    <w:p w14:paraId="356E8EE9">
      <w:pPr>
        <w:keepNext w:val="0"/>
        <w:keepLines w:val="0"/>
        <w:pageBreakBefore w:val="0"/>
        <w:pBdr>
          <w:top w:val="single" w:color="auto" w:sz="4" w:space="1"/>
          <w:left w:val="single" w:color="auto" w:sz="4" w:space="4"/>
          <w:bottom w:val="single" w:color="auto" w:sz="4" w:space="1"/>
          <w:right w:val="single" w:color="auto" w:sz="4" w:space="4"/>
        </w:pBdr>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项目概况</w:t>
      </w:r>
    </w:p>
    <w:p w14:paraId="214EA22F">
      <w:pPr>
        <w:keepNext w:val="0"/>
        <w:keepLines w:val="0"/>
        <w:pageBreakBefore w:val="0"/>
        <w:pBdr>
          <w:top w:val="single" w:color="auto" w:sz="4" w:space="1"/>
          <w:left w:val="single" w:color="auto" w:sz="4" w:space="4"/>
          <w:bottom w:val="single" w:color="auto" w:sz="4" w:space="1"/>
          <w:right w:val="single" w:color="auto" w:sz="4" w:space="4"/>
        </w:pBdr>
        <w:kinsoku/>
        <w:wordWrap w:val="0"/>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lang w:eastAsia="zh-CN"/>
        </w:rPr>
        <w:t>深水环境油气设备泄漏及集成化监测实验系统设备项目</w:t>
      </w:r>
      <w:r>
        <w:rPr>
          <w:rFonts w:hint="eastAsia" w:ascii="仿宋" w:hAnsi="仿宋" w:eastAsia="仿宋" w:cs="仿宋"/>
          <w:color w:val="000000"/>
          <w:sz w:val="28"/>
          <w:szCs w:val="28"/>
          <w:highlight w:val="none"/>
        </w:rPr>
        <w:t>的潜在投标人应在</w:t>
      </w:r>
      <w:r>
        <w:rPr>
          <w:rFonts w:hint="eastAsia" w:ascii="仿宋" w:hAnsi="仿宋" w:eastAsia="仿宋" w:cs="仿宋"/>
          <w:color w:val="000000"/>
          <w:sz w:val="28"/>
          <w:szCs w:val="28"/>
          <w:highlight w:val="none"/>
          <w:u w:val="single"/>
        </w:rPr>
        <w:t>青岛青西项目管理有限公司</w:t>
      </w:r>
      <w:r>
        <w:rPr>
          <w:rFonts w:hint="eastAsia" w:ascii="仿宋" w:hAnsi="仿宋" w:eastAsia="仿宋" w:cs="仿宋"/>
          <w:color w:val="000000"/>
          <w:sz w:val="28"/>
          <w:szCs w:val="28"/>
          <w:highlight w:val="none"/>
        </w:rPr>
        <w:t>获取招标文件，并于</w:t>
      </w:r>
      <w:r>
        <w:rPr>
          <w:rFonts w:hint="eastAsia" w:ascii="仿宋" w:hAnsi="仿宋" w:eastAsia="仿宋" w:cs="仿宋"/>
          <w:color w:val="000000"/>
          <w:sz w:val="28"/>
          <w:szCs w:val="28"/>
          <w:highlight w:val="none"/>
          <w:u w:val="single"/>
        </w:rPr>
        <w:t>2025</w:t>
      </w:r>
      <w:r>
        <w:rPr>
          <w:rFonts w:hint="eastAsia" w:ascii="仿宋" w:hAnsi="仿宋" w:eastAsia="仿宋" w:cs="仿宋"/>
          <w:bCs/>
          <w:color w:val="000000"/>
          <w:sz w:val="28"/>
          <w:szCs w:val="28"/>
          <w:highlight w:val="none"/>
          <w:u w:val="single"/>
        </w:rPr>
        <w:t>年</w:t>
      </w:r>
      <w:r>
        <w:rPr>
          <w:rFonts w:hint="eastAsia" w:ascii="仿宋" w:hAnsi="仿宋" w:eastAsia="仿宋" w:cs="仿宋"/>
          <w:bCs/>
          <w:color w:val="000000"/>
          <w:sz w:val="28"/>
          <w:szCs w:val="28"/>
          <w:highlight w:val="none"/>
          <w:u w:val="single"/>
          <w:lang w:val="en-US" w:eastAsia="zh-CN"/>
        </w:rPr>
        <w:t>12</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31</w:t>
      </w:r>
      <w:r>
        <w:rPr>
          <w:rFonts w:hint="eastAsia" w:ascii="仿宋" w:hAnsi="仿宋" w:eastAsia="仿宋" w:cs="仿宋"/>
          <w:bCs/>
          <w:color w:val="000000"/>
          <w:sz w:val="28"/>
          <w:szCs w:val="28"/>
          <w:highlight w:val="none"/>
          <w:u w:val="single"/>
        </w:rPr>
        <w:t>日</w:t>
      </w:r>
      <w:r>
        <w:rPr>
          <w:rFonts w:hint="eastAsia" w:ascii="仿宋" w:hAnsi="仿宋" w:eastAsia="仿宋" w:cs="仿宋"/>
          <w:bCs/>
          <w:color w:val="000000"/>
          <w:sz w:val="28"/>
          <w:szCs w:val="28"/>
          <w:highlight w:val="none"/>
          <w:u w:val="single"/>
          <w:lang w:val="en-US" w:eastAsia="zh-CN"/>
        </w:rPr>
        <w:t>09</w:t>
      </w:r>
      <w:r>
        <w:rPr>
          <w:rFonts w:hint="eastAsia" w:ascii="仿宋" w:hAnsi="仿宋" w:eastAsia="仿宋" w:cs="仿宋"/>
          <w:bCs/>
          <w:color w:val="000000"/>
          <w:sz w:val="28"/>
          <w:szCs w:val="28"/>
          <w:highlight w:val="none"/>
          <w:u w:val="single"/>
        </w:rPr>
        <w:t>时</w:t>
      </w:r>
      <w:r>
        <w:rPr>
          <w:rFonts w:hint="eastAsia" w:ascii="仿宋" w:hAnsi="仿宋" w:eastAsia="仿宋" w:cs="仿宋"/>
          <w:bCs/>
          <w:color w:val="000000"/>
          <w:sz w:val="28"/>
          <w:szCs w:val="28"/>
          <w:highlight w:val="none"/>
          <w:u w:val="single"/>
          <w:lang w:val="en-US" w:eastAsia="zh-CN"/>
        </w:rPr>
        <w:t>0</w:t>
      </w:r>
      <w:r>
        <w:rPr>
          <w:rFonts w:hint="eastAsia" w:ascii="仿宋" w:hAnsi="仿宋" w:eastAsia="仿宋" w:cs="仿宋"/>
          <w:bCs/>
          <w:color w:val="000000"/>
          <w:sz w:val="28"/>
          <w:szCs w:val="28"/>
          <w:highlight w:val="none"/>
          <w:u w:val="single"/>
        </w:rPr>
        <w:t>0分</w:t>
      </w:r>
      <w:r>
        <w:rPr>
          <w:rFonts w:hint="eastAsia" w:ascii="仿宋" w:hAnsi="仿宋" w:eastAsia="仿宋" w:cs="仿宋"/>
          <w:bCs/>
          <w:color w:val="000000"/>
          <w:sz w:val="28"/>
          <w:szCs w:val="28"/>
          <w:highlight w:val="none"/>
        </w:rPr>
        <w:t>（北京时间）前提交投标文件</w:t>
      </w:r>
      <w:r>
        <w:rPr>
          <w:rFonts w:hint="eastAsia" w:ascii="仿宋" w:hAnsi="仿宋" w:eastAsia="仿宋" w:cs="仿宋"/>
          <w:color w:val="000000"/>
          <w:sz w:val="28"/>
          <w:szCs w:val="28"/>
          <w:highlight w:val="none"/>
        </w:rPr>
        <w:t>。</w:t>
      </w:r>
    </w:p>
    <w:p w14:paraId="069F39DE">
      <w:pPr>
        <w:keepNext w:val="0"/>
        <w:keepLines w:val="0"/>
        <w:pageBreakBefore w:val="0"/>
        <w:kinsoku/>
        <w:overflowPunct/>
        <w:autoSpaceDE/>
        <w:autoSpaceDN/>
        <w:bidi w:val="0"/>
        <w:adjustRightInd/>
        <w:snapToGrid/>
        <w:spacing w:line="520" w:lineRule="exact"/>
        <w:textAlignment w:val="auto"/>
        <w:rPr>
          <w:rFonts w:hint="eastAsia" w:ascii="仿宋" w:hAnsi="仿宋" w:eastAsia="仿宋" w:cs="仿宋"/>
          <w:color w:val="000000"/>
          <w:sz w:val="28"/>
          <w:szCs w:val="28"/>
          <w:highlight w:val="none"/>
        </w:rPr>
      </w:pPr>
      <w:bookmarkStart w:id="0" w:name="_Toc28359002"/>
      <w:bookmarkStart w:id="1" w:name="_Toc28359079"/>
      <w:bookmarkStart w:id="2" w:name="_Toc35393790"/>
      <w:bookmarkStart w:id="3" w:name="_Toc35393621"/>
      <w:bookmarkStart w:id="4" w:name="_Hlk24379207"/>
      <w:r>
        <w:rPr>
          <w:rFonts w:hint="eastAsia" w:ascii="仿宋" w:hAnsi="仿宋" w:eastAsia="仿宋" w:cs="仿宋"/>
          <w:color w:val="000000"/>
          <w:sz w:val="28"/>
          <w:szCs w:val="28"/>
          <w:highlight w:val="none"/>
        </w:rPr>
        <w:t>一、项目基本情况</w:t>
      </w:r>
      <w:bookmarkEnd w:id="0"/>
      <w:bookmarkEnd w:id="1"/>
      <w:bookmarkEnd w:id="2"/>
      <w:bookmarkEnd w:id="3"/>
    </w:p>
    <w:p w14:paraId="794A04AA">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项目编号：</w:t>
      </w:r>
      <w:r>
        <w:rPr>
          <w:rFonts w:hint="eastAsia" w:ascii="仿宋" w:hAnsi="仿宋" w:eastAsia="仿宋" w:cs="仿宋"/>
          <w:color w:val="000000"/>
          <w:sz w:val="28"/>
          <w:szCs w:val="28"/>
          <w:highlight w:val="none"/>
          <w:u w:val="single"/>
          <w:lang w:eastAsia="zh-CN"/>
        </w:rPr>
        <w:t>QXSDZB2025-017</w:t>
      </w:r>
    </w:p>
    <w:p w14:paraId="7BA1A7D4">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rPr>
        <w:t>项目名称：</w:t>
      </w:r>
      <w:r>
        <w:rPr>
          <w:rFonts w:hint="eastAsia" w:ascii="仿宋" w:hAnsi="仿宋" w:eastAsia="仿宋" w:cs="仿宋"/>
          <w:color w:val="000000"/>
          <w:sz w:val="28"/>
          <w:szCs w:val="28"/>
          <w:highlight w:val="none"/>
          <w:u w:val="single"/>
          <w:lang w:eastAsia="zh-CN"/>
        </w:rPr>
        <w:t>深水环境油气设备泄漏及集成化监测实验系统设备项目</w:t>
      </w:r>
    </w:p>
    <w:bookmarkEnd w:id="4"/>
    <w:p w14:paraId="6C9393A2">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预算金额：</w:t>
      </w:r>
      <w:r>
        <w:rPr>
          <w:rFonts w:hint="eastAsia" w:ascii="仿宋" w:hAnsi="仿宋" w:eastAsia="仿宋" w:cs="仿宋"/>
          <w:color w:val="000000"/>
          <w:sz w:val="28"/>
          <w:szCs w:val="28"/>
          <w:highlight w:val="none"/>
          <w:u w:val="single"/>
          <w:lang w:val="en-US" w:eastAsia="zh-CN"/>
        </w:rPr>
        <w:t>120.00</w:t>
      </w:r>
      <w:r>
        <w:rPr>
          <w:rFonts w:hint="eastAsia" w:ascii="仿宋" w:hAnsi="仿宋" w:eastAsia="仿宋" w:cs="仿宋"/>
          <w:color w:val="000000"/>
          <w:sz w:val="28"/>
          <w:szCs w:val="28"/>
          <w:highlight w:val="none"/>
          <w:u w:val="single"/>
        </w:rPr>
        <w:t>万元</w:t>
      </w:r>
    </w:p>
    <w:p w14:paraId="7D135F95">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最高限价（如有）：</w:t>
      </w:r>
      <w:r>
        <w:rPr>
          <w:rFonts w:hint="eastAsia" w:ascii="仿宋" w:hAnsi="仿宋" w:eastAsia="仿宋" w:cs="仿宋"/>
          <w:color w:val="000000"/>
          <w:sz w:val="28"/>
          <w:szCs w:val="28"/>
          <w:highlight w:val="none"/>
          <w:u w:val="single"/>
          <w:lang w:val="en-US" w:eastAsia="zh-CN"/>
        </w:rPr>
        <w:t>120.00</w:t>
      </w:r>
      <w:r>
        <w:rPr>
          <w:rFonts w:hint="eastAsia" w:ascii="仿宋" w:hAnsi="仿宋" w:eastAsia="仿宋" w:cs="仿宋"/>
          <w:color w:val="000000"/>
          <w:sz w:val="28"/>
          <w:szCs w:val="28"/>
          <w:highlight w:val="none"/>
          <w:u w:val="single"/>
        </w:rPr>
        <w:t>万元</w:t>
      </w:r>
    </w:p>
    <w:p w14:paraId="52EBED4D">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采购需求：</w:t>
      </w:r>
    </w:p>
    <w:tbl>
      <w:tblPr>
        <w:tblStyle w:val="3"/>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585"/>
        <w:gridCol w:w="1140"/>
        <w:gridCol w:w="2596"/>
        <w:gridCol w:w="2171"/>
      </w:tblGrid>
      <w:tr w14:paraId="329E8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51" w:type="dxa"/>
            <w:noWrap w:val="0"/>
            <w:vAlign w:val="center"/>
          </w:tcPr>
          <w:p w14:paraId="0690ABDA">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标包</w:t>
            </w:r>
          </w:p>
        </w:tc>
        <w:tc>
          <w:tcPr>
            <w:tcW w:w="2585" w:type="dxa"/>
            <w:noWrap w:val="0"/>
            <w:vAlign w:val="center"/>
          </w:tcPr>
          <w:p w14:paraId="120BA72E">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货物名称</w:t>
            </w:r>
          </w:p>
        </w:tc>
        <w:tc>
          <w:tcPr>
            <w:tcW w:w="1140" w:type="dxa"/>
            <w:noWrap w:val="0"/>
            <w:vAlign w:val="center"/>
          </w:tcPr>
          <w:p w14:paraId="1844E81F">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数量</w:t>
            </w:r>
          </w:p>
        </w:tc>
        <w:tc>
          <w:tcPr>
            <w:tcW w:w="2596" w:type="dxa"/>
            <w:noWrap w:val="0"/>
            <w:vAlign w:val="center"/>
          </w:tcPr>
          <w:p w14:paraId="79F55EB8">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简要技术需求</w:t>
            </w:r>
          </w:p>
        </w:tc>
        <w:tc>
          <w:tcPr>
            <w:tcW w:w="2171" w:type="dxa"/>
            <w:noWrap w:val="0"/>
            <w:vAlign w:val="center"/>
          </w:tcPr>
          <w:p w14:paraId="2E71E370">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是否允许</w:t>
            </w:r>
          </w:p>
          <w:p w14:paraId="3AA12B12">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进口产品投标</w:t>
            </w:r>
          </w:p>
        </w:tc>
      </w:tr>
      <w:tr w14:paraId="4355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1" w:type="dxa"/>
            <w:noWrap w:val="0"/>
            <w:vAlign w:val="center"/>
          </w:tcPr>
          <w:p w14:paraId="63895712">
            <w:pPr>
              <w:pStyle w:val="2"/>
              <w:keepNext w:val="0"/>
              <w:keepLines w:val="0"/>
              <w:pageBreakBefore w:val="0"/>
              <w:kinsoku/>
              <w:wordWrap/>
              <w:overflowPunct/>
              <w:topLinePunct w:val="0"/>
              <w:autoSpaceDE/>
              <w:autoSpaceDN/>
              <w:bidi w:val="0"/>
              <w:adjustRightInd/>
              <w:snapToGrid/>
              <w:spacing w:line="520" w:lineRule="exact"/>
              <w:ind w:left="0" w:firstLine="0" w:firstLineChars="0"/>
              <w:jc w:val="center"/>
              <w:textAlignment w:val="auto"/>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1</w:t>
            </w:r>
          </w:p>
        </w:tc>
        <w:tc>
          <w:tcPr>
            <w:tcW w:w="2585" w:type="dxa"/>
            <w:noWrap w:val="0"/>
            <w:vAlign w:val="center"/>
          </w:tcPr>
          <w:p w14:paraId="6676F696">
            <w:pPr>
              <w:pStyle w:val="2"/>
              <w:keepNext w:val="0"/>
              <w:keepLines w:val="0"/>
              <w:pageBreakBefore w:val="0"/>
              <w:kinsoku/>
              <w:wordWrap/>
              <w:overflowPunct/>
              <w:topLinePunct w:val="0"/>
              <w:autoSpaceDE/>
              <w:autoSpaceDN/>
              <w:bidi w:val="0"/>
              <w:adjustRightInd/>
              <w:snapToGrid/>
              <w:spacing w:line="520" w:lineRule="exact"/>
              <w:ind w:left="0" w:firstLine="0" w:firstLineChars="0"/>
              <w:jc w:val="center"/>
              <w:textAlignment w:val="auto"/>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深水环境油气设备泄漏及集成化监测实验系统设备</w:t>
            </w:r>
          </w:p>
        </w:tc>
        <w:tc>
          <w:tcPr>
            <w:tcW w:w="1140" w:type="dxa"/>
            <w:noWrap w:val="0"/>
            <w:vAlign w:val="center"/>
          </w:tcPr>
          <w:p w14:paraId="3FCFAF4B">
            <w:pPr>
              <w:pStyle w:val="2"/>
              <w:keepNext w:val="0"/>
              <w:keepLines w:val="0"/>
              <w:pageBreakBefore w:val="0"/>
              <w:kinsoku/>
              <w:wordWrap/>
              <w:overflowPunct/>
              <w:topLinePunct w:val="0"/>
              <w:autoSpaceDE/>
              <w:autoSpaceDN/>
              <w:bidi w:val="0"/>
              <w:adjustRightInd/>
              <w:snapToGrid/>
              <w:spacing w:line="520" w:lineRule="exact"/>
              <w:ind w:left="0" w:firstLine="0" w:firstLineChars="0"/>
              <w:jc w:val="center"/>
              <w:textAlignment w:val="auto"/>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1套</w:t>
            </w:r>
          </w:p>
        </w:tc>
        <w:tc>
          <w:tcPr>
            <w:tcW w:w="2596" w:type="dxa"/>
            <w:noWrap w:val="0"/>
            <w:vAlign w:val="center"/>
          </w:tcPr>
          <w:p w14:paraId="288AFE66">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详见采购需求</w:t>
            </w:r>
          </w:p>
        </w:tc>
        <w:tc>
          <w:tcPr>
            <w:tcW w:w="2171" w:type="dxa"/>
            <w:noWrap w:val="0"/>
            <w:vAlign w:val="center"/>
          </w:tcPr>
          <w:p w14:paraId="234284F1">
            <w:pPr>
              <w:keepNext w:val="0"/>
              <w:keepLines w:val="0"/>
              <w:pageBreakBefore w:val="0"/>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不允许  </w:t>
            </w:r>
          </w:p>
          <w:p w14:paraId="0792A769">
            <w:pPr>
              <w:keepNext w:val="0"/>
              <w:keepLines w:val="0"/>
              <w:pageBreakBefore w:val="0"/>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i/>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允许</w:t>
            </w:r>
          </w:p>
        </w:tc>
      </w:tr>
    </w:tbl>
    <w:p w14:paraId="5AF8A7B8">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合同履行期限：</w:t>
      </w:r>
      <w:r>
        <w:rPr>
          <w:rFonts w:hint="eastAsia" w:ascii="仿宋" w:hAnsi="仿宋" w:eastAsia="仿宋" w:cs="仿宋"/>
          <w:color w:val="000000"/>
          <w:sz w:val="28"/>
          <w:szCs w:val="28"/>
          <w:highlight w:val="none"/>
          <w:u w:val="single"/>
        </w:rPr>
        <w:t>合同签订后180日内机器全部就位安装调试完成。</w:t>
      </w:r>
    </w:p>
    <w:p w14:paraId="44B1C1E8">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本项目□接受☑不接受联合体投标。</w:t>
      </w:r>
    </w:p>
    <w:p w14:paraId="17719F9F">
      <w:pPr>
        <w:keepNext w:val="0"/>
        <w:keepLines w:val="0"/>
        <w:pageBreakBefore w:val="0"/>
        <w:kinsoku/>
        <w:overflowPunct/>
        <w:autoSpaceDE/>
        <w:autoSpaceDN/>
        <w:bidi w:val="0"/>
        <w:adjustRightInd/>
        <w:snapToGrid/>
        <w:spacing w:line="520" w:lineRule="exact"/>
        <w:textAlignment w:val="auto"/>
        <w:rPr>
          <w:rFonts w:hint="eastAsia" w:ascii="仿宋" w:hAnsi="仿宋" w:eastAsia="仿宋" w:cs="仿宋"/>
          <w:color w:val="000000"/>
          <w:sz w:val="28"/>
          <w:szCs w:val="28"/>
          <w:highlight w:val="none"/>
        </w:rPr>
      </w:pPr>
      <w:bookmarkStart w:id="5" w:name="_Toc35393622"/>
      <w:bookmarkStart w:id="6" w:name="_Toc28359003"/>
      <w:bookmarkStart w:id="7" w:name="_Toc28359080"/>
      <w:bookmarkStart w:id="8" w:name="_Toc35393791"/>
      <w:r>
        <w:rPr>
          <w:rFonts w:hint="eastAsia" w:ascii="仿宋" w:hAnsi="仿宋" w:eastAsia="仿宋" w:cs="仿宋"/>
          <w:color w:val="000000"/>
          <w:sz w:val="28"/>
          <w:szCs w:val="28"/>
          <w:highlight w:val="none"/>
        </w:rPr>
        <w:t>二、申请人的资格要求</w:t>
      </w:r>
      <w:bookmarkEnd w:id="5"/>
      <w:bookmarkEnd w:id="6"/>
      <w:bookmarkEnd w:id="7"/>
      <w:bookmarkEnd w:id="8"/>
    </w:p>
    <w:p w14:paraId="0F6B2411">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1.满足《中华人民共和国政府采购法》第二十二条规定；</w:t>
      </w:r>
    </w:p>
    <w:p w14:paraId="1A3378AD">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bookmarkStart w:id="9" w:name="_Toc28359081"/>
      <w:bookmarkStart w:id="10" w:name="_Toc28359004"/>
      <w:r>
        <w:rPr>
          <w:rFonts w:hint="eastAsia" w:ascii="仿宋" w:hAnsi="仿宋" w:eastAsia="仿宋" w:cs="仿宋"/>
          <w:color w:val="000000"/>
          <w:sz w:val="28"/>
          <w:szCs w:val="28"/>
          <w:highlight w:val="none"/>
        </w:rPr>
        <w:t>2.落实政府采购政策需满足的资格要求：</w:t>
      </w:r>
      <w:r>
        <w:rPr>
          <w:rFonts w:hint="eastAsia" w:ascii="仿宋" w:hAnsi="仿宋" w:eastAsia="仿宋" w:cs="仿宋"/>
          <w:color w:val="000000"/>
          <w:sz w:val="28"/>
          <w:szCs w:val="28"/>
          <w:highlight w:val="none"/>
          <w:u w:val="single"/>
        </w:rPr>
        <w:t>无</w:t>
      </w:r>
      <w:r>
        <w:rPr>
          <w:rFonts w:hint="eastAsia" w:ascii="仿宋" w:hAnsi="仿宋" w:eastAsia="仿宋" w:cs="仿宋"/>
          <w:color w:val="000000"/>
          <w:sz w:val="28"/>
          <w:szCs w:val="28"/>
          <w:highlight w:val="none"/>
        </w:rPr>
        <w:t>；</w:t>
      </w:r>
    </w:p>
    <w:p w14:paraId="2EA32349">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iCs/>
          <w:color w:val="000000"/>
          <w:sz w:val="28"/>
          <w:szCs w:val="28"/>
          <w:highlight w:val="none"/>
          <w:u w:val="single"/>
        </w:rPr>
      </w:pPr>
      <w:r>
        <w:rPr>
          <w:rFonts w:hint="eastAsia" w:ascii="仿宋" w:hAnsi="仿宋" w:eastAsia="仿宋" w:cs="仿宋"/>
          <w:color w:val="000000"/>
          <w:sz w:val="28"/>
          <w:szCs w:val="28"/>
          <w:highlight w:val="none"/>
        </w:rPr>
        <w:t>3.本项目的特定资格要求：</w:t>
      </w:r>
      <w:r>
        <w:rPr>
          <w:rFonts w:hint="eastAsia" w:ascii="仿宋" w:hAnsi="仿宋" w:eastAsia="仿宋" w:cs="仿宋"/>
          <w:color w:val="000000"/>
          <w:sz w:val="28"/>
          <w:szCs w:val="28"/>
          <w:highlight w:val="none"/>
          <w:u w:val="single"/>
        </w:rPr>
        <w:t>无</w:t>
      </w:r>
      <w:r>
        <w:rPr>
          <w:rFonts w:hint="eastAsia" w:ascii="仿宋" w:hAnsi="仿宋" w:eastAsia="仿宋" w:cs="仿宋"/>
          <w:color w:val="000000"/>
          <w:sz w:val="28"/>
          <w:szCs w:val="28"/>
          <w:highlight w:val="none"/>
        </w:rPr>
        <w:t>；</w:t>
      </w:r>
    </w:p>
    <w:p w14:paraId="2AFF9223">
      <w:pPr>
        <w:keepNext w:val="0"/>
        <w:keepLines w:val="0"/>
        <w:pageBreakBefore w:val="0"/>
        <w:widowControl w:val="0"/>
        <w:kinsoku/>
        <w:wordWrap w:val="0"/>
        <w:overflowPunct/>
        <w:topLine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在“信用中国”（www.creditchina.gov.cn）、“中国政府采购网”（www.ccgp.gov.cn）等网站中被列入失信被执行人、重大税收违法案件当事人名单、政府采购严重违法失信行为记录名单的投标人，不得参加本次政府采购活动；</w:t>
      </w:r>
    </w:p>
    <w:p w14:paraId="2E1BFDF9">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5.单位负责人为同一人或者存在直接控股、管理关系的不同投标人，不得参加同一合同项下（同一包号）的政府采购活动。</w:t>
      </w:r>
    </w:p>
    <w:p w14:paraId="60D2C9A0">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rPr>
      </w:pPr>
      <w:bookmarkStart w:id="11" w:name="_Toc35393623"/>
      <w:bookmarkStart w:id="12" w:name="_Toc35393792"/>
      <w:r>
        <w:rPr>
          <w:rFonts w:hint="eastAsia" w:ascii="仿宋" w:hAnsi="仿宋" w:eastAsia="仿宋" w:cs="仿宋"/>
          <w:color w:val="auto"/>
          <w:sz w:val="28"/>
          <w:szCs w:val="28"/>
          <w:highlight w:val="none"/>
        </w:rPr>
        <w:t>三、获取</w:t>
      </w:r>
      <w:r>
        <w:rPr>
          <w:rFonts w:hint="eastAsia" w:ascii="仿宋" w:hAnsi="仿宋" w:eastAsia="仿宋" w:cs="仿宋"/>
          <w:color w:val="auto"/>
          <w:sz w:val="28"/>
          <w:szCs w:val="28"/>
          <w:highlight w:val="none"/>
          <w:lang w:val="en-US" w:eastAsia="zh-CN"/>
        </w:rPr>
        <w:t>招标</w:t>
      </w:r>
      <w:r>
        <w:rPr>
          <w:rFonts w:hint="eastAsia" w:ascii="仿宋" w:hAnsi="仿宋" w:eastAsia="仿宋" w:cs="仿宋"/>
          <w:color w:val="auto"/>
          <w:sz w:val="28"/>
          <w:szCs w:val="28"/>
          <w:highlight w:val="none"/>
        </w:rPr>
        <w:t>文件</w:t>
      </w:r>
      <w:bookmarkEnd w:id="9"/>
      <w:bookmarkEnd w:id="10"/>
      <w:bookmarkEnd w:id="11"/>
      <w:bookmarkEnd w:id="12"/>
    </w:p>
    <w:p w14:paraId="22FE79E5">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bookmarkStart w:id="13" w:name="_Toc28359005"/>
      <w:bookmarkStart w:id="14" w:name="_Toc28359082"/>
      <w:bookmarkStart w:id="15" w:name="_Toc35393793"/>
      <w:bookmarkStart w:id="16" w:name="_Toc35393624"/>
      <w:r>
        <w:rPr>
          <w:rFonts w:hint="eastAsia" w:ascii="仿宋" w:hAnsi="仿宋" w:eastAsia="仿宋" w:cs="仿宋"/>
          <w:color w:val="auto"/>
          <w:kern w:val="0"/>
          <w:sz w:val="28"/>
          <w:szCs w:val="28"/>
          <w:highlight w:val="none"/>
        </w:rPr>
        <w:t>1.时间：2025年</w:t>
      </w:r>
      <w:r>
        <w:rPr>
          <w:rFonts w:hint="eastAsia" w:ascii="仿宋" w:hAnsi="仿宋" w:eastAsia="仿宋" w:cs="仿宋"/>
          <w:color w:val="auto"/>
          <w:kern w:val="0"/>
          <w:sz w:val="28"/>
          <w:szCs w:val="28"/>
          <w:highlight w:val="none"/>
          <w:lang w:val="en-US" w:eastAsia="zh-CN"/>
        </w:rPr>
        <w:t>12</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11</w:t>
      </w:r>
      <w:r>
        <w:rPr>
          <w:rFonts w:hint="eastAsia" w:ascii="仿宋" w:hAnsi="仿宋" w:eastAsia="仿宋" w:cs="仿宋"/>
          <w:color w:val="auto"/>
          <w:kern w:val="0"/>
          <w:sz w:val="28"/>
          <w:szCs w:val="28"/>
          <w:highlight w:val="none"/>
        </w:rPr>
        <w:t>日至2025年</w:t>
      </w:r>
      <w:r>
        <w:rPr>
          <w:rFonts w:hint="eastAsia" w:ascii="仿宋" w:hAnsi="仿宋" w:eastAsia="仿宋" w:cs="仿宋"/>
          <w:color w:val="auto"/>
          <w:kern w:val="0"/>
          <w:sz w:val="28"/>
          <w:szCs w:val="28"/>
          <w:highlight w:val="none"/>
          <w:lang w:val="en-US" w:eastAsia="zh-CN"/>
        </w:rPr>
        <w:t>12</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17</w:t>
      </w:r>
      <w:r>
        <w:rPr>
          <w:rFonts w:hint="eastAsia" w:ascii="仿宋" w:hAnsi="仿宋" w:eastAsia="仿宋" w:cs="仿宋"/>
          <w:color w:val="auto"/>
          <w:kern w:val="0"/>
          <w:sz w:val="28"/>
          <w:szCs w:val="28"/>
          <w:highlight w:val="none"/>
        </w:rPr>
        <w:t>日，</w:t>
      </w:r>
      <w:r>
        <w:rPr>
          <w:rFonts w:hint="eastAsia" w:ascii="仿宋" w:hAnsi="仿宋" w:eastAsia="仿宋" w:cs="仿宋"/>
          <w:color w:val="000000"/>
          <w:kern w:val="0"/>
          <w:sz w:val="28"/>
          <w:szCs w:val="28"/>
          <w:highlight w:val="none"/>
        </w:rPr>
        <w:t>每天上午9:00至11:30，下午13:00至17:00（北京时间，法定节假日除外）</w:t>
      </w:r>
    </w:p>
    <w:p w14:paraId="7D58B5C2">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2.地点：青岛市黄岛区江山南路448号富安国际A楼612室。</w:t>
      </w:r>
    </w:p>
    <w:p w14:paraId="294038C1">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3.方式：按照以下方式获取招标文件（二选一）：</w:t>
      </w:r>
    </w:p>
    <w:p w14:paraId="7403395A">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本项目为资格后审，可采用现场报名或邮件报名的形式。报名时提交的资料查验不代表资格审查的最终通过或合格。</w:t>
      </w:r>
    </w:p>
    <w:p w14:paraId="4DFF93B1">
      <w:pPr>
        <w:keepNext w:val="0"/>
        <w:keepLines w:val="0"/>
        <w:pageBreakBefore w:val="0"/>
        <w:widowControl w:val="0"/>
        <w:numPr>
          <w:ilvl w:val="0"/>
          <w:numId w:val="1"/>
        </w:numPr>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现场报名的投标人请携带加盖单位公章的以下资料复印件：营业执照副本、法定代表人身份证明书</w:t>
      </w:r>
      <w:r>
        <w:rPr>
          <w:rFonts w:hint="eastAsia" w:ascii="仿宋" w:hAnsi="仿宋" w:eastAsia="仿宋" w:cs="仿宋"/>
          <w:color w:val="000000"/>
          <w:kern w:val="0"/>
          <w:sz w:val="28"/>
          <w:szCs w:val="28"/>
          <w:highlight w:val="none"/>
          <w:lang w:val="en-US" w:eastAsia="zh-CN"/>
        </w:rPr>
        <w:t>或</w:t>
      </w:r>
      <w:r>
        <w:rPr>
          <w:rFonts w:hint="eastAsia" w:ascii="仿宋" w:hAnsi="仿宋" w:eastAsia="仿宋" w:cs="仿宋"/>
          <w:color w:val="000000"/>
          <w:kern w:val="0"/>
          <w:sz w:val="28"/>
          <w:szCs w:val="28"/>
          <w:highlight w:val="none"/>
        </w:rPr>
        <w:t>法定代表人授权书。将投标人基本信息情况表填报完毕后，代理机构会将</w:t>
      </w:r>
      <w:r>
        <w:rPr>
          <w:rFonts w:hint="eastAsia" w:ascii="仿宋" w:hAnsi="仿宋" w:eastAsia="仿宋" w:cs="仿宋"/>
          <w:color w:val="000000"/>
          <w:sz w:val="28"/>
          <w:szCs w:val="28"/>
          <w:highlight w:val="none"/>
        </w:rPr>
        <w:t>招标</w:t>
      </w:r>
      <w:r>
        <w:rPr>
          <w:rFonts w:hint="eastAsia" w:ascii="仿宋" w:hAnsi="仿宋" w:eastAsia="仿宋" w:cs="仿宋"/>
          <w:color w:val="000000"/>
          <w:kern w:val="0"/>
          <w:sz w:val="28"/>
          <w:szCs w:val="28"/>
          <w:highlight w:val="none"/>
        </w:rPr>
        <w:t>文件发送至投标人邮箱内，请各投标人务必核实邮件内容。若长时间内未接收到</w:t>
      </w:r>
      <w:r>
        <w:rPr>
          <w:rFonts w:hint="eastAsia" w:ascii="仿宋" w:hAnsi="仿宋" w:eastAsia="仿宋" w:cs="仿宋"/>
          <w:color w:val="000000"/>
          <w:sz w:val="28"/>
          <w:szCs w:val="28"/>
          <w:highlight w:val="none"/>
        </w:rPr>
        <w:t>招标</w:t>
      </w:r>
      <w:r>
        <w:rPr>
          <w:rFonts w:hint="eastAsia" w:ascii="仿宋" w:hAnsi="仿宋" w:eastAsia="仿宋" w:cs="仿宋"/>
          <w:color w:val="000000"/>
          <w:kern w:val="0"/>
          <w:sz w:val="28"/>
          <w:szCs w:val="28"/>
          <w:highlight w:val="none"/>
        </w:rPr>
        <w:t>文件，请及时联系代理机构工作人员。</w:t>
      </w:r>
    </w:p>
    <w:p w14:paraId="10C0A5A5">
      <w:pPr>
        <w:keepNext w:val="0"/>
        <w:keepLines w:val="0"/>
        <w:pageBreakBefore w:val="0"/>
        <w:widowControl w:val="0"/>
        <w:kinsoku/>
        <w:wordWrap w:val="0"/>
        <w:overflowPunct/>
        <w:topLine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（2）邮件报名的投标人请将加盖单位公章的以下资料复印件扫描后发送至邮箱：营业执照副本、法定代表人身份证明书</w:t>
      </w:r>
      <w:r>
        <w:rPr>
          <w:rFonts w:hint="eastAsia" w:ascii="仿宋" w:hAnsi="仿宋" w:eastAsia="仿宋" w:cs="仿宋"/>
          <w:color w:val="000000"/>
          <w:kern w:val="0"/>
          <w:sz w:val="28"/>
          <w:szCs w:val="28"/>
          <w:highlight w:val="none"/>
          <w:lang w:val="en-US" w:eastAsia="zh-CN"/>
        </w:rPr>
        <w:t>或</w:t>
      </w:r>
      <w:r>
        <w:rPr>
          <w:rFonts w:hint="eastAsia" w:ascii="仿宋" w:hAnsi="仿宋" w:eastAsia="仿宋" w:cs="仿宋"/>
          <w:color w:val="000000"/>
          <w:kern w:val="0"/>
          <w:sz w:val="28"/>
          <w:szCs w:val="28"/>
          <w:highlight w:val="none"/>
        </w:rPr>
        <w:t>法定代表人授权委托书、投标人基本信息情况表（请写明"投标人单位全称、联系人、联系电话、身份证号、电子邮箱信息、所投包号）、报名费电汇/转账凭证。报名资料发送至邮箱：qdqx2015@126.com，邮件主题填写"</w:t>
      </w:r>
      <w:r>
        <w:rPr>
          <w:rFonts w:hint="eastAsia" w:ascii="仿宋" w:hAnsi="仿宋" w:eastAsia="仿宋" w:cs="仿宋"/>
          <w:color w:val="000000"/>
          <w:kern w:val="0"/>
          <w:sz w:val="28"/>
          <w:szCs w:val="28"/>
          <w:highlight w:val="none"/>
          <w:lang w:eastAsia="zh-CN"/>
        </w:rPr>
        <w:t>QXSDZB2025-017</w:t>
      </w:r>
      <w:r>
        <w:rPr>
          <w:rFonts w:hint="eastAsia" w:ascii="仿宋" w:hAnsi="仿宋" w:eastAsia="仿宋" w:cs="仿宋"/>
          <w:color w:val="000000"/>
          <w:kern w:val="0"/>
          <w:sz w:val="28"/>
          <w:szCs w:val="28"/>
          <w:highlight w:val="none"/>
        </w:rPr>
        <w:t>-投标人全称"（例</w:t>
      </w:r>
      <w:r>
        <w:rPr>
          <w:rFonts w:hint="eastAsia" w:ascii="仿宋" w:hAnsi="仿宋" w:eastAsia="仿宋" w:cs="仿宋"/>
          <w:color w:val="000000"/>
          <w:kern w:val="0"/>
          <w:sz w:val="28"/>
          <w:szCs w:val="28"/>
          <w:highlight w:val="none"/>
          <w:lang w:eastAsia="zh-CN"/>
        </w:rPr>
        <w:t>QXSDZB2025-017</w:t>
      </w:r>
      <w:r>
        <w:rPr>
          <w:rFonts w:hint="eastAsia" w:ascii="仿宋" w:hAnsi="仿宋" w:eastAsia="仿宋" w:cs="仿宋"/>
          <w:color w:val="000000"/>
          <w:kern w:val="0"/>
          <w:sz w:val="28"/>
          <w:szCs w:val="28"/>
          <w:highlight w:val="none"/>
        </w:rPr>
        <w:t>-青岛青西项目管理有限公司），发送后请电话联系本项目负责人进行资料审核并进行后续报名工作，审核完成后代理机构会将</w:t>
      </w:r>
      <w:r>
        <w:rPr>
          <w:rFonts w:hint="eastAsia" w:ascii="仿宋" w:hAnsi="仿宋" w:eastAsia="仿宋" w:cs="仿宋"/>
          <w:color w:val="000000"/>
          <w:sz w:val="28"/>
          <w:szCs w:val="28"/>
          <w:highlight w:val="none"/>
        </w:rPr>
        <w:t>招标</w:t>
      </w:r>
      <w:r>
        <w:rPr>
          <w:rFonts w:hint="eastAsia" w:ascii="仿宋" w:hAnsi="仿宋" w:eastAsia="仿宋" w:cs="仿宋"/>
          <w:color w:val="000000"/>
          <w:kern w:val="0"/>
          <w:sz w:val="28"/>
          <w:szCs w:val="28"/>
          <w:highlight w:val="none"/>
        </w:rPr>
        <w:t>文件发送至投标人邮箱内，如有遗漏，代理机构会通过邮件通知投标人，请各投标人务必核实邮件内容。</w:t>
      </w:r>
    </w:p>
    <w:p w14:paraId="0F2F2EE2">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4.缴费信息：</w:t>
      </w:r>
    </w:p>
    <w:p w14:paraId="18791D5C">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开户银行：中国民生银行青岛经济技术开发区支行</w:t>
      </w:r>
    </w:p>
    <w:p w14:paraId="7A6EC9BD">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开户名称：青岛青西项目管理有限公司</w:t>
      </w:r>
    </w:p>
    <w:p w14:paraId="3986695E">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帐    号：694735397</w:t>
      </w:r>
    </w:p>
    <w:p w14:paraId="6E83F7D3">
      <w:pPr>
        <w:keepNext w:val="0"/>
        <w:keepLines w:val="0"/>
        <w:pageBreakBefore w:val="0"/>
        <w:widowControl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5.售价：</w:t>
      </w:r>
      <w:r>
        <w:rPr>
          <w:rFonts w:hint="eastAsia" w:ascii="仿宋" w:hAnsi="仿宋" w:eastAsia="仿宋" w:cs="仿宋"/>
          <w:color w:val="000000"/>
          <w:kern w:val="0"/>
          <w:sz w:val="28"/>
          <w:szCs w:val="28"/>
          <w:highlight w:val="none"/>
          <w:lang w:val="en-US" w:eastAsia="zh-CN"/>
        </w:rPr>
        <w:t>采购</w:t>
      </w:r>
      <w:r>
        <w:rPr>
          <w:rFonts w:hint="eastAsia" w:ascii="仿宋" w:hAnsi="仿宋" w:eastAsia="仿宋" w:cs="仿宋"/>
          <w:color w:val="000000"/>
          <w:kern w:val="0"/>
          <w:sz w:val="28"/>
          <w:szCs w:val="28"/>
          <w:highlight w:val="none"/>
        </w:rPr>
        <w:t>文件工本费：300元</w:t>
      </w:r>
      <w:r>
        <w:rPr>
          <w:rFonts w:hint="eastAsia" w:ascii="仿宋" w:hAnsi="仿宋" w:eastAsia="仿宋" w:cs="仿宋"/>
          <w:i/>
          <w:iCs/>
          <w:color w:val="000000"/>
          <w:kern w:val="0"/>
          <w:sz w:val="28"/>
          <w:szCs w:val="28"/>
          <w:highlight w:val="none"/>
        </w:rPr>
        <w:t>，</w:t>
      </w:r>
      <w:r>
        <w:rPr>
          <w:rFonts w:hint="eastAsia" w:ascii="仿宋" w:hAnsi="仿宋" w:eastAsia="仿宋" w:cs="仿宋"/>
          <w:color w:val="000000"/>
          <w:kern w:val="0"/>
          <w:sz w:val="28"/>
          <w:szCs w:val="28"/>
          <w:highlight w:val="none"/>
        </w:rPr>
        <w:t>售后不退。</w:t>
      </w:r>
    </w:p>
    <w:p w14:paraId="267C76A3">
      <w:pPr>
        <w:keepNext w:val="0"/>
        <w:keepLines w:val="0"/>
        <w:pageBreakBefore w:val="0"/>
        <w:kinsoku/>
        <w:overflowPunct/>
        <w:autoSpaceDE/>
        <w:autoSpaceDN/>
        <w:bidi w:val="0"/>
        <w:adjustRightInd/>
        <w:snapToGrid/>
        <w:spacing w:line="520" w:lineRule="exac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四、招标文件的询问</w:t>
      </w:r>
    </w:p>
    <w:p w14:paraId="1DA8DFF9">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获得招标文件的投标人凡对本招标文件提出询问的，请以加盖投标人单位公章的书面文</w:t>
      </w:r>
      <w:r>
        <w:rPr>
          <w:rFonts w:hint="eastAsia" w:ascii="仿宋" w:hAnsi="仿宋" w:eastAsia="仿宋" w:cs="仿宋"/>
          <w:color w:val="auto"/>
          <w:kern w:val="0"/>
          <w:sz w:val="28"/>
          <w:szCs w:val="28"/>
          <w:highlight w:val="none"/>
        </w:rPr>
        <w:t>件提出，在2025年</w:t>
      </w:r>
      <w:r>
        <w:rPr>
          <w:rFonts w:hint="eastAsia" w:ascii="仿宋" w:hAnsi="仿宋" w:eastAsia="仿宋" w:cs="仿宋"/>
          <w:color w:val="auto"/>
          <w:kern w:val="0"/>
          <w:sz w:val="28"/>
          <w:szCs w:val="28"/>
          <w:highlight w:val="none"/>
          <w:lang w:val="en-US" w:eastAsia="zh-CN"/>
        </w:rPr>
        <w:t>12月18</w:t>
      </w:r>
      <w:r>
        <w:rPr>
          <w:rFonts w:hint="eastAsia" w:ascii="仿宋" w:hAnsi="仿宋" w:eastAsia="仿宋" w:cs="仿宋"/>
          <w:color w:val="auto"/>
          <w:kern w:val="0"/>
          <w:sz w:val="28"/>
          <w:szCs w:val="28"/>
          <w:highlight w:val="none"/>
        </w:rPr>
        <w:t>日17:00时前</w:t>
      </w:r>
      <w:r>
        <w:rPr>
          <w:rFonts w:hint="eastAsia" w:ascii="仿宋" w:hAnsi="仿宋" w:eastAsia="仿宋" w:cs="仿宋"/>
          <w:color w:val="000000"/>
          <w:kern w:val="0"/>
          <w:sz w:val="28"/>
          <w:szCs w:val="28"/>
          <w:highlight w:val="none"/>
        </w:rPr>
        <w:t>，采用信函、传真或者直接送达的形式（包括电子版文件）按照以下联系方式通知</w:t>
      </w:r>
      <w:r>
        <w:rPr>
          <w:rFonts w:hint="eastAsia" w:ascii="仿宋" w:hAnsi="仿宋" w:eastAsia="仿宋" w:cs="仿宋"/>
          <w:color w:val="000000"/>
          <w:kern w:val="0"/>
          <w:sz w:val="28"/>
          <w:szCs w:val="28"/>
          <w:highlight w:val="none"/>
          <w:lang w:val="en-US" w:eastAsia="zh-CN"/>
        </w:rPr>
        <w:t>采购</w:t>
      </w:r>
      <w:r>
        <w:rPr>
          <w:rFonts w:hint="eastAsia" w:ascii="仿宋" w:hAnsi="仿宋" w:eastAsia="仿宋" w:cs="仿宋"/>
          <w:color w:val="000000"/>
          <w:kern w:val="0"/>
          <w:sz w:val="28"/>
          <w:szCs w:val="28"/>
          <w:highlight w:val="none"/>
        </w:rPr>
        <w:t>代理机构。</w:t>
      </w:r>
    </w:p>
    <w:p w14:paraId="5709ED6B">
      <w:pPr>
        <w:keepNext w:val="0"/>
        <w:keepLines w:val="0"/>
        <w:pageBreakBefore w:val="0"/>
        <w:kinsoku/>
        <w:overflowPunct/>
        <w:autoSpaceDE/>
        <w:autoSpaceDN/>
        <w:bidi w:val="0"/>
        <w:adjustRightInd/>
        <w:snapToGrid/>
        <w:spacing w:line="520" w:lineRule="exac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五、提交投标文件</w:t>
      </w:r>
      <w:bookmarkEnd w:id="13"/>
      <w:bookmarkEnd w:id="14"/>
      <w:r>
        <w:rPr>
          <w:rFonts w:hint="eastAsia" w:ascii="仿宋" w:hAnsi="仿宋" w:eastAsia="仿宋" w:cs="仿宋"/>
          <w:color w:val="000000"/>
          <w:sz w:val="28"/>
          <w:szCs w:val="28"/>
          <w:highlight w:val="none"/>
        </w:rPr>
        <w:t>截止时间、开标时间和地点</w:t>
      </w:r>
      <w:bookmarkEnd w:id="15"/>
      <w:bookmarkEnd w:id="16"/>
    </w:p>
    <w:p w14:paraId="0764E76A">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提交投标文件截止时间：</w:t>
      </w:r>
      <w:r>
        <w:rPr>
          <w:rFonts w:hint="eastAsia" w:ascii="仿宋" w:hAnsi="仿宋" w:eastAsia="仿宋" w:cs="仿宋"/>
          <w:bCs/>
          <w:color w:val="000000"/>
          <w:sz w:val="28"/>
          <w:szCs w:val="28"/>
          <w:highlight w:val="none"/>
          <w:u w:val="single"/>
        </w:rPr>
        <w:t>2025年</w:t>
      </w:r>
      <w:r>
        <w:rPr>
          <w:rFonts w:hint="eastAsia" w:ascii="仿宋" w:hAnsi="仿宋" w:eastAsia="仿宋" w:cs="仿宋"/>
          <w:bCs/>
          <w:color w:val="000000"/>
          <w:sz w:val="28"/>
          <w:szCs w:val="28"/>
          <w:highlight w:val="none"/>
          <w:u w:val="single"/>
          <w:lang w:val="en-US" w:eastAsia="zh-CN"/>
        </w:rPr>
        <w:t>12</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31</w:t>
      </w:r>
      <w:r>
        <w:rPr>
          <w:rFonts w:hint="eastAsia" w:ascii="仿宋" w:hAnsi="仿宋" w:eastAsia="仿宋" w:cs="仿宋"/>
          <w:bCs/>
          <w:color w:val="000000"/>
          <w:sz w:val="28"/>
          <w:szCs w:val="28"/>
          <w:highlight w:val="none"/>
          <w:u w:val="single"/>
        </w:rPr>
        <w:t>日</w:t>
      </w:r>
      <w:r>
        <w:rPr>
          <w:rFonts w:hint="eastAsia" w:ascii="仿宋" w:hAnsi="仿宋" w:eastAsia="仿宋" w:cs="仿宋"/>
          <w:bCs/>
          <w:color w:val="000000"/>
          <w:sz w:val="28"/>
          <w:szCs w:val="28"/>
          <w:highlight w:val="none"/>
          <w:u w:val="single"/>
          <w:lang w:val="en-US" w:eastAsia="zh-CN"/>
        </w:rPr>
        <w:t>09</w:t>
      </w:r>
      <w:r>
        <w:rPr>
          <w:rFonts w:hint="eastAsia" w:ascii="仿宋" w:hAnsi="仿宋" w:eastAsia="仿宋" w:cs="仿宋"/>
          <w:bCs/>
          <w:color w:val="000000"/>
          <w:sz w:val="28"/>
          <w:szCs w:val="28"/>
          <w:highlight w:val="none"/>
          <w:u w:val="single"/>
        </w:rPr>
        <w:t>时</w:t>
      </w:r>
      <w:r>
        <w:rPr>
          <w:rFonts w:hint="eastAsia" w:ascii="仿宋" w:hAnsi="仿宋" w:eastAsia="仿宋" w:cs="仿宋"/>
          <w:bCs/>
          <w:color w:val="000000"/>
          <w:sz w:val="28"/>
          <w:szCs w:val="28"/>
          <w:highlight w:val="none"/>
          <w:u w:val="single"/>
          <w:lang w:val="en-US" w:eastAsia="zh-CN"/>
        </w:rPr>
        <w:t>0</w:t>
      </w:r>
      <w:r>
        <w:rPr>
          <w:rFonts w:hint="eastAsia" w:ascii="仿宋" w:hAnsi="仿宋" w:eastAsia="仿宋" w:cs="仿宋"/>
          <w:bCs/>
          <w:color w:val="000000"/>
          <w:sz w:val="28"/>
          <w:szCs w:val="28"/>
          <w:highlight w:val="none"/>
          <w:u w:val="single"/>
        </w:rPr>
        <w:t>0分</w:t>
      </w:r>
      <w:r>
        <w:rPr>
          <w:rFonts w:hint="eastAsia" w:ascii="仿宋" w:hAnsi="仿宋" w:eastAsia="仿宋" w:cs="仿宋"/>
          <w:bCs/>
          <w:color w:val="000000"/>
          <w:sz w:val="28"/>
          <w:szCs w:val="28"/>
          <w:highlight w:val="none"/>
        </w:rPr>
        <w:t>（北京时间）。</w:t>
      </w:r>
    </w:p>
    <w:p w14:paraId="350F9E02">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bCs/>
          <w:color w:val="000000"/>
          <w:sz w:val="28"/>
          <w:szCs w:val="28"/>
          <w:highlight w:val="none"/>
          <w:u w:val="single"/>
        </w:rPr>
      </w:pPr>
      <w:r>
        <w:rPr>
          <w:rFonts w:hint="eastAsia" w:ascii="仿宋" w:hAnsi="仿宋" w:eastAsia="仿宋" w:cs="仿宋"/>
          <w:color w:val="000000"/>
          <w:sz w:val="28"/>
          <w:szCs w:val="28"/>
          <w:highlight w:val="none"/>
        </w:rPr>
        <w:t>开标时间：</w:t>
      </w:r>
      <w:r>
        <w:rPr>
          <w:rFonts w:hint="eastAsia" w:ascii="仿宋" w:hAnsi="仿宋" w:eastAsia="仿宋" w:cs="仿宋"/>
          <w:bCs/>
          <w:color w:val="000000"/>
          <w:sz w:val="28"/>
          <w:szCs w:val="28"/>
          <w:highlight w:val="none"/>
          <w:u w:val="single"/>
        </w:rPr>
        <w:t>2025年</w:t>
      </w:r>
      <w:r>
        <w:rPr>
          <w:rFonts w:hint="eastAsia" w:ascii="仿宋" w:hAnsi="仿宋" w:eastAsia="仿宋" w:cs="仿宋"/>
          <w:bCs/>
          <w:color w:val="000000"/>
          <w:sz w:val="28"/>
          <w:szCs w:val="28"/>
          <w:highlight w:val="none"/>
          <w:u w:val="single"/>
          <w:lang w:val="en-US" w:eastAsia="zh-CN"/>
        </w:rPr>
        <w:t>12</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31</w:t>
      </w:r>
      <w:r>
        <w:rPr>
          <w:rFonts w:hint="eastAsia" w:ascii="仿宋" w:hAnsi="仿宋" w:eastAsia="仿宋" w:cs="仿宋"/>
          <w:bCs/>
          <w:color w:val="000000"/>
          <w:sz w:val="28"/>
          <w:szCs w:val="28"/>
          <w:highlight w:val="none"/>
          <w:u w:val="single"/>
        </w:rPr>
        <w:t>日</w:t>
      </w:r>
      <w:r>
        <w:rPr>
          <w:rFonts w:hint="eastAsia" w:ascii="仿宋" w:hAnsi="仿宋" w:eastAsia="仿宋" w:cs="仿宋"/>
          <w:bCs/>
          <w:color w:val="000000"/>
          <w:sz w:val="28"/>
          <w:szCs w:val="28"/>
          <w:highlight w:val="none"/>
          <w:u w:val="single"/>
          <w:lang w:val="en-US" w:eastAsia="zh-CN"/>
        </w:rPr>
        <w:t>09</w:t>
      </w:r>
      <w:r>
        <w:rPr>
          <w:rFonts w:hint="eastAsia" w:ascii="仿宋" w:hAnsi="仿宋" w:eastAsia="仿宋" w:cs="仿宋"/>
          <w:bCs/>
          <w:color w:val="000000"/>
          <w:sz w:val="28"/>
          <w:szCs w:val="28"/>
          <w:highlight w:val="none"/>
          <w:u w:val="single"/>
        </w:rPr>
        <w:t>时</w:t>
      </w:r>
      <w:r>
        <w:rPr>
          <w:rFonts w:hint="eastAsia" w:ascii="仿宋" w:hAnsi="仿宋" w:eastAsia="仿宋" w:cs="仿宋"/>
          <w:bCs/>
          <w:color w:val="000000"/>
          <w:sz w:val="28"/>
          <w:szCs w:val="28"/>
          <w:highlight w:val="none"/>
          <w:u w:val="single"/>
          <w:lang w:val="en-US" w:eastAsia="zh-CN"/>
        </w:rPr>
        <w:t>0</w:t>
      </w:r>
      <w:r>
        <w:rPr>
          <w:rFonts w:hint="eastAsia" w:ascii="仿宋" w:hAnsi="仿宋" w:eastAsia="仿宋" w:cs="仿宋"/>
          <w:bCs/>
          <w:color w:val="000000"/>
          <w:sz w:val="28"/>
          <w:szCs w:val="28"/>
          <w:highlight w:val="none"/>
          <w:u w:val="single"/>
        </w:rPr>
        <w:t>0分</w:t>
      </w:r>
      <w:r>
        <w:rPr>
          <w:rFonts w:hint="eastAsia" w:ascii="仿宋" w:hAnsi="仿宋" w:eastAsia="仿宋" w:cs="仿宋"/>
          <w:bCs/>
          <w:color w:val="000000"/>
          <w:sz w:val="28"/>
          <w:szCs w:val="28"/>
          <w:highlight w:val="none"/>
        </w:rPr>
        <w:t>（北京时间）。</w:t>
      </w:r>
    </w:p>
    <w:p w14:paraId="15EC06DC">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地点：</w:t>
      </w:r>
      <w:r>
        <w:rPr>
          <w:rFonts w:hint="eastAsia" w:ascii="仿宋" w:hAnsi="仿宋" w:eastAsia="仿宋" w:cs="仿宋"/>
          <w:color w:val="000000"/>
          <w:sz w:val="28"/>
          <w:szCs w:val="28"/>
          <w:highlight w:val="none"/>
          <w:u w:val="single"/>
        </w:rPr>
        <w:t>青岛市黄岛区江山南路448号富安国际A楼601室</w:t>
      </w:r>
      <w:r>
        <w:rPr>
          <w:rFonts w:hint="eastAsia" w:ascii="仿宋" w:hAnsi="仿宋" w:eastAsia="仿宋" w:cs="仿宋"/>
          <w:color w:val="000000"/>
          <w:sz w:val="28"/>
          <w:szCs w:val="28"/>
          <w:highlight w:val="none"/>
        </w:rPr>
        <w:t>。</w:t>
      </w:r>
    </w:p>
    <w:p w14:paraId="68605460">
      <w:pPr>
        <w:keepNext w:val="0"/>
        <w:keepLines w:val="0"/>
        <w:pageBreakBefore w:val="0"/>
        <w:kinsoku/>
        <w:overflowPunct/>
        <w:autoSpaceDE/>
        <w:autoSpaceDN/>
        <w:bidi w:val="0"/>
        <w:adjustRightInd/>
        <w:snapToGrid/>
        <w:spacing w:line="520" w:lineRule="exact"/>
        <w:textAlignment w:val="auto"/>
        <w:rPr>
          <w:rFonts w:hint="eastAsia" w:ascii="仿宋" w:hAnsi="仿宋" w:eastAsia="仿宋" w:cs="仿宋"/>
          <w:color w:val="000000"/>
          <w:kern w:val="0"/>
          <w:sz w:val="28"/>
          <w:szCs w:val="28"/>
          <w:highlight w:val="none"/>
        </w:rPr>
      </w:pPr>
      <w:bookmarkStart w:id="17" w:name="_Toc35393794"/>
      <w:bookmarkStart w:id="18" w:name="_Toc35393625"/>
      <w:bookmarkStart w:id="19" w:name="_Toc28359007"/>
      <w:bookmarkStart w:id="20" w:name="_Toc28359084"/>
      <w:r>
        <w:rPr>
          <w:rFonts w:hint="eastAsia" w:ascii="仿宋" w:hAnsi="仿宋" w:eastAsia="仿宋" w:cs="仿宋"/>
          <w:color w:val="000000"/>
          <w:sz w:val="28"/>
          <w:szCs w:val="28"/>
          <w:highlight w:val="none"/>
        </w:rPr>
        <w:t>六</w:t>
      </w:r>
      <w:r>
        <w:rPr>
          <w:rFonts w:hint="eastAsia" w:ascii="仿宋" w:hAnsi="仿宋" w:eastAsia="仿宋" w:cs="仿宋"/>
          <w:color w:val="000000"/>
          <w:kern w:val="0"/>
          <w:sz w:val="28"/>
          <w:szCs w:val="28"/>
          <w:highlight w:val="none"/>
        </w:rPr>
        <w:t>、公告期限</w:t>
      </w:r>
      <w:bookmarkEnd w:id="17"/>
      <w:bookmarkEnd w:id="18"/>
      <w:bookmarkEnd w:id="19"/>
      <w:bookmarkEnd w:id="20"/>
    </w:p>
    <w:p w14:paraId="197B9160">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自本公告发布之日起5个工作日。</w:t>
      </w:r>
    </w:p>
    <w:p w14:paraId="4FD1D233">
      <w:pPr>
        <w:keepNext w:val="0"/>
        <w:keepLines w:val="0"/>
        <w:pageBreakBefore w:val="0"/>
        <w:kinsoku/>
        <w:overflowPunct/>
        <w:autoSpaceDE/>
        <w:autoSpaceDN/>
        <w:bidi w:val="0"/>
        <w:adjustRightInd/>
        <w:snapToGrid/>
        <w:spacing w:line="520" w:lineRule="exact"/>
        <w:textAlignment w:val="auto"/>
        <w:rPr>
          <w:rFonts w:hint="eastAsia" w:ascii="仿宋" w:hAnsi="仿宋" w:eastAsia="仿宋" w:cs="仿宋"/>
          <w:color w:val="000000"/>
          <w:sz w:val="28"/>
          <w:szCs w:val="28"/>
          <w:highlight w:val="none"/>
        </w:rPr>
      </w:pPr>
      <w:bookmarkStart w:id="21" w:name="_Toc35393795"/>
      <w:bookmarkStart w:id="22" w:name="_Toc35393626"/>
      <w:r>
        <w:rPr>
          <w:rFonts w:hint="eastAsia" w:ascii="仿宋" w:hAnsi="仿宋" w:eastAsia="仿宋" w:cs="仿宋"/>
          <w:color w:val="000000"/>
          <w:sz w:val="28"/>
          <w:szCs w:val="28"/>
          <w:highlight w:val="none"/>
        </w:rPr>
        <w:t>七、其他补充事宜</w:t>
      </w:r>
      <w:bookmarkEnd w:id="21"/>
      <w:bookmarkEnd w:id="22"/>
    </w:p>
    <w:p w14:paraId="1621D3E2">
      <w:pPr>
        <w:keepNext w:val="0"/>
        <w:keepLines w:val="0"/>
        <w:pageBreakBefore w:val="0"/>
        <w:kinsoku/>
        <w:overflowPunct/>
        <w:autoSpaceDE/>
        <w:autoSpaceDN/>
        <w:bidi w:val="0"/>
        <w:adjustRightInd/>
        <w:snapToGrid/>
        <w:spacing w:line="520" w:lineRule="exact"/>
        <w:ind w:firstLine="560" w:firstLineChars="200"/>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1.采购项目需要落实的政府采购政策</w:t>
      </w:r>
    </w:p>
    <w:p w14:paraId="0CF79596">
      <w:pPr>
        <w:pStyle w:val="5"/>
        <w:keepNext w:val="0"/>
        <w:keepLines w:val="0"/>
        <w:pageBreakBefore w:val="0"/>
        <w:kinsoku/>
        <w:overflowPunct/>
        <w:autoSpaceDE/>
        <w:autoSpaceDN/>
        <w:bidi w:val="0"/>
        <w:adjustRightInd/>
        <w:snapToGrid/>
        <w:spacing w:before="0" w:beforeAutospacing="0" w:after="0" w:afterAutospacing="0" w:line="52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详见采购需求</w:t>
      </w:r>
    </w:p>
    <w:p w14:paraId="3588479E">
      <w:pPr>
        <w:pStyle w:val="5"/>
        <w:keepNext w:val="0"/>
        <w:keepLines w:val="0"/>
        <w:pageBreakBefore w:val="0"/>
        <w:kinsoku/>
        <w:overflowPunct/>
        <w:autoSpaceDE/>
        <w:autoSpaceDN/>
        <w:bidi w:val="0"/>
        <w:adjustRightInd/>
        <w:snapToGrid/>
        <w:spacing w:before="0" w:beforeAutospacing="0" w:after="0" w:afterAutospacing="0" w:line="520" w:lineRule="exact"/>
        <w:ind w:firstLine="560" w:firstLineChars="200"/>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2.公告媒介：本项目</w:t>
      </w:r>
      <w:r>
        <w:rPr>
          <w:rFonts w:hint="eastAsia" w:ascii="仿宋" w:hAnsi="仿宋" w:eastAsia="仿宋" w:cs="仿宋"/>
          <w:color w:val="000000"/>
          <w:sz w:val="28"/>
          <w:szCs w:val="28"/>
          <w:highlight w:val="none"/>
          <w:u w:val="single"/>
          <w:lang w:val="en-US" w:eastAsia="zh-CN"/>
        </w:rPr>
        <w:t>招标</w:t>
      </w:r>
      <w:r>
        <w:rPr>
          <w:rFonts w:hint="eastAsia" w:ascii="仿宋" w:hAnsi="仿宋" w:eastAsia="仿宋" w:cs="仿宋"/>
          <w:color w:val="000000"/>
          <w:sz w:val="28"/>
          <w:szCs w:val="28"/>
          <w:highlight w:val="none"/>
          <w:u w:val="single"/>
        </w:rPr>
        <w:t>公告在中国政府采购网上发布</w:t>
      </w:r>
    </w:p>
    <w:p w14:paraId="243CADE7">
      <w:pPr>
        <w:keepNext w:val="0"/>
        <w:keepLines w:val="0"/>
        <w:pageBreakBefore w:val="0"/>
        <w:kinsoku/>
        <w:overflowPunct/>
        <w:autoSpaceDE/>
        <w:autoSpaceDN/>
        <w:bidi w:val="0"/>
        <w:adjustRightInd/>
        <w:snapToGrid/>
        <w:spacing w:line="520" w:lineRule="exact"/>
        <w:textAlignment w:val="auto"/>
        <w:rPr>
          <w:rFonts w:hint="eastAsia" w:ascii="仿宋" w:hAnsi="仿宋" w:eastAsia="仿宋" w:cs="仿宋"/>
          <w:color w:val="000000"/>
          <w:sz w:val="28"/>
          <w:szCs w:val="28"/>
          <w:highlight w:val="none"/>
        </w:rPr>
      </w:pPr>
      <w:bookmarkStart w:id="23" w:name="_Toc28359085"/>
      <w:bookmarkStart w:id="24" w:name="_Toc35393796"/>
      <w:bookmarkStart w:id="25" w:name="_Toc28359008"/>
      <w:bookmarkStart w:id="26" w:name="_Toc35393627"/>
      <w:r>
        <w:rPr>
          <w:rFonts w:hint="eastAsia" w:ascii="仿宋" w:hAnsi="仿宋" w:eastAsia="仿宋" w:cs="仿宋"/>
          <w:color w:val="000000"/>
          <w:sz w:val="28"/>
          <w:szCs w:val="28"/>
          <w:highlight w:val="none"/>
        </w:rPr>
        <w:t>八、</w:t>
      </w:r>
      <w:bookmarkEnd w:id="23"/>
      <w:bookmarkEnd w:id="24"/>
      <w:bookmarkEnd w:id="25"/>
      <w:bookmarkEnd w:id="26"/>
      <w:r>
        <w:rPr>
          <w:rFonts w:hint="eastAsia" w:ascii="仿宋" w:hAnsi="仿宋" w:eastAsia="仿宋" w:cs="仿宋"/>
          <w:color w:val="000000"/>
          <w:sz w:val="28"/>
          <w:szCs w:val="28"/>
          <w:highlight w:val="none"/>
        </w:rPr>
        <w:t>对本次</w:t>
      </w:r>
      <w:r>
        <w:rPr>
          <w:rFonts w:hint="eastAsia" w:ascii="仿宋" w:hAnsi="仿宋" w:eastAsia="仿宋" w:cs="仿宋"/>
          <w:color w:val="000000"/>
          <w:sz w:val="28"/>
          <w:szCs w:val="28"/>
          <w:highlight w:val="none"/>
          <w:lang w:val="en-US" w:eastAsia="zh-CN"/>
        </w:rPr>
        <w:t>采购</w:t>
      </w:r>
      <w:r>
        <w:rPr>
          <w:rFonts w:hint="eastAsia" w:ascii="仿宋" w:hAnsi="仿宋" w:eastAsia="仿宋" w:cs="仿宋"/>
          <w:color w:val="000000"/>
          <w:sz w:val="28"/>
          <w:szCs w:val="28"/>
          <w:highlight w:val="none"/>
        </w:rPr>
        <w:t>提出询问，请按以下方式联系。</w:t>
      </w:r>
    </w:p>
    <w:p w14:paraId="450FDD63">
      <w:pPr>
        <w:keepNext w:val="0"/>
        <w:keepLines w:val="0"/>
        <w:pageBreakBefore w:val="0"/>
        <w:widowControl/>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1.采购人信息</w:t>
      </w:r>
    </w:p>
    <w:p w14:paraId="4E3E0B44">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  称：</w:t>
      </w:r>
      <w:r>
        <w:rPr>
          <w:rFonts w:hint="eastAsia" w:ascii="仿宋" w:hAnsi="仿宋" w:eastAsia="仿宋" w:cs="仿宋"/>
          <w:color w:val="000000"/>
          <w:sz w:val="28"/>
          <w:szCs w:val="28"/>
          <w:highlight w:val="none"/>
          <w:u w:val="single"/>
        </w:rPr>
        <w:t>中国石油大学（华东）</w:t>
      </w:r>
    </w:p>
    <w:p w14:paraId="6D4E9865">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山东省青岛市黄岛区长江西路66号</w:t>
      </w:r>
    </w:p>
    <w:p w14:paraId="1EF65C35">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u w:val="single"/>
          <w:lang w:val="en-US" w:eastAsia="zh-CN"/>
        </w:rPr>
        <w:t>汤</w:t>
      </w:r>
      <w:r>
        <w:rPr>
          <w:rFonts w:hint="eastAsia" w:ascii="仿宋" w:hAnsi="仿宋" w:eastAsia="仿宋" w:cs="仿宋"/>
          <w:color w:val="000000"/>
          <w:sz w:val="28"/>
          <w:szCs w:val="28"/>
          <w:highlight w:val="none"/>
          <w:u w:val="single"/>
        </w:rPr>
        <w:t>老师</w:t>
      </w:r>
    </w:p>
    <w:p w14:paraId="542808CF">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联系方式：</w:t>
      </w:r>
      <w:bookmarkStart w:id="27" w:name="_Toc28359086"/>
      <w:bookmarkStart w:id="28" w:name="_Toc28359009"/>
      <w:r>
        <w:rPr>
          <w:rFonts w:hint="eastAsia" w:ascii="仿宋" w:hAnsi="仿宋" w:eastAsia="仿宋" w:cs="仿宋"/>
          <w:color w:val="000000"/>
          <w:sz w:val="28"/>
          <w:szCs w:val="28"/>
          <w:highlight w:val="none"/>
          <w:u w:val="single"/>
        </w:rPr>
        <w:t>0532-86983188</w:t>
      </w:r>
    </w:p>
    <w:p w14:paraId="70008938">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2.采购代理机构信息</w:t>
      </w:r>
      <w:bookmarkEnd w:id="27"/>
      <w:bookmarkEnd w:id="28"/>
      <w:r>
        <w:rPr>
          <w:rFonts w:hint="eastAsia" w:ascii="仿宋" w:hAnsi="仿宋" w:eastAsia="仿宋" w:cs="仿宋"/>
          <w:color w:val="000000"/>
          <w:sz w:val="28"/>
          <w:szCs w:val="28"/>
          <w:highlight w:val="none"/>
        </w:rPr>
        <w:t xml:space="preserve"> </w:t>
      </w:r>
    </w:p>
    <w:p w14:paraId="36E13BFA">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名  称：</w:t>
      </w:r>
      <w:r>
        <w:rPr>
          <w:rFonts w:hint="eastAsia" w:ascii="仿宋" w:hAnsi="仿宋" w:eastAsia="仿宋" w:cs="仿宋"/>
          <w:color w:val="000000"/>
          <w:sz w:val="28"/>
          <w:szCs w:val="28"/>
          <w:highlight w:val="none"/>
          <w:u w:val="single"/>
        </w:rPr>
        <w:t>青岛青西项目管理有限公司</w:t>
      </w:r>
    </w:p>
    <w:p w14:paraId="2202863E">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山东省青岛市黄岛区江山南路448号富安国际A楼612室</w:t>
      </w:r>
    </w:p>
    <w:p w14:paraId="7AA2109C">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u w:val="single"/>
        </w:rPr>
        <w:t xml:space="preserve">刘欢     </w:t>
      </w:r>
      <w:r>
        <w:rPr>
          <w:rFonts w:hint="eastAsia" w:ascii="仿宋" w:hAnsi="仿宋" w:eastAsia="仿宋" w:cs="仿宋"/>
          <w:color w:val="000000"/>
          <w:sz w:val="28"/>
          <w:szCs w:val="28"/>
          <w:highlight w:val="none"/>
          <w:u w:val="single"/>
          <w:lang w:val="en-US" w:eastAsia="zh-CN"/>
        </w:rPr>
        <w:t>孙振楠</w:t>
      </w:r>
    </w:p>
    <w:p w14:paraId="6BE79672">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default"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联系方式：</w:t>
      </w:r>
      <w:bookmarkStart w:id="29" w:name="_Toc28359010"/>
      <w:bookmarkStart w:id="30" w:name="_Toc28359087"/>
      <w:r>
        <w:rPr>
          <w:rFonts w:hint="eastAsia" w:ascii="仿宋" w:hAnsi="仿宋" w:eastAsia="仿宋" w:cs="仿宋"/>
          <w:color w:val="000000"/>
          <w:sz w:val="28"/>
          <w:szCs w:val="28"/>
          <w:highlight w:val="none"/>
          <w:u w:val="single"/>
        </w:rPr>
        <w:t>18562732572    13</w:t>
      </w:r>
      <w:r>
        <w:rPr>
          <w:rFonts w:hint="eastAsia" w:ascii="仿宋" w:hAnsi="仿宋" w:eastAsia="仿宋" w:cs="仿宋"/>
          <w:color w:val="000000"/>
          <w:sz w:val="28"/>
          <w:szCs w:val="28"/>
          <w:highlight w:val="none"/>
          <w:u w:val="single"/>
          <w:lang w:val="en-US" w:eastAsia="zh-CN"/>
        </w:rPr>
        <w:t>355325367</w:t>
      </w:r>
    </w:p>
    <w:p w14:paraId="4B078C80">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邮  箱：</w:t>
      </w:r>
      <w:r>
        <w:rPr>
          <w:rFonts w:hint="eastAsia" w:ascii="仿宋" w:hAnsi="仿宋" w:eastAsia="仿宋" w:cs="仿宋"/>
          <w:color w:val="000000"/>
          <w:sz w:val="28"/>
          <w:szCs w:val="28"/>
          <w:highlight w:val="none"/>
          <w:u w:val="single"/>
        </w:rPr>
        <w:t>qdqx2015@126.com</w:t>
      </w:r>
    </w:p>
    <w:p w14:paraId="723BA44F">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3.项目联系方式</w:t>
      </w:r>
    </w:p>
    <w:p w14:paraId="0A110407">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项目联系人：</w:t>
      </w:r>
      <w:r>
        <w:rPr>
          <w:rFonts w:hint="eastAsia" w:ascii="仿宋" w:hAnsi="仿宋" w:eastAsia="仿宋" w:cs="仿宋"/>
          <w:color w:val="000000"/>
          <w:sz w:val="28"/>
          <w:szCs w:val="28"/>
          <w:highlight w:val="none"/>
          <w:u w:val="single"/>
          <w:lang w:val="en-US" w:eastAsia="zh-CN"/>
        </w:rPr>
        <w:t>孙振楠</w:t>
      </w:r>
    </w:p>
    <w:p w14:paraId="02E8502F">
      <w:pPr>
        <w:keepNext w:val="0"/>
        <w:keepLines w:val="0"/>
        <w:pageBreakBefore w:val="0"/>
        <w:kinsoku/>
        <w:wordWrap/>
        <w:overflowPunct/>
        <w:topLinePunct w:val="0"/>
        <w:autoSpaceDE/>
        <w:autoSpaceDN/>
        <w:bidi w:val="0"/>
        <w:adjustRightInd/>
        <w:snapToGrid/>
        <w:spacing w:line="520" w:lineRule="exact"/>
        <w:ind w:left="0" w:leftChars="0" w:firstLine="560" w:firstLineChars="200"/>
        <w:jc w:val="left"/>
        <w:textAlignment w:val="auto"/>
      </w:pP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13</w:t>
      </w:r>
      <w:r>
        <w:rPr>
          <w:rFonts w:hint="eastAsia" w:ascii="仿宋" w:hAnsi="仿宋" w:eastAsia="仿宋" w:cs="仿宋"/>
          <w:color w:val="000000"/>
          <w:sz w:val="28"/>
          <w:szCs w:val="28"/>
          <w:highlight w:val="none"/>
          <w:u w:val="single"/>
          <w:lang w:val="en-US" w:eastAsia="zh-CN"/>
        </w:rPr>
        <w:t>355325367</w:t>
      </w:r>
      <w:bookmarkEnd w:id="29"/>
      <w:bookmarkEnd w:id="30"/>
    </w:p>
    <w:sectPr>
      <w:pgSz w:w="11906" w:h="16838"/>
      <w:pgMar w:top="1440" w:right="1519" w:bottom="1440"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仿宋">
    <w:altName w:val="仿宋"/>
    <w:panose1 w:val="02010600040101010101"/>
    <w:charset w:val="7A"/>
    <w:family w:val="auto"/>
    <w:pitch w:val="default"/>
    <w:sig w:usb0="00000000" w:usb1="00000000" w:usb2="00000000" w:usb3="00000000" w:csb0="0004009F" w:csb1="DFD70000"/>
  </w:font>
  <w:font w:name="仿宋">
    <w:panose1 w:val="02010609060101010101"/>
    <w:charset w:val="7A"/>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27696A"/>
    <w:rsid w:val="65276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index 4"/>
    <w:basedOn w:val="1"/>
    <w:next w:val="1"/>
    <w:qFormat/>
    <w:uiPriority w:val="0"/>
    <w:pPr>
      <w:ind w:left="428" w:firstLine="140"/>
    </w:pPr>
    <w:rPr>
      <w:rFonts w:ascii="Times New Roman" w:hAnsi="Times New Roman" w:eastAsia="华文仿宋" w:cs="Times New Roman"/>
      <w:sz w:val="28"/>
    </w:rPr>
  </w:style>
  <w:style w:type="paragraph" w:customStyle="1" w:styleId="5">
    <w:name w:val="details_p"/>
    <w:basedOn w:val="1"/>
    <w:qFormat/>
    <w:uiPriority w:val="0"/>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2025-12-09T06:37:00Z</dcterms:created>
  <dc:creator>四叶草</dc:creator>
  <cp:lastModifiedBy>四叶草</cp:lastModifiedBy>
  <dcterms:modified xsi:type="dcterms:W3CDTF">2025-12-09T06:40:21Z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DA4B82EAA67A4648B72D71E04FA2FADB_11</vt:lpwstr>
  </property>
  <property fmtid="{D5CDD505-2E9C-101B-9397-08002B2CF9AE}" pid="4" name="KSOTemplateDocerSaveRecord">
    <vt:lpwstr>eyJoZGlkIjoiYmE1NjIxYTBjNTc4YTBmY2M0ZDFkMmQwYzQwMjdkNjkiLCJ1c2VySWQiOiIyNzYzMTk3NDUifQ==</vt:lpwstr>
  </property>
</Properties>
</file>